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10.vsdx" ContentType="application/vnd.ms-visio.drawing"/>
  <Override PartName="/word/embeddings/Microsoft_Visio___11.vsdx" ContentType="application/vnd.ms-visio.drawing"/>
  <Override PartName="/word/embeddings/Microsoft_Visio___12.vsdx" ContentType="application/vnd.ms-visio.drawing"/>
  <Override PartName="/word/embeddings/Microsoft_Visio___13.vsdx" ContentType="application/vnd.ms-visio.drawing"/>
  <Override PartName="/word/embeddings/Microsoft_Visio___14.vsdx" ContentType="application/vnd.ms-visio.drawing"/>
  <Override PartName="/word/embeddings/Microsoft_Visio___15.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eastAsia="仿宋_GB2312"/>
          <w:color w:val="000000" w:themeColor="text1"/>
          <w:sz w:val="36"/>
          <w:szCs w:val="36"/>
          <w14:textFill>
            <w14:solidFill>
              <w14:schemeClr w14:val="tx1"/>
            </w14:solidFill>
          </w14:textFill>
        </w:rPr>
      </w:pPr>
    </w:p>
    <w:p>
      <w:pPr>
        <w:spacing w:line="240" w:lineRule="auto"/>
        <w:rPr>
          <w:rFonts w:eastAsia="仿宋_GB2312"/>
          <w:color w:val="000000" w:themeColor="text1"/>
          <w:sz w:val="36"/>
          <w:szCs w:val="36"/>
          <w14:textFill>
            <w14:solidFill>
              <w14:schemeClr w14:val="tx1"/>
            </w14:solidFill>
          </w14:textFill>
        </w:rPr>
      </w:pPr>
    </w:p>
    <w:p>
      <w:pPr>
        <w:spacing w:line="240" w:lineRule="auto"/>
        <w:rPr>
          <w:rFonts w:eastAsia="仿宋_GB2312"/>
          <w:color w:val="000000" w:themeColor="text1"/>
          <w:sz w:val="36"/>
          <w:szCs w:val="36"/>
          <w14:textFill>
            <w14:solidFill>
              <w14:schemeClr w14:val="tx1"/>
            </w14:solidFill>
          </w14:textFill>
        </w:rPr>
      </w:pPr>
    </w:p>
    <w:p>
      <w:pPr>
        <w:spacing w:line="240" w:lineRule="auto"/>
        <w:rPr>
          <w:rFonts w:eastAsia="仿宋_GB2312"/>
          <w:color w:val="000000" w:themeColor="text1"/>
          <w:sz w:val="36"/>
          <w:szCs w:val="36"/>
          <w14:textFill>
            <w14:solidFill>
              <w14:schemeClr w14:val="tx1"/>
            </w14:solidFill>
          </w14:textFill>
        </w:rPr>
      </w:pPr>
    </w:p>
    <w:p>
      <w:pPr>
        <w:spacing w:line="240" w:lineRule="auto"/>
        <w:rPr>
          <w:rFonts w:eastAsia="仿宋_GB2312"/>
          <w:color w:val="000000" w:themeColor="text1"/>
          <w:sz w:val="36"/>
          <w:szCs w:val="36"/>
          <w14:textFill>
            <w14:solidFill>
              <w14:schemeClr w14:val="tx1"/>
            </w14:solidFill>
          </w14:textFill>
        </w:rPr>
      </w:pPr>
    </w:p>
    <w:p>
      <w:pPr>
        <w:adjustRightInd w:val="0"/>
        <w:snapToGrid w:val="0"/>
        <w:spacing w:line="240" w:lineRule="auto"/>
        <w:jc w:val="center"/>
        <w:outlineLvl w:val="0"/>
        <w:rPr>
          <w:rFonts w:eastAsia="方正小标宋_GBK"/>
          <w:bCs/>
          <w:color w:val="000000" w:themeColor="text1"/>
          <w:sz w:val="72"/>
          <w:szCs w:val="72"/>
          <w14:textFill>
            <w14:solidFill>
              <w14:schemeClr w14:val="tx1"/>
            </w14:solidFill>
          </w14:textFill>
        </w:rPr>
      </w:pPr>
      <w:bookmarkStart w:id="0" w:name="_Toc4088"/>
      <w:r>
        <w:rPr>
          <w:rFonts w:eastAsia="方正小标宋_GBK"/>
          <w:bCs/>
          <w:color w:val="000000" w:themeColor="text1"/>
          <w:sz w:val="72"/>
          <w:szCs w:val="72"/>
          <w14:textFill>
            <w14:solidFill>
              <w14:schemeClr w14:val="tx1"/>
            </w14:solidFill>
          </w14:textFill>
        </w:rPr>
        <w:t>建设项目环境影响报告表</w:t>
      </w:r>
      <w:bookmarkEnd w:id="0"/>
    </w:p>
    <w:p>
      <w:pPr>
        <w:adjustRightInd w:val="0"/>
        <w:snapToGrid w:val="0"/>
        <w:spacing w:line="240" w:lineRule="auto"/>
        <w:jc w:val="center"/>
        <w:rPr>
          <w:rFonts w:eastAsia="楷体_GB2312"/>
          <w:bCs/>
          <w:color w:val="000000" w:themeColor="text1"/>
          <w:sz w:val="48"/>
          <w:szCs w:val="48"/>
          <w14:textFill>
            <w14:solidFill>
              <w14:schemeClr w14:val="tx1"/>
            </w14:solidFill>
          </w14:textFill>
        </w:rPr>
      </w:pPr>
      <w:r>
        <w:rPr>
          <w:rFonts w:eastAsia="楷体_GB2312"/>
          <w:bCs/>
          <w:color w:val="000000" w:themeColor="text1"/>
          <w:sz w:val="48"/>
          <w:szCs w:val="48"/>
          <w14:textFill>
            <w14:solidFill>
              <w14:schemeClr w14:val="tx1"/>
            </w14:solidFill>
          </w14:textFill>
        </w:rPr>
        <w:t>（污染影响类）</w:t>
      </w:r>
    </w:p>
    <w:p>
      <w:pPr>
        <w:spacing w:line="240" w:lineRule="auto"/>
        <w:rPr>
          <w:rFonts w:eastAsia="仿宋"/>
          <w:color w:val="000000" w:themeColor="text1"/>
          <w:sz w:val="44"/>
          <w:szCs w:val="44"/>
          <w14:textFill>
            <w14:solidFill>
              <w14:schemeClr w14:val="tx1"/>
            </w14:solidFill>
          </w14:textFill>
        </w:rPr>
      </w:pPr>
    </w:p>
    <w:p>
      <w:pPr>
        <w:spacing w:line="240" w:lineRule="auto"/>
        <w:rPr>
          <w:rFonts w:eastAsia="仿宋"/>
          <w:color w:val="000000" w:themeColor="text1"/>
          <w:sz w:val="44"/>
          <w:szCs w:val="44"/>
          <w14:textFill>
            <w14:solidFill>
              <w14:schemeClr w14:val="tx1"/>
            </w14:solidFill>
          </w14:textFill>
        </w:rPr>
      </w:pPr>
    </w:p>
    <w:p>
      <w:pPr>
        <w:spacing w:line="240" w:lineRule="auto"/>
        <w:rPr>
          <w:rFonts w:eastAsia="仿宋"/>
          <w:color w:val="000000" w:themeColor="text1"/>
          <w:sz w:val="44"/>
          <w:szCs w:val="44"/>
          <w14:textFill>
            <w14:solidFill>
              <w14:schemeClr w14:val="tx1"/>
            </w14:solidFill>
          </w14:textFill>
        </w:rPr>
      </w:pPr>
    </w:p>
    <w:p>
      <w:pPr>
        <w:spacing w:line="240" w:lineRule="auto"/>
        <w:rPr>
          <w:rFonts w:eastAsia="仿宋"/>
          <w:color w:val="000000" w:themeColor="text1"/>
          <w:sz w:val="44"/>
          <w:szCs w:val="44"/>
          <w14:textFill>
            <w14:solidFill>
              <w14:schemeClr w14:val="tx1"/>
            </w14:solidFill>
          </w14:textFill>
        </w:rPr>
      </w:pPr>
    </w:p>
    <w:p>
      <w:pPr>
        <w:spacing w:line="240" w:lineRule="auto"/>
        <w:rPr>
          <w:rFonts w:eastAsia="仿宋"/>
          <w:color w:val="000000" w:themeColor="text1"/>
          <w:sz w:val="44"/>
          <w:szCs w:val="44"/>
          <w14:textFill>
            <w14:solidFill>
              <w14:schemeClr w14:val="tx1"/>
            </w14:solidFill>
          </w14:textFill>
        </w:rPr>
      </w:pPr>
    </w:p>
    <w:p>
      <w:pPr>
        <w:spacing w:line="240" w:lineRule="auto"/>
        <w:rPr>
          <w:rFonts w:eastAsia="仿宋"/>
          <w:color w:val="000000" w:themeColor="text1"/>
          <w:sz w:val="44"/>
          <w:szCs w:val="44"/>
          <w14:textFill>
            <w14:solidFill>
              <w14:schemeClr w14:val="tx1"/>
            </w14:solidFill>
          </w14:textFill>
        </w:rPr>
      </w:pPr>
    </w:p>
    <w:p>
      <w:pPr>
        <w:adjustRightInd w:val="0"/>
        <w:snapToGrid w:val="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项目名称：</w:t>
      </w:r>
      <w:r>
        <w:rPr>
          <w:rFonts w:hint="eastAsia" w:eastAsia="仿宋_GB2312"/>
          <w:color w:val="000000" w:themeColor="text1"/>
          <w:sz w:val="36"/>
          <w:szCs w:val="36"/>
          <w:u w:val="single"/>
          <w14:textFill>
            <w14:solidFill>
              <w14:schemeClr w14:val="tx1"/>
            </w14:solidFill>
          </w14:textFill>
        </w:rPr>
        <w:t>年加工处理</w:t>
      </w:r>
      <w:r>
        <w:rPr>
          <w:rFonts w:eastAsia="仿宋_GB2312"/>
          <w:color w:val="000000" w:themeColor="text1"/>
          <w:sz w:val="36"/>
          <w:szCs w:val="36"/>
          <w:u w:val="single"/>
          <w14:textFill>
            <w14:solidFill>
              <w14:schemeClr w14:val="tx1"/>
            </w14:solidFill>
          </w14:textFill>
        </w:rPr>
        <w:t>9</w:t>
      </w:r>
      <w:r>
        <w:rPr>
          <w:rFonts w:hint="eastAsia" w:eastAsia="仿宋_GB2312"/>
          <w:color w:val="000000" w:themeColor="text1"/>
          <w:sz w:val="36"/>
          <w:szCs w:val="36"/>
          <w:u w:val="single"/>
          <w14:textFill>
            <w14:solidFill>
              <w14:schemeClr w14:val="tx1"/>
            </w14:solidFill>
          </w14:textFill>
        </w:rPr>
        <w:t>万吨废旧轮胎综合利用</w:t>
      </w:r>
    </w:p>
    <w:p>
      <w:pPr>
        <w:adjustRightInd w:val="0"/>
        <w:snapToGrid w:val="0"/>
        <w:ind w:firstLine="1800" w:firstLineChars="500"/>
        <w:rPr>
          <w:rFonts w:eastAsia="仿宋_GB2312"/>
          <w:color w:val="000000" w:themeColor="text1"/>
          <w:sz w:val="36"/>
          <w:szCs w:val="36"/>
          <w:u w:val="single"/>
          <w14:textFill>
            <w14:solidFill>
              <w14:schemeClr w14:val="tx1"/>
            </w14:solidFill>
          </w14:textFill>
        </w:rPr>
      </w:pPr>
      <w:r>
        <w:rPr>
          <w:rFonts w:hint="eastAsia" w:eastAsia="仿宋_GB2312"/>
          <w:color w:val="000000" w:themeColor="text1"/>
          <w:sz w:val="36"/>
          <w:szCs w:val="36"/>
          <w:u w:val="single"/>
          <w14:textFill>
            <w14:solidFill>
              <w14:schemeClr w14:val="tx1"/>
            </w14:solidFill>
          </w14:textFill>
        </w:rPr>
        <w:t>建设项目</w:t>
      </w:r>
    </w:p>
    <w:p>
      <w:pPr>
        <w:adjustRightInd w:val="0"/>
        <w:snapToGrid w:val="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建设单位（盖章）：</w:t>
      </w:r>
      <w:r>
        <w:rPr>
          <w:rFonts w:hint="eastAsia" w:eastAsia="仿宋_GB2312"/>
          <w:color w:val="000000" w:themeColor="text1"/>
          <w:sz w:val="36"/>
          <w:szCs w:val="36"/>
          <w:u w:val="single"/>
          <w14:textFill>
            <w14:solidFill>
              <w14:schemeClr w14:val="tx1"/>
            </w14:solidFill>
          </w14:textFill>
        </w:rPr>
        <w:t>重庆垚鑫再生资源有限公司</w:t>
      </w:r>
    </w:p>
    <w:p>
      <w:pPr>
        <w:adjustRightInd w:val="0"/>
        <w:snapToGrid w:val="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编制日期：</w:t>
      </w:r>
      <w:r>
        <w:rPr>
          <w:rFonts w:eastAsia="仿宋_GB2312"/>
          <w:color w:val="000000" w:themeColor="text1"/>
          <w:sz w:val="36"/>
          <w:szCs w:val="36"/>
          <w:u w:val="single"/>
          <w14:textFill>
            <w14:solidFill>
              <w14:schemeClr w14:val="tx1"/>
            </w14:solidFill>
          </w14:textFill>
        </w:rPr>
        <w:t>202</w:t>
      </w:r>
      <w:r>
        <w:rPr>
          <w:rFonts w:hint="eastAsia" w:eastAsia="仿宋_GB2312"/>
          <w:color w:val="000000" w:themeColor="text1"/>
          <w:sz w:val="36"/>
          <w:szCs w:val="36"/>
          <w:u w:val="single"/>
          <w14:textFill>
            <w14:solidFill>
              <w14:schemeClr w14:val="tx1"/>
            </w14:solidFill>
          </w14:textFill>
        </w:rPr>
        <w:t>2</w:t>
      </w:r>
      <w:r>
        <w:rPr>
          <w:rFonts w:eastAsia="仿宋_GB2312"/>
          <w:color w:val="000000" w:themeColor="text1"/>
          <w:sz w:val="36"/>
          <w:szCs w:val="36"/>
          <w:u w:val="single"/>
          <w14:textFill>
            <w14:solidFill>
              <w14:schemeClr w14:val="tx1"/>
            </w14:solidFill>
          </w14:textFill>
        </w:rPr>
        <w:t>年12月</w:t>
      </w:r>
    </w:p>
    <w:p>
      <w:pPr>
        <w:adjustRightInd w:val="0"/>
        <w:snapToGrid w:val="0"/>
        <w:spacing w:line="240" w:lineRule="auto"/>
        <w:rPr>
          <w:rFonts w:eastAsia="仿宋_GB2312"/>
          <w:color w:val="000000" w:themeColor="text1"/>
          <w:sz w:val="36"/>
          <w:szCs w:val="36"/>
          <w:u w:val="single"/>
          <w14:textFill>
            <w14:solidFill>
              <w14:schemeClr w14:val="tx1"/>
            </w14:solidFill>
          </w14:textFill>
        </w:rPr>
      </w:pPr>
      <w:bookmarkStart w:id="1" w:name="_Hlk57884087"/>
    </w:p>
    <w:p>
      <w:pPr>
        <w:adjustRightInd w:val="0"/>
        <w:snapToGrid w:val="0"/>
        <w:spacing w:line="240" w:lineRule="auto"/>
        <w:rPr>
          <w:rFonts w:eastAsia="仿宋_GB2312"/>
          <w:color w:val="000000" w:themeColor="text1"/>
          <w:sz w:val="36"/>
          <w:szCs w:val="36"/>
          <w14:textFill>
            <w14:solidFill>
              <w14:schemeClr w14:val="tx1"/>
            </w14:solidFill>
          </w14:textFill>
        </w:rPr>
      </w:pPr>
    </w:p>
    <w:p>
      <w:pPr>
        <w:adjustRightInd w:val="0"/>
        <w:snapToGrid w:val="0"/>
        <w:spacing w:line="240" w:lineRule="auto"/>
        <w:rPr>
          <w:rFonts w:eastAsia="仿宋_GB2312"/>
          <w:color w:val="000000" w:themeColor="text1"/>
          <w:sz w:val="36"/>
          <w:szCs w:val="36"/>
          <w14:textFill>
            <w14:solidFill>
              <w14:schemeClr w14:val="tx1"/>
            </w14:solidFill>
          </w14:textFill>
        </w:rPr>
      </w:pPr>
    </w:p>
    <w:p>
      <w:pPr>
        <w:adjustRightInd w:val="0"/>
        <w:snapToGrid w:val="0"/>
        <w:spacing w:line="240" w:lineRule="auto"/>
        <w:rPr>
          <w:rFonts w:eastAsia="仿宋_GB2312"/>
          <w:color w:val="000000" w:themeColor="text1"/>
          <w:sz w:val="36"/>
          <w:szCs w:val="36"/>
          <w14:textFill>
            <w14:solidFill>
              <w14:schemeClr w14:val="tx1"/>
            </w14:solidFill>
          </w14:textFill>
        </w:rPr>
      </w:pPr>
    </w:p>
    <w:p>
      <w:pPr>
        <w:adjustRightInd w:val="0"/>
        <w:snapToGrid w:val="0"/>
        <w:spacing w:line="240" w:lineRule="auto"/>
        <w:rPr>
          <w:rFonts w:eastAsia="仿宋_GB2312"/>
          <w:color w:val="000000" w:themeColor="text1"/>
          <w:sz w:val="36"/>
          <w:szCs w:val="36"/>
          <w14:textFill>
            <w14:solidFill>
              <w14:schemeClr w14:val="tx1"/>
            </w14:solidFill>
          </w14:textFill>
        </w:rPr>
      </w:pPr>
    </w:p>
    <w:bookmarkEnd w:id="1"/>
    <w:p>
      <w:pPr>
        <w:adjustRightInd w:val="0"/>
        <w:snapToGrid w:val="0"/>
        <w:spacing w:line="240" w:lineRule="auto"/>
        <w:jc w:val="center"/>
        <w:rPr>
          <w:rFonts w:eastAsia="楷体_GB2312"/>
          <w:color w:val="000000" w:themeColor="text1"/>
          <w:sz w:val="36"/>
          <w:szCs w:val="36"/>
          <w14:textFill>
            <w14:solidFill>
              <w14:schemeClr w14:val="tx1"/>
            </w14:solidFill>
          </w14:textFill>
        </w:rPr>
      </w:pPr>
      <w:r>
        <w:rPr>
          <w:rFonts w:eastAsia="楷体_GB2312"/>
          <w:color w:val="000000" w:themeColor="text1"/>
          <w:sz w:val="36"/>
          <w:szCs w:val="36"/>
          <w14:textFill>
            <w14:solidFill>
              <w14:schemeClr w14:val="tx1"/>
            </w14:solidFill>
          </w14:textFill>
        </w:rPr>
        <w:t>中华人民共和国生态环境部制</w:t>
      </w:r>
    </w:p>
    <w:p>
      <w:pPr>
        <w:adjustRightInd w:val="0"/>
        <w:snapToGrid w:val="0"/>
        <w:spacing w:line="288" w:lineRule="auto"/>
        <w:ind w:firstLine="720"/>
        <w:rPr>
          <w:rFonts w:eastAsia="仿宋_GB2312"/>
          <w:color w:val="000000" w:themeColor="text1"/>
          <w:sz w:val="36"/>
          <w:szCs w:val="36"/>
          <w14:textFill>
            <w14:solidFill>
              <w14:schemeClr w14:val="tx1"/>
            </w14:solidFill>
          </w14:textFill>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32"/>
        <w:spacing w:line="240" w:lineRule="auto"/>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2" w:name="_Toc20618"/>
      <w:bookmarkStart w:id="3" w:name="_Toc20158"/>
      <w:r>
        <w:rPr>
          <w:rFonts w:ascii="Times New Roman" w:hAnsi="Times New Roman" w:eastAsia="黑体"/>
          <w:snapToGrid w:val="0"/>
          <w:color w:val="000000" w:themeColor="text1"/>
          <w:sz w:val="30"/>
          <w:szCs w:val="30"/>
          <w14:textFill>
            <w14:solidFill>
              <w14:schemeClr w14:val="tx1"/>
            </w14:solidFill>
          </w14:textFill>
        </w:rPr>
        <w:t>一、建设项目基本情况</w:t>
      </w:r>
      <w:bookmarkEnd w:id="2"/>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56"/>
        <w:gridCol w:w="1611"/>
        <w:gridCol w:w="1782"/>
        <w:gridCol w:w="1838"/>
        <w:gridCol w:w="31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0" w:type="pct"/>
            <w:gridSpan w:val="2"/>
            <w:tcMar>
              <w:top w:w="16" w:type="dxa"/>
              <w:left w:w="16" w:type="dxa"/>
              <w:right w:w="16" w:type="dxa"/>
            </w:tcMar>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3840" w:type="pct"/>
            <w:gridSpan w:val="3"/>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年加工处理</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万吨废旧轮胎综合利用建设项目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0" w:type="pct"/>
            <w:gridSpan w:val="2"/>
            <w:tcMar>
              <w:top w:w="16" w:type="dxa"/>
              <w:left w:w="16" w:type="dxa"/>
              <w:right w:w="16" w:type="dxa"/>
            </w:tcMar>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3840" w:type="pct"/>
            <w:gridSpan w:val="3"/>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2208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500111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04</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01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699644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0" w:type="pct"/>
            <w:gridSpan w:val="2"/>
            <w:tcMar>
              <w:top w:w="16" w:type="dxa"/>
              <w:left w:w="16" w:type="dxa"/>
              <w:right w:w="16" w:type="dxa"/>
            </w:tcMar>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1006" w:type="pct"/>
            <w:vAlign w:val="center"/>
          </w:tcPr>
          <w:p>
            <w:pPr>
              <w:adjustRightInd w:val="0"/>
              <w:snapToGrid w:val="0"/>
              <w:spacing w:line="240" w:lineRule="auto"/>
              <w:jc w:val="center"/>
              <w:rPr>
                <w:rFonts w:hint="eastAsia"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唐</w:t>
            </w:r>
            <w:r>
              <w:rPr>
                <w:rFonts w:hint="eastAsia"/>
                <w:color w:val="000000" w:themeColor="text1"/>
                <w:sz w:val="24"/>
                <w:lang w:val="en-US" w:eastAsia="zh-CN"/>
                <w14:textFill>
                  <w14:solidFill>
                    <w14:schemeClr w14:val="tx1"/>
                  </w14:solidFill>
                </w14:textFill>
              </w:rPr>
              <w:t>先生</w:t>
            </w:r>
          </w:p>
        </w:tc>
        <w:tc>
          <w:tcPr>
            <w:tcW w:w="1038" w:type="pct"/>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1797" w:type="pct"/>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139</w:t>
            </w:r>
            <w:r>
              <w:rPr>
                <w:rFonts w:hint="eastAsia"/>
                <w:color w:val="000000" w:themeColor="text1"/>
                <w:sz w:val="24"/>
                <w:lang w:val="en-US" w:eastAsia="zh-CN"/>
                <w14:textFill>
                  <w14:solidFill>
                    <w14:schemeClr w14:val="tx1"/>
                  </w14:solidFill>
                </w14:textFill>
              </w:rPr>
              <w:t>****</w:t>
            </w:r>
            <w:r>
              <w:rPr>
                <w:color w:val="000000" w:themeColor="text1"/>
                <w:sz w:val="24"/>
                <w14:textFill>
                  <w14:solidFill>
                    <w14:schemeClr w14:val="tx1"/>
                  </w14:solidFill>
                </w14:textFill>
              </w:rPr>
              <w:t>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0" w:type="pct"/>
            <w:gridSpan w:val="2"/>
            <w:tcMar>
              <w:top w:w="16" w:type="dxa"/>
              <w:left w:w="16" w:type="dxa"/>
              <w:right w:w="16" w:type="dxa"/>
            </w:tcMar>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3840" w:type="pct"/>
            <w:gridSpan w:val="3"/>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重庆市双桥经开区邮亭工业园A</w:t>
            </w:r>
            <w:r>
              <w:rPr>
                <w:color w:val="000000" w:themeColor="text1"/>
                <w:sz w:val="24"/>
                <w14:textFill>
                  <w14:solidFill>
                    <w14:schemeClr w14:val="tx1"/>
                  </w14:solidFill>
                </w14:textFill>
              </w:rPr>
              <w:t>15-01-02/02</w:t>
            </w:r>
            <w:r>
              <w:rPr>
                <w:rFonts w:hint="eastAsia"/>
                <w:color w:val="000000" w:themeColor="text1"/>
                <w:sz w:val="24"/>
                <w14:textFill>
                  <w14:solidFill>
                    <w14:schemeClr w14:val="tx1"/>
                  </w14:solidFill>
                </w14:textFill>
              </w:rPr>
              <w:t>地块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0" w:type="pct"/>
            <w:gridSpan w:val="2"/>
            <w:tcMar>
              <w:top w:w="16" w:type="dxa"/>
              <w:left w:w="16" w:type="dxa"/>
              <w:right w:w="16" w:type="dxa"/>
            </w:tcMar>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3840" w:type="pct"/>
            <w:gridSpan w:val="3"/>
            <w:vAlign w:val="center"/>
          </w:tcPr>
          <w:p>
            <w:pPr>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color w:val="000000" w:themeColor="text1"/>
                <w:sz w:val="24"/>
                <w:u w:val="single"/>
                <w14:textFill>
                  <w14:solidFill>
                    <w14:schemeClr w14:val="tx1"/>
                  </w14:solidFill>
                </w14:textFill>
              </w:rPr>
              <w:t>10</w:t>
            </w:r>
            <w:r>
              <w:rPr>
                <w:rFonts w:hint="eastAsia"/>
                <w:color w:val="000000" w:themeColor="text1"/>
                <w:sz w:val="24"/>
                <w:u w:val="single"/>
                <w14:textFill>
                  <w14:solidFill>
                    <w14:schemeClr w14:val="tx1"/>
                  </w14:solidFill>
                </w14:textFill>
              </w:rPr>
              <w:t>5</w:t>
            </w:r>
            <w:r>
              <w:rPr>
                <w:color w:val="000000" w:themeColor="text1"/>
                <w:sz w:val="24"/>
                <w14:textFill>
                  <w14:solidFill>
                    <w14:schemeClr w14:val="tx1"/>
                  </w14:solidFill>
                </w14:textFill>
              </w:rPr>
              <w:t>度</w:t>
            </w:r>
            <w:r>
              <w:rPr>
                <w:rFonts w:hint="eastAsia"/>
                <w:color w:val="000000" w:themeColor="text1"/>
                <w:sz w:val="24"/>
                <w:u w:val="single"/>
                <w14:textFill>
                  <w14:solidFill>
                    <w14:schemeClr w14:val="tx1"/>
                  </w14:solidFill>
                </w14:textFill>
              </w:rPr>
              <w:t>44</w:t>
            </w:r>
            <w:r>
              <w:rPr>
                <w:color w:val="000000" w:themeColor="text1"/>
                <w:sz w:val="24"/>
                <w14:textFill>
                  <w14:solidFill>
                    <w14:schemeClr w14:val="tx1"/>
                  </w14:solidFill>
                </w14:textFill>
              </w:rPr>
              <w:t>分</w:t>
            </w:r>
            <w:r>
              <w:rPr>
                <w:color w:val="000000" w:themeColor="text1"/>
                <w:sz w:val="24"/>
                <w:u w:val="single"/>
                <w14:textFill>
                  <w14:solidFill>
                    <w14:schemeClr w14:val="tx1"/>
                  </w14:solidFill>
                </w14:textFill>
              </w:rPr>
              <w:t>1.853</w:t>
            </w:r>
            <w:r>
              <w:rPr>
                <w:color w:val="000000" w:themeColor="text1"/>
                <w:sz w:val="24"/>
                <w14:textFill>
                  <w14:solidFill>
                    <w14:schemeClr w14:val="tx1"/>
                  </w14:solidFill>
                </w14:textFill>
              </w:rPr>
              <w:t>秒，</w:t>
            </w:r>
            <w:r>
              <w:rPr>
                <w:color w:val="000000" w:themeColor="text1"/>
                <w:sz w:val="24"/>
                <w:u w:val="single"/>
                <w14:textFill>
                  <w14:solidFill>
                    <w14:schemeClr w14:val="tx1"/>
                  </w14:solidFill>
                </w14:textFill>
              </w:rPr>
              <w:t>29</w:t>
            </w:r>
            <w:r>
              <w:rPr>
                <w:color w:val="000000" w:themeColor="text1"/>
                <w:sz w:val="24"/>
                <w14:textFill>
                  <w14:solidFill>
                    <w14:schemeClr w14:val="tx1"/>
                  </w14:solidFill>
                </w14:textFill>
              </w:rPr>
              <w:t>度</w:t>
            </w:r>
            <w:r>
              <w:rPr>
                <w:rFonts w:hint="eastAsia"/>
                <w:color w:val="000000" w:themeColor="text1"/>
                <w:sz w:val="24"/>
                <w:u w:val="single"/>
                <w14:textFill>
                  <w14:solidFill>
                    <w14:schemeClr w14:val="tx1"/>
                  </w14:solidFill>
                </w14:textFill>
              </w:rPr>
              <w:t>2</w:t>
            </w:r>
            <w:r>
              <w:rPr>
                <w:color w:val="000000" w:themeColor="text1"/>
                <w:sz w:val="24"/>
                <w:u w:val="single"/>
                <w14:textFill>
                  <w14:solidFill>
                    <w14:schemeClr w14:val="tx1"/>
                  </w14:solidFill>
                </w14:textFill>
              </w:rPr>
              <w:t>7</w:t>
            </w:r>
            <w:r>
              <w:rPr>
                <w:color w:val="000000" w:themeColor="text1"/>
                <w:sz w:val="24"/>
                <w14:textFill>
                  <w14:solidFill>
                    <w14:schemeClr w14:val="tx1"/>
                  </w14:solidFill>
                </w14:textFill>
              </w:rPr>
              <w:t>分</w:t>
            </w:r>
            <w:r>
              <w:rPr>
                <w:color w:val="000000" w:themeColor="text1"/>
                <w:sz w:val="24"/>
                <w:u w:val="single"/>
                <w14:textFill>
                  <w14:solidFill>
                    <w14:schemeClr w14:val="tx1"/>
                  </w14:solidFill>
                </w14:textFill>
              </w:rPr>
              <w:t>13.607</w:t>
            </w:r>
            <w:r>
              <w:rPr>
                <w:color w:val="000000" w:themeColor="text1"/>
                <w:sz w:val="24"/>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60" w:type="pct"/>
            <w:gridSpan w:val="2"/>
            <w:tcMar>
              <w:top w:w="16" w:type="dxa"/>
              <w:left w:w="16" w:type="dxa"/>
              <w:right w:w="16" w:type="dxa"/>
            </w:tcMar>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1006" w:type="pct"/>
            <w:vAlign w:val="center"/>
          </w:tcPr>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C4220</w:t>
            </w:r>
            <w:r>
              <w:rPr>
                <w:rFonts w:hint="eastAsia"/>
                <w:color w:val="000000" w:themeColor="text1"/>
                <w:sz w:val="24"/>
                <w14:textFill>
                  <w14:solidFill>
                    <w14:schemeClr w14:val="tx1"/>
                  </w14:solidFill>
                </w14:textFill>
              </w:rPr>
              <w:t>非金属废料和碎屑加工处理</w:t>
            </w:r>
          </w:p>
        </w:tc>
        <w:tc>
          <w:tcPr>
            <w:tcW w:w="1038" w:type="pct"/>
            <w:vAlign w:val="center"/>
          </w:tcPr>
          <w:p>
            <w:pPr>
              <w:adjustRightInd w:val="0"/>
              <w:snapToGrid w:val="0"/>
              <w:spacing w:line="240" w:lineRule="auto"/>
              <w:jc w:val="center"/>
              <w:rPr>
                <w:color w:val="000000" w:themeColor="text1"/>
                <w:kern w:val="0"/>
                <w:sz w:val="24"/>
                <w:szCs w:val="20"/>
                <w14:textFill>
                  <w14:solidFill>
                    <w14:schemeClr w14:val="tx1"/>
                  </w14:solidFill>
                </w14:textFill>
              </w:rPr>
            </w:pPr>
            <w:bookmarkStart w:id="4" w:name="_Hlk49843745"/>
            <w:r>
              <w:rPr>
                <w:rFonts w:hint="eastAsia"/>
                <w:color w:val="000000" w:themeColor="text1"/>
                <w:kern w:val="0"/>
                <w:sz w:val="24"/>
                <w:szCs w:val="20"/>
                <w14:textFill>
                  <w14:solidFill>
                    <w14:schemeClr w14:val="tx1"/>
                  </w14:solidFill>
                </w14:textFill>
              </w:rPr>
              <w:t>建设项目</w:t>
            </w:r>
          </w:p>
          <w:p>
            <w:pPr>
              <w:adjustRightInd w:val="0"/>
              <w:snapToGrid w:val="0"/>
              <w:spacing w:line="240" w:lineRule="auto"/>
              <w:jc w:val="center"/>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行业类别</w:t>
            </w:r>
            <w:bookmarkEnd w:id="4"/>
          </w:p>
        </w:tc>
        <w:tc>
          <w:tcPr>
            <w:tcW w:w="1797" w:type="pct"/>
            <w:vAlign w:val="center"/>
          </w:tcPr>
          <w:p>
            <w:pPr>
              <w:adjustRightInd w:val="0"/>
              <w:snapToGrid w:val="0"/>
              <w:spacing w:line="240" w:lineRule="auto"/>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三十九、废旧资源综合利用业4</w:t>
            </w:r>
            <w:r>
              <w:rPr>
                <w:color w:val="000000" w:themeColor="text1"/>
                <w:kern w:val="0"/>
                <w:sz w:val="24"/>
                <w:szCs w:val="20"/>
                <w14:textFill>
                  <w14:solidFill>
                    <w14:schemeClr w14:val="tx1"/>
                  </w14:solidFill>
                </w14:textFill>
              </w:rPr>
              <w:t>2</w:t>
            </w:r>
          </w:p>
          <w:p>
            <w:pPr>
              <w:pStyle w:val="2"/>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85</w:t>
            </w:r>
            <w:r>
              <w:rPr>
                <w:rFonts w:hint="eastAsia"/>
                <w:color w:val="000000" w:themeColor="text1"/>
                <w:sz w:val="24"/>
                <w14:textFill>
                  <w14:solidFill>
                    <w14:schemeClr w14:val="tx1"/>
                  </w14:solidFill>
                </w14:textFill>
              </w:rPr>
              <w:t>、金属废料和碎屑加工4</w:t>
            </w:r>
            <w:r>
              <w:rPr>
                <w:color w:val="000000" w:themeColor="text1"/>
                <w:sz w:val="24"/>
                <w14:textFill>
                  <w14:solidFill>
                    <w14:schemeClr w14:val="tx1"/>
                  </w14:solidFill>
                </w14:textFill>
              </w:rPr>
              <w:t>21</w:t>
            </w:r>
            <w:r>
              <w:rPr>
                <w:rFonts w:hint="eastAsia"/>
                <w:color w:val="000000" w:themeColor="text1"/>
                <w:sz w:val="24"/>
                <w14:textFill>
                  <w14:solidFill>
                    <w14:schemeClr w14:val="tx1"/>
                  </w14:solidFill>
                </w14:textFill>
              </w:rPr>
              <w:t>；非金属废料和碎屑加工处理4</w:t>
            </w:r>
            <w:r>
              <w:rPr>
                <w:color w:val="000000" w:themeColor="text1"/>
                <w:sz w:val="24"/>
                <w14:textFill>
                  <w14:solidFill>
                    <w14:schemeClr w14:val="tx1"/>
                  </w14:solidFill>
                </w14:textFill>
              </w:rPr>
              <w:t>22</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21</w:t>
            </w:r>
            <w:r>
              <w:rPr>
                <w:rFonts w:hint="eastAsia"/>
                <w:color w:val="000000" w:themeColor="text1"/>
                <w:sz w:val="24"/>
                <w14:textFill>
                  <w14:solidFill>
                    <w14:schemeClr w14:val="tx1"/>
                  </w14:solidFill>
                </w14:textFill>
              </w:rPr>
              <w:t>和4</w:t>
            </w:r>
            <w:r>
              <w:rPr>
                <w:color w:val="000000" w:themeColor="text1"/>
                <w:sz w:val="24"/>
                <w14:textFill>
                  <w14:solidFill>
                    <w14:schemeClr w14:val="tx1"/>
                  </w14:solidFill>
                </w14:textFill>
              </w:rPr>
              <w:t>22</w:t>
            </w:r>
            <w:r>
              <w:rPr>
                <w:rFonts w:hint="eastAsia"/>
                <w:color w:val="000000" w:themeColor="text1"/>
                <w:sz w:val="24"/>
                <w14:textFill>
                  <w14:solidFill>
                    <w14:schemeClr w14:val="tx1"/>
                  </w14:solidFill>
                </w14:textFill>
              </w:rPr>
              <w:t>均不含原料为危险废物的，均不含仅分拣、破碎的）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60" w:type="pct"/>
            <w:gridSpan w:val="2"/>
            <w:tcMar>
              <w:top w:w="16" w:type="dxa"/>
              <w:left w:w="16" w:type="dxa"/>
              <w:right w:w="16" w:type="dxa"/>
            </w:tcMar>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1006" w:type="pct"/>
            <w:vAlign w:val="center"/>
          </w:tcPr>
          <w:p>
            <w:pPr>
              <w:spacing w:line="24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新建（迁建）</w:t>
            </w:r>
          </w:p>
          <w:p>
            <w:pPr>
              <w:spacing w:line="24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改建</w:t>
            </w:r>
          </w:p>
          <w:p>
            <w:pPr>
              <w:spacing w:line="24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扩建</w:t>
            </w:r>
          </w:p>
          <w:p>
            <w:pPr>
              <w:spacing w:line="240" w:lineRule="auto"/>
              <w:jc w:val="left"/>
              <w:rPr>
                <w:color w:val="000000" w:themeColor="text1"/>
                <w:sz w:val="24"/>
                <w14:textFill>
                  <w14:solidFill>
                    <w14:schemeClr w14:val="tx1"/>
                  </w14:solidFill>
                </w14:textFill>
              </w:rPr>
            </w:pPr>
            <w:r>
              <w:rPr>
                <w:rFonts w:ascii="Wingdings 2" w:hAnsi="Wingdings 2"/>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技术改造</w:t>
            </w:r>
          </w:p>
        </w:tc>
        <w:tc>
          <w:tcPr>
            <w:tcW w:w="1038" w:type="pct"/>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1797" w:type="pct"/>
            <w:vAlign w:val="center"/>
          </w:tcPr>
          <w:p>
            <w:pPr>
              <w:spacing w:line="240" w:lineRule="auto"/>
              <w:jc w:val="left"/>
              <w:rPr>
                <w:color w:val="000000" w:themeColor="text1"/>
                <w:sz w:val="24"/>
                <w14:textFill>
                  <w14:solidFill>
                    <w14:schemeClr w14:val="tx1"/>
                  </w14:solidFill>
                </w14:textFill>
              </w:rPr>
            </w:pPr>
            <w:r>
              <w:rPr>
                <w:rFonts w:ascii="Wingdings 2" w:hAnsi="Wingdings 2"/>
                <w:color w:val="000000" w:themeColor="text1"/>
                <w:sz w:val="24"/>
                <w14:textFill>
                  <w14:solidFill>
                    <w14:schemeClr w14:val="tx1"/>
                  </w14:solidFill>
                </w14:textFill>
              </w:rPr>
              <w:t></w:t>
            </w:r>
            <w:r>
              <w:rPr>
                <w:color w:val="000000" w:themeColor="text1"/>
                <w:sz w:val="24"/>
                <w14:textFill>
                  <w14:solidFill>
                    <w14:schemeClr w14:val="tx1"/>
                  </w14:solidFill>
                </w14:textFill>
              </w:rPr>
              <w:t>首次申报项目</w:t>
            </w:r>
          </w:p>
          <w:p>
            <w:pPr>
              <w:spacing w:line="24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□不予批准后再次申报项目</w:t>
            </w:r>
          </w:p>
          <w:p>
            <w:pPr>
              <w:spacing w:line="24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超五年重新审核项目</w:t>
            </w:r>
          </w:p>
          <w:p>
            <w:pPr>
              <w:spacing w:line="24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60" w:type="pct"/>
            <w:gridSpan w:val="2"/>
            <w:tcMar>
              <w:top w:w="16" w:type="dxa"/>
              <w:left w:w="16" w:type="dxa"/>
              <w:right w:w="16" w:type="dxa"/>
            </w:tcMar>
            <w:vAlign w:val="center"/>
          </w:tcPr>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项目审批（核准/备案）部门（选填）</w:t>
            </w:r>
          </w:p>
        </w:tc>
        <w:tc>
          <w:tcPr>
            <w:tcW w:w="1006" w:type="pct"/>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重庆市双桥经济技术开发区经济发展局</w:t>
            </w:r>
          </w:p>
        </w:tc>
        <w:tc>
          <w:tcPr>
            <w:tcW w:w="1038" w:type="pct"/>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1797" w:type="pct"/>
            <w:vAlign w:val="center"/>
          </w:tcPr>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2208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500111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04</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01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699644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0" w:type="pct"/>
            <w:gridSpan w:val="2"/>
            <w:tcMar>
              <w:top w:w="16" w:type="dxa"/>
              <w:left w:w="16" w:type="dxa"/>
              <w:right w:w="16" w:type="dxa"/>
            </w:tcMar>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1006" w:type="pct"/>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20000</w:t>
            </w:r>
          </w:p>
        </w:tc>
        <w:tc>
          <w:tcPr>
            <w:tcW w:w="1038" w:type="pct"/>
            <w:tcMar>
              <w:top w:w="16" w:type="dxa"/>
              <w:left w:w="16" w:type="dxa"/>
              <w:right w:w="16" w:type="dxa"/>
            </w:tcMar>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1797" w:type="pct"/>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741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0" w:type="pct"/>
            <w:gridSpan w:val="2"/>
            <w:tcMar>
              <w:top w:w="16" w:type="dxa"/>
              <w:left w:w="16" w:type="dxa"/>
              <w:right w:w="16" w:type="dxa"/>
            </w:tcMar>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1006" w:type="pct"/>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3.7</w:t>
            </w:r>
          </w:p>
        </w:tc>
        <w:tc>
          <w:tcPr>
            <w:tcW w:w="1038" w:type="pct"/>
            <w:tcMar>
              <w:top w:w="16" w:type="dxa"/>
              <w:left w:w="16" w:type="dxa"/>
              <w:right w:w="16" w:type="dxa"/>
            </w:tcMar>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1797" w:type="pct"/>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0" w:type="pct"/>
            <w:gridSpan w:val="2"/>
            <w:tcMar>
              <w:top w:w="16" w:type="dxa"/>
              <w:left w:w="16" w:type="dxa"/>
              <w:right w:w="16" w:type="dxa"/>
            </w:tcMar>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1006" w:type="pct"/>
            <w:vAlign w:val="center"/>
          </w:tcPr>
          <w:p>
            <w:pPr>
              <w:adjustRightInd w:val="0"/>
              <w:snapToGrid w:val="0"/>
              <w:spacing w:line="240" w:lineRule="auto"/>
              <w:rPr>
                <w:color w:val="000000" w:themeColor="text1"/>
                <w:sz w:val="24"/>
                <w14:textFill>
                  <w14:solidFill>
                    <w14:schemeClr w14:val="tx1"/>
                  </w14:solidFill>
                </w14:textFill>
              </w:rPr>
            </w:pPr>
            <w:r>
              <w:rPr>
                <w:rFonts w:ascii="Wingdings 2" w:hAnsi="Wingdings 2"/>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否</w:t>
            </w:r>
          </w:p>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r>
              <w:rPr>
                <w:rFonts w:hint="eastAsia"/>
                <w:color w:val="000000" w:themeColor="text1"/>
                <w:sz w:val="24"/>
                <w:u w:val="single"/>
                <w14:textFill>
                  <w14:solidFill>
                    <w14:schemeClr w14:val="tx1"/>
                  </w14:solidFill>
                </w14:textFill>
              </w:rPr>
              <w:t xml:space="preserve"> </w:t>
            </w:r>
            <w:r>
              <w:rPr>
                <w:color w:val="000000" w:themeColor="text1"/>
                <w:sz w:val="24"/>
                <w:u w:val="single"/>
                <w14:textFill>
                  <w14:solidFill>
                    <w14:schemeClr w14:val="tx1"/>
                  </w14:solidFill>
                </w14:textFill>
              </w:rPr>
              <w:t xml:space="preserve">    </w:t>
            </w:r>
          </w:p>
        </w:tc>
        <w:tc>
          <w:tcPr>
            <w:tcW w:w="1038" w:type="pct"/>
            <w:tcMar>
              <w:top w:w="16" w:type="dxa"/>
              <w:left w:w="16" w:type="dxa"/>
              <w:right w:w="16" w:type="dxa"/>
            </w:tcMar>
            <w:vAlign w:val="center"/>
          </w:tcPr>
          <w:p>
            <w:pPr>
              <w:adjustRightInd w:val="0"/>
              <w:snapToGrid w:val="0"/>
              <w:spacing w:line="240" w:lineRule="auto"/>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pPr>
              <w:adjustRightInd w:val="0"/>
              <w:snapToGrid w:val="0"/>
              <w:spacing w:line="240" w:lineRule="auto"/>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1797" w:type="pct"/>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44666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160" w:type="pct"/>
            <w:gridSpan w:val="2"/>
            <w:vAlign w:val="center"/>
          </w:tcPr>
          <w:p>
            <w:pPr>
              <w:autoSpaceDE w:val="0"/>
              <w:autoSpaceDN w:val="0"/>
              <w:adjustRightInd w:val="0"/>
              <w:snapToGrid w:val="0"/>
              <w:spacing w:line="240" w:lineRule="auto"/>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3840" w:type="pct"/>
            <w:gridSpan w:val="3"/>
            <w:vAlign w:val="center"/>
          </w:tcPr>
          <w:p>
            <w:pPr>
              <w:autoSpaceDE w:val="0"/>
              <w:autoSpaceDN w:val="0"/>
              <w:adjustRightInd w:val="0"/>
              <w:snapToGrid w:val="0"/>
              <w:spacing w:line="240" w:lineRule="auto"/>
              <w:jc w:val="left"/>
              <w:rPr>
                <w:color w:val="7030A0"/>
                <w:kern w:val="0"/>
                <w:sz w:val="24"/>
              </w:rPr>
            </w:pPr>
            <w:r>
              <w:rPr>
                <w:rFonts w:hint="eastAsia"/>
                <w:color w:val="7030A0"/>
                <w:kern w:val="0"/>
                <w:sz w:val="24"/>
              </w:rPr>
              <w:t>根据工程分析，项目外排废气含有二噁英。经现场踏勘，项目厂界外5</w:t>
            </w:r>
            <w:r>
              <w:rPr>
                <w:color w:val="7030A0"/>
                <w:kern w:val="0"/>
                <w:sz w:val="24"/>
              </w:rPr>
              <w:t>00</w:t>
            </w:r>
            <w:r>
              <w:rPr>
                <w:rFonts w:hint="eastAsia"/>
                <w:color w:val="7030A0"/>
                <w:kern w:val="0"/>
                <w:sz w:val="24"/>
              </w:rPr>
              <w:t>m范围内无环境保护目标。根据《建设项目环境影响报告表编制技术指南（污染影响类）（试行）》，本项目不设置大气专项评价。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160" w:type="pct"/>
            <w:gridSpan w:val="2"/>
            <w:vAlign w:val="center"/>
          </w:tcPr>
          <w:p>
            <w:pPr>
              <w:autoSpaceDE w:val="0"/>
              <w:autoSpaceDN w:val="0"/>
              <w:adjustRightInd w:val="0"/>
              <w:snapToGrid w:val="0"/>
              <w:spacing w:line="240" w:lineRule="auto"/>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3840" w:type="pct"/>
            <w:gridSpan w:val="3"/>
            <w:vAlign w:val="center"/>
          </w:tcPr>
          <w:p>
            <w:pPr>
              <w:autoSpaceDE w:val="0"/>
              <w:autoSpaceDN w:val="0"/>
              <w:adjustRightInd w:val="0"/>
              <w:snapToGrid w:val="0"/>
              <w:spacing w:line="240" w:lineRule="auto"/>
              <w:jc w:val="left"/>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规划名称：《</w:t>
            </w:r>
            <w:r>
              <w:rPr>
                <w:rFonts w:hint="eastAsia"/>
                <w:color w:val="000000" w:themeColor="text1"/>
                <w:sz w:val="24"/>
                <w14:textFill>
                  <w14:solidFill>
                    <w14:schemeClr w14:val="tx1"/>
                  </w14:solidFill>
                </w14:textFill>
              </w:rPr>
              <w:t>重庆市双桥经济技术开发区邮亭片区A区控制性详细规划（2</w:t>
            </w:r>
            <w:r>
              <w:rPr>
                <w:color w:val="000000" w:themeColor="text1"/>
                <w:sz w:val="24"/>
                <w14:textFill>
                  <w14:solidFill>
                    <w14:schemeClr w14:val="tx1"/>
                  </w14:solidFill>
                </w14:textFill>
              </w:rPr>
              <w:t>012</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2020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160" w:type="pct"/>
            <w:gridSpan w:val="2"/>
            <w:vAlign w:val="center"/>
          </w:tcPr>
          <w:p>
            <w:pPr>
              <w:adjustRightInd w:val="0"/>
              <w:snapToGrid w:val="0"/>
              <w:spacing w:line="240" w:lineRule="auto"/>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规划环境影响评价情况</w:t>
            </w:r>
          </w:p>
        </w:tc>
        <w:tc>
          <w:tcPr>
            <w:tcW w:w="3840" w:type="pct"/>
            <w:gridSpan w:val="3"/>
            <w:vAlign w:val="center"/>
          </w:tcPr>
          <w:p>
            <w:pPr>
              <w:autoSpaceDE w:val="0"/>
              <w:autoSpaceDN w:val="0"/>
              <w:adjustRightInd w:val="0"/>
              <w:snapToGrid w:val="0"/>
              <w:spacing w:line="24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规划环评文件名称：《</w:t>
            </w:r>
            <w:r>
              <w:rPr>
                <w:rFonts w:hint="eastAsia"/>
                <w:color w:val="000000" w:themeColor="text1"/>
                <w:sz w:val="24"/>
                <w14:textFill>
                  <w14:solidFill>
                    <w14:schemeClr w14:val="tx1"/>
                  </w14:solidFill>
                </w14:textFill>
              </w:rPr>
              <w:t>重庆市双桥经济技术开发区邮亭片区A区控制性详细规划环境影响跟踪评价报告书</w:t>
            </w:r>
            <w:r>
              <w:rPr>
                <w:color w:val="000000" w:themeColor="text1"/>
                <w:sz w:val="24"/>
                <w14:textFill>
                  <w14:solidFill>
                    <w14:schemeClr w14:val="tx1"/>
                  </w14:solidFill>
                </w14:textFill>
              </w:rPr>
              <w:t>》</w:t>
            </w:r>
          </w:p>
          <w:p>
            <w:pPr>
              <w:autoSpaceDE w:val="0"/>
              <w:autoSpaceDN w:val="0"/>
              <w:adjustRightInd w:val="0"/>
              <w:snapToGrid w:val="0"/>
              <w:spacing w:line="240" w:lineRule="auto"/>
              <w:jc w:val="left"/>
              <w:rPr>
                <w:color w:val="000000" w:themeColor="text1"/>
                <w:sz w:val="24"/>
                <w14:textFill>
                  <w14:solidFill>
                    <w14:schemeClr w14:val="tx1"/>
                  </w14:solidFill>
                </w14:textFill>
              </w:rPr>
            </w:pPr>
            <w:r>
              <w:rPr>
                <w:bCs/>
                <w:color w:val="000000" w:themeColor="text1"/>
                <w:sz w:val="24"/>
                <w14:textFill>
                  <w14:solidFill>
                    <w14:schemeClr w14:val="tx1"/>
                  </w14:solidFill>
                </w14:textFill>
              </w:rPr>
              <w:t>审查机关及时间：重庆市</w:t>
            </w:r>
            <w:r>
              <w:rPr>
                <w:rFonts w:hint="eastAsia"/>
                <w:bCs/>
                <w:color w:val="000000" w:themeColor="text1"/>
                <w:sz w:val="24"/>
                <w14:textFill>
                  <w14:solidFill>
                    <w14:schemeClr w14:val="tx1"/>
                  </w14:solidFill>
                </w14:textFill>
              </w:rPr>
              <w:t>生态环境局</w:t>
            </w:r>
            <w:r>
              <w:rPr>
                <w:bCs/>
                <w:color w:val="000000" w:themeColor="text1"/>
                <w:sz w:val="24"/>
                <w14:textFill>
                  <w14:solidFill>
                    <w14:schemeClr w14:val="tx1"/>
                  </w14:solidFill>
                </w14:textFill>
              </w:rPr>
              <w:t>，2021年1月7日。</w:t>
            </w:r>
          </w:p>
          <w:p>
            <w:pPr>
              <w:autoSpaceDE w:val="0"/>
              <w:autoSpaceDN w:val="0"/>
              <w:adjustRightInd w:val="0"/>
              <w:snapToGrid w:val="0"/>
              <w:spacing w:line="240" w:lineRule="auto"/>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审查文件名称及文号：《</w:t>
            </w:r>
            <w:r>
              <w:rPr>
                <w:rFonts w:hint="eastAsia"/>
                <w:color w:val="000000" w:themeColor="text1"/>
                <w:sz w:val="24"/>
                <w14:textFill>
                  <w14:solidFill>
                    <w14:schemeClr w14:val="tx1"/>
                  </w14:solidFill>
                </w14:textFill>
              </w:rPr>
              <w:t>重庆市生态环境局关于重庆市双桥经济技术开发区邮亭片区A区控制性详细规划环境影响跟踪评价报告书审查意见的函</w:t>
            </w:r>
            <w:r>
              <w:rPr>
                <w:color w:val="000000" w:themeColor="text1"/>
                <w:sz w:val="24"/>
                <w14:textFill>
                  <w14:solidFill>
                    <w14:schemeClr w14:val="tx1"/>
                  </w14:solidFill>
                </w14:textFill>
              </w:rPr>
              <w:t>》(渝环函</w:t>
            </w:r>
            <w:r>
              <w:rPr>
                <w:color w:val="000000" w:themeColor="text1"/>
                <w:kern w:val="0"/>
                <w:sz w:val="24"/>
                <w14:textFill>
                  <w14:solidFill>
                    <w14:schemeClr w14:val="tx1"/>
                  </w14:solidFill>
                </w14:textFill>
              </w:rPr>
              <w:t>〔2021〕</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2号)</w:t>
            </w: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50" w:type="pct"/>
            <w:vAlign w:val="center"/>
          </w:tcPr>
          <w:p>
            <w:pPr>
              <w:autoSpaceDE w:val="0"/>
              <w:autoSpaceDN w:val="0"/>
              <w:adjustRightInd w:val="0"/>
              <w:snapToGrid w:val="0"/>
              <w:spacing w:line="240" w:lineRule="auto"/>
              <w:jc w:val="center"/>
              <w:rPr>
                <w:color w:val="000000" w:themeColor="text1"/>
                <w:kern w:val="0"/>
                <w:sz w:val="24"/>
                <w14:textFill>
                  <w14:solidFill>
                    <w14:schemeClr w14:val="tx1"/>
                  </w14:solidFill>
                </w14:textFill>
              </w:rPr>
            </w:pPr>
            <w:bookmarkStart w:id="29" w:name="_GoBack"/>
            <w:r>
              <w:rPr>
                <w:color w:val="000000" w:themeColor="text1"/>
                <w:kern w:val="0"/>
                <w:sz w:val="24"/>
                <w14:textFill>
                  <w14:solidFill>
                    <w14:schemeClr w14:val="tx1"/>
                  </w14:solidFill>
                </w14:textFill>
              </w:rPr>
              <w:t>规划</w:t>
            </w:r>
            <w:bookmarkEnd w:id="29"/>
            <w:r>
              <w:rPr>
                <w:color w:val="000000" w:themeColor="text1"/>
                <w:kern w:val="0"/>
                <w:sz w:val="24"/>
                <w14:textFill>
                  <w14:solidFill>
                    <w14:schemeClr w14:val="tx1"/>
                  </w14:solidFill>
                </w14:textFill>
              </w:rPr>
              <w:t>及规划环境</w:t>
            </w:r>
          </w:p>
          <w:p>
            <w:pPr>
              <w:autoSpaceDE w:val="0"/>
              <w:autoSpaceDN w:val="0"/>
              <w:adjustRightInd w:val="0"/>
              <w:snapToGrid w:val="0"/>
              <w:spacing w:line="240" w:lineRule="auto"/>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影响评价符合性分析</w:t>
            </w:r>
          </w:p>
        </w:tc>
        <w:tc>
          <w:tcPr>
            <w:tcW w:w="4750" w:type="pct"/>
            <w:gridSpan w:val="4"/>
            <w:vAlign w:val="center"/>
          </w:tcPr>
          <w:p>
            <w:pPr>
              <w:autoSpaceDE w:val="0"/>
              <w:autoSpaceDN w:val="0"/>
              <w:adjustRightInd w:val="0"/>
              <w:snapToGrid w:val="0"/>
              <w:jc w:val="left"/>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1.1与《</w:t>
            </w:r>
            <w:r>
              <w:rPr>
                <w:rFonts w:hint="eastAsia"/>
                <w:b/>
                <w:color w:val="000000" w:themeColor="text1"/>
                <w:kern w:val="0"/>
                <w:sz w:val="24"/>
                <w14:textFill>
                  <w14:solidFill>
                    <w14:schemeClr w14:val="tx1"/>
                  </w14:solidFill>
                </w14:textFill>
              </w:rPr>
              <w:t>重庆市双桥经济技术开发区邮亭片区A区控制性详细规划（2012-2020）</w:t>
            </w:r>
            <w:r>
              <w:rPr>
                <w:b/>
                <w:color w:val="000000" w:themeColor="text1"/>
                <w:kern w:val="0"/>
                <w:sz w:val="24"/>
                <w14:textFill>
                  <w14:solidFill>
                    <w14:schemeClr w14:val="tx1"/>
                  </w14:solidFill>
                </w14:textFill>
              </w:rPr>
              <w:t>》符合分析</w:t>
            </w:r>
          </w:p>
          <w:p>
            <w:pPr>
              <w:autoSpaceDE w:val="0"/>
              <w:autoSpaceDN w:val="0"/>
              <w:adjustRightInd w:val="0"/>
              <w:snapToGrid w:val="0"/>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w:t>
            </w:r>
            <w:r>
              <w:rPr>
                <w:rFonts w:hint="eastAsia"/>
                <w:color w:val="000000" w:themeColor="text1"/>
                <w:kern w:val="0"/>
                <w:sz w:val="24"/>
                <w14:textFill>
                  <w14:solidFill>
                    <w14:schemeClr w14:val="tx1"/>
                  </w14:solidFill>
                </w14:textFill>
              </w:rPr>
              <w:t>重庆市双桥经济技术开发区邮亭片区A区控制性详细规划（2012-</w:t>
            </w:r>
          </w:p>
          <w:p>
            <w:pPr>
              <w:autoSpaceDE w:val="0"/>
              <w:autoSpaceDN w:val="0"/>
              <w:adjustRightInd w:val="0"/>
              <w:snapToGrid w:val="0"/>
              <w:jc w:val="left"/>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2020）</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双桥经开区邮亭片区A区位于邮亭镇及双桥经开区范围内，规划区范围内用地面积9</w:t>
            </w:r>
            <w:r>
              <w:rPr>
                <w:color w:val="000000" w:themeColor="text1"/>
                <w:kern w:val="0"/>
                <w:sz w:val="24"/>
                <w14:textFill>
                  <w14:solidFill>
                    <w14:schemeClr w14:val="tx1"/>
                  </w14:solidFill>
                </w14:textFill>
              </w:rPr>
              <w:t>91.88</w:t>
            </w:r>
            <w:r>
              <w:rPr>
                <w:rFonts w:hint="eastAsia"/>
                <w:color w:val="000000" w:themeColor="text1"/>
                <w:kern w:val="0"/>
                <w:sz w:val="24"/>
                <w14:textFill>
                  <w14:solidFill>
                    <w14:schemeClr w14:val="tx1"/>
                  </w14:solidFill>
                </w14:textFill>
              </w:rPr>
              <w:t>hm</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w:t>
            </w:r>
            <w:r>
              <w:rPr>
                <w:rFonts w:hint="eastAsia"/>
                <w:color w:val="000000" w:themeColor="text1"/>
                <w:sz w:val="24"/>
                <w14:textFill>
                  <w14:solidFill>
                    <w14:schemeClr w14:val="tx1"/>
                  </w14:solidFill>
                </w14:textFill>
              </w:rPr>
              <w:t>双桥经开区邮亭片区A区包括电镀集中加工区、重庆再生资源集团产业集中区（含进口废物拆解加工区）、中部工业组团、北部工业组团和南部工业组团等五个工业片区，一个物流仓储区、一个生态休闲组团和商贸可研中心；主要发展电镀、资源再生利用、汽摩零部件、金属制品制造和仓储物流等产业。</w:t>
            </w:r>
          </w:p>
          <w:p>
            <w:pPr>
              <w:autoSpaceDE w:val="0"/>
              <w:autoSpaceDN w:val="0"/>
              <w:adjustRightInd w:val="0"/>
              <w:snapToGrid w:val="0"/>
              <w:ind w:firstLine="480" w:firstLineChars="200"/>
              <w:jc w:val="left"/>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本</w:t>
            </w:r>
            <w:r>
              <w:rPr>
                <w:color w:val="000000" w:themeColor="text1"/>
                <w:kern w:val="0"/>
                <w:sz w:val="24"/>
                <w14:textFill>
                  <w14:solidFill>
                    <w14:schemeClr w14:val="tx1"/>
                  </w14:solidFill>
                </w14:textFill>
              </w:rPr>
              <w:t>项目位于</w:t>
            </w:r>
            <w:r>
              <w:rPr>
                <w:rFonts w:hint="eastAsia"/>
                <w:color w:val="000000" w:themeColor="text1"/>
                <w:kern w:val="0"/>
                <w:sz w:val="24"/>
                <w14:textFill>
                  <w14:solidFill>
                    <w14:schemeClr w14:val="tx1"/>
                  </w14:solidFill>
                </w14:textFill>
              </w:rPr>
              <w:t>重庆市双桥经济技术开发区邮亭片区A区的重庆再生资源集团产业集中区。</w:t>
            </w:r>
            <w:r>
              <w:rPr>
                <w:color w:val="000000" w:themeColor="text1"/>
                <w:kern w:val="0"/>
                <w:sz w:val="24"/>
                <w14:textFill>
                  <w14:solidFill>
                    <w14:schemeClr w14:val="tx1"/>
                  </w14:solidFill>
                </w14:textFill>
              </w:rPr>
              <w:t>项目主要为</w:t>
            </w:r>
            <w:r>
              <w:rPr>
                <w:rFonts w:hint="eastAsia"/>
                <w:color w:val="000000" w:themeColor="text1"/>
                <w:kern w:val="0"/>
                <w:sz w:val="24"/>
                <w14:textFill>
                  <w14:solidFill>
                    <w14:schemeClr w14:val="tx1"/>
                  </w14:solidFill>
                </w14:textFill>
              </w:rPr>
              <w:t>废旧轮胎加工处理，属于废弃资源综合利用业，符合园区规划的产业定位</w:t>
            </w:r>
            <w:r>
              <w:rPr>
                <w:color w:val="000000" w:themeColor="text1"/>
                <w:kern w:val="0"/>
                <w:sz w:val="24"/>
                <w14:textFill>
                  <w14:solidFill>
                    <w14:schemeClr w14:val="tx1"/>
                  </w14:solidFill>
                </w14:textFill>
              </w:rPr>
              <w:t>。</w:t>
            </w:r>
          </w:p>
          <w:p>
            <w:pPr>
              <w:autoSpaceDE w:val="0"/>
              <w:autoSpaceDN w:val="0"/>
              <w:adjustRightInd w:val="0"/>
              <w:snapToGrid w:val="0"/>
              <w:jc w:val="left"/>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1.2</w:t>
            </w:r>
            <w:r>
              <w:rPr>
                <w:b/>
                <w:bCs/>
                <w:color w:val="000000" w:themeColor="text1"/>
                <w:sz w:val="24"/>
                <w14:textFill>
                  <w14:solidFill>
                    <w14:schemeClr w14:val="tx1"/>
                  </w14:solidFill>
                </w14:textFill>
              </w:rPr>
              <w:t>与园区规划环评及审查意见符合性分析</w:t>
            </w:r>
          </w:p>
          <w:p>
            <w:pPr>
              <w:pStyle w:val="198"/>
              <w:ind w:firstLine="480" w:firstLineChars="200"/>
              <w:rPr>
                <w:rFonts w:ascii="Times New Roman" w:cs="Times New Roman"/>
                <w:bCs/>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根据《重庆市双桥经济技术开发区邮亭片区A区控制性详细规划环境影响跟踪评价报告书》及其审查意见的函（渝环函〔2021〕12号)，本项目</w:t>
            </w:r>
            <w:r>
              <w:rPr>
                <w:rFonts w:hint="eastAsia" w:ascii="Times New Roman" w:cs="Times New Roman"/>
                <w:color w:val="000000" w:themeColor="text1"/>
                <w14:textFill>
                  <w14:solidFill>
                    <w14:schemeClr w14:val="tx1"/>
                  </w14:solidFill>
                </w14:textFill>
              </w:rPr>
              <w:t>与园区规划环评生态环境准入清单符合性分析见表1</w:t>
            </w:r>
            <w:r>
              <w:rPr>
                <w:rFonts w:ascii="Times New Roman" w:cs="Times New Roman"/>
                <w:color w:val="000000" w:themeColor="text1"/>
                <w14:textFill>
                  <w14:solidFill>
                    <w14:schemeClr w14:val="tx1"/>
                  </w14:solidFill>
                </w14:textFill>
              </w:rPr>
              <w:t>.2</w:t>
            </w:r>
            <w:r>
              <w:rPr>
                <w:rFonts w:hint="eastAsia" w:asci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1</w:t>
            </w:r>
            <w:r>
              <w:rPr>
                <w:rFonts w:hint="eastAsia" w:asci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与园区规划环</w:t>
            </w:r>
            <w:r>
              <w:rPr>
                <w:rFonts w:hint="eastAsia" w:ascii="Times New Roman" w:cs="Times New Roman"/>
                <w:color w:val="000000" w:themeColor="text1"/>
                <w14:textFill>
                  <w14:solidFill>
                    <w14:schemeClr w14:val="tx1"/>
                  </w14:solidFill>
                </w14:textFill>
              </w:rPr>
              <w:t>的</w:t>
            </w:r>
            <w:r>
              <w:rPr>
                <w:rFonts w:ascii="Times New Roman" w:cs="Times New Roman"/>
                <w:color w:val="000000" w:themeColor="text1"/>
                <w14:textFill>
                  <w14:solidFill>
                    <w14:schemeClr w14:val="tx1"/>
                  </w14:solidFill>
                </w14:textFill>
              </w:rPr>
              <w:t>审查意见符合性分析见下表1.2-2。</w:t>
            </w:r>
          </w:p>
          <w:p>
            <w:pPr>
              <w:adjustRightInd w:val="0"/>
              <w:snapToGrid w:val="0"/>
              <w:spacing w:line="240" w:lineRule="auto"/>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表1</w:t>
            </w:r>
            <w:r>
              <w:rPr>
                <w:b/>
                <w:bCs/>
                <w:color w:val="000000" w:themeColor="text1"/>
                <w:kern w:val="0"/>
                <w:sz w:val="24"/>
                <w14:textFill>
                  <w14:solidFill>
                    <w14:schemeClr w14:val="tx1"/>
                  </w14:solidFill>
                </w14:textFill>
              </w:rPr>
              <w:t>.2</w:t>
            </w:r>
            <w:r>
              <w:rPr>
                <w:rFonts w:hint="eastAsia"/>
                <w:b/>
                <w:bCs/>
                <w:color w:val="000000" w:themeColor="text1"/>
                <w:kern w:val="0"/>
                <w:sz w:val="24"/>
                <w14:textFill>
                  <w14:solidFill>
                    <w14:schemeClr w14:val="tx1"/>
                  </w14:solidFill>
                </w14:textFill>
              </w:rPr>
              <w:t>-</w:t>
            </w:r>
            <w:r>
              <w:rPr>
                <w:b/>
                <w:bCs/>
                <w:color w:val="000000" w:themeColor="text1"/>
                <w:kern w:val="0"/>
                <w:sz w:val="24"/>
                <w14:textFill>
                  <w14:solidFill>
                    <w14:schemeClr w14:val="tx1"/>
                  </w14:solidFill>
                </w14:textFill>
              </w:rPr>
              <w:t xml:space="preserve">1  </w:t>
            </w:r>
            <w:r>
              <w:rPr>
                <w:rFonts w:hint="eastAsia"/>
                <w:b/>
                <w:bCs/>
                <w:color w:val="000000" w:themeColor="text1"/>
                <w:kern w:val="0"/>
                <w:sz w:val="24"/>
                <w14:textFill>
                  <w14:solidFill>
                    <w14:schemeClr w14:val="tx1"/>
                  </w14:solidFill>
                </w14:textFill>
              </w:rPr>
              <w:t>与规划环评生态环境准入清单符合性分析</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4921"/>
              <w:gridCol w:w="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shd w:val="clear" w:color="auto" w:fill="auto"/>
                  <w:vAlign w:val="center"/>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管控类别</w:t>
                  </w:r>
                </w:p>
              </w:tc>
              <w:tc>
                <w:tcPr>
                  <w:tcW w:w="4926" w:type="dxa"/>
                  <w:shd w:val="clear" w:color="auto" w:fill="auto"/>
                  <w:vAlign w:val="center"/>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管控要求</w:t>
                  </w:r>
                </w:p>
              </w:tc>
              <w:tc>
                <w:tcPr>
                  <w:tcW w:w="2217" w:type="dxa"/>
                  <w:shd w:val="clear" w:color="auto" w:fill="auto"/>
                  <w:vAlign w:val="center"/>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空间布局约束</w:t>
                  </w:r>
                </w:p>
              </w:tc>
              <w:tc>
                <w:tcPr>
                  <w:tcW w:w="4926" w:type="dxa"/>
                  <w:shd w:val="clear" w:color="auto" w:fill="auto"/>
                  <w:vAlign w:val="center"/>
                </w:tcPr>
                <w:p>
                  <w:pPr>
                    <w:adjustRightInd w:val="0"/>
                    <w:snapToGrid w:val="0"/>
                    <w:spacing w:line="240" w:lineRule="auto"/>
                    <w:rPr>
                      <w:bCs/>
                      <w:color w:val="000000" w:themeColor="text1"/>
                      <w14:textFill>
                        <w14:solidFill>
                          <w14:schemeClr w14:val="tx1"/>
                        </w14:solidFill>
                      </w14:textFill>
                    </w:rPr>
                  </w:pPr>
                  <w:r>
                    <w:rPr>
                      <w:bCs/>
                      <w:color w:val="000000" w:themeColor="text1"/>
                      <w14:textFill>
                        <w14:solidFill>
                          <w14:schemeClr w14:val="tx1"/>
                        </w14:solidFill>
                      </w14:textFill>
                    </w:rPr>
                    <w:t>（1）推进现有企业的转型升级，邻邮亭镇区工业、仓储用地尽量布置低污染类企业，实现与周边居住区的融合发展。</w:t>
                  </w:r>
                </w:p>
                <w:p>
                  <w:pPr>
                    <w:adjustRightInd w:val="0"/>
                    <w:snapToGrid w:val="0"/>
                    <w:spacing w:line="240" w:lineRule="auto"/>
                    <w:rPr>
                      <w:bCs/>
                      <w:color w:val="000000" w:themeColor="text1"/>
                      <w14:textFill>
                        <w14:solidFill>
                          <w14:schemeClr w14:val="tx1"/>
                        </w14:solidFill>
                      </w14:textFill>
                    </w:rPr>
                  </w:pPr>
                  <w:r>
                    <w:rPr>
                      <w:bCs/>
                      <w:color w:val="000000" w:themeColor="text1"/>
                      <w14:textFill>
                        <w14:solidFill>
                          <w14:schemeClr w14:val="tx1"/>
                        </w14:solidFill>
                      </w14:textFill>
                    </w:rPr>
                    <w:t>（2）环境敏感点及对环境质量要求高的企业周边1km内不得新建铝熔炼（含再生铝）企业及生产装备。</w:t>
                  </w:r>
                </w:p>
                <w:p>
                  <w:pPr>
                    <w:adjustRightInd w:val="0"/>
                    <w:snapToGrid w:val="0"/>
                    <w:spacing w:line="240" w:lineRule="auto"/>
                    <w:rPr>
                      <w:bCs/>
                      <w:color w:val="000000" w:themeColor="text1"/>
                      <w14:textFill>
                        <w14:solidFill>
                          <w14:schemeClr w14:val="tx1"/>
                        </w14:solidFill>
                      </w14:textFill>
                    </w:rPr>
                  </w:pPr>
                  <w:r>
                    <w:rPr>
                      <w:bCs/>
                      <w:color w:val="000000" w:themeColor="text1"/>
                      <w14:textFill>
                        <w14:solidFill>
                          <w14:schemeClr w14:val="tx1"/>
                        </w14:solidFill>
                      </w14:textFill>
                    </w:rPr>
                    <w:t>（3）</w:t>
                  </w:r>
                  <w:r>
                    <w:rPr>
                      <w:color w:val="000000" w:themeColor="text1"/>
                      <w14:textFill>
                        <w14:solidFill>
                          <w14:schemeClr w14:val="tx1"/>
                        </w14:solidFill>
                      </w14:textFill>
                    </w:rPr>
                    <w:t>区域内原则上不再新增铅排放</w:t>
                  </w:r>
                  <w:r>
                    <w:rPr>
                      <w:bCs/>
                      <w:color w:val="000000" w:themeColor="text1"/>
                      <w14:textFill>
                        <w14:solidFill>
                          <w14:schemeClr w14:val="tx1"/>
                        </w14:solidFill>
                      </w14:textFill>
                    </w:rPr>
                    <w:t>。禁止引入再生铝规模在5万吨/年以下规模的项目。</w:t>
                  </w:r>
                </w:p>
                <w:p>
                  <w:pPr>
                    <w:adjustRightInd w:val="0"/>
                    <w:snapToGrid w:val="0"/>
                    <w:spacing w:line="240" w:lineRule="auto"/>
                    <w:rPr>
                      <w:bCs/>
                      <w:color w:val="000000" w:themeColor="text1"/>
                      <w14:textFill>
                        <w14:solidFill>
                          <w14:schemeClr w14:val="tx1"/>
                        </w14:solidFill>
                      </w14:textFill>
                    </w:rPr>
                  </w:pPr>
                  <w:r>
                    <w:rPr>
                      <w:bCs/>
                      <w:color w:val="000000" w:themeColor="text1"/>
                      <w14:textFill>
                        <w14:solidFill>
                          <w14:schemeClr w14:val="tx1"/>
                        </w14:solidFill>
                      </w14:textFill>
                    </w:rPr>
                    <w:t>（4）国家粮库周边1000m内不得建设有害元素的矿山、炼焦、炼油、煤气、化工、塑料、橡胶制品及加工、人造纤维、油漆、农药、化肥等有毒气体的生产单位；500m不得建设屠宰场、集中垃圾堆场、污水处理站，100m内不得建设砖瓦厂、混凝土及石膏制品厂等粉尘污染源（《粮油仓储管理办法》（2009发改委令第5号））。</w:t>
                  </w:r>
                </w:p>
                <w:p>
                  <w:pPr>
                    <w:pStyle w:val="2"/>
                    <w:spacing w:before="0" w:after="0" w:line="240" w:lineRule="auto"/>
                    <w:ind w:right="0"/>
                    <w:rPr>
                      <w:color w:val="000000" w:themeColor="text1"/>
                      <w:sz w:val="21"/>
                      <w:szCs w:val="21"/>
                      <w14:textFill>
                        <w14:solidFill>
                          <w14:schemeClr w14:val="tx1"/>
                        </w14:solidFill>
                      </w14:textFill>
                    </w:rPr>
                  </w:pPr>
                  <w:r>
                    <w:rPr>
                      <w:bCs/>
                      <w:color w:val="000000" w:themeColor="text1"/>
                      <w:kern w:val="2"/>
                      <w:sz w:val="21"/>
                      <w14:textFill>
                        <w14:solidFill>
                          <w14:schemeClr w14:val="tx1"/>
                        </w14:solidFill>
                      </w14:textFill>
                    </w:rPr>
                    <w:t>（5）根据《关于全面禁止进口固体废物有关事项的公告》，规划区内禁止以任何方式进口固体废物，以及倾倒、堆放、处置进口固体废物</w:t>
                  </w:r>
                  <w:r>
                    <w:rPr>
                      <w:rFonts w:hint="eastAsia"/>
                      <w:bCs/>
                      <w:color w:val="000000" w:themeColor="text1"/>
                      <w:kern w:val="2"/>
                      <w:sz w:val="21"/>
                      <w14:textFill>
                        <w14:solidFill>
                          <w14:schemeClr w14:val="tx1"/>
                        </w14:solidFill>
                      </w14:textFill>
                    </w:rPr>
                    <w:t>。</w:t>
                  </w:r>
                </w:p>
              </w:tc>
              <w:tc>
                <w:tcPr>
                  <w:tcW w:w="2217" w:type="dxa"/>
                  <w:shd w:val="clear" w:color="auto" w:fill="auto"/>
                  <w:vAlign w:val="center"/>
                </w:tcPr>
                <w:p>
                  <w:pPr>
                    <w:pStyle w:val="2"/>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本项目位于邮亭片区A区西南侧，远离邮亭镇区居住区；本项目不属于铝熔炼企业；无铅排放；国家粮仓位于项目东南侧约2</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km，不属于以上产生有毒气体的生产单位，不属于以上产生粉尘污染源企业；本项目无进口固体废物。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污染物排放管控</w:t>
                  </w:r>
                </w:p>
              </w:tc>
              <w:tc>
                <w:tcPr>
                  <w:tcW w:w="4926" w:type="dxa"/>
                  <w:shd w:val="clear" w:color="auto" w:fill="auto"/>
                  <w:vAlign w:val="center"/>
                </w:tcPr>
                <w:p>
                  <w:pPr>
                    <w:adjustRightInd w:val="0"/>
                    <w:snapToGrid w:val="0"/>
                    <w:spacing w:line="240" w:lineRule="auto"/>
                    <w:rPr>
                      <w:bCs/>
                      <w:color w:val="000000" w:themeColor="text1"/>
                      <w14:textFill>
                        <w14:solidFill>
                          <w14:schemeClr w14:val="tx1"/>
                        </w14:solidFill>
                      </w14:textFill>
                    </w:rPr>
                  </w:pPr>
                  <w:r>
                    <w:rPr>
                      <w:bCs/>
                      <w:color w:val="000000" w:themeColor="text1"/>
                      <w14:textFill>
                        <w14:solidFill>
                          <w14:schemeClr w14:val="tx1"/>
                        </w14:solidFill>
                      </w14:textFill>
                    </w:rPr>
                    <w:t>（1）严格执行施工工地扬尘控制规范，落实十项强制规定。</w:t>
                  </w:r>
                </w:p>
                <w:p>
                  <w:pPr>
                    <w:adjustRightInd w:val="0"/>
                    <w:snapToGrid w:val="0"/>
                    <w:spacing w:line="240" w:lineRule="auto"/>
                    <w:rPr>
                      <w:bCs/>
                      <w:color w:val="000000" w:themeColor="text1"/>
                      <w14:textFill>
                        <w14:solidFill>
                          <w14:schemeClr w14:val="tx1"/>
                        </w14:solidFill>
                      </w14:textFill>
                    </w:rPr>
                  </w:pPr>
                  <w:r>
                    <w:rPr>
                      <w:bCs/>
                      <w:color w:val="000000" w:themeColor="text1"/>
                      <w14:textFill>
                        <w14:solidFill>
                          <w14:schemeClr w14:val="tx1"/>
                        </w14:solidFill>
                      </w14:textFill>
                    </w:rPr>
                    <w:t>（2）现状涉VOCs企业应根据重庆市十三五挥发性有机污染治理方案等要求，强化治理措施，满足区域环境质量改善的目的。</w:t>
                  </w:r>
                </w:p>
                <w:p>
                  <w:pPr>
                    <w:adjustRightInd w:val="0"/>
                    <w:snapToGrid w:val="0"/>
                    <w:spacing w:line="240" w:lineRule="auto"/>
                    <w:rPr>
                      <w:bCs/>
                      <w:color w:val="000000" w:themeColor="text1"/>
                      <w14:textFill>
                        <w14:solidFill>
                          <w14:schemeClr w14:val="tx1"/>
                        </w14:solidFill>
                      </w14:textFill>
                    </w:rPr>
                  </w:pPr>
                  <w:r>
                    <w:rPr>
                      <w:bCs/>
                      <w:color w:val="000000" w:themeColor="text1"/>
                      <w14:textFill>
                        <w14:solidFill>
                          <w14:schemeClr w14:val="tx1"/>
                        </w14:solidFill>
                      </w14:textFill>
                    </w:rPr>
                    <w:t>（3）严格控制重金属（铅、汞、镉、铬、砷）污染物排放增量，坚持重金属新增产能与淘汰产能“等量置换”或“减量置换”原则。</w:t>
                  </w:r>
                </w:p>
                <w:p>
                  <w:pPr>
                    <w:adjustRightInd w:val="0"/>
                    <w:snapToGrid w:val="0"/>
                    <w:spacing w:line="240" w:lineRule="auto"/>
                    <w:rPr>
                      <w:bCs/>
                      <w:color w:val="000000" w:themeColor="text1"/>
                      <w14:textFill>
                        <w14:solidFill>
                          <w14:schemeClr w14:val="tx1"/>
                        </w14:solidFill>
                      </w14:textFill>
                    </w:rPr>
                  </w:pPr>
                  <w:r>
                    <w:rPr>
                      <w:bCs/>
                      <w:color w:val="000000" w:themeColor="text1"/>
                      <w14:textFill>
                        <w14:solidFill>
                          <w14:schemeClr w14:val="tx1"/>
                        </w14:solidFill>
                      </w14:textFill>
                    </w:rPr>
                    <w:t>（4）严格管控园区内废气无组织排放。入驻企业涉及粉料、块料等易产生无组织扬尘的存放场所，原则上应采取密闭、覆盖、洒水抑尘等措施，不得直接露天堆放。涉及有机废气排放的工业企业，应加大有机废气收集效率。表面处理加工园内企业车间废气应进一步提高收集效率。</w:t>
                  </w:r>
                </w:p>
                <w:p>
                  <w:pPr>
                    <w:pStyle w:val="2"/>
                    <w:spacing w:before="0" w:after="0" w:line="240" w:lineRule="auto"/>
                    <w:ind w:right="0"/>
                    <w:rPr>
                      <w:color w:val="000000" w:themeColor="text1"/>
                      <w:sz w:val="21"/>
                      <w:szCs w:val="21"/>
                      <w14:textFill>
                        <w14:solidFill>
                          <w14:schemeClr w14:val="tx1"/>
                        </w14:solidFill>
                      </w14:textFill>
                    </w:rPr>
                  </w:pPr>
                  <w:r>
                    <w:rPr>
                      <w:bCs/>
                      <w:color w:val="000000" w:themeColor="text1"/>
                      <w:kern w:val="2"/>
                      <w:sz w:val="21"/>
                      <w14:textFill>
                        <w14:solidFill>
                          <w14:schemeClr w14:val="tx1"/>
                        </w14:solidFill>
                      </w14:textFill>
                    </w:rPr>
                    <w:t>（5）其他非重金属污染物总量应根据《重庆市环境保护局关于印发重庆市工业企业排污权有偿使用和交易工作实施细则的通知》（渝环[2017]249号）等相关文件要求落实总量来源</w:t>
                  </w:r>
                  <w:r>
                    <w:rPr>
                      <w:rFonts w:hint="eastAsia"/>
                      <w:bCs/>
                      <w:color w:val="000000" w:themeColor="text1"/>
                      <w:kern w:val="2"/>
                      <w:sz w:val="21"/>
                      <w14:textFill>
                        <w14:solidFill>
                          <w14:schemeClr w14:val="tx1"/>
                        </w14:solidFill>
                      </w14:textFill>
                    </w:rPr>
                    <w:t>。</w:t>
                  </w:r>
                </w:p>
              </w:tc>
              <w:tc>
                <w:tcPr>
                  <w:tcW w:w="2217" w:type="dxa"/>
                  <w:shd w:val="clear" w:color="auto" w:fill="auto"/>
                  <w:vAlign w:val="center"/>
                </w:tcPr>
                <w:p>
                  <w:pPr>
                    <w:pStyle w:val="2"/>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本项目严格执行施工工地扬尘控制规范，落实十项强制规定；项目无重金属污染物排放；项目加强有机废气收集效率，减少废气无组织排放；项目根据《</w:t>
                  </w:r>
                  <w:r>
                    <w:rPr>
                      <w:bCs/>
                      <w:color w:val="000000" w:themeColor="text1"/>
                      <w:kern w:val="2"/>
                      <w:sz w:val="21"/>
                      <w14:textFill>
                        <w14:solidFill>
                          <w14:schemeClr w14:val="tx1"/>
                        </w14:solidFill>
                      </w14:textFill>
                    </w:rPr>
                    <w:t>重庆市环境保护局关于印发重庆市工业企业排污权有偿使用和交易工作实施细则的通知》（渝环[2017]249号）等相关文件要求落实总量来源</w:t>
                  </w:r>
                  <w:r>
                    <w:rPr>
                      <w:rFonts w:hint="eastAsia"/>
                      <w:bCs/>
                      <w:color w:val="000000" w:themeColor="text1"/>
                      <w:kern w:val="2"/>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资源开发效率要求</w:t>
                  </w:r>
                </w:p>
              </w:tc>
              <w:tc>
                <w:tcPr>
                  <w:tcW w:w="4926" w:type="dxa"/>
                  <w:shd w:val="clear" w:color="auto" w:fill="auto"/>
                  <w:vAlign w:val="center"/>
                </w:tcPr>
                <w:p>
                  <w:pPr>
                    <w:adjustRightInd w:val="0"/>
                    <w:snapToGrid w:val="0"/>
                    <w:spacing w:line="240" w:lineRule="auto"/>
                    <w:rPr>
                      <w:bCs/>
                      <w:color w:val="000000" w:themeColor="text1"/>
                      <w14:textFill>
                        <w14:solidFill>
                          <w14:schemeClr w14:val="tx1"/>
                        </w14:solidFill>
                      </w14:textFill>
                    </w:rPr>
                  </w:pPr>
                  <w:r>
                    <w:rPr>
                      <w:bCs/>
                      <w:color w:val="000000" w:themeColor="text1"/>
                      <w14:textFill>
                        <w14:solidFill>
                          <w14:schemeClr w14:val="tx1"/>
                        </w14:solidFill>
                      </w14:textFill>
                    </w:rPr>
                    <w:t>（1）严格限制印染、造纸等高耗水的工业项目。</w:t>
                  </w:r>
                </w:p>
              </w:tc>
              <w:tc>
                <w:tcPr>
                  <w:tcW w:w="2217" w:type="dxa"/>
                  <w:shd w:val="clear" w:color="auto" w:fill="auto"/>
                  <w:vAlign w:val="center"/>
                </w:tcPr>
                <w:p>
                  <w:pPr>
                    <w:pStyle w:val="2"/>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项目不属于印染、造纸等高耗水的工业项目。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环境风险防控</w:t>
                  </w:r>
                </w:p>
              </w:tc>
              <w:tc>
                <w:tcPr>
                  <w:tcW w:w="4926" w:type="dxa"/>
                  <w:shd w:val="clear" w:color="auto" w:fill="auto"/>
                  <w:vAlign w:val="center"/>
                </w:tcPr>
                <w:p>
                  <w:pPr>
                    <w:adjustRightInd w:val="0"/>
                    <w:snapToGrid w:val="0"/>
                    <w:spacing w:line="240" w:lineRule="auto"/>
                    <w:rPr>
                      <w:bCs/>
                      <w:color w:val="000000" w:themeColor="text1"/>
                      <w14:textFill>
                        <w14:solidFill>
                          <w14:schemeClr w14:val="tx1"/>
                        </w14:solidFill>
                      </w14:textFill>
                    </w:rPr>
                  </w:pPr>
                  <w:r>
                    <w:rPr>
                      <w:bCs/>
                      <w:color w:val="000000" w:themeColor="text1"/>
                      <w14:textFill>
                        <w14:solidFill>
                          <w14:schemeClr w14:val="tx1"/>
                        </w14:solidFill>
                      </w14:textFill>
                    </w:rPr>
                    <w:t>（1）强化水环境风险管控，以区域内电镀集中加工区和涉铅企业为重点，持续完善“装置-企业-园区”三级环境风险管控体系，避免事故废水进入区域内水库及苦水河。</w:t>
                  </w:r>
                </w:p>
                <w:p>
                  <w:pPr>
                    <w:adjustRightInd w:val="0"/>
                    <w:snapToGrid w:val="0"/>
                    <w:spacing w:line="240" w:lineRule="auto"/>
                    <w:rPr>
                      <w:bCs/>
                      <w:color w:val="000000" w:themeColor="text1"/>
                      <w14:textFill>
                        <w14:solidFill>
                          <w14:schemeClr w14:val="tx1"/>
                        </w14:solidFill>
                      </w14:textFill>
                    </w:rPr>
                  </w:pPr>
                  <w:r>
                    <w:rPr>
                      <w:bCs/>
                      <w:color w:val="000000" w:themeColor="text1"/>
                      <w14:textFill>
                        <w14:solidFill>
                          <w14:schemeClr w14:val="tx1"/>
                        </w14:solidFill>
                      </w14:textFill>
                    </w:rPr>
                    <w:t>（2）园区内入驻工业企业应避免有毒有害原料的使用，确需使用应重点论证工艺必要性以及相应的污染物治理以及风险防范措施。</w:t>
                  </w:r>
                </w:p>
              </w:tc>
              <w:tc>
                <w:tcPr>
                  <w:tcW w:w="2217" w:type="dxa"/>
                  <w:shd w:val="clear" w:color="auto" w:fill="auto"/>
                  <w:vAlign w:val="center"/>
                </w:tcPr>
                <w:p>
                  <w:pPr>
                    <w:pStyle w:val="2"/>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项目储油罐设置围堰，厂区设置事故应急池等措施，落实“装置-企业-园区”三级环境风险管控体系，避免事故废水进入区域内水库及苦水河。</w:t>
                  </w:r>
                </w:p>
              </w:tc>
            </w:tr>
          </w:tbl>
          <w:p>
            <w:pPr>
              <w:pStyle w:val="2"/>
              <w:spacing w:before="0" w:after="0" w:line="24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由上表可知，本项目的建设符合规划环评生态管控清单中的相关要求。</w:t>
            </w:r>
          </w:p>
          <w:p>
            <w:pPr>
              <w:adjustRightInd w:val="0"/>
              <w:snapToGrid w:val="0"/>
              <w:spacing w:line="240" w:lineRule="auto"/>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表1.2</w:t>
            </w:r>
            <w:r>
              <w:rPr>
                <w:rFonts w:hint="eastAsia"/>
                <w:b/>
                <w:bCs/>
                <w:color w:val="000000" w:themeColor="text1"/>
                <w:kern w:val="0"/>
                <w:sz w:val="24"/>
                <w14:textFill>
                  <w14:solidFill>
                    <w14:schemeClr w14:val="tx1"/>
                  </w14:solidFill>
                </w14:textFill>
              </w:rPr>
              <w:t>-</w:t>
            </w:r>
            <w:r>
              <w:rPr>
                <w:b/>
                <w:bCs/>
                <w:color w:val="000000" w:themeColor="text1"/>
                <w:kern w:val="0"/>
                <w:sz w:val="24"/>
                <w14:textFill>
                  <w14:solidFill>
                    <w14:schemeClr w14:val="tx1"/>
                  </w14:solidFill>
                </w14:textFill>
              </w:rPr>
              <w:t xml:space="preserve">2 </w:t>
            </w:r>
            <w:r>
              <w:rPr>
                <w:rFonts w:hint="eastAsia"/>
                <w:b/>
                <w:bCs/>
                <w:color w:val="000000" w:themeColor="text1"/>
                <w:kern w:val="0"/>
                <w:sz w:val="24"/>
                <w14:textFill>
                  <w14:solidFill>
                    <w14:schemeClr w14:val="tx1"/>
                  </w14:solidFill>
                </w14:textFill>
              </w:rPr>
              <w:t xml:space="preserve"> </w:t>
            </w:r>
            <w:r>
              <w:rPr>
                <w:b/>
                <w:bCs/>
                <w:color w:val="000000" w:themeColor="text1"/>
                <w:kern w:val="0"/>
                <w:sz w:val="24"/>
                <w14:textFill>
                  <w14:solidFill>
                    <w14:schemeClr w14:val="tx1"/>
                  </w14:solidFill>
                </w14:textFill>
              </w:rPr>
              <w:t>与规划环评及审查意见</w:t>
            </w:r>
            <w:r>
              <w:rPr>
                <w:rFonts w:hint="eastAsia"/>
                <w:b/>
                <w:bCs/>
                <w:color w:val="000000" w:themeColor="text1"/>
                <w:kern w:val="0"/>
                <w:sz w:val="24"/>
                <w14:textFill>
                  <w14:solidFill>
                    <w14:schemeClr w14:val="tx1"/>
                  </w14:solidFill>
                </w14:textFill>
              </w:rPr>
              <w:t>的</w:t>
            </w:r>
            <w:r>
              <w:rPr>
                <w:b/>
                <w:bCs/>
                <w:color w:val="000000" w:themeColor="text1"/>
                <w:kern w:val="0"/>
                <w:sz w:val="24"/>
                <w14:textFill>
                  <w14:solidFill>
                    <w14:schemeClr w14:val="tx1"/>
                  </w14:solidFill>
                </w14:textFill>
              </w:rPr>
              <w:t>符合性分析</w:t>
            </w:r>
          </w:p>
          <w:tbl>
            <w:tblPr>
              <w:tblStyle w:val="3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5253"/>
              <w:gridCol w:w="25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2" w:type="pct"/>
                  <w:shd w:val="clear" w:color="auto" w:fill="auto"/>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序号</w:t>
                  </w:r>
                </w:p>
              </w:tc>
              <w:tc>
                <w:tcPr>
                  <w:tcW w:w="3212" w:type="pct"/>
                  <w:shd w:val="clear" w:color="auto" w:fill="auto"/>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规划环评及审查意见</w:t>
                  </w:r>
                </w:p>
              </w:tc>
              <w:tc>
                <w:tcPr>
                  <w:tcW w:w="1537" w:type="pct"/>
                  <w:shd w:val="clear" w:color="auto" w:fill="auto"/>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本项目情况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2" w:type="pct"/>
                  <w:shd w:val="clear" w:color="auto" w:fill="auto"/>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3212" w:type="pct"/>
                  <w:shd w:val="clear" w:color="auto" w:fill="auto"/>
                  <w:vAlign w:val="center"/>
                </w:tcPr>
                <w:p>
                  <w:pPr>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严格执行生态环境准入清单。严格落实《报告书》制定的环境准入清单要求，优先引进工艺装备先进、资源利用率高、低耗水的项目，清洁生产水平不应低于国内先进水平。涉铬、铅等重金属重点行业的项目，环评文件审批前应获得本市、区行政区域内明确具体的重金属污染物排放总量来源。</w:t>
                  </w:r>
                </w:p>
              </w:tc>
              <w:tc>
                <w:tcPr>
                  <w:tcW w:w="1537" w:type="pct"/>
                  <w:shd w:val="clear" w:color="auto" w:fill="auto"/>
                  <w:vAlign w:val="center"/>
                </w:tcPr>
                <w:p>
                  <w:pPr>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项目严格执行生态环境准入清单，项目工业装备先进、资源利用率高、耗水低，清洁生产水平不低于国内先进水平。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2" w:type="pct"/>
                  <w:shd w:val="clear" w:color="auto" w:fill="auto"/>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3212" w:type="pct"/>
                  <w:shd w:val="clear" w:color="auto" w:fill="auto"/>
                  <w:vAlign w:val="center"/>
                </w:tcPr>
                <w:p>
                  <w:pPr>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加强大气污染防治。优化能源结构，严格落实清洁能源计划，新建项目禁止使用燃煤等高污染燃料；采取先进工艺，改进能源利用技术，提高能源综合利用效率，从源头减少和控制温室气体的排放。</w:t>
                  </w:r>
                </w:p>
                <w:p>
                  <w:pPr>
                    <w:spacing w:line="240" w:lineRule="auto"/>
                    <w:rPr>
                      <w:color w:val="000000" w:themeColor="text1"/>
                      <w14:textFill>
                        <w14:solidFill>
                          <w14:schemeClr w14:val="tx1"/>
                        </w14:solidFill>
                      </w14:textFill>
                    </w:rPr>
                  </w:pPr>
                  <w:r>
                    <w:rPr>
                      <w:rFonts w:hint="eastAsia"/>
                      <w:color w:val="000000" w:themeColor="text1"/>
                      <w:kern w:val="0"/>
                      <w:szCs w:val="21"/>
                      <w14:textFill>
                        <w14:solidFill>
                          <w14:schemeClr w14:val="tx1"/>
                        </w14:solidFill>
                      </w14:textFill>
                    </w:rPr>
                    <w:t>工业企业加强管理，入区企业应采取清洁生产工艺，采取先进的污染治理设施，减少工艺废气排放，处理后废气排放必须达到相应的国家和地方排放标准；严格控制废气的无组织排放，降低工业企业废气污染物无组织排放对周围环境的影响；严格挥发性有机物污染防治，产生挥发性有机物的企业废气收集和处理须满足《“十三五”挥发性有机物污染物防治工作方案》《重点行业挥发性有机物综合治理方案》《挥发性有机物无组织排放控制标准》等相关要求。建设项目环评阶段结合企业的布局、规模、产排污等实际情况确定合理的大气环境防护距离，环境防护距离原则上应优化控制在园区边界或用地红线以内。</w:t>
                  </w:r>
                </w:p>
              </w:tc>
              <w:tc>
                <w:tcPr>
                  <w:tcW w:w="1537" w:type="pct"/>
                  <w:shd w:val="clear" w:color="auto" w:fill="auto"/>
                  <w:vAlign w:val="center"/>
                </w:tcPr>
                <w:p>
                  <w:pPr>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不使用燃煤等高污染燃料；项目采取了清洁生产工艺，废气经处理达标后排放；项目加强废气收集效率，减少无组织废气排放；项目符合《“十三五”挥发性有机物污染物防治工作方案》《重点行业挥发性有机物综合治理方案》等相关要求；项目无须设置大气环境防护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2" w:type="pct"/>
                  <w:shd w:val="clear" w:color="auto" w:fill="auto"/>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3212" w:type="pct"/>
                  <w:shd w:val="clear" w:color="auto" w:fill="auto"/>
                  <w:vAlign w:val="center"/>
                </w:tcPr>
                <w:p>
                  <w:pPr>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抓好水污染防治。按照大足区“三线一单”管控要求，双桥工业园区污水处理厂“十四五”期间应完成提标改造，尾水排放执行《城镇污水处理厂污染物排放标准》（G</w:t>
                  </w:r>
                  <w:r>
                    <w:rPr>
                      <w:color w:val="000000" w:themeColor="text1"/>
                      <w:kern w:val="0"/>
                      <w:szCs w:val="21"/>
                      <w14:textFill>
                        <w14:solidFill>
                          <w14:schemeClr w14:val="tx1"/>
                        </w14:solidFill>
                      </w14:textFill>
                    </w:rPr>
                    <w:t>B18918-2002</w:t>
                  </w:r>
                  <w:r>
                    <w:rPr>
                      <w:rFonts w:hint="eastAsia"/>
                      <w:color w:val="000000" w:themeColor="text1"/>
                      <w:kern w:val="0"/>
                      <w:szCs w:val="21"/>
                      <w14:textFill>
                        <w14:solidFill>
                          <w14:schemeClr w14:val="tx1"/>
                        </w14:solidFill>
                      </w14:textFill>
                    </w:rPr>
                    <w:t>）一级A标准。规划区再生铅、铅酸蓄电池、电镀集中加工区等涉重金属废水产生的企业，应加大对废水的处理力度，处理达标后尽量回用，减少外排废水量及重金属污染物量。</w:t>
                  </w:r>
                </w:p>
                <w:p>
                  <w:pPr>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落实分区、分级防渗措施，防止规划实施对区域地下水环境的污染。定期开展地下水跟踪监测，根据监测结果完善相应的地下水污染防控措施，确保园区地下水环境质量不恶化。</w:t>
                  </w:r>
                </w:p>
              </w:tc>
              <w:tc>
                <w:tcPr>
                  <w:tcW w:w="1537" w:type="pct"/>
                  <w:shd w:val="clear" w:color="auto" w:fill="auto"/>
                  <w:vAlign w:val="center"/>
                </w:tcPr>
                <w:p>
                  <w:pPr>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本项目污水不涉及重金属，经预处理后排入双桥园区污水处理厂，污水处理厂尾水“十四五”期间执行《城镇污水处理厂污染物排放标准》（G</w:t>
                  </w:r>
                  <w:r>
                    <w:rPr>
                      <w:color w:val="000000" w:themeColor="text1"/>
                      <w:kern w:val="0"/>
                      <w:szCs w:val="21"/>
                      <w14:textFill>
                        <w14:solidFill>
                          <w14:schemeClr w14:val="tx1"/>
                        </w14:solidFill>
                      </w14:textFill>
                    </w:rPr>
                    <w:t>B18918-2002</w:t>
                  </w:r>
                  <w:r>
                    <w:rPr>
                      <w:rFonts w:hint="eastAsia"/>
                      <w:color w:val="000000" w:themeColor="text1"/>
                      <w:kern w:val="0"/>
                      <w:szCs w:val="21"/>
                      <w14:textFill>
                        <w14:solidFill>
                          <w14:schemeClr w14:val="tx1"/>
                        </w14:solidFill>
                      </w14:textFill>
                    </w:rPr>
                    <w:t>）一级A标准；项目厂区建设采取分区、分级防渗措施。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2" w:type="pct"/>
                  <w:shd w:val="clear" w:color="auto" w:fill="auto"/>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3212" w:type="pct"/>
                  <w:shd w:val="clear" w:color="auto" w:fill="auto"/>
                  <w:vAlign w:val="center"/>
                </w:tcPr>
                <w:p>
                  <w:pPr>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强化噪声污染防控。合理布局企业噪声源，高噪声源企业选址</w:t>
                  </w:r>
                  <w:r>
                    <w:rPr>
                      <w:rFonts w:hint="eastAsia"/>
                      <w:color w:val="000000" w:themeColor="text1"/>
                      <w:kern w:val="0"/>
                      <w:szCs w:val="21"/>
                      <w:lang w:eastAsia="zh-CN"/>
                      <w14:textFill>
                        <w14:solidFill>
                          <w14:schemeClr w14:val="tx1"/>
                        </w14:solidFill>
                      </w14:textFill>
                    </w:rPr>
                    <w:t>和</w:t>
                  </w:r>
                  <w:r>
                    <w:rPr>
                      <w:rFonts w:hint="eastAsia"/>
                      <w:color w:val="000000" w:themeColor="text1"/>
                      <w:kern w:val="0"/>
                      <w:szCs w:val="21"/>
                      <w14:textFill>
                        <w14:solidFill>
                          <w14:schemeClr w14:val="tx1"/>
                        </w14:solidFill>
                      </w14:textFill>
                    </w:rPr>
                    <w:t>布局应满足相应的环境防护距离要求；选择低噪声设备，采取消声、隔声、减震等措施，确保厂界噪声达标。</w:t>
                  </w:r>
                </w:p>
              </w:tc>
              <w:tc>
                <w:tcPr>
                  <w:tcW w:w="1537" w:type="pct"/>
                  <w:shd w:val="clear" w:color="auto" w:fill="auto"/>
                  <w:vAlign w:val="center"/>
                </w:tcPr>
                <w:p>
                  <w:pPr>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项目合理布局、选用低噪声设备、隔声减振等措施，能够确保厂界噪声达标。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2" w:type="pct"/>
                  <w:shd w:val="clear" w:color="auto" w:fill="auto"/>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c>
                <w:tcPr>
                  <w:tcW w:w="3212" w:type="pct"/>
                  <w:shd w:val="clear" w:color="auto" w:fill="auto"/>
                  <w:vAlign w:val="center"/>
                </w:tcPr>
                <w:p>
                  <w:pPr>
                    <w:spacing w:line="240" w:lineRule="auto"/>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加强固体废弃物污染防控。加强一般工业固体废物综合利用和处置；严格落实危险废物环境管理制度，对危险废物收集、贮存、运输、利用、处置各环节进行全过程环境监管；生活垃圾经收集后由环卫部门统一清运处置。</w:t>
                  </w:r>
                </w:p>
              </w:tc>
              <w:tc>
                <w:tcPr>
                  <w:tcW w:w="1537" w:type="pct"/>
                  <w:shd w:val="clear" w:color="auto" w:fill="auto"/>
                  <w:vAlign w:val="center"/>
                </w:tcPr>
                <w:p>
                  <w:pPr>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项目一般工业固体废物综合利用；危险废物交有资质单位处理，将严格落实危险废物环境管理制度，对危险废物收集、贮存、运输、利用、处置各环节进行全过程环境监管；生活垃圾交环卫部门统一清运处置。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2" w:type="pct"/>
                  <w:shd w:val="clear" w:color="auto" w:fill="auto"/>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p>
              </w:tc>
              <w:tc>
                <w:tcPr>
                  <w:tcW w:w="3212" w:type="pct"/>
                  <w:shd w:val="clear" w:color="auto" w:fill="auto"/>
                  <w:vAlign w:val="center"/>
                </w:tcPr>
                <w:p>
                  <w:pPr>
                    <w:spacing w:line="240" w:lineRule="auto"/>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加强土壤污染防控。加强对污水集中处理设施、危险化学品储存设施、固体废物贮存设备等周边土壤监测，并根据监测结果提出相应改进措施；入园企业根据监测计划要求，定期自行开展土壤环境质量跟踪监测，掌握周围土壤环境质量状况，结果向社会公开。</w:t>
                  </w:r>
                </w:p>
              </w:tc>
              <w:tc>
                <w:tcPr>
                  <w:tcW w:w="1537" w:type="pct"/>
                  <w:shd w:val="clear" w:color="auto" w:fill="auto"/>
                  <w:vAlign w:val="center"/>
                </w:tcPr>
                <w:p>
                  <w:pPr>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本项目对储油罐区域进行了土壤环境质量监测，留作背景值，后续将根据需求开展土壤环境质量跟踪监测。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2" w:type="pct"/>
                  <w:shd w:val="clear" w:color="auto" w:fill="auto"/>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3212" w:type="pct"/>
                  <w:shd w:val="clear" w:color="auto" w:fill="auto"/>
                  <w:vAlign w:val="center"/>
                </w:tcPr>
                <w:p>
                  <w:pPr>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强化环境风险防范。规划区建立健全环境风险防范体系，完善环境风险防范措施，规划并强化事故池、雨污切换阀等风险防范措施的建设，健全环境风险应急机制和环境风险应急预案；加强对企业环境风险源的监督管理，切实提高环境风险防范意识，定期开展教育培训和应急演练，全面提升环境风险防范和事故应急处置能力，防范突发性环境风险事故。</w:t>
                  </w:r>
                </w:p>
              </w:tc>
              <w:tc>
                <w:tcPr>
                  <w:tcW w:w="1537" w:type="pct"/>
                  <w:shd w:val="clear" w:color="auto" w:fill="auto"/>
                  <w:vAlign w:val="center"/>
                </w:tcPr>
                <w:p>
                  <w:pPr>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项目采取积极有效的风险防范措施，加强环境风险措施的日常管理、培训等，防范突发性环境风险事故的发生。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2" w:type="pct"/>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p>
              </w:tc>
              <w:tc>
                <w:tcPr>
                  <w:tcW w:w="3212" w:type="pct"/>
                  <w:shd w:val="clear" w:color="auto" w:fill="auto"/>
                  <w:vAlign w:val="center"/>
                </w:tcPr>
                <w:p>
                  <w:pPr>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加强环境管理。建立健全“三线一单”对规划环评、项目环评的指导和约束机制，不断强化“三线一单”在优布局、控规模、调结构、促转型中的作用，以及对项目环境准入的强制约束作用。严格执行规划环评、跟踪评价和生态环境准入清单管控等有关规定。规划区应建立包括环境空气、声环境、地表水、地下水、土壤等环境要素的监控体系，严格落实跟踪监测计划，制定环境保护规章制度，落实环境管理、污染治理和环境风险防范主体责任，做好日常环境保护工作。</w:t>
                  </w:r>
                </w:p>
              </w:tc>
              <w:tc>
                <w:tcPr>
                  <w:tcW w:w="1537" w:type="pct"/>
                  <w:shd w:val="clear" w:color="auto" w:fill="auto"/>
                  <w:vAlign w:val="center"/>
                </w:tcPr>
                <w:p>
                  <w:pPr>
                    <w:spacing w:line="240" w:lineRule="auto"/>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项目的建设符合“三线一单”要求，符合规划环评生态环境准入清单管控等相关要求，</w:t>
                  </w:r>
                  <w:r>
                    <w:rPr>
                      <w:rFonts w:hint="eastAsia"/>
                      <w:color w:val="000000" w:themeColor="text1"/>
                      <w:kern w:val="0"/>
                      <w:szCs w:val="21"/>
                      <w:lang w:eastAsia="zh-CN"/>
                      <w14:textFill>
                        <w14:solidFill>
                          <w14:schemeClr w14:val="tx1"/>
                        </w14:solidFill>
                      </w14:textFill>
                    </w:rPr>
                    <w:t>制定</w:t>
                  </w:r>
                  <w:r>
                    <w:rPr>
                      <w:rFonts w:hint="eastAsia"/>
                      <w:color w:val="000000" w:themeColor="text1"/>
                      <w:kern w:val="0"/>
                      <w:szCs w:val="21"/>
                      <w14:textFill>
                        <w14:solidFill>
                          <w14:schemeClr w14:val="tx1"/>
                        </w14:solidFill>
                      </w14:textFill>
                    </w:rPr>
                    <w:t>有监测计划，环境保护规章制度等。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2" w:type="pct"/>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p>
              </w:tc>
              <w:tc>
                <w:tcPr>
                  <w:tcW w:w="3212" w:type="pct"/>
                  <w:shd w:val="clear" w:color="auto" w:fill="auto"/>
                  <w:vAlign w:val="center"/>
                </w:tcPr>
                <w:p>
                  <w:pPr>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积极推进建设项目与规划环境影响跟踪评价的联动。规划区涉及的建设项目在开展环境影响评价时，应结合生态空间保护与管控要求，在落实环境质量底线的基础上深入论证项目建设可能产生的生态环境影响，严格环境准入，采取切实可行的污染防治和环境风险防控措施，预防或者减轻建设项目实施可能产生的不良环境影响。对与规划主导产业定位相符的建设项目，环境政策符合性、环境现状调查等内容可适当简化。</w:t>
                  </w:r>
                </w:p>
              </w:tc>
              <w:tc>
                <w:tcPr>
                  <w:tcW w:w="1537" w:type="pct"/>
                  <w:shd w:val="clear" w:color="auto" w:fill="auto"/>
                  <w:vAlign w:val="center"/>
                </w:tcPr>
                <w:p>
                  <w:pPr>
                    <w:spacing w:line="240" w:lineRule="auto"/>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本次评价结合生态空间保护与管理要求，落实环境质量底线的基础上，对项目提出了切实可行的污染防治和环境风险防控措施，以减轻环境影响，</w:t>
                  </w:r>
                </w:p>
              </w:tc>
            </w:tr>
          </w:tbl>
          <w:p>
            <w:pPr>
              <w:autoSpaceDE w:val="0"/>
              <w:autoSpaceDN w:val="0"/>
              <w:adjustRightInd w:val="0"/>
              <w:snapToGrid w:val="0"/>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由上表可知，</w:t>
            </w:r>
            <w:r>
              <w:rPr>
                <w:rFonts w:hint="eastAsia"/>
                <w:bCs/>
                <w:color w:val="000000" w:themeColor="text1"/>
                <w:sz w:val="24"/>
                <w14:textFill>
                  <w14:solidFill>
                    <w14:schemeClr w14:val="tx1"/>
                  </w14:solidFill>
                </w14:textFill>
              </w:rPr>
              <w:t>本</w:t>
            </w:r>
            <w:r>
              <w:rPr>
                <w:bCs/>
                <w:color w:val="000000" w:themeColor="text1"/>
                <w:sz w:val="24"/>
                <w14:textFill>
                  <w14:solidFill>
                    <w14:schemeClr w14:val="tx1"/>
                  </w14:solidFill>
                </w14:textFill>
              </w:rPr>
              <w:t>项目建设符合园区规划环评及审查意见要求</w:t>
            </w:r>
            <w:r>
              <w:rPr>
                <w:rFonts w:hint="eastAsia"/>
                <w:bCs/>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50" w:type="pct"/>
            <w:vAlign w:val="center"/>
          </w:tcPr>
          <w:p>
            <w:pPr>
              <w:autoSpaceDE w:val="0"/>
              <w:autoSpaceDN w:val="0"/>
              <w:adjustRightInd w:val="0"/>
              <w:snapToGrid w:val="0"/>
              <w:spacing w:line="240" w:lineRule="auto"/>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4750" w:type="pct"/>
            <w:gridSpan w:val="4"/>
            <w:vAlign w:val="center"/>
          </w:tcPr>
          <w:p>
            <w:pPr>
              <w:rPr>
                <w:b/>
                <w:color w:val="000000" w:themeColor="text1"/>
                <w:sz w:val="24"/>
                <w14:textFill>
                  <w14:solidFill>
                    <w14:schemeClr w14:val="tx1"/>
                  </w14:solidFill>
                </w14:textFill>
              </w:rPr>
            </w:pPr>
            <w:r>
              <w:rPr>
                <w:b/>
                <w:color w:val="000000" w:themeColor="text1"/>
                <w:sz w:val="24"/>
                <w14:textFill>
                  <w14:solidFill>
                    <w14:schemeClr w14:val="tx1"/>
                  </w14:solidFill>
                </w14:textFill>
              </w:rPr>
              <w:t>1.3</w:t>
            </w:r>
            <w:r>
              <w:rPr>
                <w:rFonts w:hint="eastAsia"/>
                <w:b/>
                <w:color w:val="000000" w:themeColor="text1"/>
                <w:sz w:val="24"/>
                <w14:textFill>
                  <w14:solidFill>
                    <w14:schemeClr w14:val="tx1"/>
                  </w14:solidFill>
                </w14:textFill>
              </w:rPr>
              <w:t>“三线一单”符合性分析</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根据重庆市生态环境局关于印发《规划环评“三线一单”符合性分析技术要点（试行）》《建设项目环评“三线一单”符合性分析技术要点（试行）》的通知》（渝环函[</w:t>
            </w:r>
            <w:r>
              <w:rPr>
                <w:color w:val="000000" w:themeColor="text1"/>
                <w:sz w:val="24"/>
                <w14:textFill>
                  <w14:solidFill>
                    <w14:schemeClr w14:val="tx1"/>
                  </w14:solidFill>
                </w14:textFill>
              </w:rPr>
              <w:t>2022]397</w:t>
            </w:r>
            <w:r>
              <w:rPr>
                <w:rFonts w:hint="eastAsia"/>
                <w:color w:val="000000" w:themeColor="text1"/>
                <w:sz w:val="24"/>
                <w14:textFill>
                  <w14:solidFill>
                    <w14:schemeClr w14:val="tx1"/>
                  </w14:solidFill>
                </w14:textFill>
              </w:rPr>
              <w:t>）号要求，本项目“三线一单”符合性分析如下：</w:t>
            </w:r>
          </w:p>
          <w:p>
            <w:pPr>
              <w:ind w:firstLine="482" w:firstLineChars="200"/>
              <w:rPr>
                <w:color w:val="000000" w:themeColor="text1"/>
                <w:kern w:val="0"/>
                <w:sz w:val="24"/>
                <w14:textFill>
                  <w14:solidFill>
                    <w14:schemeClr w14:val="tx1"/>
                  </w14:solidFill>
                </w14:textFill>
              </w:rPr>
            </w:pPr>
            <w:r>
              <w:rPr>
                <w:rFonts w:hint="eastAsia"/>
                <w:b/>
                <w:color w:val="000000" w:themeColor="text1"/>
                <w:sz w:val="24"/>
                <w14:textFill>
                  <w14:solidFill>
                    <w14:schemeClr w14:val="tx1"/>
                  </w14:solidFill>
                </w14:textFill>
              </w:rPr>
              <w:t>（1）项目与环境管控单元位置关系</w:t>
            </w:r>
          </w:p>
          <w:p>
            <w:pPr>
              <w:autoSpaceDE w:val="0"/>
              <w:autoSpaceDN w:val="0"/>
              <w:adjustRightInd w:val="0"/>
              <w:snapToGrid w:val="0"/>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本项目位于重庆市双桥经开区邮亭工业园A区。对照重庆市大足区“三线一单”，项目所在区域属</w:t>
            </w:r>
            <w:r>
              <w:rPr>
                <w:color w:val="000000" w:themeColor="text1"/>
                <w:kern w:val="0"/>
                <w:sz w:val="24"/>
                <w14:textFill>
                  <w14:solidFill>
                    <w14:schemeClr w14:val="tx1"/>
                  </w14:solidFill>
                </w14:textFill>
              </w:rPr>
              <w:t>大足区重点管控单元-太平河漫水桥（环境管控单元编码：ZH50011120002）</w:t>
            </w:r>
            <w:r>
              <w:rPr>
                <w:rFonts w:hint="eastAsia"/>
                <w:color w:val="000000" w:themeColor="text1"/>
                <w:kern w:val="0"/>
                <w:sz w:val="24"/>
                <w14:textFill>
                  <w14:solidFill>
                    <w14:schemeClr w14:val="tx1"/>
                  </w14:solidFill>
                </w14:textFill>
              </w:rPr>
              <w:t>。项目与大足区环境管控单元关系图详见附图</w:t>
            </w:r>
            <w:r>
              <w:rPr>
                <w:color w:val="000000" w:themeColor="text1"/>
                <w:kern w:val="0"/>
                <w:sz w:val="24"/>
                <w14:textFill>
                  <w14:solidFill>
                    <w14:schemeClr w14:val="tx1"/>
                  </w14:solidFill>
                </w14:textFill>
              </w:rPr>
              <w:t>6</w:t>
            </w:r>
            <w:r>
              <w:rPr>
                <w:rFonts w:hint="eastAsia"/>
                <w:color w:val="000000" w:themeColor="text1"/>
                <w:kern w:val="0"/>
                <w:sz w:val="24"/>
                <w14:textFill>
                  <w14:solidFill>
                    <w14:schemeClr w14:val="tx1"/>
                  </w14:solidFill>
                </w14:textFill>
              </w:rPr>
              <w:t>。</w:t>
            </w:r>
          </w:p>
          <w:p>
            <w:pPr>
              <w:adjustRightInd w:val="0"/>
              <w:snapToGrid w:val="0"/>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（2）符合性分析</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结合重庆市、大足区“三线一单”分区管控要求，本</w:t>
            </w:r>
            <w:r>
              <w:rPr>
                <w:rFonts w:hint="eastAsia"/>
                <w:color w:val="000000" w:themeColor="text1"/>
                <w:sz w:val="24"/>
                <w14:textFill>
                  <w14:solidFill>
                    <w14:schemeClr w14:val="tx1"/>
                  </w14:solidFill>
                </w14:textFill>
              </w:rPr>
              <w:t>项目</w:t>
            </w:r>
            <w:r>
              <w:rPr>
                <w:rFonts w:hint="eastAsia"/>
                <w:color w:val="000000" w:themeColor="text1"/>
                <w:kern w:val="0"/>
                <w:sz w:val="24"/>
                <w14:textFill>
                  <w14:solidFill>
                    <w14:schemeClr w14:val="tx1"/>
                  </w14:solidFill>
                </w14:textFill>
              </w:rPr>
              <w:t>与“三线一单”管控要求的符合性分析见表1</w:t>
            </w:r>
            <w:r>
              <w:rPr>
                <w:color w:val="000000" w:themeColor="text1"/>
                <w:kern w:val="0"/>
                <w:sz w:val="24"/>
                <w14:textFill>
                  <w14:solidFill>
                    <w14:schemeClr w14:val="tx1"/>
                  </w14:solidFill>
                </w14:textFill>
              </w:rPr>
              <w:t>.3</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1</w:t>
            </w:r>
            <w:r>
              <w:rPr>
                <w:rFonts w:hint="eastAsia"/>
                <w:color w:val="000000" w:themeColor="text1"/>
                <w:sz w:val="24"/>
                <w14:textFill>
                  <w14:solidFill>
                    <w14:schemeClr w14:val="tx1"/>
                  </w14:solidFill>
                </w14:textFill>
              </w:rPr>
              <w:t>。</w:t>
            </w:r>
          </w:p>
          <w:p>
            <w:pPr>
              <w:pStyle w:val="2"/>
              <w:spacing w:before="0" w:after="0" w:line="240" w:lineRule="auto"/>
              <w:ind w:right="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表1</w:t>
            </w:r>
            <w:r>
              <w:rPr>
                <w:b/>
                <w:color w:val="000000" w:themeColor="text1"/>
                <w:sz w:val="24"/>
                <w:szCs w:val="24"/>
                <w14:textFill>
                  <w14:solidFill>
                    <w14:schemeClr w14:val="tx1"/>
                  </w14:solidFill>
                </w14:textFill>
              </w:rPr>
              <w:t>.3</w:t>
            </w:r>
            <w:r>
              <w:rPr>
                <w:rFonts w:hint="eastAsia"/>
                <w:b/>
                <w:color w:val="000000" w:themeColor="text1"/>
                <w:sz w:val="24"/>
                <w:szCs w:val="24"/>
                <w14:textFill>
                  <w14:solidFill>
                    <w14:schemeClr w14:val="tx1"/>
                  </w14:solidFill>
                </w14:textFill>
              </w:rPr>
              <w:t>-</w:t>
            </w:r>
            <w:r>
              <w:rPr>
                <w:b/>
                <w:color w:val="000000" w:themeColor="text1"/>
                <w:sz w:val="24"/>
                <w:szCs w:val="24"/>
                <w14:textFill>
                  <w14:solidFill>
                    <w14:schemeClr w14:val="tx1"/>
                  </w14:solidFill>
                </w14:textFill>
              </w:rPr>
              <w:t xml:space="preserve">1  </w:t>
            </w:r>
            <w:r>
              <w:rPr>
                <w:rFonts w:hint="eastAsia"/>
                <w:b/>
                <w:color w:val="000000" w:themeColor="text1"/>
                <w:sz w:val="24"/>
                <w:szCs w:val="24"/>
                <w14:textFill>
                  <w14:solidFill>
                    <w14:schemeClr w14:val="tx1"/>
                  </w14:solidFill>
                </w14:textFill>
              </w:rPr>
              <w:t>项目与“三线一单”管控要求的符合性分析表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1179"/>
              <w:gridCol w:w="3120"/>
              <w:gridCol w:w="2099"/>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6" w:type="pct"/>
                  <w:gridSpan w:val="2"/>
                  <w:vAlign w:val="center"/>
                </w:tcPr>
                <w:p>
                  <w:pPr>
                    <w:snapToGrid w:val="0"/>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环境管控单元编码</w:t>
                  </w:r>
                </w:p>
              </w:tc>
              <w:tc>
                <w:tcPr>
                  <w:tcW w:w="1905" w:type="pct"/>
                  <w:vAlign w:val="center"/>
                </w:tcPr>
                <w:p>
                  <w:pPr>
                    <w:snapToGrid w:val="0"/>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环境管控单元名称</w:t>
                  </w:r>
                </w:p>
              </w:tc>
              <w:tc>
                <w:tcPr>
                  <w:tcW w:w="1879" w:type="pct"/>
                  <w:gridSpan w:val="2"/>
                  <w:vAlign w:val="center"/>
                </w:tcPr>
                <w:p>
                  <w:pPr>
                    <w:snapToGrid w:val="0"/>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环境管控单元类型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6" w:type="pct"/>
                  <w:gridSpan w:val="2"/>
                  <w:vAlign w:val="center"/>
                </w:tcPr>
                <w:p>
                  <w:pPr>
                    <w:snapToGrid w:val="0"/>
                    <w:spacing w:line="240" w:lineRule="auto"/>
                    <w:jc w:val="center"/>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ZH50011120002</w:t>
                  </w:r>
                </w:p>
              </w:tc>
              <w:tc>
                <w:tcPr>
                  <w:tcW w:w="1905" w:type="pct"/>
                  <w:vAlign w:val="center"/>
                </w:tcPr>
                <w:p>
                  <w:pPr>
                    <w:snapToGrid w:val="0"/>
                    <w:spacing w:line="240" w:lineRule="auto"/>
                    <w:jc w:val="center"/>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大足区重点管控单元-太平河漫水桥</w:t>
                  </w:r>
                </w:p>
              </w:tc>
              <w:tc>
                <w:tcPr>
                  <w:tcW w:w="1879" w:type="pct"/>
                  <w:gridSpan w:val="2"/>
                  <w:vAlign w:val="center"/>
                </w:tcPr>
                <w:p>
                  <w:pPr>
                    <w:snapToGrid w:val="0"/>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Align w:val="center"/>
                </w:tcPr>
                <w:p>
                  <w:pPr>
                    <w:snapToGrid w:val="0"/>
                    <w:spacing w:line="240"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管控要求层级</w:t>
                  </w:r>
                </w:p>
              </w:tc>
              <w:tc>
                <w:tcPr>
                  <w:tcW w:w="720" w:type="pct"/>
                  <w:vAlign w:val="center"/>
                </w:tcPr>
                <w:p>
                  <w:pPr>
                    <w:snapToGrid w:val="0"/>
                    <w:spacing w:line="240"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管控类型</w:t>
                  </w:r>
                </w:p>
              </w:tc>
              <w:tc>
                <w:tcPr>
                  <w:tcW w:w="1905" w:type="pct"/>
                  <w:vAlign w:val="center"/>
                </w:tcPr>
                <w:p>
                  <w:pPr>
                    <w:snapToGrid w:val="0"/>
                    <w:spacing w:line="240"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管控要求</w:t>
                  </w:r>
                </w:p>
              </w:tc>
              <w:tc>
                <w:tcPr>
                  <w:tcW w:w="1282" w:type="pct"/>
                  <w:vAlign w:val="center"/>
                </w:tcPr>
                <w:p>
                  <w:pPr>
                    <w:snapToGrid w:val="0"/>
                    <w:spacing w:line="240"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项目相关情况</w:t>
                  </w:r>
                </w:p>
              </w:tc>
              <w:tc>
                <w:tcPr>
                  <w:tcW w:w="597" w:type="pct"/>
                  <w:vAlign w:val="center"/>
                </w:tcPr>
                <w:p>
                  <w:pPr>
                    <w:snapToGrid w:val="0"/>
                    <w:spacing w:line="240"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符合性分析结论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restart"/>
                  <w:vAlign w:val="center"/>
                </w:tcPr>
                <w:p>
                  <w:pPr>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重庆市</w:t>
                  </w:r>
                  <w:r>
                    <w:rPr>
                      <w:color w:val="000000" w:themeColor="text1"/>
                      <w:szCs w:val="21"/>
                      <w14:textFill>
                        <w14:solidFill>
                          <w14:schemeClr w14:val="tx1"/>
                        </w14:solidFill>
                      </w14:textFill>
                    </w:rPr>
                    <w:t>总体管控要求</w:t>
                  </w:r>
                </w:p>
              </w:tc>
              <w:tc>
                <w:tcPr>
                  <w:tcW w:w="720" w:type="pct"/>
                  <w:vAlign w:val="center"/>
                </w:tcPr>
                <w:p>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空间布局约束</w:t>
                  </w:r>
                </w:p>
              </w:tc>
              <w:tc>
                <w:tcPr>
                  <w:tcW w:w="1905" w:type="pct"/>
                  <w:vMerge w:val="restart"/>
                  <w:vAlign w:val="center"/>
                </w:tcPr>
                <w:p>
                  <w:pPr>
                    <w:snapToGrid w:val="0"/>
                    <w:spacing w:line="24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优先保护单元依法禁止或限制大规模、高强度的工业和城镇建设，在功能受损的优先保护单元优先开展生态保护修复活动，恢复生态系统服务功能。重点管控单元优化空间布局，不断提升资源利用效率，有针对性地加强污染物排放控制和环境风险防控，解决生态环境质量不达标、生态环境风险高等问题。一般管控单元主要落实生态环境保护基本要求。</w:t>
                  </w:r>
                </w:p>
                <w:p>
                  <w:pPr>
                    <w:snapToGrid w:val="0"/>
                    <w:spacing w:line="24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施差异化管理，推动“一区两群”协调发展，促进各片区发挥优势、彰显特色、协调发展。主城都市区重点推进产业升级，优化工业区、商业区、居住区布局，优化水资源配置和排污口、取水口及饮用水水源地布局、保护和修复“四山”生态、强化污染物排放控制和环境风险防控。渝东北三峡库区城镇群突出秦巴山区、三峡库区生态涵养和生物多样性保护，推进水污染治理、水生态修复、水资源保护，加强水土流失、消落带和农业农村污染治理，确保三峡库区水环境安全。渝东南武陵山区城镇群突出武陵山区生物多样性维护，推进生态修复，加强石漠化治理和重金属污染防控，增强生态产品供给能力。</w:t>
                  </w:r>
                </w:p>
              </w:tc>
              <w:tc>
                <w:tcPr>
                  <w:tcW w:w="1282" w:type="pct"/>
                  <w:vMerge w:val="restart"/>
                  <w:vAlign w:val="center"/>
                </w:tcPr>
                <w:p>
                  <w:pPr>
                    <w:snapToGrid w:val="0"/>
                    <w:spacing w:line="240" w:lineRule="auto"/>
                    <w:jc w:val="center"/>
                    <w:rPr>
                      <w:color w:val="000000" w:themeColor="text1"/>
                      <w:szCs w:val="21"/>
                      <w14:textFill>
                        <w14:solidFill>
                          <w14:schemeClr w14:val="tx1"/>
                        </w14:solidFill>
                      </w14:textFill>
                    </w:rPr>
                  </w:pPr>
                  <w:r>
                    <w:rPr>
                      <w:color w:val="000000" w:themeColor="text1"/>
                      <w:kern w:val="0"/>
                      <w14:textFill>
                        <w14:solidFill>
                          <w14:schemeClr w14:val="tx1"/>
                        </w14:solidFill>
                      </w14:textFill>
                    </w:rPr>
                    <w:t>项目所在地属于大足区重点管控单元，运营期产生的废气、废水、噪声均按照要求采取有效措施治理后实现达标排放，对环境影响较小</w:t>
                  </w:r>
                  <w:r>
                    <w:rPr>
                      <w:rFonts w:hint="eastAsia"/>
                      <w:color w:val="000000" w:themeColor="text1"/>
                      <w:kern w:val="0"/>
                      <w14:textFill>
                        <w14:solidFill>
                          <w14:schemeClr w14:val="tx1"/>
                        </w14:solidFill>
                      </w14:textFill>
                    </w:rPr>
                    <w:t>。落实本次评价提出的环境风险防范措施后，环境风险可控。</w:t>
                  </w:r>
                </w:p>
              </w:tc>
              <w:tc>
                <w:tcPr>
                  <w:tcW w:w="597" w:type="pct"/>
                  <w:vMerge w:val="restart"/>
                  <w:vAlign w:val="center"/>
                </w:tcPr>
                <w:p>
                  <w:pPr>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720" w:type="pct"/>
                  <w:vAlign w:val="center"/>
                </w:tcPr>
                <w:p>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污染物排放管控</w:t>
                  </w:r>
                </w:p>
              </w:tc>
              <w:tc>
                <w:tcPr>
                  <w:tcW w:w="1905"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1282"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597" w:type="pct"/>
                  <w:vMerge w:val="continue"/>
                  <w:vAlign w:val="center"/>
                </w:tcPr>
                <w:p>
                  <w:pPr>
                    <w:snapToGrid w:val="0"/>
                    <w:spacing w:line="240" w:lineRule="auto"/>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720" w:type="pct"/>
                  <w:vAlign w:val="center"/>
                </w:tcPr>
                <w:p>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环境风险防控</w:t>
                  </w:r>
                </w:p>
              </w:tc>
              <w:tc>
                <w:tcPr>
                  <w:tcW w:w="1905"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1282"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597" w:type="pct"/>
                  <w:vMerge w:val="continue"/>
                  <w:vAlign w:val="center"/>
                </w:tcPr>
                <w:p>
                  <w:pPr>
                    <w:snapToGrid w:val="0"/>
                    <w:spacing w:line="240" w:lineRule="auto"/>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720" w:type="pct"/>
                  <w:vAlign w:val="center"/>
                </w:tcPr>
                <w:p>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资源开发利用效率</w:t>
                  </w:r>
                </w:p>
              </w:tc>
              <w:tc>
                <w:tcPr>
                  <w:tcW w:w="1905"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1282"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597" w:type="pct"/>
                  <w:vMerge w:val="continue"/>
                  <w:vAlign w:val="center"/>
                </w:tcPr>
                <w:p>
                  <w:pPr>
                    <w:snapToGrid w:val="0"/>
                    <w:spacing w:line="240" w:lineRule="auto"/>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restart"/>
                  <w:vAlign w:val="center"/>
                </w:tcPr>
                <w:p>
                  <w:pPr>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大足区</w:t>
                  </w:r>
                  <w:r>
                    <w:rPr>
                      <w:color w:val="000000" w:themeColor="text1"/>
                      <w:szCs w:val="21"/>
                      <w14:textFill>
                        <w14:solidFill>
                          <w14:schemeClr w14:val="tx1"/>
                        </w14:solidFill>
                      </w14:textFill>
                    </w:rPr>
                    <w:t>总体管控要求</w:t>
                  </w:r>
                </w:p>
              </w:tc>
              <w:tc>
                <w:tcPr>
                  <w:tcW w:w="720" w:type="pct"/>
                  <w:vAlign w:val="center"/>
                </w:tcPr>
                <w:p>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空间布局约束</w:t>
                  </w:r>
                </w:p>
              </w:tc>
              <w:tc>
                <w:tcPr>
                  <w:tcW w:w="1905" w:type="pct"/>
                  <w:vMerge w:val="restart"/>
                  <w:vAlign w:val="center"/>
                </w:tcPr>
                <w:p>
                  <w:pPr>
                    <w:snapToGrid w:val="0"/>
                    <w:spacing w:line="24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优先保护单元依法禁止或限制大规模、高强度的工业和城镇建设，在功能受损的优先保护单元优先开展生态保护修复活动，恢复生态系统服务功能。重点管控单元优化空间布局，不断提升资源利用效率，有针对性地加强污染物排放控制和环境风险防控，解决生态环境质量不达标、生态环境风险高等问题。一般管控单元主要落实生态环境保护基本要求。</w:t>
                  </w:r>
                </w:p>
                <w:p>
                  <w:pPr>
                    <w:snapToGrid w:val="0"/>
                    <w:spacing w:line="24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我区重点推进产业升级，优化工业区、商业区、居住区布局，优化水资源配置和排污口、取水口及饮用水水源地布局、推进生态保护及修复、强化污染物排放控制和环境风险防控。</w:t>
                  </w:r>
                </w:p>
              </w:tc>
              <w:tc>
                <w:tcPr>
                  <w:tcW w:w="1282" w:type="pct"/>
                  <w:vMerge w:val="restart"/>
                  <w:vAlign w:val="center"/>
                </w:tcPr>
                <w:p>
                  <w:pPr>
                    <w:snapToGrid w:val="0"/>
                    <w:spacing w:line="240" w:lineRule="auto"/>
                    <w:jc w:val="center"/>
                    <w:rPr>
                      <w:color w:val="000000" w:themeColor="text1"/>
                      <w:szCs w:val="21"/>
                      <w14:textFill>
                        <w14:solidFill>
                          <w14:schemeClr w14:val="tx1"/>
                        </w14:solidFill>
                      </w14:textFill>
                    </w:rPr>
                  </w:pPr>
                  <w:r>
                    <w:rPr>
                      <w:color w:val="000000" w:themeColor="text1"/>
                      <w:kern w:val="0"/>
                      <w14:textFill>
                        <w14:solidFill>
                          <w14:schemeClr w14:val="tx1"/>
                        </w14:solidFill>
                      </w14:textFill>
                    </w:rPr>
                    <w:t>项目所在地属于大足区重点管控单元，运营期产生的废气、废水、噪声均按照要求采取有效措施治理后实现达标排放，对环境影响较小</w:t>
                  </w:r>
                  <w:r>
                    <w:rPr>
                      <w:rFonts w:hint="eastAsia"/>
                      <w:color w:val="000000" w:themeColor="text1"/>
                      <w:kern w:val="0"/>
                      <w14:textFill>
                        <w14:solidFill>
                          <w14:schemeClr w14:val="tx1"/>
                        </w14:solidFill>
                      </w14:textFill>
                    </w:rPr>
                    <w:t>。落实本次评价提出的环境风险防范措施后，环境风险可控。</w:t>
                  </w:r>
                </w:p>
              </w:tc>
              <w:tc>
                <w:tcPr>
                  <w:tcW w:w="597" w:type="pct"/>
                  <w:vMerge w:val="restart"/>
                  <w:vAlign w:val="center"/>
                </w:tcPr>
                <w:p>
                  <w:pPr>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720" w:type="pct"/>
                  <w:vAlign w:val="center"/>
                </w:tcPr>
                <w:p>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污染物排放管控</w:t>
                  </w:r>
                </w:p>
              </w:tc>
              <w:tc>
                <w:tcPr>
                  <w:tcW w:w="1905"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1282"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597" w:type="pct"/>
                  <w:vMerge w:val="continue"/>
                  <w:vAlign w:val="center"/>
                </w:tcPr>
                <w:p>
                  <w:pPr>
                    <w:snapToGrid w:val="0"/>
                    <w:spacing w:line="240" w:lineRule="auto"/>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720" w:type="pct"/>
                  <w:vAlign w:val="center"/>
                </w:tcPr>
                <w:p>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环境风险防控</w:t>
                  </w:r>
                </w:p>
              </w:tc>
              <w:tc>
                <w:tcPr>
                  <w:tcW w:w="1905"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1282"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597" w:type="pct"/>
                  <w:vMerge w:val="continue"/>
                  <w:vAlign w:val="center"/>
                </w:tcPr>
                <w:p>
                  <w:pPr>
                    <w:snapToGrid w:val="0"/>
                    <w:spacing w:line="240" w:lineRule="auto"/>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720" w:type="pct"/>
                  <w:vAlign w:val="center"/>
                </w:tcPr>
                <w:p>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资源开发利用效率</w:t>
                  </w:r>
                </w:p>
              </w:tc>
              <w:tc>
                <w:tcPr>
                  <w:tcW w:w="1905"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1282"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597" w:type="pct"/>
                  <w:vMerge w:val="continue"/>
                  <w:vAlign w:val="center"/>
                </w:tcPr>
                <w:p>
                  <w:pPr>
                    <w:snapToGrid w:val="0"/>
                    <w:spacing w:line="240" w:lineRule="auto"/>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restart"/>
                  <w:vAlign w:val="center"/>
                </w:tcPr>
                <w:p>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单元管控要求</w:t>
                  </w:r>
                </w:p>
              </w:tc>
              <w:tc>
                <w:tcPr>
                  <w:tcW w:w="720" w:type="pct"/>
                  <w:vAlign w:val="center"/>
                </w:tcPr>
                <w:p>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空间布局约束</w:t>
                  </w:r>
                </w:p>
              </w:tc>
              <w:tc>
                <w:tcPr>
                  <w:tcW w:w="1905" w:type="pct"/>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.双桥工业园区工业用地与居住用地之间设置绿化隔离带；艾诺斯电池等现有企业应严格管控环境防护距离。</w:t>
                  </w:r>
                </w:p>
                <w:p>
                  <w:pPr>
                    <w:autoSpaceDE w:val="0"/>
                    <w:autoSpaceDN w:val="0"/>
                    <w:adjustRightInd w:val="0"/>
                    <w:spacing w:line="240" w:lineRule="auto"/>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.邮亭工业园A区再生铅企业与环境敏感点应设置不小于1公里的环境防护距离</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智伦电镀园区等企业严格管控环境防护距离。</w:t>
                  </w:r>
                </w:p>
              </w:tc>
              <w:tc>
                <w:tcPr>
                  <w:tcW w:w="1282" w:type="pct"/>
                  <w:vAlign w:val="center"/>
                </w:tcPr>
                <w:p>
                  <w:pPr>
                    <w:tabs>
                      <w:tab w:val="left" w:pos="312"/>
                    </w:tabs>
                    <w:autoSpaceDE w:val="0"/>
                    <w:autoSpaceDN w:val="0"/>
                    <w:adjustRightInd w:val="0"/>
                    <w:spacing w:line="240" w:lineRule="auto"/>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项目位于邮亭工业园A区，</w:t>
                  </w:r>
                  <w:r>
                    <w:rPr>
                      <w:color w:val="000000" w:themeColor="text1"/>
                      <w:kern w:val="0"/>
                      <w:szCs w:val="21"/>
                      <w14:textFill>
                        <w14:solidFill>
                          <w14:schemeClr w14:val="tx1"/>
                        </w14:solidFill>
                      </w14:textFill>
                    </w:rPr>
                    <w:t>周边</w:t>
                  </w:r>
                  <w:r>
                    <w:rPr>
                      <w:rFonts w:hint="eastAsia"/>
                      <w:color w:val="000000" w:themeColor="text1"/>
                      <w:kern w:val="0"/>
                      <w:szCs w:val="21"/>
                      <w14:textFill>
                        <w14:solidFill>
                          <w14:schemeClr w14:val="tx1"/>
                        </w14:solidFill>
                      </w14:textFill>
                    </w:rPr>
                    <w:t>均为在建或建成的工业企业</w:t>
                  </w:r>
                  <w:r>
                    <w:rPr>
                      <w:color w:val="000000" w:themeColor="text1"/>
                      <w:kern w:val="0"/>
                      <w:szCs w:val="21"/>
                      <w14:textFill>
                        <w14:solidFill>
                          <w14:schemeClr w14:val="tx1"/>
                        </w14:solidFill>
                      </w14:textFill>
                    </w:rPr>
                    <w:t>，项目无需设置大气环境防护距离</w:t>
                  </w:r>
                  <w:r>
                    <w:rPr>
                      <w:rFonts w:hint="eastAsia"/>
                      <w:color w:val="000000" w:themeColor="text1"/>
                      <w:kern w:val="0"/>
                      <w:szCs w:val="21"/>
                      <w14:textFill>
                        <w14:solidFill>
                          <w14:schemeClr w14:val="tx1"/>
                        </w14:solidFill>
                      </w14:textFill>
                    </w:rPr>
                    <w:t>；项目不属于再生铅企业、电镀企业。</w:t>
                  </w:r>
                </w:p>
              </w:tc>
              <w:tc>
                <w:tcPr>
                  <w:tcW w:w="597" w:type="pct"/>
                  <w:vAlign w:val="center"/>
                </w:tcPr>
                <w:p>
                  <w:pPr>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720" w:type="pct"/>
                  <w:vAlign w:val="center"/>
                </w:tcPr>
                <w:p>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污染物排放管控</w:t>
                  </w:r>
                </w:p>
              </w:tc>
              <w:tc>
                <w:tcPr>
                  <w:tcW w:w="1905" w:type="pct"/>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在太平河流域水质达标前，新增总磷污染物的工业项目，须在区域内实行等量削减。2.太平河流域内新建城镇污水处理设施要执行一级A排放标准。包括邮亭镇污水处理厂在内的现有集中式污水处理设施应逐步进行提标改造，排水执行一级A排放标准。3.加强对废气尤其是有毒及恶臭气体的收集和处理率。新建、改建、扩建涉VOCs排放的项目，要加强源头控制，使用低（无）VOCs含量的原辅料，加强废气收集，安装高效治理设施。鼓励推广使用符合环保要求的高固体分、水性涂料、粉末涂料、紫外光固化涂料。</w:t>
                  </w:r>
                </w:p>
              </w:tc>
              <w:tc>
                <w:tcPr>
                  <w:tcW w:w="1282" w:type="pct"/>
                  <w:vAlign w:val="center"/>
                </w:tcPr>
                <w:p>
                  <w:pPr>
                    <w:autoSpaceDE w:val="0"/>
                    <w:autoSpaceDN w:val="0"/>
                    <w:adjustRightInd w:val="0"/>
                    <w:spacing w:line="240" w:lineRule="auto"/>
                    <w:textAlignment w:val="baseline"/>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项目废水</w:t>
                  </w:r>
                  <w:r>
                    <w:rPr>
                      <w:color w:val="000000" w:themeColor="text1"/>
                      <w:szCs w:val="20"/>
                      <w14:textFill>
                        <w14:solidFill>
                          <w14:schemeClr w14:val="tx1"/>
                        </w14:solidFill>
                      </w14:textFill>
                    </w:rPr>
                    <w:t>经预处理达标后排入</w:t>
                  </w:r>
                  <w:r>
                    <w:rPr>
                      <w:rFonts w:hint="eastAsia"/>
                      <w:color w:val="000000" w:themeColor="text1"/>
                      <w:szCs w:val="20"/>
                      <w14:textFill>
                        <w14:solidFill>
                          <w14:schemeClr w14:val="tx1"/>
                        </w14:solidFill>
                      </w14:textFill>
                    </w:rPr>
                    <w:t>双桥园区</w:t>
                  </w:r>
                  <w:r>
                    <w:rPr>
                      <w:color w:val="000000" w:themeColor="text1"/>
                      <w:szCs w:val="20"/>
                      <w14:textFill>
                        <w14:solidFill>
                          <w14:schemeClr w14:val="tx1"/>
                        </w14:solidFill>
                      </w14:textFill>
                    </w:rPr>
                    <w:t>污水处理厂深度处理。</w:t>
                  </w:r>
                  <w:r>
                    <w:rPr>
                      <w:rFonts w:hint="eastAsia"/>
                      <w:color w:val="000000" w:themeColor="text1"/>
                      <w:szCs w:val="20"/>
                      <w14:textFill>
                        <w14:solidFill>
                          <w14:schemeClr w14:val="tx1"/>
                        </w14:solidFill>
                      </w14:textFill>
                    </w:rPr>
                    <w:t>双桥园区污水处理厂尾水排放执行</w:t>
                  </w:r>
                  <w:r>
                    <w:rPr>
                      <w:color w:val="000000" w:themeColor="text1"/>
                      <w:szCs w:val="32"/>
                      <w14:textFill>
                        <w14:solidFill>
                          <w14:schemeClr w14:val="tx1"/>
                        </w14:solidFill>
                      </w14:textFill>
                    </w:rPr>
                    <w:t>《城镇污水处理厂污染物排放标准》（GB18918-2002）一级A</w:t>
                  </w:r>
                  <w:r>
                    <w:rPr>
                      <w:rFonts w:hint="eastAsia"/>
                      <w:color w:val="000000" w:themeColor="text1"/>
                      <w:szCs w:val="32"/>
                      <w14:textFill>
                        <w14:solidFill>
                          <w14:schemeClr w14:val="tx1"/>
                        </w14:solidFill>
                      </w14:textFill>
                    </w:rPr>
                    <w:t>标准。</w:t>
                  </w:r>
                </w:p>
                <w:p>
                  <w:pPr>
                    <w:autoSpaceDE w:val="0"/>
                    <w:autoSpaceDN w:val="0"/>
                    <w:adjustRightInd w:val="0"/>
                    <w:spacing w:line="240" w:lineRule="auto"/>
                    <w:textAlignment w:val="baseline"/>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项目燃烧烟气经处理后有组织达标排放；储油罐区呼吸废气接入二燃室燃烧处理。项目加强废气收集效率，减少无组织废气排放。</w:t>
                  </w:r>
                </w:p>
              </w:tc>
              <w:tc>
                <w:tcPr>
                  <w:tcW w:w="597" w:type="pct"/>
                  <w:vAlign w:val="center"/>
                </w:tcPr>
                <w:p>
                  <w:pPr>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720" w:type="pct"/>
                  <w:vAlign w:val="center"/>
                </w:tcPr>
                <w:p>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环境风险防控</w:t>
                  </w:r>
                </w:p>
              </w:tc>
              <w:tc>
                <w:tcPr>
                  <w:tcW w:w="1905" w:type="pct"/>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区域内重金属污染防控地块3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艾诺斯（重庆）华达电源系统有限公司、重庆德能再生资源股份有限公司、重庆智伦电镀有限公司，企业应严控重金属污染物排放，严格按排污自行监测规范要求，开展土壤环境现状监测，严格管控土壤环境风险。</w:t>
                  </w:r>
                </w:p>
              </w:tc>
              <w:tc>
                <w:tcPr>
                  <w:tcW w:w="1282" w:type="pct"/>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不属于重金属污染防控地块，且项目</w:t>
                  </w:r>
                  <w:r>
                    <w:rPr>
                      <w:color w:val="000000" w:themeColor="text1"/>
                      <w:szCs w:val="21"/>
                      <w14:textFill>
                        <w14:solidFill>
                          <w14:schemeClr w14:val="tx1"/>
                        </w14:solidFill>
                      </w14:textFill>
                    </w:rPr>
                    <w:t>不涉及重金属排放</w:t>
                  </w:r>
                  <w:r>
                    <w:rPr>
                      <w:rFonts w:hint="eastAsia"/>
                      <w:color w:val="000000" w:themeColor="text1"/>
                      <w:szCs w:val="21"/>
                      <w14:textFill>
                        <w14:solidFill>
                          <w14:schemeClr w14:val="tx1"/>
                        </w14:solidFill>
                      </w14:textFill>
                    </w:rPr>
                    <w:t>。</w:t>
                  </w:r>
                </w:p>
              </w:tc>
              <w:tc>
                <w:tcPr>
                  <w:tcW w:w="597" w:type="pct"/>
                  <w:vAlign w:val="center"/>
                </w:tcPr>
                <w:p>
                  <w:pPr>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6" w:type="pct"/>
                  <w:vMerge w:val="continue"/>
                  <w:vAlign w:val="center"/>
                </w:tcPr>
                <w:p>
                  <w:pPr>
                    <w:snapToGrid w:val="0"/>
                    <w:spacing w:line="240" w:lineRule="auto"/>
                    <w:jc w:val="center"/>
                    <w:rPr>
                      <w:color w:val="000000" w:themeColor="text1"/>
                      <w:szCs w:val="21"/>
                      <w14:textFill>
                        <w14:solidFill>
                          <w14:schemeClr w14:val="tx1"/>
                        </w14:solidFill>
                      </w14:textFill>
                    </w:rPr>
                  </w:pPr>
                </w:p>
              </w:tc>
              <w:tc>
                <w:tcPr>
                  <w:tcW w:w="720" w:type="pct"/>
                  <w:vAlign w:val="center"/>
                </w:tcPr>
                <w:p>
                  <w:pPr>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资源开发利用效率</w:t>
                  </w:r>
                </w:p>
              </w:tc>
              <w:tc>
                <w:tcPr>
                  <w:tcW w:w="1905" w:type="pct"/>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龙滩子、双路、通桥街道辖区禁止新建使用煤、重油等为高污染燃料的工业项目。</w:t>
                  </w:r>
                </w:p>
              </w:tc>
              <w:tc>
                <w:tcPr>
                  <w:tcW w:w="1282" w:type="pct"/>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不使用煤、重油等高污染燃料。</w:t>
                  </w:r>
                </w:p>
              </w:tc>
              <w:tc>
                <w:tcPr>
                  <w:tcW w:w="597" w:type="pct"/>
                  <w:vAlign w:val="center"/>
                </w:tcPr>
                <w:p>
                  <w:pPr>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pPr>
              <w:pStyle w:val="3"/>
              <w:numPr>
                <w:ilvl w:val="0"/>
                <w:numId w:val="0"/>
              </w:num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由上表可知，项目符合“三线一单”的管控要求。</w:t>
            </w:r>
          </w:p>
          <w:p>
            <w:pPr>
              <w:autoSpaceDE w:val="0"/>
              <w:autoSpaceDN w:val="0"/>
              <w:adjustRightInd w:val="0"/>
              <w:snapToGrid w:val="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1.4</w:t>
            </w:r>
            <w:r>
              <w:rPr>
                <w:rFonts w:hint="eastAsia"/>
                <w:b/>
                <w:color w:val="000000" w:themeColor="text1"/>
                <w:kern w:val="0"/>
                <w:sz w:val="24"/>
                <w14:textFill>
                  <w14:solidFill>
                    <w14:schemeClr w14:val="tx1"/>
                  </w14:solidFill>
                </w14:textFill>
              </w:rPr>
              <w:t>与国家产业政策符合性分析</w:t>
            </w:r>
          </w:p>
          <w:p>
            <w:pPr>
              <w:pStyle w:val="72"/>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根据《国民经济行业分类》，</w:t>
            </w: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属于C4220</w:t>
            </w:r>
            <w:r>
              <w:rPr>
                <w:rFonts w:hint="eastAsia" w:cs="Times New Roman"/>
                <w:color w:val="000000" w:themeColor="text1"/>
                <w14:textFill>
                  <w14:solidFill>
                    <w14:schemeClr w14:val="tx1"/>
                  </w14:solidFill>
                </w14:textFill>
              </w:rPr>
              <w:t>非金属废料和碎屑加工处理业</w:t>
            </w:r>
            <w:r>
              <w:rPr>
                <w:rFonts w:cs="Times New Roman"/>
                <w:color w:val="000000" w:themeColor="text1"/>
                <w14:textFill>
                  <w14:solidFill>
                    <w14:schemeClr w14:val="tx1"/>
                  </w14:solidFill>
                </w14:textFill>
              </w:rPr>
              <w:t>。对照《产业结构调整指导目录（2019年本）》（2021</w:t>
            </w:r>
            <w:r>
              <w:rPr>
                <w:rFonts w:hint="eastAsia" w:cs="Times New Roman"/>
                <w:color w:val="000000" w:themeColor="text1"/>
                <w14:textFill>
                  <w14:solidFill>
                    <w14:schemeClr w14:val="tx1"/>
                  </w14:solidFill>
                </w14:textFill>
              </w:rPr>
              <w:t>年修订版</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项目属于国家鼓励类项目第四十三项环境保护与资源节约综合利用中第</w:t>
            </w: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小项“区域性废旧汽车、废旧电器电子产品、废旧船舶、废钢铁、废旧木材、废旧橡胶等资源循环利用基地建设”、第2</w:t>
            </w:r>
            <w:r>
              <w:rPr>
                <w:rFonts w:cs="Times New Roman"/>
                <w:color w:val="000000" w:themeColor="text1"/>
                <w14:textFill>
                  <w14:solidFill>
                    <w14:schemeClr w14:val="tx1"/>
                  </w14:solidFill>
                </w14:textFill>
              </w:rPr>
              <w:t>7</w:t>
            </w:r>
            <w:r>
              <w:rPr>
                <w:rFonts w:hint="eastAsia" w:cs="Times New Roman"/>
                <w:color w:val="000000" w:themeColor="text1"/>
                <w14:textFill>
                  <w14:solidFill>
                    <w14:schemeClr w14:val="tx1"/>
                  </w14:solidFill>
                </w14:textFill>
              </w:rPr>
              <w:t>小项“废旧木材、废旧电器电子产品、废印刷电路板、废旧电池、废旧船舶、废旧农机、废塑料、废旧纺织品及纺织废料和边角料、废（碎）玻璃、废橡胶、废弃油脂等废旧物资等资源循环再利用技术、设备开发及应用”。同时，项目符合国家有关循环经济资源综合利用的精神，所属行业符合《废旧轮胎综合利用指导意见》（工产业政策[</w:t>
            </w:r>
            <w:r>
              <w:rPr>
                <w:rFonts w:cs="Times New Roman"/>
                <w:color w:val="000000" w:themeColor="text1"/>
                <w14:textFill>
                  <w14:solidFill>
                    <w14:schemeClr w14:val="tx1"/>
                  </w14:solidFill>
                </w14:textFill>
              </w:rPr>
              <w:t>2010]</w:t>
            </w:r>
            <w:r>
              <w:rPr>
                <w:rFonts w:hint="eastAsia" w:cs="Times New Roman"/>
                <w:color w:val="000000" w:themeColor="text1"/>
                <w14:textFill>
                  <w14:solidFill>
                    <w14:schemeClr w14:val="tx1"/>
                  </w14:solidFill>
                </w14:textFill>
              </w:rPr>
              <w:t>第4号）和《资源综合利用目录（2</w:t>
            </w:r>
            <w:r>
              <w:rPr>
                <w:rFonts w:cs="Times New Roman"/>
                <w:color w:val="000000" w:themeColor="text1"/>
                <w14:textFill>
                  <w14:solidFill>
                    <w14:schemeClr w14:val="tx1"/>
                  </w14:solidFill>
                </w14:textFill>
              </w:rPr>
              <w:t>003</w:t>
            </w:r>
            <w:r>
              <w:rPr>
                <w:rFonts w:hint="eastAsia" w:cs="Times New Roman"/>
                <w:color w:val="000000" w:themeColor="text1"/>
                <w14:textFill>
                  <w14:solidFill>
                    <w14:schemeClr w14:val="tx1"/>
                  </w14:solidFill>
                </w14:textFill>
              </w:rPr>
              <w:t>年修订）》中相关规定</w:t>
            </w:r>
            <w:r>
              <w:rPr>
                <w:rFonts w:cs="Times New Roman"/>
                <w:color w:val="000000" w:themeColor="text1"/>
                <w14:textFill>
                  <w14:solidFill>
                    <w14:schemeClr w14:val="tx1"/>
                  </w14:solidFill>
                </w14:textFill>
              </w:rPr>
              <w:t>。</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020</w:t>
            </w:r>
            <w:r>
              <w:rPr>
                <w:rFonts w:hint="eastAsia" w:cs="Times New Roman"/>
                <w:color w:val="000000" w:themeColor="text1"/>
                <w14:textFill>
                  <w14:solidFill>
                    <w14:schemeClr w14:val="tx1"/>
                  </w14:solidFill>
                </w14:textFill>
              </w:rPr>
              <w:t>年9月</w:t>
            </w:r>
            <w:r>
              <w:rPr>
                <w:rFonts w:cs="Times New Roman"/>
                <w:color w:val="000000" w:themeColor="text1"/>
                <w14:textFill>
                  <w14:solidFill>
                    <w14:schemeClr w14:val="tx1"/>
                  </w14:solidFill>
                </w14:textFill>
              </w:rPr>
              <w:t>，重庆市</w:t>
            </w:r>
            <w:r>
              <w:rPr>
                <w:rFonts w:hint="eastAsia" w:cs="Times New Roman"/>
                <w:color w:val="000000" w:themeColor="text1"/>
                <w14:textFill>
                  <w14:solidFill>
                    <w14:schemeClr w14:val="tx1"/>
                  </w14:solidFill>
                </w14:textFill>
              </w:rPr>
              <w:t>大足</w:t>
            </w:r>
            <w:r>
              <w:rPr>
                <w:rFonts w:cs="Times New Roman"/>
                <w:color w:val="000000" w:themeColor="text1"/>
                <w14:textFill>
                  <w14:solidFill>
                    <w14:schemeClr w14:val="tx1"/>
                  </w14:solidFill>
                </w14:textFill>
              </w:rPr>
              <w:t>区发展和改革委员会</w:t>
            </w:r>
            <w:r>
              <w:rPr>
                <w:rFonts w:hint="eastAsia" w:cs="Times New Roman"/>
                <w:color w:val="000000" w:themeColor="text1"/>
                <w14:textFill>
                  <w14:solidFill>
                    <w14:schemeClr w14:val="tx1"/>
                  </w14:solidFill>
                </w14:textFill>
              </w:rPr>
              <w:t>对本项目予以备案</w:t>
            </w:r>
            <w:r>
              <w:rPr>
                <w:rFonts w:cs="Times New Roman"/>
                <w:color w:val="000000" w:themeColor="text1"/>
                <w14:textFill>
                  <w14:solidFill>
                    <w14:schemeClr w14:val="tx1"/>
                  </w14:solidFill>
                </w14:textFill>
              </w:rPr>
              <w:t>，项目编码为：</w:t>
            </w:r>
            <w:r>
              <w:rPr>
                <w:color w:val="000000" w:themeColor="text1"/>
                <w14:textFill>
                  <w14:solidFill>
                    <w14:schemeClr w14:val="tx1"/>
                  </w14:solidFill>
                </w14:textFill>
              </w:rPr>
              <w:t>2208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500111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699644</w:t>
            </w:r>
            <w:r>
              <w:rPr>
                <w:rFonts w:hint="eastAsia"/>
                <w:color w:val="000000" w:themeColor="text1"/>
                <w14:textFill>
                  <w14:solidFill>
                    <w14:schemeClr w14:val="tx1"/>
                  </w14:solidFill>
                </w14:textFill>
              </w:rPr>
              <w:t>，详见附件1</w:t>
            </w:r>
            <w:r>
              <w:rPr>
                <w:rFonts w:cs="Times New Roman"/>
                <w:color w:val="000000" w:themeColor="text1"/>
                <w14:textFill>
                  <w14:solidFill>
                    <w14:schemeClr w14:val="tx1"/>
                  </w14:solidFill>
                </w14:textFill>
              </w:rPr>
              <w:t>。</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符合国家产业政策。</w:t>
            </w:r>
          </w:p>
          <w:p>
            <w:pPr>
              <w:tabs>
                <w:tab w:val="right" w:leader="dot" w:pos="9180"/>
              </w:tabs>
              <w:autoSpaceDE w:val="0"/>
              <w:autoSpaceDN w:val="0"/>
              <w:rPr>
                <w:b/>
                <w:color w:val="000000" w:themeColor="text1"/>
                <w:sz w:val="24"/>
                <w14:textFill>
                  <w14:solidFill>
                    <w14:schemeClr w14:val="tx1"/>
                  </w14:solidFill>
                </w14:textFill>
              </w:rPr>
            </w:pPr>
            <w:r>
              <w:rPr>
                <w:b/>
                <w:color w:val="000000" w:themeColor="text1"/>
                <w:sz w:val="24"/>
                <w14:textFill>
                  <w14:solidFill>
                    <w14:schemeClr w14:val="tx1"/>
                  </w14:solidFill>
                </w14:textFill>
              </w:rPr>
              <w:t>1.5</w:t>
            </w:r>
            <w:r>
              <w:rPr>
                <w:rFonts w:hint="eastAsia"/>
                <w:b/>
                <w:color w:val="000000" w:themeColor="text1"/>
                <w:sz w:val="24"/>
                <w14:textFill>
                  <w14:solidFill>
                    <w14:schemeClr w14:val="tx1"/>
                  </w14:solidFill>
                </w14:textFill>
              </w:rPr>
              <w:t>行业准入条件分析</w:t>
            </w:r>
          </w:p>
          <w:p>
            <w:pPr>
              <w:tabs>
                <w:tab w:val="right" w:leader="dot" w:pos="9180"/>
              </w:tabs>
              <w:autoSpaceDE w:val="0"/>
              <w:autoSpaceDN w:val="0"/>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根据《废旧轮胎综合利用行业规范条件（2</w:t>
            </w:r>
            <w:r>
              <w:rPr>
                <w:bCs/>
                <w:color w:val="000000" w:themeColor="text1"/>
                <w:sz w:val="24"/>
                <w14:textFill>
                  <w14:solidFill>
                    <w14:schemeClr w14:val="tx1"/>
                  </w14:solidFill>
                </w14:textFill>
              </w:rPr>
              <w:t>020</w:t>
            </w:r>
            <w:r>
              <w:rPr>
                <w:rFonts w:hint="eastAsia"/>
                <w:bCs/>
                <w:color w:val="000000" w:themeColor="text1"/>
                <w:sz w:val="24"/>
                <w14:textFill>
                  <w14:solidFill>
                    <w14:schemeClr w14:val="tx1"/>
                  </w14:solidFill>
                </w14:textFill>
              </w:rPr>
              <w:t>年本）》中的相关要求，本次评价从项目选址与企业布局、技术、装备和工艺、资源利用及能源消耗、环境保护、产品质量和职业教育等方面对项目的行业规范符合性进行分析，详见表1</w:t>
            </w:r>
            <w:r>
              <w:rPr>
                <w:bCs/>
                <w:color w:val="000000" w:themeColor="text1"/>
                <w:sz w:val="24"/>
                <w14:textFill>
                  <w14:solidFill>
                    <w14:schemeClr w14:val="tx1"/>
                  </w14:solidFill>
                </w14:textFill>
              </w:rPr>
              <w:t>.5</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w:t>
            </w:r>
          </w:p>
          <w:p>
            <w:pPr>
              <w:tabs>
                <w:tab w:val="right" w:leader="dot" w:pos="9180"/>
              </w:tabs>
              <w:autoSpaceDE w:val="0"/>
              <w:autoSpaceDN w:val="0"/>
              <w:spacing w:line="24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表1</w:t>
            </w:r>
            <w:r>
              <w:rPr>
                <w:b/>
                <w:bCs/>
                <w:color w:val="000000" w:themeColor="text1"/>
                <w:sz w:val="24"/>
                <w14:textFill>
                  <w14:solidFill>
                    <w14:schemeClr w14:val="tx1"/>
                  </w14:solidFill>
                </w14:textFill>
              </w:rPr>
              <w:t>.5</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 xml:space="preserve">1  </w:t>
            </w:r>
            <w:r>
              <w:rPr>
                <w:rFonts w:hint="eastAsia"/>
                <w:b/>
                <w:bCs/>
                <w:color w:val="000000" w:themeColor="text1"/>
                <w:sz w:val="24"/>
                <w14:textFill>
                  <w14:solidFill>
                    <w14:schemeClr w14:val="tx1"/>
                  </w14:solidFill>
                </w14:textFill>
              </w:rPr>
              <w:t>废旧轮胎综合利用行业规范条件符合性分析</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4079"/>
              <w:gridCol w:w="2675"/>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4079" w:type="dxa"/>
                  <w:shd w:val="clear" w:color="auto" w:fill="auto"/>
                  <w:vAlign w:val="center"/>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行业准入条件</w:t>
                  </w:r>
                </w:p>
              </w:tc>
              <w:tc>
                <w:tcPr>
                  <w:tcW w:w="2675" w:type="dxa"/>
                  <w:shd w:val="clear" w:color="auto" w:fill="auto"/>
                  <w:vAlign w:val="center"/>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本项目情况</w:t>
                  </w:r>
                </w:p>
              </w:tc>
              <w:tc>
                <w:tcPr>
                  <w:tcW w:w="789" w:type="dxa"/>
                  <w:shd w:val="clear" w:color="auto" w:fill="auto"/>
                  <w:vAlign w:val="center"/>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7543" w:type="dxa"/>
                  <w:gridSpan w:val="3"/>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项目选址与企业布局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.1</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企业应符合国家产业政策和所在地城乡建设规划、生态环境保护规划和污染防治、土地利用总体规划、主体功能区规划等要求，其施工建设应满足规范化设计要求。</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本项目位于双桥经开区邮亭片区A区。经分析，项目符合国家产业政策及行业规范、园区规划及土地利用总体规划等。</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.2</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在国家法律、法规、行政规章及规划确定或经县级以上人民政府批准的自然保护区、风景名胜区、饮用水源保护区、永久基本农田等法律法规禁止建设区域和生态环境保护红线区域，以及以居住、医疗卫生、文化教育、科研、行政办公等为主要功能的区域，不得新建、改扩建企业。</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项目位于工业园区内。经现场调查，项目评价范围内不涉及自然保护区、风景名胜区、饮用水源保护区、永久基本农田等区域。</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.3</w:t>
                  </w:r>
                </w:p>
              </w:tc>
              <w:tc>
                <w:tcPr>
                  <w:tcW w:w="407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企业产能设计应与废旧轮胎可回收量相适应。</w:t>
                  </w:r>
                </w:p>
              </w:tc>
              <w:tc>
                <w:tcPr>
                  <w:tcW w:w="2675"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据建设单位提供的资料及调查分析，项目所在区域有足够的市场资源可满足本项目设计的建设总规模。项目分期建设，一期建设3万吨/年的处理规模，适时再建设二期。企业的产能设计与区域废轮胎可回收量相适应。</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.4</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企业厂区土地使用手续合法（租用合同应不少于15年），厂区面积、生产区域面积应与综合利用加工能力相匹配，废旧轮胎贮存场地应符合回收管理规范的要求。</w:t>
                  </w:r>
                </w:p>
              </w:tc>
              <w:tc>
                <w:tcPr>
                  <w:tcW w:w="2675"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项目土地合法购买。厂区面积、生产区域面积与综合利用加工能力相匹配，原料库房满足回收管理规范要求。</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7543" w:type="dxa"/>
                  <w:gridSpan w:val="3"/>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技术、装备和工艺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.1</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企业应采用节能、环保、清洁、高效、智能的新技术、新工艺，选择自动化效率高、能源消耗指标合理、密封性好、污染物产排量少、本质安全和资源综合利用率高的生产装备及辅助设施，采用先进的产品质量检测设备。</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本项目采用连续式低温裂解工艺，自动化程度高；采用先进的废气及废水治理措施，确保项目外排污染物达标排放。</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.2</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鼓励企业优先采用政府部门发布的《国家工业资源综合利用先进适用技术装备目录》所列的技术装备。废轮胎破碎不采用手工方式，废轮胎破碎、粉碎及分级应采用自动化技术与装备，鼓励应用橡胶粉生产自动化集中控制生产线。再生橡胶应采用环保自动化或智能化连续生产装备，鼓励应用新型塑化方式生产，精炼成型应采用联动装备。热裂解应采用连续自动化生产装备。</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本项目采用自动化程度较高的连续式低温裂解工艺。轮胎破碎、粉碎及分级均自动控制。</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.3</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鼓励有条件的企业开展智能工厂建设，应用自动化智能装备，逐步实现智能化管理。</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项目采用自动化程度较高的连续式低温裂解工艺</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7543" w:type="dxa"/>
                  <w:gridSpan w:val="3"/>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资源利用及能源消耗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资源利用。轮胎翻新生产中产生的橡胶边脚料，废轮胎加工处理中产生的废料以及尾气净化产生的粉尘等次生固体废物，应建立台账记录制度，鼓励企业全部回收利用；企业不具备利用条件的，应建立登记转移记录制度，委托其他企业利用处置，不得擅自丢弃、倾倒、焚烧与填埋。</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本项目对废旧轮胎进行1</w:t>
                  </w: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%利用。加工过程中产生的废料全部回收利用；轮胎处理除尘灰进入裂解线裂解；炭黑加工除尘灰作为炭黑产品外售；裂解废气除尘灰作为建筑材料外售。</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.2</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（二）能源消耗指标。热裂解处理综合能源消耗低于2</w:t>
                  </w: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千瓦时/吨，其中破碎工序能源消耗低于1</w:t>
                  </w:r>
                  <w:r>
                    <w:rPr>
                      <w:color w:val="000000" w:themeColor="text1"/>
                      <w:sz w:val="21"/>
                      <w:szCs w:val="21"/>
                      <w14:textFill>
                        <w14:solidFill>
                          <w14:schemeClr w14:val="tx1"/>
                        </w14:solidFill>
                      </w14:textFill>
                    </w:rPr>
                    <w:t>20</w:t>
                  </w:r>
                  <w:r>
                    <w:rPr>
                      <w:rFonts w:hint="eastAsia"/>
                      <w:color w:val="000000" w:themeColor="text1"/>
                      <w:sz w:val="21"/>
                      <w:szCs w:val="21"/>
                      <w14:textFill>
                        <w14:solidFill>
                          <w14:schemeClr w14:val="tx1"/>
                        </w14:solidFill>
                      </w14:textFill>
                    </w:rPr>
                    <w:t>千瓦时/吨，热裂解工序能源消耗低于80千瓦时/吨。</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根据建设单位提供的节能评估资料，项目热裂解处理综合能源消耗</w:t>
                  </w:r>
                  <w:r>
                    <w:rPr>
                      <w:color w:val="000000" w:themeColor="text1"/>
                      <w:sz w:val="21"/>
                      <w:szCs w:val="21"/>
                      <w14:textFill>
                        <w14:solidFill>
                          <w14:schemeClr w14:val="tx1"/>
                        </w14:solidFill>
                      </w14:textFill>
                    </w:rPr>
                    <w:t>144.99千瓦时/吨＜200千瓦时/吨。破碎工序能耗约117.45千瓦时/吨＜120千瓦时/吨，热裂解工序能耗约27.54千瓦时/吨＜80千瓦时/吨。</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7543" w:type="dxa"/>
                  <w:gridSpan w:val="3"/>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.1</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（一）企业应严格执行《中华人民共和国环境保护法》《中华人民共和国环境影响评价法》，依法向生态环境行政主管部门报批环境影响评价文件；严格执行环境保护</w:t>
                  </w:r>
                  <w:r>
                    <w:rPr>
                      <w:rFonts w:ascii="TimesNewRomanPSMT" w:hAnsi="TimesNewRomanPSMT"/>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三同时</w:t>
                  </w:r>
                  <w:r>
                    <w:rPr>
                      <w:rFonts w:ascii="TimesNewRomanPSMT" w:hAnsi="TimesNewRomanPSMT"/>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制度，落实各项生态环境保护措施，在项目建成后按照国家规定的程序和技术规范开展建设项目竣工环境保护验收。</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建设单位将严格执行国家相关法律法规；严格执行环境保护“三同时”制度，落实本次评价提出的环保措施，并将按照规定开展项目竣工环境保护验收工作。</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.2</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（二）企业应通过环境管理体系认证。</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建设单位将按照要求通过环境管理体系认证。</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.3</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四）企业应当按照排污许可证申请与核发技术规范在规定的时限申请并取得排污许可证，并落实排污许可证规定的环境管理和信息公开要求。3.热裂解装备的尾气排放应达到《石油化学工业污染物排放标准》《恶臭污染物排放标准》等要求。严格热裂解油、炭黑利用处置管理，防止污染转移或二次污染。</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建设单位将按照要求取得排污许可证，并落实环境管理和信息公开要求。本项目热裂解设备尾气排放通过废气治理措施，可以达到《</w:t>
                  </w:r>
                  <w:r>
                    <w:rPr>
                      <w:color w:val="000000" w:themeColor="text1"/>
                      <w:sz w:val="21"/>
                      <w:szCs w:val="21"/>
                      <w14:textFill>
                        <w14:solidFill>
                          <w14:schemeClr w14:val="tx1"/>
                        </w14:solidFill>
                      </w14:textFill>
                    </w:rPr>
                    <w:t>石油化学工业污染物排放标准》《恶臭污染物排放标准》</w:t>
                  </w:r>
                  <w:r>
                    <w:rPr>
                      <w:rFonts w:hint="eastAsia"/>
                      <w:color w:val="000000" w:themeColor="text1"/>
                      <w:sz w:val="21"/>
                      <w:szCs w:val="21"/>
                      <w14:textFill>
                        <w14:solidFill>
                          <w14:schemeClr w14:val="tx1"/>
                        </w14:solidFill>
                      </w14:textFill>
                    </w:rPr>
                    <w:t>。</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.4</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（五）环境噪声应达到《工业企业厂界环境噪声排放标准》。</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本项目优选低噪声设备，采取基础减振、厂房隔声等措施后厂界噪声满足《工业企业厂界环境噪声排放标准》限值要求。</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.5</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（六）企业所在地发布地方相关排放标准的，执行地方标准。</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采取本次评价提出的污染防治措施后，项目污染物排放满足国家及地方相关排放标准。</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.6</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七）实行排污许可管理的企业应当按照国家有关规定和监测规范，对所排放的污染物自行监测，并保存原始监测记录。重点排污单位应安装污染物排放自动监测设备，与生态环境主管部门的监控设备联网，保证监测设备正常运行，并依法公开排放信息。企业在生产经营中严格落实排污许可证规定的环境管理要求</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根据国家及地方相关环保法律法规，本次评价将在环评文件中明确项目实施后，废气、废水及噪声的自行监测频次及监测因子等。</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7543" w:type="dxa"/>
                  <w:gridSpan w:val="3"/>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产品质量和职业教育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.1</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（一）鼓励企业设立专门的质量管理部门和专职质量管理人员。配备专业检验、检测设备，构建完善的质量管理制度，明确岗位操作规程、工作流程、岗位责任，做到检验数据完整、可追溯。</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建设单位将依照规定设立专门的质量管理部门和专职质量管理人员。</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.2</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（二）企业应通过质量管理体系认证</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建设单位将依照规定通过质量管理体系认证。</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.3</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（六）热裂解产品质量应符合《废旧轮胎裂解炭黑》等国家和行业相应的标准要求。</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本项目热裂解产品中炭黑符合《废旧轮胎裂解炭黑》标准要求、裂解油符合《废轮胎/橡胶再生油》标准要求。</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.4</w:t>
                  </w:r>
                </w:p>
              </w:tc>
              <w:tc>
                <w:tcPr>
                  <w:tcW w:w="4079"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（七）鼓励企业建立职业教育培训管理制度，工程技术人员、工人技师和工人应定期接受培训和继续教育，建立职工教育档案。按照国家职业标准要求，特种作业人员应做到持证上岗。</w:t>
                  </w:r>
                </w:p>
              </w:tc>
              <w:tc>
                <w:tcPr>
                  <w:tcW w:w="2675"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建设单位将依照规定建立职业教育培训管理制度等，按照国家职业标准要求，特种作业人员做到持证上岗。</w:t>
                  </w:r>
                </w:p>
              </w:tc>
              <w:tc>
                <w:tcPr>
                  <w:tcW w:w="78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bl>
          <w:p>
            <w:pPr>
              <w:pStyle w:val="2"/>
              <w:spacing w:before="0" w:after="0" w:line="360" w:lineRule="auto"/>
              <w:ind w:right="0" w:firstLine="480" w:firstLineChars="200"/>
              <w:rPr>
                <w:color w:val="000000" w:themeColor="text1"/>
                <w:sz w:val="21"/>
                <w:szCs w:val="21"/>
                <w14:textFill>
                  <w14:solidFill>
                    <w14:schemeClr w14:val="tx1"/>
                  </w14:solidFill>
                </w14:textFill>
              </w:rPr>
            </w:pPr>
            <w:r>
              <w:rPr>
                <w:rFonts w:hint="eastAsia"/>
                <w:bCs/>
                <w:color w:val="000000" w:themeColor="text1"/>
                <w:sz w:val="24"/>
                <w14:textFill>
                  <w14:solidFill>
                    <w14:schemeClr w14:val="tx1"/>
                  </w14:solidFill>
                </w14:textFill>
              </w:rPr>
              <w:t>由上表可知，项目的建设符合《废旧轮胎综合利用行业规范条件（2</w:t>
            </w:r>
            <w:r>
              <w:rPr>
                <w:bCs/>
                <w:color w:val="000000" w:themeColor="text1"/>
                <w:sz w:val="24"/>
                <w14:textFill>
                  <w14:solidFill>
                    <w14:schemeClr w14:val="tx1"/>
                  </w14:solidFill>
                </w14:textFill>
              </w:rPr>
              <w:t>020</w:t>
            </w:r>
            <w:r>
              <w:rPr>
                <w:rFonts w:hint="eastAsia"/>
                <w:bCs/>
                <w:color w:val="000000" w:themeColor="text1"/>
                <w:sz w:val="24"/>
                <w14:textFill>
                  <w14:solidFill>
                    <w14:schemeClr w14:val="tx1"/>
                  </w14:solidFill>
                </w14:textFill>
              </w:rPr>
              <w:t>年本）》的相关要求。</w:t>
            </w:r>
          </w:p>
          <w:p>
            <w:pPr>
              <w:tabs>
                <w:tab w:val="right" w:leader="dot" w:pos="9180"/>
              </w:tabs>
              <w:autoSpaceDE w:val="0"/>
              <w:autoSpaceDN w:val="0"/>
              <w:rPr>
                <w:b/>
                <w:color w:val="000000" w:themeColor="text1"/>
                <w:sz w:val="24"/>
                <w14:textFill>
                  <w14:solidFill>
                    <w14:schemeClr w14:val="tx1"/>
                  </w14:solidFill>
                </w14:textFill>
              </w:rPr>
            </w:pPr>
            <w:r>
              <w:rPr>
                <w:b/>
                <w:color w:val="000000" w:themeColor="text1"/>
                <w:sz w:val="24"/>
                <w14:textFill>
                  <w14:solidFill>
                    <w14:schemeClr w14:val="tx1"/>
                  </w14:solidFill>
                </w14:textFill>
              </w:rPr>
              <w:t>1.6</w:t>
            </w:r>
            <w:r>
              <w:rPr>
                <w:rFonts w:hint="eastAsia"/>
                <w:b/>
                <w:color w:val="000000" w:themeColor="text1"/>
                <w:sz w:val="24"/>
                <w14:textFill>
                  <w14:solidFill>
                    <w14:schemeClr w14:val="tx1"/>
                  </w14:solidFill>
                </w14:textFill>
              </w:rPr>
              <w:t>与工业项目环境准入规定符合性分析</w:t>
            </w:r>
          </w:p>
          <w:p>
            <w:pPr>
              <w:tabs>
                <w:tab w:val="right" w:leader="dot" w:pos="9180"/>
              </w:tabs>
              <w:autoSpaceDE w:val="0"/>
              <w:autoSpaceDN w:val="0"/>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w:t>
            </w:r>
            <w:r>
              <w:rPr>
                <w:bCs/>
                <w:color w:val="000000" w:themeColor="text1"/>
                <w:sz w:val="24"/>
                <w14:textFill>
                  <w14:solidFill>
                    <w14:schemeClr w14:val="tx1"/>
                  </w14:solidFill>
                </w14:textFill>
              </w:rPr>
              <w:t>与《重庆市工业项目环境准入规定（修订）》（渝办发[2012]142号）的</w:t>
            </w:r>
            <w:r>
              <w:rPr>
                <w:rFonts w:hint="eastAsia"/>
                <w:bCs/>
                <w:color w:val="000000" w:themeColor="text1"/>
                <w:sz w:val="24"/>
                <w14:textFill>
                  <w14:solidFill>
                    <w14:schemeClr w14:val="tx1"/>
                  </w14:solidFill>
                </w14:textFill>
              </w:rPr>
              <w:t>符合性分析，</w:t>
            </w:r>
            <w:r>
              <w:rPr>
                <w:bCs/>
                <w:color w:val="000000" w:themeColor="text1"/>
                <w:sz w:val="24"/>
                <w14:textFill>
                  <w14:solidFill>
                    <w14:schemeClr w14:val="tx1"/>
                  </w14:solidFill>
                </w14:textFill>
              </w:rPr>
              <w:t>详见表</w:t>
            </w: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.6-1。</w:t>
            </w:r>
          </w:p>
          <w:p>
            <w:pPr>
              <w:autoSpaceDE w:val="0"/>
              <w:autoSpaceDN w:val="0"/>
              <w:adjustRightInd w:val="0"/>
              <w:spacing w:line="240" w:lineRule="auto"/>
              <w:jc w:val="center"/>
              <w:textAlignment w:val="baseline"/>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.6</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1  项目工业准入符合性分析一览表（摘录）</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4461"/>
              <w:gridCol w:w="2533"/>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vAlign w:val="center"/>
                </w:tcPr>
                <w:p>
                  <w:pPr>
                    <w:pStyle w:val="12"/>
                    <w:spacing w:line="240" w:lineRule="auto"/>
                    <w:ind w:firstLine="0"/>
                    <w:jc w:val="center"/>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序号</w:t>
                  </w:r>
                </w:p>
              </w:tc>
              <w:tc>
                <w:tcPr>
                  <w:tcW w:w="2724" w:type="pct"/>
                  <w:vAlign w:val="center"/>
                </w:tcPr>
                <w:p>
                  <w:pPr>
                    <w:pStyle w:val="12"/>
                    <w:spacing w:line="240" w:lineRule="auto"/>
                    <w:ind w:firstLine="0"/>
                    <w:jc w:val="center"/>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环境准入条件</w:t>
                  </w:r>
                </w:p>
              </w:tc>
              <w:tc>
                <w:tcPr>
                  <w:tcW w:w="1547" w:type="pct"/>
                  <w:vAlign w:val="center"/>
                </w:tcPr>
                <w:p>
                  <w:pPr>
                    <w:pStyle w:val="12"/>
                    <w:spacing w:line="240" w:lineRule="auto"/>
                    <w:ind w:firstLine="0"/>
                    <w:jc w:val="center"/>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本项目情况</w:t>
                  </w:r>
                </w:p>
              </w:tc>
              <w:tc>
                <w:tcPr>
                  <w:tcW w:w="437" w:type="pct"/>
                  <w:vAlign w:val="center"/>
                </w:tcPr>
                <w:p>
                  <w:pPr>
                    <w:pStyle w:val="12"/>
                    <w:spacing w:line="240" w:lineRule="auto"/>
                    <w:ind w:firstLine="0"/>
                    <w:jc w:val="center"/>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vAlign w:val="center"/>
                </w:tcPr>
                <w:p>
                  <w:pPr>
                    <w:spacing w:line="240" w:lineRule="auto"/>
                    <w:jc w:val="center"/>
                    <w:rPr>
                      <w:b/>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w:t>
                  </w:r>
                </w:p>
              </w:tc>
              <w:tc>
                <w:tcPr>
                  <w:tcW w:w="2724" w:type="pct"/>
                  <w:vAlign w:val="center"/>
                </w:tcPr>
                <w:p>
                  <w:pPr>
                    <w:pStyle w:val="102"/>
                    <w:spacing w:line="240" w:lineRule="auto"/>
                    <w:jc w:val="left"/>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工业项目应符合产业政策，不得采用国家和本市淘汰的或禁止使用的工艺、技术和设备，不得建设生产工艺或污染防治技术不成熟的项目。</w:t>
                  </w:r>
                </w:p>
              </w:tc>
              <w:tc>
                <w:tcPr>
                  <w:tcW w:w="1547" w:type="pct"/>
                  <w:vAlign w:val="center"/>
                </w:tcPr>
                <w:p>
                  <w:pPr>
                    <w:pStyle w:val="156"/>
                    <w:spacing w:line="240" w:lineRule="auto"/>
                    <w:jc w:val="left"/>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经分析，项目符合国家相关产业政策的相关规定，</w:t>
                  </w:r>
                  <w:r>
                    <w:rPr>
                      <w:rFonts w:ascii="Times New Roman" w:hAnsi="Times New Roman" w:eastAsia="宋体"/>
                      <w:color w:val="000000" w:themeColor="text1"/>
                      <w:sz w:val="21"/>
                      <w:szCs w:val="21"/>
                      <w14:textFill>
                        <w14:solidFill>
                          <w14:schemeClr w14:val="tx1"/>
                        </w14:solidFill>
                      </w14:textFill>
                    </w:rPr>
                    <w:t>对比国家相关产业政策相关规定，</w:t>
                  </w:r>
                  <w:r>
                    <w:rPr>
                      <w:rFonts w:ascii="Times New Roman" w:hAnsi="Times New Roman" w:eastAsia="宋体"/>
                      <w:bCs/>
                      <w:color w:val="000000" w:themeColor="text1"/>
                      <w:sz w:val="21"/>
                      <w:szCs w:val="21"/>
                      <w:lang w:eastAsia="zh-CN"/>
                      <w14:textFill>
                        <w14:solidFill>
                          <w14:schemeClr w14:val="tx1"/>
                        </w14:solidFill>
                      </w14:textFill>
                    </w:rPr>
                    <w:t>项目</w:t>
                  </w:r>
                  <w:r>
                    <w:rPr>
                      <w:rFonts w:ascii="Times New Roman" w:hAnsi="Times New Roman" w:eastAsia="宋体"/>
                      <w:color w:val="000000" w:themeColor="text1"/>
                      <w:sz w:val="21"/>
                      <w:szCs w:val="21"/>
                      <w14:textFill>
                        <w14:solidFill>
                          <w14:schemeClr w14:val="tx1"/>
                        </w14:solidFill>
                      </w14:textFill>
                    </w:rPr>
                    <w:t>未采用国家和</w:t>
                  </w:r>
                  <w:r>
                    <w:rPr>
                      <w:rFonts w:hint="eastAsia" w:ascii="Times New Roman" w:hAnsi="Times New Roman" w:eastAsia="宋体"/>
                      <w:color w:val="000000" w:themeColor="text1"/>
                      <w:sz w:val="21"/>
                      <w:szCs w:val="21"/>
                      <w:lang w:eastAsia="zh-CN"/>
                      <w14:textFill>
                        <w14:solidFill>
                          <w14:schemeClr w14:val="tx1"/>
                        </w14:solidFill>
                      </w14:textFill>
                    </w:rPr>
                    <w:t>地方</w:t>
                  </w:r>
                  <w:r>
                    <w:rPr>
                      <w:rFonts w:ascii="Times New Roman" w:hAnsi="Times New Roman" w:eastAsia="宋体"/>
                      <w:color w:val="000000" w:themeColor="text1"/>
                      <w:sz w:val="21"/>
                      <w:szCs w:val="21"/>
                      <w14:textFill>
                        <w14:solidFill>
                          <w14:schemeClr w14:val="tx1"/>
                        </w14:solidFill>
                      </w14:textFill>
                    </w:rPr>
                    <w:t>淘汰或禁止使用的工艺、技术和设备。</w:t>
                  </w:r>
                </w:p>
              </w:tc>
              <w:tc>
                <w:tcPr>
                  <w:tcW w:w="437" w:type="pct"/>
                  <w:vAlign w:val="center"/>
                </w:tcPr>
                <w:p>
                  <w:pPr>
                    <w:pStyle w:val="156"/>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2</w:t>
                  </w:r>
                </w:p>
              </w:tc>
              <w:tc>
                <w:tcPr>
                  <w:tcW w:w="2724" w:type="pct"/>
                  <w:vAlign w:val="center"/>
                </w:tcPr>
                <w:p>
                  <w:pPr>
                    <w:pStyle w:val="102"/>
                    <w:spacing w:line="240" w:lineRule="auto"/>
                    <w:jc w:val="left"/>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本市新建和改造的工业项目清洁生产水平不得低于国家清洁生产标准的国内基本水平。其中，“一小时经济圈”和国家级开发区内的，应达到国内先进水平。</w:t>
                  </w:r>
                </w:p>
              </w:tc>
              <w:tc>
                <w:tcPr>
                  <w:tcW w:w="1547" w:type="pct"/>
                  <w:vAlign w:val="center"/>
                </w:tcPr>
                <w:p>
                  <w:pPr>
                    <w:pStyle w:val="156"/>
                    <w:spacing w:line="240" w:lineRule="auto"/>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lang w:eastAsia="zh-CN"/>
                      <w14:textFill>
                        <w14:solidFill>
                          <w14:schemeClr w14:val="tx1"/>
                        </w14:solidFill>
                      </w14:textFill>
                    </w:rPr>
                    <w:t>项目</w:t>
                  </w:r>
                  <w:r>
                    <w:rPr>
                      <w:rFonts w:ascii="Times New Roman" w:hAnsi="Times New Roman" w:eastAsia="宋体"/>
                      <w:color w:val="000000" w:themeColor="text1"/>
                      <w:sz w:val="21"/>
                      <w:szCs w:val="21"/>
                      <w14:textFill>
                        <w14:solidFill>
                          <w14:schemeClr w14:val="tx1"/>
                        </w14:solidFill>
                      </w14:textFill>
                    </w:rPr>
                    <w:t>采用</w:t>
                  </w:r>
                  <w:r>
                    <w:rPr>
                      <w:rFonts w:hint="eastAsia" w:ascii="Times New Roman" w:hAnsi="Times New Roman" w:eastAsia="宋体"/>
                      <w:color w:val="000000" w:themeColor="text1"/>
                      <w:sz w:val="21"/>
                      <w:szCs w:val="21"/>
                      <w:lang w:eastAsia="zh-CN"/>
                      <w14:textFill>
                        <w14:solidFill>
                          <w14:schemeClr w14:val="tx1"/>
                        </w14:solidFill>
                      </w14:textFill>
                    </w:rPr>
                    <w:t>连续裂解设备，属于先进工艺；</w:t>
                  </w:r>
                  <w:r>
                    <w:rPr>
                      <w:rFonts w:ascii="Times New Roman" w:hAnsi="Times New Roman" w:eastAsia="宋体"/>
                      <w:color w:val="000000" w:themeColor="text1"/>
                      <w:sz w:val="21"/>
                      <w:szCs w:val="21"/>
                      <w14:textFill>
                        <w14:solidFill>
                          <w14:schemeClr w14:val="tx1"/>
                        </w14:solidFill>
                      </w14:textFill>
                    </w:rPr>
                    <w:t>从源头控制污染物的排放，其</w:t>
                  </w:r>
                  <w:r>
                    <w:rPr>
                      <w:rFonts w:ascii="Times New Roman" w:hAnsi="Times New Roman" w:eastAsia="宋体"/>
                      <w:color w:val="000000" w:themeColor="text1"/>
                      <w:sz w:val="21"/>
                      <w:szCs w:val="21"/>
                      <w:lang w:val="en-US" w:eastAsia="zh-CN"/>
                      <w14:textFill>
                        <w14:solidFill>
                          <w14:schemeClr w14:val="tx1"/>
                        </w14:solidFill>
                      </w14:textFill>
                    </w:rPr>
                    <w:t>清洁生产水平达到国内先进水平</w:t>
                  </w:r>
                  <w:r>
                    <w:rPr>
                      <w:rFonts w:ascii="Times New Roman" w:hAnsi="Times New Roman" w:eastAsia="宋体"/>
                      <w:color w:val="000000" w:themeColor="text1"/>
                      <w:sz w:val="21"/>
                      <w:szCs w:val="21"/>
                      <w14:textFill>
                        <w14:solidFill>
                          <w14:schemeClr w14:val="tx1"/>
                        </w14:solidFill>
                      </w14:textFill>
                    </w:rPr>
                    <w:t>。</w:t>
                  </w:r>
                </w:p>
              </w:tc>
              <w:tc>
                <w:tcPr>
                  <w:tcW w:w="437" w:type="pct"/>
                  <w:vAlign w:val="center"/>
                </w:tcPr>
                <w:p>
                  <w:pPr>
                    <w:pStyle w:val="156"/>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92" w:type="pct"/>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3</w:t>
                  </w:r>
                </w:p>
              </w:tc>
              <w:tc>
                <w:tcPr>
                  <w:tcW w:w="2724" w:type="pct"/>
                  <w:vAlign w:val="center"/>
                </w:tcPr>
                <w:p>
                  <w:pPr>
                    <w:pStyle w:val="102"/>
                    <w:spacing w:line="240" w:lineRule="auto"/>
                    <w:jc w:val="left"/>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工业项目选址应符合产业发展规划、城乡总体规划、土地利用规划等规划。新建有污染物排放的工业项目应进入工业园区或工业集中区。</w:t>
                  </w:r>
                </w:p>
              </w:tc>
              <w:tc>
                <w:tcPr>
                  <w:tcW w:w="1547" w:type="pct"/>
                  <w:vAlign w:val="center"/>
                </w:tcPr>
                <w:p>
                  <w:pPr>
                    <w:spacing w:line="240" w:lineRule="auto"/>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项目</w:t>
                  </w:r>
                  <w:r>
                    <w:rPr>
                      <w:color w:val="000000" w:themeColor="text1"/>
                      <w:szCs w:val="21"/>
                      <w14:textFill>
                        <w14:solidFill>
                          <w14:schemeClr w14:val="tx1"/>
                        </w14:solidFill>
                      </w14:textFill>
                    </w:rPr>
                    <w:t>位于双桥经开区邮亭片区A区，选址符合产业发展规划、符合城乡总体规划、符合土地利用规划。</w:t>
                  </w:r>
                </w:p>
              </w:tc>
              <w:tc>
                <w:tcPr>
                  <w:tcW w:w="437" w:type="pct"/>
                  <w:vAlign w:val="center"/>
                </w:tcPr>
                <w:p>
                  <w:pPr>
                    <w:pStyle w:val="156"/>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4</w:t>
                  </w:r>
                </w:p>
              </w:tc>
              <w:tc>
                <w:tcPr>
                  <w:tcW w:w="2724" w:type="pct"/>
                  <w:vAlign w:val="center"/>
                </w:tcPr>
                <w:p>
                  <w:pPr>
                    <w:pStyle w:val="102"/>
                    <w:spacing w:line="240" w:lineRule="auto"/>
                    <w:jc w:val="left"/>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在长江、嘉陵江主城区江段及其上游沿江河地区严格限制建设可能对饮用水源带来安全隐患的化工、造纸、印染及排放有毒有害物质和重金属的工业项目。长江鱼嘴以上江段及其一级支流汇入口上游5公里、嘉陵江及其一级支流汇入口上游5公里、集中式饮用水源地取水口上游5公里的沿岸地区，禁止新建、扩建排放重金属、剧毒物质和持久性有机污染物的工业项目。</w:t>
                  </w:r>
                </w:p>
              </w:tc>
              <w:tc>
                <w:tcPr>
                  <w:tcW w:w="1547" w:type="pct"/>
                  <w:vAlign w:val="center"/>
                </w:tcPr>
                <w:p>
                  <w:pPr>
                    <w:pStyle w:val="102"/>
                    <w:spacing w:line="240" w:lineRule="auto"/>
                    <w:jc w:val="left"/>
                    <w:rPr>
                      <w:rFonts w:ascii="Times New Roman" w:hAnsi="Times New Roman"/>
                      <w:color w:val="000000" w:themeColor="text1"/>
                      <w:sz w:val="21"/>
                      <w14:textFill>
                        <w14:solidFill>
                          <w14:schemeClr w14:val="tx1"/>
                        </w14:solidFill>
                      </w14:textFill>
                    </w:rPr>
                  </w:pPr>
                  <w:r>
                    <w:rPr>
                      <w:rFonts w:ascii="Times New Roman" w:hAnsi="Times New Roman"/>
                      <w:bCs/>
                      <w:color w:val="000000" w:themeColor="text1"/>
                      <w:sz w:val="21"/>
                      <w14:textFill>
                        <w14:solidFill>
                          <w14:schemeClr w14:val="tx1"/>
                        </w14:solidFill>
                      </w14:textFill>
                    </w:rPr>
                    <w:t>项目</w:t>
                  </w:r>
                  <w:r>
                    <w:rPr>
                      <w:rFonts w:ascii="Times New Roman" w:hAnsi="Times New Roman"/>
                      <w:color w:val="000000" w:themeColor="text1"/>
                      <w:sz w:val="21"/>
                      <w14:textFill>
                        <w14:solidFill>
                          <w14:schemeClr w14:val="tx1"/>
                        </w14:solidFill>
                      </w14:textFill>
                    </w:rPr>
                    <w:t>不涉及重金属、剧毒物质等污染物的排放。</w:t>
                  </w:r>
                </w:p>
              </w:tc>
              <w:tc>
                <w:tcPr>
                  <w:tcW w:w="437" w:type="pct"/>
                  <w:vAlign w:val="center"/>
                </w:tcPr>
                <w:p>
                  <w:pPr>
                    <w:pStyle w:val="156"/>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5</w:t>
                  </w:r>
                </w:p>
              </w:tc>
              <w:tc>
                <w:tcPr>
                  <w:tcW w:w="2724" w:type="pct"/>
                  <w:vAlign w:val="center"/>
                </w:tcPr>
                <w:p>
                  <w:pPr>
                    <w:pStyle w:val="102"/>
                    <w:spacing w:line="240" w:lineRule="auto"/>
                    <w:jc w:val="left"/>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在主城区禁止新建、改建、本以煤、重油为燃料的工业项目；在合川区、江津区、长寿区、璧山区等地区严格限制新建、本可能对主城区大气产生影响的燃用煤、重油等高污染燃料的工业项目。在主城区及其主导风上风向10公里范围内禁止新建、本大气污染严重的火电、冶炼、水泥项目及10蒸吨/小时以上燃煤锅炉。</w:t>
                  </w:r>
                </w:p>
              </w:tc>
              <w:tc>
                <w:tcPr>
                  <w:tcW w:w="1547" w:type="pct"/>
                  <w:vAlign w:val="center"/>
                </w:tcPr>
                <w:p>
                  <w:pPr>
                    <w:pStyle w:val="156"/>
                    <w:spacing w:line="240" w:lineRule="auto"/>
                    <w:jc w:val="left"/>
                    <w:rPr>
                      <w:rFonts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bCs/>
                      <w:color w:val="000000" w:themeColor="text1"/>
                      <w:sz w:val="21"/>
                      <w:szCs w:val="21"/>
                      <w:lang w:eastAsia="zh-CN"/>
                      <w14:textFill>
                        <w14:solidFill>
                          <w14:schemeClr w14:val="tx1"/>
                        </w14:solidFill>
                      </w14:textFill>
                    </w:rPr>
                    <w:t>项目</w:t>
                  </w:r>
                  <w:r>
                    <w:rPr>
                      <w:rFonts w:ascii="Times New Roman" w:hAnsi="Times New Roman" w:eastAsia="宋体"/>
                      <w:color w:val="000000" w:themeColor="text1"/>
                      <w:sz w:val="21"/>
                      <w:szCs w:val="21"/>
                      <w14:textFill>
                        <w14:solidFill>
                          <w14:schemeClr w14:val="tx1"/>
                        </w14:solidFill>
                      </w14:textFill>
                    </w:rPr>
                    <w:t>不</w:t>
                  </w:r>
                  <w:r>
                    <w:rPr>
                      <w:rFonts w:hint="eastAsia" w:ascii="Times New Roman" w:hAnsi="Times New Roman" w:eastAsia="宋体"/>
                      <w:color w:val="000000" w:themeColor="text1"/>
                      <w:sz w:val="21"/>
                      <w:szCs w:val="21"/>
                      <w:lang w:val="en-US" w:eastAsia="zh-CN"/>
                      <w14:textFill>
                        <w14:solidFill>
                          <w14:schemeClr w14:val="tx1"/>
                        </w14:solidFill>
                      </w14:textFill>
                    </w:rPr>
                    <w:t>使用</w:t>
                  </w:r>
                  <w:r>
                    <w:rPr>
                      <w:rFonts w:ascii="Times New Roman" w:hAnsi="Times New Roman" w:eastAsia="宋体"/>
                      <w:color w:val="000000" w:themeColor="text1"/>
                      <w:sz w:val="21"/>
                      <w:szCs w:val="21"/>
                      <w14:textFill>
                        <w14:solidFill>
                          <w14:schemeClr w14:val="tx1"/>
                        </w14:solidFill>
                      </w14:textFill>
                    </w:rPr>
                    <w:t>煤及重油等高污染燃料</w:t>
                  </w:r>
                  <w:r>
                    <w:rPr>
                      <w:rFonts w:hint="eastAsia" w:ascii="Times New Roman" w:hAnsi="Times New Roman" w:eastAsia="宋体"/>
                      <w:color w:val="000000" w:themeColor="text1"/>
                      <w:sz w:val="21"/>
                      <w:szCs w:val="21"/>
                      <w:lang w:val="en-US" w:eastAsia="zh-CN"/>
                      <w14:textFill>
                        <w14:solidFill>
                          <w14:schemeClr w14:val="tx1"/>
                        </w14:solidFill>
                      </w14:textFill>
                    </w:rPr>
                    <w:t>及燃煤锅炉</w:t>
                  </w:r>
                  <w:r>
                    <w:rPr>
                      <w:rFonts w:hint="eastAsia" w:ascii="Times New Roman" w:hAnsi="Times New Roman" w:eastAsia="宋体"/>
                      <w:color w:val="000000" w:themeColor="text1"/>
                      <w:sz w:val="21"/>
                      <w:szCs w:val="21"/>
                      <w:lang w:eastAsia="zh-CN"/>
                      <w14:textFill>
                        <w14:solidFill>
                          <w14:schemeClr w14:val="tx1"/>
                        </w14:solidFill>
                      </w14:textFill>
                    </w:rPr>
                    <w:t>，</w:t>
                  </w:r>
                  <w:r>
                    <w:rPr>
                      <w:rFonts w:ascii="Times New Roman" w:hAnsi="Times New Roman" w:eastAsia="宋体"/>
                      <w:color w:val="000000" w:themeColor="text1"/>
                      <w:sz w:val="21"/>
                      <w:szCs w:val="21"/>
                      <w:lang w:val="en-US" w:eastAsia="zh-CN"/>
                      <w14:textFill>
                        <w14:solidFill>
                          <w14:schemeClr w14:val="tx1"/>
                        </w14:solidFill>
                      </w14:textFill>
                    </w:rPr>
                    <w:t>不属于火电、冶炼、水泥项目。</w:t>
                  </w:r>
                </w:p>
              </w:tc>
              <w:tc>
                <w:tcPr>
                  <w:tcW w:w="437" w:type="pct"/>
                  <w:vAlign w:val="center"/>
                </w:tcPr>
                <w:p>
                  <w:pPr>
                    <w:pStyle w:val="156"/>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6</w:t>
                  </w:r>
                </w:p>
              </w:tc>
              <w:tc>
                <w:tcPr>
                  <w:tcW w:w="2724" w:type="pct"/>
                  <w:vAlign w:val="center"/>
                </w:tcPr>
                <w:p>
                  <w:pPr>
                    <w:pStyle w:val="102"/>
                    <w:spacing w:line="240" w:lineRule="auto"/>
                    <w:jc w:val="left"/>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工业项目选址区域应有相应的环境容量，新增主要污染物排放量工业项目必须取得排污指标，不得影响污染物总量减排计划的完成。未按要求完成污染物总量削减任务的企业、流域和区域，不得建设新增相应污染物排放量的工业项目。</w:t>
                  </w:r>
                </w:p>
              </w:tc>
              <w:tc>
                <w:tcPr>
                  <w:tcW w:w="1547" w:type="pct"/>
                  <w:vAlign w:val="center"/>
                </w:tcPr>
                <w:p>
                  <w:pPr>
                    <w:pStyle w:val="156"/>
                    <w:spacing w:line="240" w:lineRule="auto"/>
                    <w:jc w:val="left"/>
                    <w:rPr>
                      <w:rFonts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lang w:val="en-US" w:eastAsia="zh-CN"/>
                      <w14:textFill>
                        <w14:solidFill>
                          <w14:schemeClr w14:val="tx1"/>
                        </w14:solidFill>
                      </w14:textFill>
                    </w:rPr>
                    <w:t>项目新增的污染物总量控制指标包括COD、氨氮、二氧化硫、氮氧化物、非甲烷总烃等。大足区属于环境空气质量达标区，有相应的环境容量，总量指标按管理办法要求购买解决。</w:t>
                  </w:r>
                </w:p>
              </w:tc>
              <w:tc>
                <w:tcPr>
                  <w:tcW w:w="437" w:type="pct"/>
                  <w:vAlign w:val="center"/>
                </w:tcPr>
                <w:p>
                  <w:pPr>
                    <w:pStyle w:val="156"/>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vAlign w:val="center"/>
                </w:tcPr>
                <w:p>
                  <w:pPr>
                    <w:pStyle w:val="102"/>
                    <w:spacing w:line="240" w:lineRule="auto"/>
                    <w:rPr>
                      <w:rFonts w:ascii="Times New Roman" w:hAnsi="Times New Roman"/>
                      <w:color w:val="000000" w:themeColor="text1"/>
                      <w:kern w:val="0"/>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7</w:t>
                  </w:r>
                </w:p>
              </w:tc>
              <w:tc>
                <w:tcPr>
                  <w:tcW w:w="2724" w:type="pct"/>
                  <w:vAlign w:val="center"/>
                </w:tcPr>
                <w:p>
                  <w:pPr>
                    <w:autoSpaceDE w:val="0"/>
                    <w:autoSpaceDN w:val="0"/>
                    <w:adjustRightInd w:val="0"/>
                    <w:spacing w:line="240" w:lineRule="auto"/>
                    <w:jc w:val="left"/>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新建、改建、扩建工业项目所在地大气、水环境主要污染物现状浓度占标准值90%-100%的，项目所在地应按该项目新增污染物排放量的1.5倍消减现有污染物排放量。</w:t>
                  </w:r>
                </w:p>
              </w:tc>
              <w:tc>
                <w:tcPr>
                  <w:tcW w:w="1547" w:type="pct"/>
                  <w:vAlign w:val="center"/>
                </w:tcPr>
                <w:p>
                  <w:pPr>
                    <w:autoSpaceDE w:val="0"/>
                    <w:autoSpaceDN w:val="0"/>
                    <w:adjustRightInd w:val="0"/>
                    <w:spacing w:line="240" w:lineRule="auto"/>
                    <w:jc w:val="left"/>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大足区为达标区。项目所在地大气、水环境主要污染物有环境容量。</w:t>
                  </w:r>
                </w:p>
              </w:tc>
              <w:tc>
                <w:tcPr>
                  <w:tcW w:w="437"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92" w:type="pct"/>
                  <w:vAlign w:val="center"/>
                </w:tcPr>
                <w:p>
                  <w:pPr>
                    <w:pStyle w:val="102"/>
                    <w:spacing w:line="240" w:lineRule="auto"/>
                    <w:rPr>
                      <w:rFonts w:ascii="Times New Roman" w:hAnsi="Times New Roman"/>
                      <w:color w:val="000000" w:themeColor="text1"/>
                      <w:kern w:val="0"/>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8</w:t>
                  </w:r>
                </w:p>
              </w:tc>
              <w:tc>
                <w:tcPr>
                  <w:tcW w:w="2724" w:type="pct"/>
                  <w:vAlign w:val="center"/>
                </w:tcPr>
                <w:p>
                  <w:pPr>
                    <w:pStyle w:val="102"/>
                    <w:spacing w:line="240" w:lineRule="auto"/>
                    <w:jc w:val="left"/>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新增重金属排放量的工业项目应落实污染物排放指标来源，确保国家重金属重点防控区域重金属排放总量按计划削减，其余区域的重金属排放总量不增加。优先保障市级重点项目的重金属污染物排放指标。</w:t>
                  </w:r>
                </w:p>
              </w:tc>
              <w:tc>
                <w:tcPr>
                  <w:tcW w:w="1547" w:type="pct"/>
                  <w:vAlign w:val="center"/>
                </w:tcPr>
                <w:p>
                  <w:pPr>
                    <w:pStyle w:val="156"/>
                    <w:spacing w:line="240" w:lineRule="auto"/>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lang w:eastAsia="zh-CN"/>
                      <w14:textFill>
                        <w14:solidFill>
                          <w14:schemeClr w14:val="tx1"/>
                        </w14:solidFill>
                      </w14:textFill>
                    </w:rPr>
                    <w:t>项目</w:t>
                  </w:r>
                  <w:r>
                    <w:rPr>
                      <w:rFonts w:ascii="Times New Roman" w:hAnsi="Times New Roman" w:eastAsia="宋体"/>
                      <w:color w:val="000000" w:themeColor="text1"/>
                      <w:sz w:val="21"/>
                      <w:szCs w:val="21"/>
                      <w14:textFill>
                        <w14:solidFill>
                          <w14:schemeClr w14:val="tx1"/>
                        </w14:solidFill>
                      </w14:textFill>
                    </w:rPr>
                    <w:t>不涉及重金属的排放</w:t>
                  </w:r>
                  <w:r>
                    <w:rPr>
                      <w:rFonts w:ascii="Times New Roman" w:hAnsi="Times New Roman" w:eastAsia="宋体"/>
                      <w:color w:val="000000" w:themeColor="text1"/>
                      <w:sz w:val="21"/>
                      <w:szCs w:val="21"/>
                      <w:lang w:eastAsia="zh-CN"/>
                      <w14:textFill>
                        <w14:solidFill>
                          <w14:schemeClr w14:val="tx1"/>
                        </w14:solidFill>
                      </w14:textFill>
                    </w:rPr>
                    <w:t>。</w:t>
                  </w:r>
                </w:p>
              </w:tc>
              <w:tc>
                <w:tcPr>
                  <w:tcW w:w="437" w:type="pct"/>
                  <w:vAlign w:val="center"/>
                </w:tcPr>
                <w:p>
                  <w:pPr>
                    <w:pStyle w:val="156"/>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vAlign w:val="center"/>
                </w:tcPr>
                <w:p>
                  <w:pPr>
                    <w:pStyle w:val="102"/>
                    <w:spacing w:line="240" w:lineRule="auto"/>
                    <w:rPr>
                      <w:rFonts w:ascii="Times New Roman" w:hAnsi="Times New Roman"/>
                      <w:color w:val="000000" w:themeColor="text1"/>
                      <w:kern w:val="0"/>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9</w:t>
                  </w:r>
                </w:p>
              </w:tc>
              <w:tc>
                <w:tcPr>
                  <w:tcW w:w="2724" w:type="pct"/>
                  <w:vAlign w:val="center"/>
                </w:tcPr>
                <w:p>
                  <w:pPr>
                    <w:pStyle w:val="102"/>
                    <w:spacing w:line="240" w:lineRule="auto"/>
                    <w:jc w:val="left"/>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禁止建设存在重大环境安全隐患的工业项目。</w:t>
                  </w:r>
                </w:p>
              </w:tc>
              <w:tc>
                <w:tcPr>
                  <w:tcW w:w="1547" w:type="pct"/>
                  <w:vAlign w:val="center"/>
                </w:tcPr>
                <w:p>
                  <w:pPr>
                    <w:pStyle w:val="156"/>
                    <w:spacing w:line="240" w:lineRule="auto"/>
                    <w:jc w:val="left"/>
                    <w:rPr>
                      <w:rFonts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bCs/>
                      <w:color w:val="000000" w:themeColor="text1"/>
                      <w:sz w:val="21"/>
                      <w:szCs w:val="21"/>
                      <w:lang w:eastAsia="zh-CN"/>
                      <w14:textFill>
                        <w14:solidFill>
                          <w14:schemeClr w14:val="tx1"/>
                        </w14:solidFill>
                      </w14:textFill>
                    </w:rPr>
                    <w:t>项目</w:t>
                  </w:r>
                  <w:r>
                    <w:rPr>
                      <w:rFonts w:ascii="Times New Roman" w:hAnsi="Times New Roman" w:eastAsia="宋体"/>
                      <w:color w:val="000000" w:themeColor="text1"/>
                      <w:sz w:val="21"/>
                      <w:szCs w:val="21"/>
                      <w:lang w:eastAsia="zh-CN"/>
                      <w14:textFill>
                        <w14:solidFill>
                          <w14:schemeClr w14:val="tx1"/>
                        </w14:solidFill>
                      </w14:textFill>
                    </w:rPr>
                    <w:t>不构成重大风险源，环境风险较小，加强环境风险防范</w:t>
                  </w:r>
                  <w:r>
                    <w:rPr>
                      <w:rFonts w:hint="eastAsia" w:ascii="Times New Roman" w:hAnsi="Times New Roman" w:eastAsia="宋体"/>
                      <w:color w:val="000000" w:themeColor="text1"/>
                      <w:sz w:val="21"/>
                      <w:szCs w:val="21"/>
                      <w:lang w:eastAsia="zh-CN"/>
                      <w14:textFill>
                        <w14:solidFill>
                          <w14:schemeClr w14:val="tx1"/>
                        </w14:solidFill>
                      </w14:textFill>
                    </w:rPr>
                    <w:t>措施</w:t>
                  </w:r>
                  <w:r>
                    <w:rPr>
                      <w:rFonts w:ascii="Times New Roman" w:hAnsi="Times New Roman" w:eastAsia="宋体"/>
                      <w:color w:val="000000" w:themeColor="text1"/>
                      <w:sz w:val="21"/>
                      <w:szCs w:val="21"/>
                      <w:lang w:eastAsia="zh-CN"/>
                      <w14:textFill>
                        <w14:solidFill>
                          <w14:schemeClr w14:val="tx1"/>
                        </w14:solidFill>
                      </w14:textFill>
                    </w:rPr>
                    <w:t>后，不存在重大环境安全隐患。</w:t>
                  </w:r>
                </w:p>
              </w:tc>
              <w:tc>
                <w:tcPr>
                  <w:tcW w:w="437" w:type="pct"/>
                  <w:vAlign w:val="center"/>
                </w:tcPr>
                <w:p>
                  <w:pPr>
                    <w:pStyle w:val="156"/>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92" w:type="pct"/>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10</w:t>
                  </w:r>
                </w:p>
              </w:tc>
              <w:tc>
                <w:tcPr>
                  <w:tcW w:w="2724" w:type="pct"/>
                  <w:vAlign w:val="center"/>
                </w:tcPr>
                <w:p>
                  <w:pPr>
                    <w:pStyle w:val="102"/>
                    <w:spacing w:line="240" w:lineRule="auto"/>
                    <w:jc w:val="left"/>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工业项目排放污染物必须达到国家和地方规定的污染物排放标准，资源环境绩效水平应达到本规定要求。</w:t>
                  </w:r>
                </w:p>
              </w:tc>
              <w:tc>
                <w:tcPr>
                  <w:tcW w:w="1547" w:type="pct"/>
                  <w:vAlign w:val="center"/>
                </w:tcPr>
                <w:p>
                  <w:pPr>
                    <w:pStyle w:val="156"/>
                    <w:spacing w:line="240" w:lineRule="auto"/>
                    <w:jc w:val="left"/>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lang w:eastAsia="zh-CN"/>
                      <w14:textFill>
                        <w14:solidFill>
                          <w14:schemeClr w14:val="tx1"/>
                        </w14:solidFill>
                      </w14:textFill>
                    </w:rPr>
                    <w:t>项目</w:t>
                  </w:r>
                  <w:r>
                    <w:rPr>
                      <w:rFonts w:ascii="Times New Roman" w:hAnsi="Times New Roman" w:eastAsia="宋体"/>
                      <w:color w:val="000000" w:themeColor="text1"/>
                      <w:sz w:val="21"/>
                      <w:szCs w:val="21"/>
                      <w14:textFill>
                        <w14:solidFill>
                          <w14:schemeClr w14:val="tx1"/>
                        </w14:solidFill>
                      </w14:textFill>
                    </w:rPr>
                    <w:t>在采取有效治理措施后，污染物能够达标排放。</w:t>
                  </w:r>
                </w:p>
              </w:tc>
              <w:tc>
                <w:tcPr>
                  <w:tcW w:w="437" w:type="pct"/>
                  <w:vAlign w:val="center"/>
                </w:tcPr>
                <w:p>
                  <w:pPr>
                    <w:pStyle w:val="156"/>
                    <w:spacing w:line="240" w:lineRule="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bl>
          <w:p>
            <w:pPr>
              <w:pStyle w:val="75"/>
              <w:ind w:firstLine="480" w:firstLineChars="20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根据上表可知，</w:t>
            </w:r>
            <w:r>
              <w:rPr>
                <w:rFonts w:hint="eastAsia" w:ascii="Times New Roman" w:hAnsi="Times New Roman" w:cs="Times New Roman"/>
                <w:color w:val="000000" w:themeColor="text1"/>
                <w:szCs w:val="22"/>
                <w14:textFill>
                  <w14:solidFill>
                    <w14:schemeClr w14:val="tx1"/>
                  </w14:solidFill>
                </w14:textFill>
              </w:rPr>
              <w:t>项目</w:t>
            </w:r>
            <w:r>
              <w:rPr>
                <w:rFonts w:ascii="Times New Roman" w:hAnsi="Times New Roman" w:cs="Times New Roman"/>
                <w:color w:val="000000" w:themeColor="text1"/>
                <w:szCs w:val="22"/>
                <w14:textFill>
                  <w14:solidFill>
                    <w14:schemeClr w14:val="tx1"/>
                  </w14:solidFill>
                </w14:textFill>
              </w:rPr>
              <w:t>满足《重庆市工业项目环境准入规定》（渝办发〔2012〕142号）中的相关规定及要求。</w:t>
            </w:r>
          </w:p>
          <w:p>
            <w:pPr>
              <w:pStyle w:val="75"/>
              <w:ind w:firstLine="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1.7</w:t>
            </w:r>
            <w:r>
              <w:rPr>
                <w:rFonts w:ascii="Times New Roman" w:hAnsi="Times New Roman" w:cs="Times New Roman"/>
                <w:b/>
                <w:bCs/>
                <w:color w:val="000000" w:themeColor="text1"/>
                <w14:textFill>
                  <w14:solidFill>
                    <w14:schemeClr w14:val="tx1"/>
                  </w14:solidFill>
                </w14:textFill>
              </w:rPr>
              <w:t>与渝发改投</w:t>
            </w:r>
            <w:r>
              <w:rPr>
                <w:rFonts w:ascii="Times New Roman" w:hAnsi="Times New Roman" w:cs="Times New Roman"/>
                <w:b/>
                <w:color w:val="000000" w:themeColor="text1"/>
                <w:szCs w:val="22"/>
                <w14:textFill>
                  <w14:solidFill>
                    <w14:schemeClr w14:val="tx1"/>
                  </w14:solidFill>
                </w14:textFill>
              </w:rPr>
              <w:t>〔2018〕</w:t>
            </w:r>
            <w:r>
              <w:rPr>
                <w:rFonts w:ascii="Times New Roman" w:hAnsi="Times New Roman" w:cs="Times New Roman"/>
                <w:b/>
                <w:bCs/>
                <w:color w:val="000000" w:themeColor="text1"/>
                <w14:textFill>
                  <w14:solidFill>
                    <w14:schemeClr w14:val="tx1"/>
                  </w14:solidFill>
                </w14:textFill>
              </w:rPr>
              <w:t>541号的符合性分析</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项目与</w:t>
            </w:r>
            <w:r>
              <w:rPr>
                <w:color w:val="000000" w:themeColor="text1"/>
                <w:sz w:val="24"/>
                <w14:textFill>
                  <w14:solidFill>
                    <w14:schemeClr w14:val="tx1"/>
                  </w14:solidFill>
                </w14:textFill>
              </w:rPr>
              <w:t>《重庆市发展和改革委员会关于印发重庆市产业投资准入工作手册的通知》（渝发改投[2018]541号）</w:t>
            </w:r>
            <w:r>
              <w:rPr>
                <w:rFonts w:hint="eastAsia"/>
                <w:color w:val="000000" w:themeColor="text1"/>
                <w:sz w:val="24"/>
                <w14:textFill>
                  <w14:solidFill>
                    <w14:schemeClr w14:val="tx1"/>
                  </w14:solidFill>
                </w14:textFill>
              </w:rPr>
              <w:t>的符合性分析</w:t>
            </w:r>
            <w:r>
              <w:rPr>
                <w:color w:val="000000" w:themeColor="text1"/>
                <w:sz w:val="24"/>
                <w14:textFill>
                  <w14:solidFill>
                    <w14:schemeClr w14:val="tx1"/>
                  </w14:solidFill>
                </w14:textFill>
              </w:rPr>
              <w:t>，详见表1.7</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p>
          <w:p>
            <w:pPr>
              <w:spacing w:line="240" w:lineRule="auto"/>
              <w:contextualSpacing/>
              <w:jc w:val="center"/>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w:t>
            </w:r>
            <w:r>
              <w:rPr>
                <w:rFonts w:hint="eastAsia"/>
                <w:b/>
                <w:color w:val="000000" w:themeColor="text1"/>
                <w:kern w:val="0"/>
                <w:sz w:val="24"/>
                <w14:textFill>
                  <w14:solidFill>
                    <w14:schemeClr w14:val="tx1"/>
                  </w14:solidFill>
                </w14:textFill>
              </w:rPr>
              <w:t>1</w:t>
            </w:r>
            <w:r>
              <w:rPr>
                <w:b/>
                <w:color w:val="000000" w:themeColor="text1"/>
                <w:kern w:val="0"/>
                <w:sz w:val="24"/>
                <w14:textFill>
                  <w14:solidFill>
                    <w14:schemeClr w14:val="tx1"/>
                  </w14:solidFill>
                </w14:textFill>
              </w:rPr>
              <w:t>.7</w:t>
            </w:r>
            <w:r>
              <w:rPr>
                <w:rFonts w:hint="eastAsia"/>
                <w:b/>
                <w:color w:val="000000" w:themeColor="text1"/>
                <w:kern w:val="0"/>
                <w:sz w:val="24"/>
                <w14:textFill>
                  <w14:solidFill>
                    <w14:schemeClr w14:val="tx1"/>
                  </w14:solidFill>
                </w14:textFill>
              </w:rPr>
              <w:t>-</w:t>
            </w:r>
            <w:r>
              <w:rPr>
                <w:b/>
                <w:color w:val="000000" w:themeColor="text1"/>
                <w:kern w:val="0"/>
                <w:sz w:val="24"/>
                <w14:textFill>
                  <w14:solidFill>
                    <w14:schemeClr w14:val="tx1"/>
                  </w14:solidFill>
                </w14:textFill>
              </w:rPr>
              <w:t>1</w:t>
            </w:r>
            <w:r>
              <w:rPr>
                <w:rFonts w:hint="eastAsia"/>
                <w:b/>
                <w:color w:val="000000" w:themeColor="text1"/>
                <w:kern w:val="0"/>
                <w:sz w:val="24"/>
                <w14:textFill>
                  <w14:solidFill>
                    <w14:schemeClr w14:val="tx1"/>
                  </w14:solidFill>
                </w14:textFill>
              </w:rPr>
              <w:t xml:space="preserve"> </w:t>
            </w:r>
            <w:r>
              <w:rPr>
                <w:b/>
                <w:color w:val="000000" w:themeColor="text1"/>
                <w:kern w:val="0"/>
                <w:sz w:val="24"/>
                <w14:textFill>
                  <w14:solidFill>
                    <w14:schemeClr w14:val="tx1"/>
                  </w14:solidFill>
                </w14:textFill>
              </w:rPr>
              <w:t xml:space="preserve"> 与重庆市产业投资准入工作手册符合性分析</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3200"/>
              <w:gridCol w:w="4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70" w:type="pct"/>
                  <w:vAlign w:val="center"/>
                </w:tcPr>
                <w:p>
                  <w:pPr>
                    <w:autoSpaceDE w:val="0"/>
                    <w:autoSpaceDN w:val="0"/>
                    <w:adjustRightInd w:val="0"/>
                    <w:spacing w:line="240" w:lineRule="auto"/>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954" w:type="pct"/>
                  <w:vAlign w:val="center"/>
                </w:tcPr>
                <w:p>
                  <w:pPr>
                    <w:autoSpaceDE w:val="0"/>
                    <w:autoSpaceDN w:val="0"/>
                    <w:adjustRightInd w:val="0"/>
                    <w:spacing w:line="240" w:lineRule="auto"/>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规定要求</w:t>
                  </w:r>
                </w:p>
              </w:tc>
              <w:tc>
                <w:tcPr>
                  <w:tcW w:w="2575" w:type="pct"/>
                  <w:vAlign w:val="center"/>
                </w:tcPr>
                <w:p>
                  <w:pPr>
                    <w:autoSpaceDE w:val="0"/>
                    <w:autoSpaceDN w:val="0"/>
                    <w:adjustRightInd w:val="0"/>
                    <w:spacing w:line="240" w:lineRule="auto"/>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一</w:t>
                  </w:r>
                </w:p>
              </w:tc>
              <w:tc>
                <w:tcPr>
                  <w:tcW w:w="4530" w:type="pct"/>
                  <w:gridSpan w:val="2"/>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全市范围内不予准入的产业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954" w:type="pct"/>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国家产业结构调整指导目录中的淘汰类项目。</w:t>
                  </w:r>
                </w:p>
              </w:tc>
              <w:tc>
                <w:tcPr>
                  <w:tcW w:w="2575"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w:t>
                  </w:r>
                  <w:r>
                    <w:rPr>
                      <w:color w:val="000000" w:themeColor="text1"/>
                      <w:szCs w:val="21"/>
                      <w14:textFill>
                        <w14:solidFill>
                          <w14:schemeClr w14:val="tx1"/>
                        </w14:solidFill>
                      </w14:textFill>
                    </w:rPr>
                    <w:t>不属于国家产业结构调整指导目录中的淘汰类项目。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954"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烟花爆竹生产。</w:t>
                  </w:r>
                </w:p>
              </w:tc>
              <w:tc>
                <w:tcPr>
                  <w:tcW w:w="2575"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w:t>
                  </w:r>
                  <w:r>
                    <w:rPr>
                      <w:color w:val="000000" w:themeColor="text1"/>
                      <w:szCs w:val="21"/>
                      <w14:textFill>
                        <w14:solidFill>
                          <w14:schemeClr w14:val="tx1"/>
                        </w14:solidFill>
                      </w14:textFill>
                    </w:rPr>
                    <w:t>非烟花爆竹生产。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954"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400KA以下电解铝生产线。</w:t>
                  </w:r>
                </w:p>
              </w:tc>
              <w:tc>
                <w:tcPr>
                  <w:tcW w:w="2575"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w:t>
                  </w:r>
                  <w:r>
                    <w:rPr>
                      <w:color w:val="000000" w:themeColor="text1"/>
                      <w:szCs w:val="21"/>
                      <w14:textFill>
                        <w14:solidFill>
                          <w14:schemeClr w14:val="tx1"/>
                        </w14:solidFill>
                      </w14:textFill>
                    </w:rPr>
                    <w:t>非400KA以下电解铝生产线。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954" w:type="pct"/>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单机10万千瓦以下和设计寿命期满的单机20万千瓦以下常规燃煤火电机。</w:t>
                  </w:r>
                </w:p>
              </w:tc>
              <w:tc>
                <w:tcPr>
                  <w:tcW w:w="2575"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w:t>
                  </w:r>
                  <w:r>
                    <w:rPr>
                      <w:color w:val="000000" w:themeColor="text1"/>
                      <w:szCs w:val="21"/>
                      <w14:textFill>
                        <w14:solidFill>
                          <w14:schemeClr w14:val="tx1"/>
                        </w14:solidFill>
                      </w14:textFill>
                    </w:rPr>
                    <w:t>非单机10万千瓦以下和设计寿命期满的单机20万千瓦以下常规燃煤火电机。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954"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天然林商业性采伐。</w:t>
                  </w:r>
                </w:p>
              </w:tc>
              <w:tc>
                <w:tcPr>
                  <w:tcW w:w="2575"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w:t>
                  </w:r>
                  <w:r>
                    <w:rPr>
                      <w:color w:val="000000" w:themeColor="text1"/>
                      <w:szCs w:val="21"/>
                      <w14:textFill>
                        <w14:solidFill>
                          <w14:schemeClr w14:val="tx1"/>
                        </w14:solidFill>
                      </w14:textFill>
                    </w:rPr>
                    <w:t>非天然林商业性采伐。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954" w:type="pct"/>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资源环境绩效水平超过《重庆市工业项目环境准入规定》（渝办发〔2012〕142号）限值以及不符合生态建设和环境保护规划区域布局规定的工业项目。在环境容量超载的区域（流域）增加污染物排放的项目。</w:t>
                  </w:r>
                </w:p>
              </w:tc>
              <w:tc>
                <w:tcPr>
                  <w:tcW w:w="2575"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w:t>
                  </w:r>
                  <w:r>
                    <w:rPr>
                      <w:color w:val="000000" w:themeColor="text1"/>
                      <w:szCs w:val="21"/>
                      <w14:textFill>
                        <w14:solidFill>
                          <w14:schemeClr w14:val="tx1"/>
                        </w14:solidFill>
                      </w14:textFill>
                    </w:rPr>
                    <w:t>符合《重庆市工业项目环境准入规定》（渝办发〔2012〕142号）</w:t>
                  </w:r>
                  <w:r>
                    <w:rPr>
                      <w:rFonts w:hint="eastAsia"/>
                      <w:color w:val="000000" w:themeColor="text1"/>
                      <w:szCs w:val="21"/>
                      <w14:textFill>
                        <w14:solidFill>
                          <w14:schemeClr w14:val="tx1"/>
                        </w14:solidFill>
                      </w14:textFill>
                    </w:rPr>
                    <w:t>的相关要求</w:t>
                  </w:r>
                  <w:r>
                    <w:rPr>
                      <w:color w:val="000000" w:themeColor="text1"/>
                      <w:szCs w:val="21"/>
                      <w14:textFill>
                        <w14:solidFill>
                          <w14:schemeClr w14:val="tx1"/>
                        </w14:solidFill>
                      </w14:textFill>
                    </w:rPr>
                    <w:t>，且符合生态建设和环境保护规划区域布局规定。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1954" w:type="pct"/>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不符合《重庆市人民政府办公厅关于印发重庆市供给侧结构性改革去产能专项方案的通知》（渝府办发〔2016〕128号）要求的环保、能耗、工艺与装备标准的煤炭、钢铁、水泥、电解铝、平板玻璃和船舶制造等项目。</w:t>
                  </w:r>
                </w:p>
              </w:tc>
              <w:tc>
                <w:tcPr>
                  <w:tcW w:w="2575"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项目不属于</w:t>
                  </w:r>
                  <w:r>
                    <w:rPr>
                      <w:color w:val="000000" w:themeColor="text1"/>
                      <w:szCs w:val="21"/>
                      <w14:textFill>
                        <w14:solidFill>
                          <w14:schemeClr w14:val="tx1"/>
                        </w14:solidFill>
                      </w14:textFill>
                    </w:rPr>
                    <w:t>《重庆市人民政府办公厅关于印发重庆市供给侧结构性改革去产能专项方案的通知》（渝府办发〔2016〕128号）要求的环保、能耗、工艺与装备标准</w:t>
                  </w:r>
                  <w:r>
                    <w:rPr>
                      <w:rFonts w:hint="eastAsia"/>
                      <w:color w:val="000000" w:themeColor="text1"/>
                      <w:szCs w:val="21"/>
                      <w14:textFill>
                        <w14:solidFill>
                          <w14:schemeClr w14:val="tx1"/>
                        </w14:solidFill>
                      </w14:textFill>
                    </w:rPr>
                    <w:t>的煤炭、钢铁、水泥、电解铝、平板玻璃和船舶制造等项目</w:t>
                  </w: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二</w:t>
                  </w:r>
                </w:p>
              </w:tc>
              <w:tc>
                <w:tcPr>
                  <w:tcW w:w="4530" w:type="pct"/>
                  <w:gridSpan w:val="2"/>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限制准入类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954" w:type="pct"/>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长江干流及主要支流岸线5公里范围内，除经国家和市政府批准设立、仍在建设的工业园区外，不再新布局工业园区（不包括现有工业园区拓展）。</w:t>
                  </w:r>
                </w:p>
              </w:tc>
              <w:tc>
                <w:tcPr>
                  <w:tcW w:w="2575"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w:t>
                  </w:r>
                  <w:r>
                    <w:rPr>
                      <w:color w:val="000000" w:themeColor="text1"/>
                      <w:szCs w:val="21"/>
                      <w14:textFill>
                        <w14:solidFill>
                          <w14:schemeClr w14:val="tx1"/>
                        </w14:solidFill>
                      </w14:textFill>
                    </w:rPr>
                    <w:t>位于</w:t>
                  </w:r>
                  <w:r>
                    <w:rPr>
                      <w:rFonts w:hint="eastAsia"/>
                      <w:color w:val="000000" w:themeColor="text1"/>
                      <w:szCs w:val="21"/>
                      <w14:textFill>
                        <w14:solidFill>
                          <w14:schemeClr w14:val="tx1"/>
                        </w14:solidFill>
                      </w14:textFill>
                    </w:rPr>
                    <w:t>双桥经开区邮亭片区A区</w:t>
                  </w:r>
                  <w:r>
                    <w:rPr>
                      <w:color w:val="000000" w:themeColor="text1"/>
                      <w:szCs w:val="21"/>
                      <w14:textFill>
                        <w14:solidFill>
                          <w14:schemeClr w14:val="tx1"/>
                        </w14:solidFill>
                      </w14:textFill>
                    </w:rPr>
                    <w:t>，属于已规划并建成的工业园区。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954" w:type="pct"/>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大气污染防治一般控制区域内，限制建设大气污染严重项目。</w:t>
                  </w:r>
                </w:p>
              </w:tc>
              <w:tc>
                <w:tcPr>
                  <w:tcW w:w="2575"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w:t>
                  </w:r>
                  <w:r>
                    <w:rPr>
                      <w:color w:val="000000" w:themeColor="text1"/>
                      <w:szCs w:val="21"/>
                      <w14:textFill>
                        <w14:solidFill>
                          <w14:schemeClr w14:val="tx1"/>
                        </w14:solidFill>
                      </w14:textFill>
                    </w:rPr>
                    <w:t>不属于大气污染严重项目。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954" w:type="pct"/>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其他区县的缺水区域严格限制建设高耗水的工业项目。</w:t>
                  </w:r>
                </w:p>
              </w:tc>
              <w:tc>
                <w:tcPr>
                  <w:tcW w:w="2575"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项目位于</w:t>
                  </w:r>
                  <w:r>
                    <w:rPr>
                      <w:color w:val="000000" w:themeColor="text1"/>
                      <w:szCs w:val="21"/>
                      <w14:textFill>
                        <w14:solidFill>
                          <w14:schemeClr w14:val="tx1"/>
                        </w14:solidFill>
                      </w14:textFill>
                    </w:rPr>
                    <w:t>非缺水区域，且不属于高耗水的工业项目。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954" w:type="pct"/>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合川区、江津区、长寿区、璧山区等地区，严格限制新建可能对主城区大气产生影响的燃用煤、重油等高污染燃料的工业项目。</w:t>
                  </w:r>
                </w:p>
              </w:tc>
              <w:tc>
                <w:tcPr>
                  <w:tcW w:w="2575"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w:t>
                  </w:r>
                  <w:r>
                    <w:rPr>
                      <w:color w:val="000000" w:themeColor="text1"/>
                      <w:szCs w:val="21"/>
                      <w14:textFill>
                        <w14:solidFill>
                          <w14:schemeClr w14:val="tx1"/>
                        </w14:solidFill>
                      </w14:textFill>
                    </w:rPr>
                    <w:t>不属于燃用煤、重油等高污染燃料的工业项目。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0"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954" w:type="pct"/>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东北部地区、东南部地区限制发展易破坏生态植被的采矿业、建材等工业项目。</w:t>
                  </w:r>
                </w:p>
              </w:tc>
              <w:tc>
                <w:tcPr>
                  <w:tcW w:w="2575" w:type="pct"/>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w:t>
                  </w:r>
                  <w:r>
                    <w:rPr>
                      <w:color w:val="000000" w:themeColor="text1"/>
                      <w:szCs w:val="21"/>
                      <w14:textFill>
                        <w14:solidFill>
                          <w14:schemeClr w14:val="tx1"/>
                        </w14:solidFill>
                      </w14:textFill>
                    </w:rPr>
                    <w:t>不属于易破坏生态植被的采矿业、建材等工业项目。</w:t>
                  </w:r>
                </w:p>
              </w:tc>
            </w:tr>
          </w:tbl>
          <w:p>
            <w:pPr>
              <w:pStyle w:val="75"/>
              <w:ind w:firstLine="48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由上表可知，项目</w:t>
            </w:r>
            <w:r>
              <w:rPr>
                <w:rFonts w:ascii="Times New Roman" w:hAnsi="Times New Roman" w:cs="Times New Roman"/>
                <w:color w:val="000000" w:themeColor="text1"/>
                <w14:textFill>
                  <w14:solidFill>
                    <w14:schemeClr w14:val="tx1"/>
                  </w14:solidFill>
                </w14:textFill>
              </w:rPr>
              <w:t>不属于</w:t>
            </w:r>
            <w:r>
              <w:rPr>
                <w:rFonts w:hint="eastAsia" w:ascii="Times New Roman" w:hAnsi="Times New Roman" w:cs="Times New Roman"/>
                <w:color w:val="000000" w:themeColor="text1"/>
                <w14:textFill>
                  <w14:solidFill>
                    <w14:schemeClr w14:val="tx1"/>
                  </w14:solidFill>
                </w14:textFill>
              </w:rPr>
              <w:t>文件中</w:t>
            </w:r>
            <w:r>
              <w:rPr>
                <w:rFonts w:ascii="Times New Roman" w:hAnsi="Times New Roman" w:cs="Times New Roman"/>
                <w:color w:val="000000" w:themeColor="text1"/>
                <w14:textFill>
                  <w14:solidFill>
                    <w14:schemeClr w14:val="tx1"/>
                  </w14:solidFill>
                </w14:textFill>
              </w:rPr>
              <w:t>不予准入和限制准入的项目</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因此，</w:t>
            </w:r>
            <w:r>
              <w:rPr>
                <w:rFonts w:hint="eastAsia" w:ascii="Times New Roman" w:hAnsi="Times New Roman" w:cs="Times New Roman"/>
                <w:color w:val="000000" w:themeColor="text1"/>
                <w14:textFill>
                  <w14:solidFill>
                    <w14:schemeClr w14:val="tx1"/>
                  </w14:solidFill>
                </w14:textFill>
              </w:rPr>
              <w:t>项目</w:t>
            </w:r>
            <w:r>
              <w:rPr>
                <w:rFonts w:ascii="Times New Roman" w:hAnsi="Times New Roman" w:cs="Times New Roman"/>
                <w:color w:val="000000" w:themeColor="text1"/>
                <w14:textFill>
                  <w14:solidFill>
                    <w14:schemeClr w14:val="tx1"/>
                  </w14:solidFill>
                </w14:textFill>
              </w:rPr>
              <w:t>建设符合政策要求</w:t>
            </w:r>
            <w:r>
              <w:rPr>
                <w:rFonts w:hint="eastAsia" w:ascii="Times New Roman" w:hAnsi="Times New Roman" w:cs="Times New Roman"/>
                <w:color w:val="000000" w:themeColor="text1"/>
                <w14:textFill>
                  <w14:solidFill>
                    <w14:schemeClr w14:val="tx1"/>
                  </w14:solidFill>
                </w14:textFill>
              </w:rPr>
              <w:t>。</w:t>
            </w:r>
          </w:p>
          <w:p>
            <w:pPr>
              <w:pStyle w:val="75"/>
              <w:tabs>
                <w:tab w:val="left" w:pos="540"/>
                <w:tab w:val="left" w:pos="1080"/>
                <w:tab w:val="left" w:pos="1800"/>
              </w:tabs>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1.9与《长江经济带发展负面清单指南（试行，2022年版）》（长江办〔2022〕7号）的符合性分析</w:t>
            </w:r>
          </w:p>
          <w:p>
            <w:pPr>
              <w:autoSpaceDE w:val="0"/>
              <w:autoSpaceDN w:val="0"/>
              <w:adjustRightInd w:val="0"/>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与《长江经济带发展负面清单指南（试行，2022年版）》（长江办〔2022〕7号）的符合性分析</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详见表1.9</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p>
          <w:p>
            <w:pPr>
              <w:autoSpaceDE w:val="0"/>
              <w:autoSpaceDN w:val="0"/>
              <w:adjustRightInd w:val="0"/>
              <w:spacing w:line="240" w:lineRule="auto"/>
              <w:jc w:val="center"/>
              <w:textAlignment w:val="baseline"/>
              <w:rPr>
                <w:color w:val="000000" w:themeColor="text1"/>
                <w:sz w:val="24"/>
                <w14:textFill>
                  <w14:solidFill>
                    <w14:schemeClr w14:val="tx1"/>
                  </w14:solidFill>
                </w14:textFill>
              </w:rPr>
            </w:pPr>
            <w:r>
              <w:rPr>
                <w:b/>
                <w:bCs/>
                <w:color w:val="000000" w:themeColor="text1"/>
                <w:sz w:val="24"/>
                <w14:textFill>
                  <w14:solidFill>
                    <w14:schemeClr w14:val="tx1"/>
                  </w14:solidFill>
                </w14:textFill>
              </w:rPr>
              <w:t>表1.9</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1  与重庆市长江经济带发展负面清单的符合性分析</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4397"/>
              <w:gridCol w:w="2182"/>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autoSpaceDE w:val="0"/>
                    <w:autoSpaceDN w:val="0"/>
                    <w:adjustRightInd w:val="0"/>
                    <w:spacing w:line="240" w:lineRule="auto"/>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4565" w:type="dxa"/>
                  <w:vAlign w:val="center"/>
                </w:tcPr>
                <w:p>
                  <w:pPr>
                    <w:autoSpaceDE w:val="0"/>
                    <w:autoSpaceDN w:val="0"/>
                    <w:adjustRightInd w:val="0"/>
                    <w:spacing w:line="240" w:lineRule="auto"/>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准入条件要求</w:t>
                  </w:r>
                </w:p>
              </w:tc>
              <w:tc>
                <w:tcPr>
                  <w:tcW w:w="2251" w:type="dxa"/>
                  <w:vAlign w:val="center"/>
                </w:tcPr>
                <w:p>
                  <w:pPr>
                    <w:autoSpaceDE w:val="0"/>
                    <w:autoSpaceDN w:val="0"/>
                    <w:adjustRightInd w:val="0"/>
                    <w:spacing w:line="240" w:lineRule="auto"/>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项目实际情况</w:t>
                  </w:r>
                </w:p>
              </w:tc>
              <w:tc>
                <w:tcPr>
                  <w:tcW w:w="924" w:type="dxa"/>
                  <w:vAlign w:val="center"/>
                </w:tcPr>
                <w:p>
                  <w:pPr>
                    <w:autoSpaceDE w:val="0"/>
                    <w:autoSpaceDN w:val="0"/>
                    <w:adjustRightInd w:val="0"/>
                    <w:spacing w:line="240" w:lineRule="auto"/>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4565"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禁止建设不符合全国和省级港口布局规划以及港口总体规划的码头项目，禁止建设不符合《长江干线过江通道布局规划》的过长江通道项目。</w:t>
                  </w:r>
                </w:p>
              </w:tc>
              <w:tc>
                <w:tcPr>
                  <w:tcW w:w="2251"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项目不属于码头项目，也不属于过长江通道的建设项目。</w:t>
                  </w:r>
                </w:p>
              </w:tc>
              <w:tc>
                <w:tcPr>
                  <w:tcW w:w="924"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4565"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2251"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项目不在自然保护区、风景名胜区等环境敏感区内。</w:t>
                  </w:r>
                </w:p>
              </w:tc>
              <w:tc>
                <w:tcPr>
                  <w:tcW w:w="924"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4565"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251"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项目不在饮用水水源一级、二级保护区的岸线和河段范围内。</w:t>
                  </w:r>
                </w:p>
              </w:tc>
              <w:tc>
                <w:tcPr>
                  <w:tcW w:w="924"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4565"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251"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项目不在禁止区域。</w:t>
                  </w:r>
                </w:p>
              </w:tc>
              <w:tc>
                <w:tcPr>
                  <w:tcW w:w="924"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4565" w:type="dxa"/>
                  <w:vAlign w:val="center"/>
                </w:tcPr>
                <w:p>
                  <w:pPr>
                    <w:adjustRightInd w:val="0"/>
                    <w:snapToGrid w:val="0"/>
                    <w:spacing w:line="240" w:lineRule="auto"/>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251"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项目不在《长江岸线保护和开发利用总体规划》划定的岸线保护区内，不在《全国重要江河湖泊水功能区划》划定的河段保护区、保留区内。</w:t>
                  </w:r>
                </w:p>
              </w:tc>
              <w:tc>
                <w:tcPr>
                  <w:tcW w:w="924"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4565" w:type="dxa"/>
                  <w:vAlign w:val="center"/>
                </w:tcPr>
                <w:p>
                  <w:pPr>
                    <w:adjustRightInd w:val="0"/>
                    <w:snapToGrid w:val="0"/>
                    <w:spacing w:line="240" w:lineRule="auto"/>
                    <w:jc w:val="left"/>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禁止未经许可在长江干支流及湖泊新设、改设或扩大排污口。</w:t>
                  </w:r>
                </w:p>
              </w:tc>
              <w:tc>
                <w:tcPr>
                  <w:tcW w:w="2251"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项目废水经</w:t>
                  </w:r>
                  <w:r>
                    <w:rPr>
                      <w:rFonts w:hint="eastAsia"/>
                      <w:color w:val="000000" w:themeColor="text1"/>
                      <w:szCs w:val="21"/>
                      <w14:textFill>
                        <w14:solidFill>
                          <w14:schemeClr w14:val="tx1"/>
                        </w14:solidFill>
                      </w14:textFill>
                    </w:rPr>
                    <w:t>双桥园区</w:t>
                  </w:r>
                  <w:r>
                    <w:rPr>
                      <w:color w:val="000000" w:themeColor="text1"/>
                      <w:szCs w:val="21"/>
                      <w14:textFill>
                        <w14:solidFill>
                          <w14:schemeClr w14:val="tx1"/>
                        </w14:solidFill>
                      </w14:textFill>
                    </w:rPr>
                    <w:t>污水处理厂处理达标后排放，不单独设排污口。</w:t>
                  </w:r>
                </w:p>
              </w:tc>
              <w:tc>
                <w:tcPr>
                  <w:tcW w:w="924"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4565" w:type="dxa"/>
                  <w:vAlign w:val="center"/>
                </w:tcPr>
                <w:p>
                  <w:pPr>
                    <w:adjustRightInd w:val="0"/>
                    <w:snapToGrid w:val="0"/>
                    <w:spacing w:line="24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禁止在“一江一口两湖七河”和332个水生生物保护区开展生产性捕捞。</w:t>
                  </w:r>
                </w:p>
              </w:tc>
              <w:tc>
                <w:tcPr>
                  <w:tcW w:w="2251"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项目不涉及。</w:t>
                  </w:r>
                </w:p>
              </w:tc>
              <w:tc>
                <w:tcPr>
                  <w:tcW w:w="924"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4565" w:type="dxa"/>
                  <w:vAlign w:val="center"/>
                </w:tcPr>
                <w:p>
                  <w:pPr>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251"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项目不属于石化项目，不涉及尾矿库、冶炼渣库和磷石膏库。</w:t>
                  </w:r>
                </w:p>
              </w:tc>
              <w:tc>
                <w:tcPr>
                  <w:tcW w:w="924"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4565" w:type="dxa"/>
                  <w:vAlign w:val="center"/>
                </w:tcPr>
                <w:p>
                  <w:pPr>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禁止在合规园区外新建、扩建钢铁、石化、化工、焦化、建材、有色、制浆造纸等高污染项目。</w:t>
                  </w:r>
                </w:p>
              </w:tc>
              <w:tc>
                <w:tcPr>
                  <w:tcW w:w="2251"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项目位于</w:t>
                  </w:r>
                  <w:r>
                    <w:rPr>
                      <w:rFonts w:hint="eastAsia"/>
                      <w:color w:val="000000" w:themeColor="text1"/>
                      <w:szCs w:val="21"/>
                      <w14:textFill>
                        <w14:solidFill>
                          <w14:schemeClr w14:val="tx1"/>
                        </w14:solidFill>
                      </w14:textFill>
                    </w:rPr>
                    <w:t>双桥经开区邮亭片区A区</w:t>
                  </w:r>
                  <w:r>
                    <w:rPr>
                      <w:color w:val="000000" w:themeColor="text1"/>
                      <w:szCs w:val="21"/>
                      <w14:textFill>
                        <w14:solidFill>
                          <w14:schemeClr w14:val="tx1"/>
                        </w14:solidFill>
                      </w14:textFill>
                    </w:rPr>
                    <w:t>，不属于高污染项目。</w:t>
                  </w:r>
                </w:p>
              </w:tc>
              <w:tc>
                <w:tcPr>
                  <w:tcW w:w="924"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4565" w:type="dxa"/>
                  <w:vAlign w:val="center"/>
                </w:tcPr>
                <w:p>
                  <w:pPr>
                    <w:adjustRightInd w:val="0"/>
                    <w:snapToGrid w:val="0"/>
                    <w:spacing w:line="24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禁止新建、扩建不符合国家石化、现代煤化工等产业布局规划的项目。</w:t>
                  </w:r>
                </w:p>
              </w:tc>
              <w:tc>
                <w:tcPr>
                  <w:tcW w:w="2251"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项目不属于石化、现代煤化工等目。</w:t>
                  </w:r>
                </w:p>
              </w:tc>
              <w:tc>
                <w:tcPr>
                  <w:tcW w:w="924"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4565" w:type="dxa"/>
                  <w:vAlign w:val="center"/>
                </w:tcPr>
                <w:p>
                  <w:pPr>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2251"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项目不属于禁止的落后产能项目，不属于过剩产能行业，不属于高耗能高排放项目。</w:t>
                  </w:r>
                </w:p>
              </w:tc>
              <w:tc>
                <w:tcPr>
                  <w:tcW w:w="924"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4565" w:type="dxa"/>
                  <w:vAlign w:val="center"/>
                </w:tcPr>
                <w:p>
                  <w:pPr>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法律法规及相关政策文件有更加严格规定的从其规定。</w:t>
                  </w:r>
                </w:p>
              </w:tc>
              <w:tc>
                <w:tcPr>
                  <w:tcW w:w="2251"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项目遵守相关法律法规要求。</w:t>
                  </w:r>
                </w:p>
              </w:tc>
              <w:tc>
                <w:tcPr>
                  <w:tcW w:w="924"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pPr>
              <w:pStyle w:val="35"/>
              <w:spacing w:after="0"/>
              <w:ind w:left="0" w:leftChars="0" w:firstLine="520"/>
              <w:rPr>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由上表可知，项目符合《长江经济带发展负面清单指南（试行，2022年版）》（长江办〔2022〕7号）。</w:t>
            </w:r>
          </w:p>
          <w:p>
            <w:pPr>
              <w:autoSpaceDE w:val="0"/>
              <w:autoSpaceDN w:val="0"/>
              <w:adjustRightInd w:val="0"/>
              <w:snapToGrid w:val="0"/>
              <w:jc w:val="left"/>
              <w:rPr>
                <w:b/>
                <w:bCs/>
                <w:sz w:val="24"/>
              </w:rPr>
            </w:pPr>
            <w:r>
              <w:rPr>
                <w:b/>
                <w:bCs/>
                <w:color w:val="000000" w:themeColor="text1"/>
                <w:sz w:val="24"/>
                <w14:textFill>
                  <w14:solidFill>
                    <w14:schemeClr w14:val="tx1"/>
                  </w14:solidFill>
                </w14:textFill>
              </w:rPr>
              <w:t>1.10</w:t>
            </w:r>
            <w:r>
              <w:rPr>
                <w:rFonts w:hint="eastAsia"/>
                <w:b/>
                <w:bCs/>
                <w:sz w:val="24"/>
              </w:rPr>
              <w:t>与《四川省、重庆市长江经济带发展负面清单实施细则（试行，2022年版）》（川长江办〔2022〕17号）的符合性分析</w:t>
            </w:r>
          </w:p>
          <w:p>
            <w:pPr>
              <w:pStyle w:val="2"/>
              <w:spacing w:before="0" w:after="0" w:line="360" w:lineRule="auto"/>
              <w:ind w:right="0" w:firstLine="480" w:firstLineChars="200"/>
              <w:rPr>
                <w:sz w:val="24"/>
                <w:szCs w:val="24"/>
              </w:rPr>
            </w:pPr>
            <w:r>
              <w:rPr>
                <w:rFonts w:hint="eastAsia"/>
                <w:sz w:val="24"/>
                <w:szCs w:val="24"/>
              </w:rPr>
              <w:t>项目与</w:t>
            </w:r>
            <w:r>
              <w:rPr>
                <w:rFonts w:hint="eastAsia"/>
                <w:bCs/>
                <w:sz w:val="24"/>
                <w:szCs w:val="24"/>
              </w:rPr>
              <w:t>《四川省、重庆市长江经济带发展负面清单实施细则（试行，2022年版）》（川长江办〔2022〕17号）的符合性分析，详见表1</w:t>
            </w:r>
            <w:r>
              <w:rPr>
                <w:bCs/>
                <w:sz w:val="24"/>
                <w:szCs w:val="24"/>
              </w:rPr>
              <w:t>.10</w:t>
            </w:r>
            <w:r>
              <w:rPr>
                <w:rFonts w:hint="eastAsia"/>
                <w:bCs/>
                <w:sz w:val="24"/>
                <w:szCs w:val="24"/>
              </w:rPr>
              <w:t>-</w:t>
            </w:r>
            <w:r>
              <w:rPr>
                <w:bCs/>
                <w:sz w:val="24"/>
                <w:szCs w:val="24"/>
              </w:rPr>
              <w:t>1</w:t>
            </w:r>
            <w:r>
              <w:rPr>
                <w:rFonts w:hint="eastAsia"/>
                <w:bCs/>
                <w:sz w:val="24"/>
                <w:szCs w:val="24"/>
              </w:rPr>
              <w:t>。</w:t>
            </w:r>
          </w:p>
          <w:p>
            <w:pPr>
              <w:autoSpaceDE w:val="0"/>
              <w:autoSpaceDN w:val="0"/>
              <w:adjustRightInd w:val="0"/>
              <w:snapToGrid w:val="0"/>
              <w:spacing w:line="240" w:lineRule="auto"/>
              <w:jc w:val="center"/>
              <w:rPr>
                <w:b/>
                <w:bCs/>
                <w:sz w:val="24"/>
              </w:rPr>
            </w:pPr>
            <w:r>
              <w:rPr>
                <w:rFonts w:hint="eastAsia"/>
                <w:b/>
                <w:bCs/>
                <w:sz w:val="24"/>
              </w:rPr>
              <w:t>表1</w:t>
            </w:r>
            <w:r>
              <w:rPr>
                <w:b/>
                <w:bCs/>
                <w:sz w:val="24"/>
              </w:rPr>
              <w:t>.10</w:t>
            </w:r>
            <w:r>
              <w:rPr>
                <w:rFonts w:hint="eastAsia"/>
                <w:b/>
                <w:bCs/>
                <w:sz w:val="24"/>
              </w:rPr>
              <w:t>-</w:t>
            </w:r>
            <w:r>
              <w:rPr>
                <w:b/>
                <w:bCs/>
                <w:sz w:val="24"/>
              </w:rPr>
              <w:t>1</w:t>
            </w:r>
            <w:r>
              <w:rPr>
                <w:rFonts w:hint="eastAsia"/>
                <w:b/>
                <w:bCs/>
                <w:sz w:val="24"/>
              </w:rPr>
              <w:t xml:space="preserve">   项目与川长江办〔2022〕17号符合性分析</w:t>
            </w:r>
          </w:p>
          <w:tbl>
            <w:tblPr>
              <w:tblStyle w:val="3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19"/>
              <w:gridCol w:w="5939"/>
              <w:gridCol w:w="17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tcBorders>
                    <w:tl2br w:val="nil"/>
                    <w:tr2bl w:val="nil"/>
                  </w:tcBorders>
                  <w:vAlign w:val="center"/>
                </w:tcPr>
                <w:p>
                  <w:pPr>
                    <w:autoSpaceDE w:val="0"/>
                    <w:autoSpaceDN w:val="0"/>
                    <w:adjustRightInd w:val="0"/>
                    <w:snapToGrid w:val="0"/>
                    <w:spacing w:line="240" w:lineRule="auto"/>
                    <w:jc w:val="center"/>
                    <w:rPr>
                      <w:b/>
                      <w:kern w:val="0"/>
                      <w:szCs w:val="21"/>
                    </w:rPr>
                  </w:pPr>
                  <w:r>
                    <w:rPr>
                      <w:b/>
                      <w:kern w:val="0"/>
                      <w:szCs w:val="21"/>
                    </w:rPr>
                    <w:t>序号</w:t>
                  </w:r>
                </w:p>
              </w:tc>
              <w:tc>
                <w:tcPr>
                  <w:tcW w:w="3629" w:type="pct"/>
                  <w:tcBorders>
                    <w:tl2br w:val="nil"/>
                    <w:tr2bl w:val="nil"/>
                  </w:tcBorders>
                  <w:vAlign w:val="center"/>
                </w:tcPr>
                <w:p>
                  <w:pPr>
                    <w:autoSpaceDE w:val="0"/>
                    <w:autoSpaceDN w:val="0"/>
                    <w:adjustRightInd w:val="0"/>
                    <w:snapToGrid w:val="0"/>
                    <w:spacing w:line="240" w:lineRule="auto"/>
                    <w:jc w:val="center"/>
                    <w:rPr>
                      <w:b/>
                      <w:kern w:val="0"/>
                      <w:szCs w:val="21"/>
                    </w:rPr>
                  </w:pPr>
                  <w:r>
                    <w:rPr>
                      <w:b/>
                      <w:szCs w:val="21"/>
                    </w:rPr>
                    <w:t>相关</w:t>
                  </w:r>
                  <w:r>
                    <w:rPr>
                      <w:b/>
                      <w:kern w:val="0"/>
                      <w:szCs w:val="21"/>
                    </w:rPr>
                    <w:t>要求</w:t>
                  </w:r>
                </w:p>
              </w:tc>
              <w:tc>
                <w:tcPr>
                  <w:tcW w:w="1054" w:type="pct"/>
                  <w:tcBorders>
                    <w:tl2br w:val="nil"/>
                    <w:tr2bl w:val="nil"/>
                  </w:tcBorders>
                  <w:vAlign w:val="center"/>
                </w:tcPr>
                <w:p>
                  <w:pPr>
                    <w:autoSpaceDE w:val="0"/>
                    <w:autoSpaceDN w:val="0"/>
                    <w:adjustRightInd w:val="0"/>
                    <w:snapToGrid w:val="0"/>
                    <w:spacing w:line="240" w:lineRule="auto"/>
                    <w:jc w:val="center"/>
                    <w:rPr>
                      <w:b/>
                      <w:kern w:val="0"/>
                      <w:szCs w:val="21"/>
                    </w:rPr>
                  </w:pPr>
                  <w:r>
                    <w:rPr>
                      <w:b/>
                      <w:kern w:val="0"/>
                      <w:szCs w:val="21"/>
                    </w:rPr>
                    <w:t>本项目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tcBorders>
                    <w:tl2br w:val="nil"/>
                    <w:tr2bl w:val="nil"/>
                  </w:tcBorders>
                  <w:vAlign w:val="center"/>
                </w:tcPr>
                <w:p>
                  <w:pPr>
                    <w:autoSpaceDE w:val="0"/>
                    <w:autoSpaceDN w:val="0"/>
                    <w:adjustRightInd w:val="0"/>
                    <w:snapToGrid w:val="0"/>
                    <w:spacing w:line="240" w:lineRule="auto"/>
                    <w:jc w:val="center"/>
                    <w:rPr>
                      <w:bCs/>
                      <w:kern w:val="0"/>
                      <w:szCs w:val="21"/>
                    </w:rPr>
                  </w:pPr>
                  <w:r>
                    <w:rPr>
                      <w:bCs/>
                      <w:kern w:val="0"/>
                      <w:szCs w:val="21"/>
                    </w:rPr>
                    <w:t>1</w:t>
                  </w:r>
                </w:p>
              </w:tc>
              <w:tc>
                <w:tcPr>
                  <w:tcW w:w="3629"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禁止新建、改建和扩建不符合全国港口布局规划，以及《重庆港总体规划（2035年）》等省级港口布局规划及市级港口总体规划的码头项目。</w:t>
                  </w:r>
                </w:p>
              </w:tc>
              <w:tc>
                <w:tcPr>
                  <w:tcW w:w="1054"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项目不属于码头项目。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tcBorders>
                    <w:tl2br w:val="nil"/>
                    <w:tr2bl w:val="nil"/>
                  </w:tcBorders>
                  <w:vAlign w:val="center"/>
                </w:tcPr>
                <w:p>
                  <w:pPr>
                    <w:autoSpaceDE w:val="0"/>
                    <w:autoSpaceDN w:val="0"/>
                    <w:adjustRightInd w:val="0"/>
                    <w:snapToGrid w:val="0"/>
                    <w:spacing w:line="240" w:lineRule="auto"/>
                    <w:jc w:val="center"/>
                    <w:rPr>
                      <w:bCs/>
                      <w:kern w:val="0"/>
                      <w:szCs w:val="21"/>
                    </w:rPr>
                  </w:pPr>
                  <w:r>
                    <w:rPr>
                      <w:bCs/>
                      <w:kern w:val="0"/>
                      <w:szCs w:val="21"/>
                    </w:rPr>
                    <w:t>2</w:t>
                  </w:r>
                </w:p>
              </w:tc>
              <w:tc>
                <w:tcPr>
                  <w:tcW w:w="3629"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禁止新建、改建和扩建不符合《长江干线过江通道布局规划（2020-2035年）》的过长江通道项目（含桥梁、隧道），国家发展和改革委同意过长江通道线位调整的除外。</w:t>
                  </w:r>
                </w:p>
              </w:tc>
              <w:tc>
                <w:tcPr>
                  <w:tcW w:w="1054"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项目不属于过长江通道项目。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tcBorders>
                    <w:tl2br w:val="nil"/>
                    <w:tr2bl w:val="nil"/>
                  </w:tcBorders>
                  <w:vAlign w:val="center"/>
                </w:tcPr>
                <w:p>
                  <w:pPr>
                    <w:autoSpaceDE w:val="0"/>
                    <w:autoSpaceDN w:val="0"/>
                    <w:adjustRightInd w:val="0"/>
                    <w:snapToGrid w:val="0"/>
                    <w:spacing w:line="240" w:lineRule="auto"/>
                    <w:jc w:val="center"/>
                    <w:rPr>
                      <w:bCs/>
                      <w:kern w:val="0"/>
                      <w:szCs w:val="21"/>
                    </w:rPr>
                  </w:pPr>
                  <w:r>
                    <w:rPr>
                      <w:bCs/>
                      <w:kern w:val="0"/>
                      <w:szCs w:val="21"/>
                    </w:rPr>
                    <w:t>3</w:t>
                  </w:r>
                </w:p>
              </w:tc>
              <w:tc>
                <w:tcPr>
                  <w:tcW w:w="3629"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禁止在自然保护区核心区、缓冲区的岸线和河段范围内投资建设旅游和生产经营项目。自然保护区的内部未分区的，依照核心区和缓冲区的规定管控。</w:t>
                  </w:r>
                </w:p>
              </w:tc>
              <w:tc>
                <w:tcPr>
                  <w:tcW w:w="1054"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项目不属于自然保护区核心区、缓冲区的岸线和河段范围。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317" w:type="pct"/>
                  <w:tcBorders>
                    <w:tl2br w:val="nil"/>
                    <w:tr2bl w:val="nil"/>
                  </w:tcBorders>
                  <w:vAlign w:val="center"/>
                </w:tcPr>
                <w:p>
                  <w:pPr>
                    <w:autoSpaceDE w:val="0"/>
                    <w:autoSpaceDN w:val="0"/>
                    <w:adjustRightInd w:val="0"/>
                    <w:snapToGrid w:val="0"/>
                    <w:spacing w:line="240" w:lineRule="auto"/>
                    <w:jc w:val="center"/>
                    <w:rPr>
                      <w:bCs/>
                      <w:kern w:val="0"/>
                      <w:szCs w:val="21"/>
                    </w:rPr>
                  </w:pPr>
                  <w:r>
                    <w:rPr>
                      <w:rFonts w:hint="eastAsia"/>
                      <w:bCs/>
                      <w:kern w:val="0"/>
                      <w:szCs w:val="21"/>
                    </w:rPr>
                    <w:t>4</w:t>
                  </w:r>
                </w:p>
              </w:tc>
              <w:tc>
                <w:tcPr>
                  <w:tcW w:w="3629"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禁止违反风景名胜区规划，在风景名胜区内设立各类开发区。禁止在风景名胜区核心景区的岸线和河段范围内建设宾馆、招待所、培训中心、疗养院以及与风景名胜资源保护无关的项目。</w:t>
                  </w:r>
                </w:p>
              </w:tc>
              <w:tc>
                <w:tcPr>
                  <w:tcW w:w="1054"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项目不属于风景名胜区范围。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tcBorders>
                    <w:tl2br w:val="nil"/>
                    <w:tr2bl w:val="nil"/>
                  </w:tcBorders>
                  <w:vAlign w:val="center"/>
                </w:tcPr>
                <w:p>
                  <w:pPr>
                    <w:autoSpaceDE w:val="0"/>
                    <w:autoSpaceDN w:val="0"/>
                    <w:adjustRightInd w:val="0"/>
                    <w:snapToGrid w:val="0"/>
                    <w:spacing w:line="240" w:lineRule="auto"/>
                    <w:jc w:val="center"/>
                    <w:rPr>
                      <w:bCs/>
                      <w:kern w:val="0"/>
                      <w:szCs w:val="21"/>
                    </w:rPr>
                  </w:pPr>
                  <w:r>
                    <w:rPr>
                      <w:rFonts w:hint="eastAsia"/>
                      <w:bCs/>
                      <w:kern w:val="0"/>
                      <w:szCs w:val="21"/>
                    </w:rPr>
                    <w:t>5</w:t>
                  </w:r>
                </w:p>
              </w:tc>
              <w:tc>
                <w:tcPr>
                  <w:tcW w:w="3629"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禁止在饮用水水源准保护区的岸线和河段范围内新建、扩建对水体污染严重的建设项目，禁止改建增加排污量的建设项目。</w:t>
                  </w:r>
                </w:p>
              </w:tc>
              <w:tc>
                <w:tcPr>
                  <w:tcW w:w="1054" w:type="pct"/>
                  <w:vMerge w:val="restar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本项目不在划定的饮用水水源保护区的岸线和河段范围内。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tcBorders>
                    <w:tl2br w:val="nil"/>
                    <w:tr2bl w:val="nil"/>
                  </w:tcBorders>
                  <w:vAlign w:val="center"/>
                </w:tcPr>
                <w:p>
                  <w:pPr>
                    <w:autoSpaceDE w:val="0"/>
                    <w:autoSpaceDN w:val="0"/>
                    <w:adjustRightInd w:val="0"/>
                    <w:snapToGrid w:val="0"/>
                    <w:spacing w:line="240" w:lineRule="auto"/>
                    <w:jc w:val="center"/>
                    <w:rPr>
                      <w:bCs/>
                      <w:kern w:val="0"/>
                      <w:szCs w:val="21"/>
                    </w:rPr>
                  </w:pPr>
                  <w:r>
                    <w:rPr>
                      <w:rFonts w:hint="eastAsia"/>
                      <w:bCs/>
                      <w:kern w:val="0"/>
                      <w:szCs w:val="21"/>
                    </w:rPr>
                    <w:t>6</w:t>
                  </w:r>
                </w:p>
              </w:tc>
              <w:tc>
                <w:tcPr>
                  <w:tcW w:w="3629"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饮用水水源二级保护区的岸线和河段范围内，除遵守准保护区规定外，禁止新建、改建、扩建排放污染物的投资建设项目；禁止从事对水体有污染的水产养殖等活动。</w:t>
                  </w:r>
                </w:p>
              </w:tc>
              <w:tc>
                <w:tcPr>
                  <w:tcW w:w="1054" w:type="pct"/>
                  <w:vMerge w:val="continue"/>
                  <w:tcBorders>
                    <w:tl2br w:val="nil"/>
                    <w:tr2bl w:val="nil"/>
                  </w:tcBorders>
                  <w:vAlign w:val="center"/>
                </w:tcPr>
                <w:p>
                  <w:pPr>
                    <w:autoSpaceDE w:val="0"/>
                    <w:autoSpaceDN w:val="0"/>
                    <w:adjustRightInd w:val="0"/>
                    <w:snapToGrid w:val="0"/>
                    <w:spacing w:line="240" w:lineRule="auto"/>
                    <w:jc w:val="left"/>
                    <w:rPr>
                      <w:bCs/>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tcBorders>
                    <w:tl2br w:val="nil"/>
                    <w:tr2bl w:val="nil"/>
                  </w:tcBorders>
                  <w:vAlign w:val="center"/>
                </w:tcPr>
                <w:p>
                  <w:pPr>
                    <w:autoSpaceDE w:val="0"/>
                    <w:autoSpaceDN w:val="0"/>
                    <w:adjustRightInd w:val="0"/>
                    <w:snapToGrid w:val="0"/>
                    <w:spacing w:line="240" w:lineRule="auto"/>
                    <w:jc w:val="center"/>
                    <w:rPr>
                      <w:bCs/>
                      <w:kern w:val="0"/>
                      <w:szCs w:val="21"/>
                    </w:rPr>
                  </w:pPr>
                  <w:r>
                    <w:rPr>
                      <w:rFonts w:hint="eastAsia"/>
                      <w:bCs/>
                      <w:kern w:val="0"/>
                      <w:szCs w:val="21"/>
                    </w:rPr>
                    <w:t>7</w:t>
                  </w:r>
                </w:p>
              </w:tc>
              <w:tc>
                <w:tcPr>
                  <w:tcW w:w="3629"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054" w:type="pct"/>
                  <w:vMerge w:val="continue"/>
                  <w:tcBorders>
                    <w:tl2br w:val="nil"/>
                    <w:tr2bl w:val="nil"/>
                  </w:tcBorders>
                  <w:vAlign w:val="center"/>
                </w:tcPr>
                <w:p>
                  <w:pPr>
                    <w:autoSpaceDE w:val="0"/>
                    <w:autoSpaceDN w:val="0"/>
                    <w:adjustRightInd w:val="0"/>
                    <w:snapToGrid w:val="0"/>
                    <w:spacing w:line="240" w:lineRule="auto"/>
                    <w:jc w:val="left"/>
                    <w:rPr>
                      <w:bCs/>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tcBorders>
                    <w:tl2br w:val="nil"/>
                    <w:tr2bl w:val="nil"/>
                  </w:tcBorders>
                  <w:vAlign w:val="center"/>
                </w:tcPr>
                <w:p>
                  <w:pPr>
                    <w:autoSpaceDE w:val="0"/>
                    <w:autoSpaceDN w:val="0"/>
                    <w:adjustRightInd w:val="0"/>
                    <w:snapToGrid w:val="0"/>
                    <w:spacing w:line="240" w:lineRule="auto"/>
                    <w:jc w:val="center"/>
                    <w:rPr>
                      <w:bCs/>
                      <w:kern w:val="0"/>
                      <w:szCs w:val="21"/>
                    </w:rPr>
                  </w:pPr>
                  <w:r>
                    <w:rPr>
                      <w:rFonts w:hint="eastAsia"/>
                      <w:bCs/>
                      <w:kern w:val="0"/>
                      <w:szCs w:val="21"/>
                    </w:rPr>
                    <w:t>8</w:t>
                  </w:r>
                </w:p>
              </w:tc>
              <w:tc>
                <w:tcPr>
                  <w:tcW w:w="3629"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禁止在水产种质资源保护区岸线和河段范围内新建围湖造田、围湖造地或挖沙采石等投资建设项目。</w:t>
                  </w:r>
                </w:p>
              </w:tc>
              <w:tc>
                <w:tcPr>
                  <w:tcW w:w="1054"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本项目不属于水产种质资源保护区范围内。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tcBorders>
                    <w:tl2br w:val="nil"/>
                    <w:tr2bl w:val="nil"/>
                  </w:tcBorders>
                  <w:vAlign w:val="center"/>
                </w:tcPr>
                <w:p>
                  <w:pPr>
                    <w:autoSpaceDE w:val="0"/>
                    <w:autoSpaceDN w:val="0"/>
                    <w:adjustRightInd w:val="0"/>
                    <w:snapToGrid w:val="0"/>
                    <w:spacing w:line="240" w:lineRule="auto"/>
                    <w:jc w:val="center"/>
                    <w:rPr>
                      <w:bCs/>
                      <w:kern w:val="0"/>
                      <w:szCs w:val="21"/>
                    </w:rPr>
                  </w:pPr>
                  <w:r>
                    <w:rPr>
                      <w:rFonts w:hint="eastAsia"/>
                      <w:bCs/>
                      <w:kern w:val="0"/>
                      <w:szCs w:val="21"/>
                    </w:rPr>
                    <w:t>9</w:t>
                  </w:r>
                </w:p>
              </w:tc>
              <w:tc>
                <w:tcPr>
                  <w:tcW w:w="3629"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沺游通道。</w:t>
                  </w:r>
                </w:p>
              </w:tc>
              <w:tc>
                <w:tcPr>
                  <w:tcW w:w="1054"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本项目不在国家湿地公园的岸线和河段范围内，且不属于上述项目。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317" w:type="pct"/>
                  <w:tcBorders>
                    <w:tl2br w:val="nil"/>
                    <w:tr2bl w:val="nil"/>
                  </w:tcBorders>
                  <w:vAlign w:val="center"/>
                </w:tcPr>
                <w:p>
                  <w:pPr>
                    <w:autoSpaceDE w:val="0"/>
                    <w:autoSpaceDN w:val="0"/>
                    <w:adjustRightInd w:val="0"/>
                    <w:snapToGrid w:val="0"/>
                    <w:spacing w:line="240" w:lineRule="auto"/>
                    <w:jc w:val="center"/>
                    <w:rPr>
                      <w:bCs/>
                      <w:kern w:val="0"/>
                      <w:szCs w:val="21"/>
                    </w:rPr>
                  </w:pPr>
                  <w:r>
                    <w:rPr>
                      <w:rFonts w:hint="eastAsia"/>
                      <w:bCs/>
                      <w:kern w:val="0"/>
                      <w:szCs w:val="21"/>
                    </w:rPr>
                    <w:t>10</w:t>
                  </w:r>
                </w:p>
              </w:tc>
              <w:tc>
                <w:tcPr>
                  <w:tcW w:w="3629"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054"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项目不占用长江流域河湖岸线。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tcBorders>
                    <w:tl2br w:val="nil"/>
                    <w:tr2bl w:val="nil"/>
                  </w:tcBorders>
                  <w:vAlign w:val="center"/>
                </w:tcPr>
                <w:p>
                  <w:pPr>
                    <w:autoSpaceDE w:val="0"/>
                    <w:autoSpaceDN w:val="0"/>
                    <w:adjustRightInd w:val="0"/>
                    <w:snapToGrid w:val="0"/>
                    <w:spacing w:line="240" w:lineRule="auto"/>
                    <w:jc w:val="center"/>
                    <w:rPr>
                      <w:bCs/>
                      <w:kern w:val="0"/>
                      <w:szCs w:val="21"/>
                    </w:rPr>
                  </w:pPr>
                  <w:r>
                    <w:rPr>
                      <w:rFonts w:hint="eastAsia"/>
                      <w:bCs/>
                      <w:kern w:val="0"/>
                      <w:szCs w:val="21"/>
                    </w:rPr>
                    <w:t>11</w:t>
                  </w:r>
                </w:p>
              </w:tc>
              <w:tc>
                <w:tcPr>
                  <w:tcW w:w="3629"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禁止在《全国重要江河湖泊水功能区划》划定的河段及湖泊保护区、保留区内投资建设不利于水资源及自然生态保护的项目。</w:t>
                  </w:r>
                </w:p>
              </w:tc>
              <w:tc>
                <w:tcPr>
                  <w:tcW w:w="1054"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项目不在《全国重要江河湖泊水功能区划》划定的河段及湖泊保护区。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tcBorders>
                    <w:tl2br w:val="nil"/>
                    <w:tr2bl w:val="nil"/>
                  </w:tcBorders>
                  <w:vAlign w:val="center"/>
                </w:tcPr>
                <w:p>
                  <w:pPr>
                    <w:autoSpaceDE w:val="0"/>
                    <w:autoSpaceDN w:val="0"/>
                    <w:adjustRightInd w:val="0"/>
                    <w:snapToGrid w:val="0"/>
                    <w:spacing w:line="240" w:lineRule="auto"/>
                    <w:jc w:val="center"/>
                    <w:rPr>
                      <w:bCs/>
                      <w:kern w:val="0"/>
                      <w:szCs w:val="21"/>
                    </w:rPr>
                  </w:pPr>
                  <w:r>
                    <w:rPr>
                      <w:rFonts w:hint="eastAsia"/>
                      <w:bCs/>
                      <w:kern w:val="0"/>
                      <w:szCs w:val="21"/>
                    </w:rPr>
                    <w:t>12</w:t>
                  </w:r>
                </w:p>
              </w:tc>
              <w:tc>
                <w:tcPr>
                  <w:tcW w:w="3629"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禁止在长江流域江河、湖泊新设、改设或者扩大排污口，经有管辖权的生态环境主管部门或者长江流域生态环境监督管理机构同意的除外。</w:t>
                  </w:r>
                </w:p>
              </w:tc>
              <w:tc>
                <w:tcPr>
                  <w:tcW w:w="1054" w:type="pct"/>
                  <w:tcBorders>
                    <w:tl2br w:val="nil"/>
                    <w:tr2bl w:val="nil"/>
                  </w:tcBorders>
                  <w:vAlign w:val="center"/>
                </w:tcPr>
                <w:p>
                  <w:pPr>
                    <w:autoSpaceDE w:val="0"/>
                    <w:autoSpaceDN w:val="0"/>
                    <w:adjustRightInd w:val="0"/>
                    <w:snapToGrid w:val="0"/>
                    <w:spacing w:line="240" w:lineRule="auto"/>
                    <w:jc w:val="left"/>
                    <w:rPr>
                      <w:bCs/>
                      <w:kern w:val="0"/>
                      <w:szCs w:val="21"/>
                    </w:rPr>
                  </w:pPr>
                  <w:r>
                    <w:rPr>
                      <w:rFonts w:hint="eastAsia"/>
                      <w:bCs/>
                      <w:kern w:val="0"/>
                      <w:szCs w:val="21"/>
                    </w:rPr>
                    <w:t>本项目不设排污口。</w:t>
                  </w:r>
                </w:p>
              </w:tc>
            </w:tr>
          </w:tbl>
          <w:p>
            <w:pPr>
              <w:ind w:firstLine="480" w:firstLineChars="200"/>
              <w:rPr>
                <w:color w:val="000000"/>
                <w:sz w:val="24"/>
              </w:rPr>
            </w:pPr>
            <w:r>
              <w:rPr>
                <w:rFonts w:hint="eastAsia"/>
                <w:color w:val="000000"/>
                <w:sz w:val="24"/>
              </w:rPr>
              <w:t>由上表可知，项目符合《四川省、重庆市长江经济带发展负面清单实施细则（试行，2022年版）》。</w:t>
            </w:r>
          </w:p>
          <w:p>
            <w:pPr>
              <w:pStyle w:val="75"/>
              <w:tabs>
                <w:tab w:val="left" w:pos="540"/>
                <w:tab w:val="left" w:pos="1080"/>
                <w:tab w:val="left" w:pos="1800"/>
              </w:tabs>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1.11与《关于加强高耗能、高排放建设项目生态环境源头防控的指导意见》（环环评〔2021〕45号）的符合性分析</w:t>
            </w:r>
          </w:p>
          <w:p>
            <w:pPr>
              <w:autoSpaceDE w:val="0"/>
              <w:autoSpaceDN w:val="0"/>
              <w:adjustRightInd w:val="0"/>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项目与《关于加强高耗能、高排放建设项目生态环境源头防控的指导意见》（环环评〔2021〕45号）的符合性分析的符合性分析，详见表1</w:t>
            </w:r>
            <w:r>
              <w:rPr>
                <w:color w:val="000000" w:themeColor="text1"/>
                <w:sz w:val="24"/>
                <w14:textFill>
                  <w14:solidFill>
                    <w14:schemeClr w14:val="tx1"/>
                  </w14:solidFill>
                </w14:textFill>
              </w:rPr>
              <w:t>.11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p>
          <w:p>
            <w:pPr>
              <w:autoSpaceDE w:val="0"/>
              <w:autoSpaceDN w:val="0"/>
              <w:adjustRightInd w:val="0"/>
              <w:spacing w:line="240" w:lineRule="auto"/>
              <w:jc w:val="center"/>
              <w:textAlignment w:val="baseline"/>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表1.11</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1  与</w:t>
            </w:r>
            <w:r>
              <w:rPr>
                <w:rFonts w:hint="eastAsia"/>
                <w:b/>
                <w:bCs/>
                <w:color w:val="000000" w:themeColor="text1"/>
                <w:sz w:val="24"/>
                <w14:textFill>
                  <w14:solidFill>
                    <w14:schemeClr w14:val="tx1"/>
                  </w14:solidFill>
                </w14:textFill>
              </w:rPr>
              <w:t>环环评〔2021〕45号</w:t>
            </w:r>
            <w:r>
              <w:rPr>
                <w:b/>
                <w:bCs/>
                <w:color w:val="000000" w:themeColor="text1"/>
                <w:sz w:val="24"/>
                <w14:textFill>
                  <w14:solidFill>
                    <w14:schemeClr w14:val="tx1"/>
                  </w14:solidFill>
                </w14:textFill>
              </w:rPr>
              <w:t>的符合性分析</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4951"/>
              <w:gridCol w:w="1696"/>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2" w:type="dxa"/>
                  <w:vAlign w:val="center"/>
                </w:tcPr>
                <w:p>
                  <w:pPr>
                    <w:autoSpaceDE w:val="0"/>
                    <w:autoSpaceDN w:val="0"/>
                    <w:adjustRightInd w:val="0"/>
                    <w:spacing w:line="240" w:lineRule="auto"/>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5185" w:type="dxa"/>
                  <w:vAlign w:val="center"/>
                </w:tcPr>
                <w:p>
                  <w:pPr>
                    <w:autoSpaceDE w:val="0"/>
                    <w:autoSpaceDN w:val="0"/>
                    <w:adjustRightInd w:val="0"/>
                    <w:spacing w:line="240" w:lineRule="auto"/>
                    <w:jc w:val="center"/>
                    <w:textAlignment w:val="baseline"/>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文件</w:t>
                  </w:r>
                  <w:r>
                    <w:rPr>
                      <w:b/>
                      <w:color w:val="000000" w:themeColor="text1"/>
                      <w:szCs w:val="21"/>
                      <w14:textFill>
                        <w14:solidFill>
                          <w14:schemeClr w14:val="tx1"/>
                        </w14:solidFill>
                      </w14:textFill>
                    </w:rPr>
                    <w:t>要求</w:t>
                  </w:r>
                </w:p>
              </w:tc>
              <w:tc>
                <w:tcPr>
                  <w:tcW w:w="1753" w:type="dxa"/>
                  <w:vAlign w:val="center"/>
                </w:tcPr>
                <w:p>
                  <w:pPr>
                    <w:autoSpaceDE w:val="0"/>
                    <w:autoSpaceDN w:val="0"/>
                    <w:adjustRightInd w:val="0"/>
                    <w:spacing w:line="240" w:lineRule="auto"/>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项目实际情况</w:t>
                  </w:r>
                </w:p>
              </w:tc>
              <w:tc>
                <w:tcPr>
                  <w:tcW w:w="866" w:type="dxa"/>
                  <w:vAlign w:val="center"/>
                </w:tcPr>
                <w:p>
                  <w:pPr>
                    <w:autoSpaceDE w:val="0"/>
                    <w:autoSpaceDN w:val="0"/>
                    <w:adjustRightInd w:val="0"/>
                    <w:spacing w:line="240" w:lineRule="auto"/>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2"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5185"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严把建设项目环境准入关。新建、改建、扩建</w:t>
                  </w:r>
                  <w:r>
                    <w:rPr>
                      <w:rFonts w:hint="eastAsia" w:ascii="宋体" w:hAnsi="宋体" w:cs="宋体"/>
                      <w:color w:val="000000" w:themeColor="text1"/>
                      <w:szCs w:val="21"/>
                      <w14:textFill>
                        <w14:solidFill>
                          <w14:schemeClr w14:val="tx1"/>
                        </w14:solidFill>
                      </w14:textFill>
                    </w:rPr>
                    <w:t>“两高”</w:t>
                  </w:r>
                  <w:r>
                    <w:rPr>
                      <w:color w:val="000000" w:themeColor="text1"/>
                      <w:szCs w:val="21"/>
                      <w14:textFill>
                        <w14:solidFill>
                          <w14:schemeClr w14:val="tx1"/>
                        </w14:solidFill>
                      </w14:textFill>
                    </w:rPr>
                    <w:t>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753"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14:textFill>
                        <w14:solidFill>
                          <w14:schemeClr w14:val="tx1"/>
                        </w14:solidFill>
                      </w14:textFill>
                    </w:rPr>
                    <w:t>项目属于</w:t>
                  </w:r>
                  <w:r>
                    <w:rPr>
                      <w:rFonts w:hint="eastAsia"/>
                      <w:color w:val="000000" w:themeColor="text1"/>
                      <w14:textFill>
                        <w14:solidFill>
                          <w14:schemeClr w14:val="tx1"/>
                        </w14:solidFill>
                      </w14:textFill>
                    </w:rPr>
                    <w:t>非金属废料和碎屑加工处理业</w:t>
                  </w:r>
                  <w:r>
                    <w:rPr>
                      <w:rFonts w:hint="eastAsia"/>
                      <w:color w:val="000000" w:themeColor="text1"/>
                      <w:szCs w:val="21"/>
                      <w14:textFill>
                        <w14:solidFill>
                          <w14:schemeClr w14:val="tx1"/>
                        </w14:solidFill>
                      </w14:textFill>
                    </w:rPr>
                    <w:t>，符合国家产业政策要求、符合园区环境准入清单要求、规划环评要求。</w:t>
                  </w:r>
                </w:p>
              </w:tc>
              <w:tc>
                <w:tcPr>
                  <w:tcW w:w="866"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2"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5185"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落实区域削减要求。新</w:t>
                  </w:r>
                  <w:r>
                    <w:rPr>
                      <w:rFonts w:hint="eastAsia" w:ascii="宋体" w:hAnsi="宋体" w:cs="宋体"/>
                      <w:color w:val="000000" w:themeColor="text1"/>
                      <w:szCs w:val="21"/>
                      <w14:textFill>
                        <w14:solidFill>
                          <w14:schemeClr w14:val="tx1"/>
                        </w14:solidFill>
                      </w14:textFill>
                    </w:rPr>
                    <w:t>建“两高”项</w:t>
                  </w:r>
                  <w:r>
                    <w:rPr>
                      <w:color w:val="000000" w:themeColor="text1"/>
                      <w:szCs w:val="21"/>
                      <w14:textFill>
                        <w14:solidFill>
                          <w14:schemeClr w14:val="tx1"/>
                        </w14:solidFill>
                      </w14:textFill>
                    </w:rPr>
                    <w:t>目应按照《关于加强重点行业建设项目区域削减措施监督管理的通知》要求，依据区域环境质量改善目标，制定配套区域污染物削减方案，采取有效的污染物区域削减措施，腾出足够的环境容量。国家大气污染防治重点区域(以下称重点区域)内新建耗煤项目还应严格按规定采取煤炭消费减量替代措施，不得使用高污染燃料作为煤炭减量替代措施。</w:t>
                  </w:r>
                </w:p>
              </w:tc>
              <w:tc>
                <w:tcPr>
                  <w:tcW w:w="1753"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项目不属于“</w:t>
                  </w:r>
                  <w:r>
                    <w:rPr>
                      <w:color w:val="000000" w:themeColor="text1"/>
                      <w:szCs w:val="21"/>
                      <w14:textFill>
                        <w14:solidFill>
                          <w14:schemeClr w14:val="tx1"/>
                        </w14:solidFill>
                      </w14:textFill>
                    </w:rPr>
                    <w:t>两高</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，且项目不使用高污染燃料。</w:t>
                  </w:r>
                </w:p>
              </w:tc>
              <w:tc>
                <w:tcPr>
                  <w:tcW w:w="866"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2"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5185"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提升清洁生产和污染防治水平。新建、扩建“两高”项目应采用先进适用的工艺技术和装备，单位产品物耗、能耗、水耗等达到清洁生产先进水平，依法制定并严格落实防治土壤与地下水污染的措施。国家或地方已出台超低排放要求</w:t>
                  </w:r>
                  <w:r>
                    <w:rPr>
                      <w:rFonts w:hint="eastAsia" w:ascii="宋体" w:hAnsi="宋体" w:cs="宋体"/>
                      <w:color w:val="000000" w:themeColor="text1"/>
                      <w:szCs w:val="21"/>
                      <w14:textFill>
                        <w14:solidFill>
                          <w14:schemeClr w14:val="tx1"/>
                        </w14:solidFill>
                      </w14:textFill>
                    </w:rPr>
                    <w:t>的“两高”</w:t>
                  </w:r>
                  <w:r>
                    <w:rPr>
                      <w:color w:val="000000" w:themeColor="text1"/>
                      <w:szCs w:val="21"/>
                      <w14:textFill>
                        <w14:solidFill>
                          <w14:schemeClr w14:val="tx1"/>
                        </w14:solidFill>
                      </w14:textFill>
                    </w:rPr>
                    <w:t>行业建设项目应满足超低排放要求。鼓励使用清洁燃料，重点区域建设项目原则上不新建燃煤自备锅炉。鼓励重点区域高炉-转炉长流程钢铁企业转型为电炉短流程企业。大宗物料优先采用铁路、管道或水路运输，短途接驳优先使用新能源车辆运输。</w:t>
                  </w:r>
                </w:p>
              </w:tc>
              <w:tc>
                <w:tcPr>
                  <w:tcW w:w="1753" w:type="dxa"/>
                  <w:vAlign w:val="center"/>
                </w:tcPr>
                <w:p>
                  <w:pPr>
                    <w:autoSpaceDE w:val="0"/>
                    <w:autoSpaceDN w:val="0"/>
                    <w:adjustRightInd w:val="0"/>
                    <w:spacing w:line="240" w:lineRule="auto"/>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项目不属于“</w:t>
                  </w:r>
                  <w:r>
                    <w:rPr>
                      <w:color w:val="000000" w:themeColor="text1"/>
                      <w:szCs w:val="21"/>
                      <w14:textFill>
                        <w14:solidFill>
                          <w14:schemeClr w14:val="tx1"/>
                        </w14:solidFill>
                      </w14:textFill>
                    </w:rPr>
                    <w:t>两高</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w:t>
                  </w:r>
                  <w:r>
                    <w:rPr>
                      <w:color w:val="000000" w:themeColor="text1"/>
                      <w14:textFill>
                        <w14:solidFill>
                          <w14:schemeClr w14:val="tx1"/>
                        </w14:solidFill>
                      </w14:textFill>
                    </w:rPr>
                    <w:t>清洁生产水平达到国内先进水平</w:t>
                  </w:r>
                  <w:r>
                    <w:rPr>
                      <w:rFonts w:hint="eastAsia"/>
                      <w:color w:val="000000" w:themeColor="text1"/>
                      <w:szCs w:val="21"/>
                      <w14:textFill>
                        <w14:solidFill>
                          <w14:schemeClr w14:val="tx1"/>
                        </w14:solidFill>
                      </w14:textFill>
                    </w:rPr>
                    <w:t>；项目采取了分区防渗、设置围堰等地下水和土壤污染防治措施。项目不使用燃煤锅炉。</w:t>
                  </w:r>
                </w:p>
              </w:tc>
              <w:tc>
                <w:tcPr>
                  <w:tcW w:w="866" w:type="dxa"/>
                  <w:vAlign w:val="center"/>
                </w:tcPr>
                <w:p>
                  <w:pPr>
                    <w:autoSpaceDE w:val="0"/>
                    <w:autoSpaceDN w:val="0"/>
                    <w:adjustRightInd w:val="0"/>
                    <w:spacing w:line="240" w:lineRule="auto"/>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pPr>
              <w:autoSpaceDE w:val="0"/>
              <w:autoSpaceDN w:val="0"/>
              <w:adjustRightInd w:val="0"/>
              <w:ind w:firstLine="480" w:firstLineChars="200"/>
              <w:jc w:val="left"/>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由上表可知，项目的建设符合环环评〔2021〕45号中相关要求。</w:t>
            </w:r>
          </w:p>
          <w:p>
            <w:pPr>
              <w:pStyle w:val="75"/>
              <w:tabs>
                <w:tab w:val="left" w:pos="540"/>
                <w:tab w:val="left" w:pos="1080"/>
                <w:tab w:val="left" w:pos="1800"/>
              </w:tabs>
              <w:ind w:firstLine="0"/>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1.12与《重庆市生态环境局办公室关于贯彻落实坚决遏制高耗能、高排放项目盲目发展相关要求的通知》（渝环办〔2021〕168号）的符合性分析</w:t>
            </w:r>
          </w:p>
          <w:p>
            <w:pPr>
              <w:autoSpaceDE w:val="0"/>
              <w:autoSpaceDN w:val="0"/>
              <w:adjustRightInd w:val="0"/>
              <w:ind w:firstLine="480" w:firstLineChars="200"/>
              <w:jc w:val="left"/>
              <w:textAlignment w:val="baseline"/>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根据《重庆市生态环境局办公室关于贯彻落实坚决遏制高耗能、高排放项目盲目发展相关要求的通知》（渝环办〔2021〕168号）：按煤电、石化、化工、钢铁、有色金属冶炼、建材等六个行业以及其他行业年综合能源消费量当量值在5000吨标准煤及以上的口径，进一步梳理排查，摸清家底，按在建、存量、拟建项目精准建立台账。</w:t>
            </w:r>
          </w:p>
          <w:p>
            <w:pPr>
              <w:autoSpaceDE w:val="0"/>
              <w:autoSpaceDN w:val="0"/>
              <w:adjustRightInd w:val="0"/>
              <w:ind w:firstLine="480" w:firstLineChars="200"/>
              <w:textAlignment w:val="baseline"/>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建设单位于2</w:t>
            </w:r>
            <w:r>
              <w:rPr>
                <w:color w:val="000000" w:themeColor="text1"/>
                <w:kern w:val="0"/>
                <w:sz w:val="24"/>
                <w:lang w:bidi="ar"/>
                <w14:textFill>
                  <w14:solidFill>
                    <w14:schemeClr w14:val="tx1"/>
                  </w14:solidFill>
                </w14:textFill>
              </w:rPr>
              <w:t>022</w:t>
            </w:r>
            <w:r>
              <w:rPr>
                <w:rFonts w:hint="eastAsia"/>
                <w:color w:val="000000" w:themeColor="text1"/>
                <w:kern w:val="0"/>
                <w:sz w:val="24"/>
                <w:lang w:bidi="ar"/>
                <w14:textFill>
                  <w14:solidFill>
                    <w14:schemeClr w14:val="tx1"/>
                  </w14:solidFill>
                </w14:textFill>
              </w:rPr>
              <w:t>年9月委托重庆同丰工程管理咨询有限公司编制了《重庆垚鑫再生资源有限公司年加工处理9万吨废旧轮胎综合利用建设项目节能报告》，并向重庆市双桥经济技术开发区经济发展局提交备案，备案表见附件7。根据该节能报告，项目综合能耗约</w:t>
            </w:r>
            <w:r>
              <w:rPr>
                <w:color w:val="000000" w:themeColor="text1"/>
                <w:kern w:val="0"/>
                <w:sz w:val="24"/>
                <w:lang w:bidi="ar"/>
                <w14:textFill>
                  <w14:solidFill>
                    <w14:schemeClr w14:val="tx1"/>
                  </w14:solidFill>
                </w14:textFill>
              </w:rPr>
              <w:t>2696.59</w:t>
            </w:r>
            <w:r>
              <w:rPr>
                <w:rFonts w:hint="eastAsia"/>
                <w:color w:val="000000" w:themeColor="text1"/>
                <w:kern w:val="0"/>
                <w:sz w:val="24"/>
                <w:lang w:bidi="ar"/>
                <w14:textFill>
                  <w14:solidFill>
                    <w14:schemeClr w14:val="tx1"/>
                  </w14:solidFill>
                </w14:textFill>
              </w:rPr>
              <w:t>tce，项目建成后企业综合能耗当量值在5000吨标准煤口径以下。因此，项目不属于“两高”企业，不在负面清单内，符合</w:t>
            </w:r>
            <w:r>
              <w:rPr>
                <w:rFonts w:hint="eastAsia"/>
                <w:color w:val="000000" w:themeColor="text1"/>
                <w:sz w:val="24"/>
                <w14:textFill>
                  <w14:solidFill>
                    <w14:schemeClr w14:val="tx1"/>
                  </w14:solidFill>
                </w14:textFill>
              </w:rPr>
              <w:t>《重庆市生态环境局办公室关于贯彻落实坚决遏制高耗能、高排放项目盲目发展相关要求的通知》（渝环办〔2021〕168号）的要求。</w:t>
            </w:r>
          </w:p>
          <w:p>
            <w:pPr>
              <w:autoSpaceDE w:val="0"/>
              <w:autoSpaceDN w:val="0"/>
              <w:adjustRightInd w:val="0"/>
              <w:snapToGrid w:val="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1.13与</w:t>
            </w:r>
            <w:r>
              <w:rPr>
                <w:rFonts w:hint="eastAsia"/>
                <w:b/>
                <w:bCs/>
                <w:color w:val="000000" w:themeColor="text1"/>
                <w:sz w:val="24"/>
                <w14:textFill>
                  <w14:solidFill>
                    <w14:schemeClr w14:val="tx1"/>
                  </w14:solidFill>
                </w14:textFill>
              </w:rPr>
              <w:t>《中华人民共和国长江保护法》符合性分析</w:t>
            </w:r>
          </w:p>
          <w:p>
            <w:pPr>
              <w:autoSpaceDE w:val="0"/>
              <w:autoSpaceDN w:val="0"/>
              <w:adjustRightInd w:val="0"/>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项目与《中华人民共和国长江保护法》的符合性分析，见表1</w:t>
            </w:r>
            <w:r>
              <w:rPr>
                <w:color w:val="000000" w:themeColor="text1"/>
                <w:sz w:val="24"/>
                <w14:textFill>
                  <w14:solidFill>
                    <w14:schemeClr w14:val="tx1"/>
                  </w14:solidFill>
                </w14:textFill>
              </w:rPr>
              <w:t>.13</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p>
          <w:p>
            <w:pPr>
              <w:autoSpaceDE w:val="0"/>
              <w:autoSpaceDN w:val="0"/>
              <w:adjustRightInd w:val="0"/>
              <w:snapToGrid w:val="0"/>
              <w:spacing w:line="24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表1</w:t>
            </w:r>
            <w:r>
              <w:rPr>
                <w:b/>
                <w:bCs/>
                <w:color w:val="000000" w:themeColor="text1"/>
                <w:sz w:val="24"/>
                <w14:textFill>
                  <w14:solidFill>
                    <w14:schemeClr w14:val="tx1"/>
                  </w14:solidFill>
                </w14:textFill>
              </w:rPr>
              <w:t>.13</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1</w:t>
            </w:r>
            <w:r>
              <w:rPr>
                <w:rFonts w:hint="eastAsia"/>
                <w:b/>
                <w:bCs/>
                <w:color w:val="000000" w:themeColor="text1"/>
                <w:sz w:val="24"/>
                <w14:textFill>
                  <w14:solidFill>
                    <w14:schemeClr w14:val="tx1"/>
                  </w14:solidFill>
                </w14:textFill>
              </w:rPr>
              <w:t xml:space="preserve">  项目与《中华人民共和国长江保护法》符合性分析</w:t>
            </w:r>
          </w:p>
          <w:tbl>
            <w:tblPr>
              <w:tblStyle w:val="3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43"/>
              <w:gridCol w:w="4001"/>
              <w:gridCol w:w="2488"/>
              <w:gridCol w:w="10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93" w:type="pct"/>
                  <w:tcBorders>
                    <w:tl2br w:val="nil"/>
                    <w:tr2bl w:val="nil"/>
                  </w:tcBorders>
                  <w:vAlign w:val="center"/>
                </w:tcPr>
                <w:p>
                  <w:pPr>
                    <w:autoSpaceDE w:val="0"/>
                    <w:autoSpaceDN w:val="0"/>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序号</w:t>
                  </w:r>
                </w:p>
              </w:tc>
              <w:tc>
                <w:tcPr>
                  <w:tcW w:w="2445" w:type="pct"/>
                  <w:tcBorders>
                    <w:tl2br w:val="nil"/>
                    <w:tr2bl w:val="nil"/>
                  </w:tcBorders>
                  <w:vAlign w:val="center"/>
                </w:tcPr>
                <w:p>
                  <w:pPr>
                    <w:autoSpaceDE w:val="0"/>
                    <w:autoSpaceDN w:val="0"/>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相关</w:t>
                  </w:r>
                  <w:r>
                    <w:rPr>
                      <w:b/>
                      <w:color w:val="000000" w:themeColor="text1"/>
                      <w:kern w:val="0"/>
                      <w:szCs w:val="21"/>
                      <w14:textFill>
                        <w14:solidFill>
                          <w14:schemeClr w14:val="tx1"/>
                        </w14:solidFill>
                      </w14:textFill>
                    </w:rPr>
                    <w:t>要求</w:t>
                  </w:r>
                </w:p>
              </w:tc>
              <w:tc>
                <w:tcPr>
                  <w:tcW w:w="1520" w:type="pct"/>
                  <w:tcBorders>
                    <w:tl2br w:val="nil"/>
                    <w:tr2bl w:val="nil"/>
                  </w:tcBorders>
                  <w:vAlign w:val="center"/>
                </w:tcPr>
                <w:p>
                  <w:pPr>
                    <w:autoSpaceDE w:val="0"/>
                    <w:autoSpaceDN w:val="0"/>
                    <w:adjustRightInd w:val="0"/>
                    <w:snapToGrid w:val="0"/>
                    <w:spacing w:line="240" w:lineRule="auto"/>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本项目情况</w:t>
                  </w:r>
                </w:p>
              </w:tc>
              <w:tc>
                <w:tcPr>
                  <w:tcW w:w="642" w:type="pct"/>
                  <w:tcBorders>
                    <w:tl2br w:val="nil"/>
                    <w:tr2bl w:val="nil"/>
                  </w:tcBorders>
                  <w:vAlign w:val="center"/>
                </w:tcPr>
                <w:p>
                  <w:pPr>
                    <w:autoSpaceDE w:val="0"/>
                    <w:autoSpaceDN w:val="0"/>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93" w:type="pct"/>
                  <w:tcBorders>
                    <w:tl2br w:val="nil"/>
                    <w:tr2bl w:val="nil"/>
                  </w:tcBorders>
                  <w:vAlign w:val="center"/>
                </w:tcPr>
                <w:p>
                  <w:pPr>
                    <w:autoSpaceDE w:val="0"/>
                    <w:autoSpaceDN w:val="0"/>
                    <w:adjustRightInd w:val="0"/>
                    <w:snapToGrid w:val="0"/>
                    <w:spacing w:line="240" w:lineRule="auto"/>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w:t>
                  </w:r>
                </w:p>
              </w:tc>
              <w:tc>
                <w:tcPr>
                  <w:tcW w:w="2445" w:type="pct"/>
                  <w:tcBorders>
                    <w:tl2br w:val="nil"/>
                    <w:tr2bl w:val="nil"/>
                  </w:tcBorders>
                  <w:vAlign w:val="center"/>
                </w:tcPr>
                <w:p>
                  <w:pPr>
                    <w:autoSpaceDE w:val="0"/>
                    <w:autoSpaceDN w:val="0"/>
                    <w:adjustRightInd w:val="0"/>
                    <w:snapToGrid w:val="0"/>
                    <w:spacing w:line="240" w:lineRule="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长江流域国土空间开发利用活动应当符合国土空间用途管制要求，并依法取得规划许可</w:t>
                  </w:r>
                  <w:r>
                    <w:rPr>
                      <w:rFonts w:hint="eastAsia"/>
                      <w:bCs/>
                      <w:color w:val="000000" w:themeColor="text1"/>
                      <w:kern w:val="0"/>
                      <w:szCs w:val="21"/>
                      <w14:textFill>
                        <w14:solidFill>
                          <w14:schemeClr w14:val="tx1"/>
                        </w14:solidFill>
                      </w14:textFill>
                    </w:rPr>
                    <w:t>。</w:t>
                  </w:r>
                </w:p>
              </w:tc>
              <w:tc>
                <w:tcPr>
                  <w:tcW w:w="1520" w:type="pct"/>
                  <w:tcBorders>
                    <w:tl2br w:val="nil"/>
                    <w:tr2bl w:val="nil"/>
                  </w:tcBorders>
                  <w:vAlign w:val="center"/>
                </w:tcPr>
                <w:p>
                  <w:pPr>
                    <w:autoSpaceDE w:val="0"/>
                    <w:autoSpaceDN w:val="0"/>
                    <w:adjustRightInd w:val="0"/>
                    <w:snapToGrid w:val="0"/>
                    <w:spacing w:line="240" w:lineRule="auto"/>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项目位于双桥经开区邮亭片区A区，</w:t>
                  </w:r>
                  <w:r>
                    <w:rPr>
                      <w:bCs/>
                      <w:color w:val="000000" w:themeColor="text1"/>
                      <w:kern w:val="0"/>
                      <w:szCs w:val="21"/>
                      <w14:textFill>
                        <w14:solidFill>
                          <w14:schemeClr w14:val="tx1"/>
                        </w14:solidFill>
                      </w14:textFill>
                    </w:rPr>
                    <w:t>用地为工业用地</w:t>
                  </w:r>
                  <w:r>
                    <w:rPr>
                      <w:rFonts w:hint="eastAsia"/>
                      <w:bCs/>
                      <w:color w:val="000000" w:themeColor="text1"/>
                      <w:kern w:val="0"/>
                      <w:szCs w:val="21"/>
                      <w14:textFill>
                        <w14:solidFill>
                          <w14:schemeClr w14:val="tx1"/>
                        </w14:solidFill>
                      </w14:textFill>
                    </w:rPr>
                    <w:t>。</w:t>
                  </w:r>
                </w:p>
              </w:tc>
              <w:tc>
                <w:tcPr>
                  <w:tcW w:w="642" w:type="pct"/>
                  <w:tcBorders>
                    <w:tl2br w:val="nil"/>
                    <w:tr2bl w:val="nil"/>
                  </w:tcBorders>
                  <w:vAlign w:val="center"/>
                </w:tcPr>
                <w:p>
                  <w:pPr>
                    <w:autoSpaceDE w:val="0"/>
                    <w:autoSpaceDN w:val="0"/>
                    <w:adjustRightInd w:val="0"/>
                    <w:snapToGrid w:val="0"/>
                    <w:spacing w:line="240" w:lineRule="auto"/>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93" w:type="pct"/>
                  <w:tcBorders>
                    <w:tl2br w:val="nil"/>
                    <w:tr2bl w:val="nil"/>
                  </w:tcBorders>
                  <w:vAlign w:val="center"/>
                </w:tcPr>
                <w:p>
                  <w:pPr>
                    <w:autoSpaceDE w:val="0"/>
                    <w:autoSpaceDN w:val="0"/>
                    <w:adjustRightInd w:val="0"/>
                    <w:snapToGrid w:val="0"/>
                    <w:spacing w:line="240" w:lineRule="auto"/>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w:t>
                  </w:r>
                </w:p>
              </w:tc>
              <w:tc>
                <w:tcPr>
                  <w:tcW w:w="2445" w:type="pct"/>
                  <w:tcBorders>
                    <w:tl2br w:val="nil"/>
                    <w:tr2bl w:val="nil"/>
                  </w:tcBorders>
                  <w:vAlign w:val="center"/>
                </w:tcPr>
                <w:p>
                  <w:pPr>
                    <w:autoSpaceDE w:val="0"/>
                    <w:autoSpaceDN w:val="0"/>
                    <w:adjustRightInd w:val="0"/>
                    <w:snapToGrid w:val="0"/>
                    <w:spacing w:line="240" w:lineRule="auto"/>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禁止</w:t>
                  </w:r>
                  <w:r>
                    <w:rPr>
                      <w:bCs/>
                      <w:color w:val="000000" w:themeColor="text1"/>
                      <w:kern w:val="0"/>
                      <w:szCs w:val="21"/>
                      <w14:textFill>
                        <w14:solidFill>
                          <w14:schemeClr w14:val="tx1"/>
                        </w14:solidFill>
                      </w14:textFill>
                    </w:rPr>
                    <w:t>在长江流域重点生态功能区布局对生态系统有严重影响的产业</w:t>
                  </w:r>
                  <w:r>
                    <w:rPr>
                      <w:rFonts w:hint="eastAsia"/>
                      <w:bCs/>
                      <w:color w:val="000000" w:themeColor="text1"/>
                      <w:kern w:val="0"/>
                      <w:szCs w:val="21"/>
                      <w14:textFill>
                        <w14:solidFill>
                          <w14:schemeClr w14:val="tx1"/>
                        </w14:solidFill>
                      </w14:textFill>
                    </w:rPr>
                    <w:t>。</w:t>
                  </w:r>
                </w:p>
              </w:tc>
              <w:tc>
                <w:tcPr>
                  <w:tcW w:w="1520" w:type="pct"/>
                  <w:tcBorders>
                    <w:tl2br w:val="nil"/>
                    <w:tr2bl w:val="nil"/>
                  </w:tcBorders>
                  <w:vAlign w:val="center"/>
                </w:tcPr>
                <w:p>
                  <w:pPr>
                    <w:autoSpaceDE w:val="0"/>
                    <w:autoSpaceDN w:val="0"/>
                    <w:adjustRightInd w:val="0"/>
                    <w:snapToGrid w:val="0"/>
                    <w:spacing w:line="240" w:lineRule="auto"/>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项目</w:t>
                  </w:r>
                  <w:r>
                    <w:rPr>
                      <w:bCs/>
                      <w:color w:val="000000" w:themeColor="text1"/>
                      <w:kern w:val="0"/>
                      <w:szCs w:val="21"/>
                      <w14:textFill>
                        <w14:solidFill>
                          <w14:schemeClr w14:val="tx1"/>
                        </w14:solidFill>
                      </w14:textFill>
                    </w:rPr>
                    <w:t>不属于重污染企业，不会对生态系统有严重影响</w:t>
                  </w:r>
                  <w:r>
                    <w:rPr>
                      <w:rFonts w:hint="eastAsia"/>
                      <w:bCs/>
                      <w:color w:val="000000" w:themeColor="text1"/>
                      <w:kern w:val="0"/>
                      <w:szCs w:val="21"/>
                      <w14:textFill>
                        <w14:solidFill>
                          <w14:schemeClr w14:val="tx1"/>
                        </w14:solidFill>
                      </w14:textFill>
                    </w:rPr>
                    <w:t>。</w:t>
                  </w:r>
                </w:p>
              </w:tc>
              <w:tc>
                <w:tcPr>
                  <w:tcW w:w="642" w:type="pct"/>
                  <w:tcBorders>
                    <w:tl2br w:val="nil"/>
                    <w:tr2bl w:val="nil"/>
                  </w:tcBorders>
                  <w:vAlign w:val="center"/>
                </w:tcPr>
                <w:p>
                  <w:pPr>
                    <w:autoSpaceDE w:val="0"/>
                    <w:autoSpaceDN w:val="0"/>
                    <w:adjustRightInd w:val="0"/>
                    <w:snapToGrid w:val="0"/>
                    <w:spacing w:line="240" w:lineRule="auto"/>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93" w:type="pct"/>
                  <w:tcBorders>
                    <w:tl2br w:val="nil"/>
                    <w:tr2bl w:val="nil"/>
                  </w:tcBorders>
                  <w:vAlign w:val="center"/>
                </w:tcPr>
                <w:p>
                  <w:pPr>
                    <w:autoSpaceDE w:val="0"/>
                    <w:autoSpaceDN w:val="0"/>
                    <w:adjustRightInd w:val="0"/>
                    <w:snapToGrid w:val="0"/>
                    <w:spacing w:line="240" w:lineRule="auto"/>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3</w:t>
                  </w:r>
                </w:p>
              </w:tc>
              <w:tc>
                <w:tcPr>
                  <w:tcW w:w="2445" w:type="pct"/>
                  <w:tcBorders>
                    <w:tl2br w:val="nil"/>
                    <w:tr2bl w:val="nil"/>
                  </w:tcBorders>
                  <w:vAlign w:val="center"/>
                </w:tcPr>
                <w:p>
                  <w:pPr>
                    <w:autoSpaceDE w:val="0"/>
                    <w:autoSpaceDN w:val="0"/>
                    <w:adjustRightInd w:val="0"/>
                    <w:snapToGrid w:val="0"/>
                    <w:spacing w:line="240" w:lineRule="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禁止重污染企业和项目向长江中上游转移</w:t>
                  </w:r>
                  <w:r>
                    <w:rPr>
                      <w:rFonts w:hint="eastAsia"/>
                      <w:bCs/>
                      <w:color w:val="000000" w:themeColor="text1"/>
                      <w:kern w:val="0"/>
                      <w:szCs w:val="21"/>
                      <w14:textFill>
                        <w14:solidFill>
                          <w14:schemeClr w14:val="tx1"/>
                        </w14:solidFill>
                      </w14:textFill>
                    </w:rPr>
                    <w:t>。</w:t>
                  </w:r>
                </w:p>
              </w:tc>
              <w:tc>
                <w:tcPr>
                  <w:tcW w:w="1520" w:type="pct"/>
                  <w:tcBorders>
                    <w:tl2br w:val="nil"/>
                    <w:tr2bl w:val="nil"/>
                  </w:tcBorders>
                  <w:vAlign w:val="center"/>
                </w:tcPr>
                <w:p>
                  <w:pPr>
                    <w:autoSpaceDE w:val="0"/>
                    <w:autoSpaceDN w:val="0"/>
                    <w:adjustRightInd w:val="0"/>
                    <w:snapToGrid w:val="0"/>
                    <w:spacing w:line="240" w:lineRule="auto"/>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项目</w:t>
                  </w:r>
                  <w:r>
                    <w:rPr>
                      <w:bCs/>
                      <w:color w:val="000000" w:themeColor="text1"/>
                      <w:kern w:val="0"/>
                      <w:szCs w:val="21"/>
                      <w14:textFill>
                        <w14:solidFill>
                          <w14:schemeClr w14:val="tx1"/>
                        </w14:solidFill>
                      </w14:textFill>
                    </w:rPr>
                    <w:t>不属于重污染企业</w:t>
                  </w:r>
                  <w:r>
                    <w:rPr>
                      <w:rFonts w:hint="eastAsia"/>
                      <w:bCs/>
                      <w:color w:val="000000" w:themeColor="text1"/>
                      <w:kern w:val="0"/>
                      <w:szCs w:val="21"/>
                      <w14:textFill>
                        <w14:solidFill>
                          <w14:schemeClr w14:val="tx1"/>
                        </w14:solidFill>
                      </w14:textFill>
                    </w:rPr>
                    <w:t>和项目</w:t>
                  </w:r>
                  <w:r>
                    <w:rPr>
                      <w:bCs/>
                      <w:color w:val="000000" w:themeColor="text1"/>
                      <w:kern w:val="0"/>
                      <w:szCs w:val="21"/>
                      <w14:textFill>
                        <w14:solidFill>
                          <w14:schemeClr w14:val="tx1"/>
                        </w14:solidFill>
                      </w14:textFill>
                    </w:rPr>
                    <w:t>。</w:t>
                  </w:r>
                </w:p>
              </w:tc>
              <w:tc>
                <w:tcPr>
                  <w:tcW w:w="642" w:type="pct"/>
                  <w:tcBorders>
                    <w:tl2br w:val="nil"/>
                    <w:tr2bl w:val="nil"/>
                  </w:tcBorders>
                  <w:vAlign w:val="center"/>
                </w:tcPr>
                <w:p>
                  <w:pPr>
                    <w:autoSpaceDE w:val="0"/>
                    <w:autoSpaceDN w:val="0"/>
                    <w:adjustRightInd w:val="0"/>
                    <w:snapToGrid w:val="0"/>
                    <w:spacing w:line="240" w:lineRule="auto"/>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93" w:type="pct"/>
                  <w:tcBorders>
                    <w:tl2br w:val="nil"/>
                    <w:tr2bl w:val="nil"/>
                  </w:tcBorders>
                  <w:vAlign w:val="center"/>
                </w:tcPr>
                <w:p>
                  <w:pPr>
                    <w:autoSpaceDE w:val="0"/>
                    <w:autoSpaceDN w:val="0"/>
                    <w:adjustRightInd w:val="0"/>
                    <w:snapToGrid w:val="0"/>
                    <w:spacing w:line="240" w:lineRule="auto"/>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4</w:t>
                  </w:r>
                </w:p>
              </w:tc>
              <w:tc>
                <w:tcPr>
                  <w:tcW w:w="2445" w:type="pct"/>
                  <w:tcBorders>
                    <w:tl2br w:val="nil"/>
                    <w:tr2bl w:val="nil"/>
                  </w:tcBorders>
                  <w:vAlign w:val="center"/>
                </w:tcPr>
                <w:p>
                  <w:pPr>
                    <w:autoSpaceDE w:val="0"/>
                    <w:autoSpaceDN w:val="0"/>
                    <w:adjustRightInd w:val="0"/>
                    <w:snapToGrid w:val="0"/>
                    <w:spacing w:line="240" w:lineRule="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禁止在长江干流岸线三公里范围内和重要支流岸线一公里范围内新建、改建、扩建尾矿库；但是以提升安全、生态环境保护水平为目的的改建除外</w:t>
                  </w:r>
                  <w:r>
                    <w:rPr>
                      <w:rFonts w:hint="eastAsia"/>
                      <w:bCs/>
                      <w:color w:val="000000" w:themeColor="text1"/>
                      <w:kern w:val="0"/>
                      <w:szCs w:val="21"/>
                      <w14:textFill>
                        <w14:solidFill>
                          <w14:schemeClr w14:val="tx1"/>
                        </w14:solidFill>
                      </w14:textFill>
                    </w:rPr>
                    <w:t>。</w:t>
                  </w:r>
                </w:p>
              </w:tc>
              <w:tc>
                <w:tcPr>
                  <w:tcW w:w="1520" w:type="pct"/>
                  <w:tcBorders>
                    <w:tl2br w:val="nil"/>
                    <w:tr2bl w:val="nil"/>
                  </w:tcBorders>
                  <w:vAlign w:val="center"/>
                </w:tcPr>
                <w:p>
                  <w:pPr>
                    <w:autoSpaceDE w:val="0"/>
                    <w:autoSpaceDN w:val="0"/>
                    <w:adjustRightInd w:val="0"/>
                    <w:snapToGrid w:val="0"/>
                    <w:spacing w:line="240" w:lineRule="auto"/>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项目</w:t>
                  </w:r>
                  <w:r>
                    <w:rPr>
                      <w:bCs/>
                      <w:color w:val="000000" w:themeColor="text1"/>
                      <w:kern w:val="0"/>
                      <w:szCs w:val="21"/>
                      <w14:textFill>
                        <w14:solidFill>
                          <w14:schemeClr w14:val="tx1"/>
                        </w14:solidFill>
                      </w14:textFill>
                    </w:rPr>
                    <w:t>不属于尾矿库项目</w:t>
                  </w:r>
                  <w:r>
                    <w:rPr>
                      <w:rFonts w:hint="eastAsia"/>
                      <w:bCs/>
                      <w:color w:val="000000" w:themeColor="text1"/>
                      <w:kern w:val="0"/>
                      <w:szCs w:val="21"/>
                      <w14:textFill>
                        <w14:solidFill>
                          <w14:schemeClr w14:val="tx1"/>
                        </w14:solidFill>
                      </w14:textFill>
                    </w:rPr>
                    <w:t>。</w:t>
                  </w:r>
                </w:p>
              </w:tc>
              <w:tc>
                <w:tcPr>
                  <w:tcW w:w="642" w:type="pct"/>
                  <w:tcBorders>
                    <w:tl2br w:val="nil"/>
                    <w:tr2bl w:val="nil"/>
                  </w:tcBorders>
                  <w:vAlign w:val="center"/>
                </w:tcPr>
                <w:p>
                  <w:pPr>
                    <w:autoSpaceDE w:val="0"/>
                    <w:autoSpaceDN w:val="0"/>
                    <w:adjustRightInd w:val="0"/>
                    <w:snapToGrid w:val="0"/>
                    <w:spacing w:line="240" w:lineRule="auto"/>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93" w:type="pct"/>
                  <w:tcBorders>
                    <w:tl2br w:val="nil"/>
                    <w:tr2bl w:val="nil"/>
                  </w:tcBorders>
                  <w:vAlign w:val="center"/>
                </w:tcPr>
                <w:p>
                  <w:pPr>
                    <w:autoSpaceDE w:val="0"/>
                    <w:autoSpaceDN w:val="0"/>
                    <w:adjustRightInd w:val="0"/>
                    <w:snapToGrid w:val="0"/>
                    <w:spacing w:line="240" w:lineRule="auto"/>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5</w:t>
                  </w:r>
                </w:p>
              </w:tc>
              <w:tc>
                <w:tcPr>
                  <w:tcW w:w="2445" w:type="pct"/>
                  <w:tcBorders>
                    <w:tl2br w:val="nil"/>
                    <w:tr2bl w:val="nil"/>
                  </w:tcBorders>
                  <w:vAlign w:val="center"/>
                </w:tcPr>
                <w:p>
                  <w:pPr>
                    <w:autoSpaceDE w:val="0"/>
                    <w:autoSpaceDN w:val="0"/>
                    <w:adjustRightInd w:val="0"/>
                    <w:snapToGrid w:val="0"/>
                    <w:spacing w:line="240" w:lineRule="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对长江流域已建小水电工程，不符合生态保护要求的，县级以上地方人民政府应当组织分类整改或者采取措施逐步退出</w:t>
                  </w:r>
                  <w:r>
                    <w:rPr>
                      <w:rFonts w:hint="eastAsia"/>
                      <w:bCs/>
                      <w:color w:val="000000" w:themeColor="text1"/>
                      <w:kern w:val="0"/>
                      <w:szCs w:val="21"/>
                      <w14:textFill>
                        <w14:solidFill>
                          <w14:schemeClr w14:val="tx1"/>
                        </w14:solidFill>
                      </w14:textFill>
                    </w:rPr>
                    <w:t>。</w:t>
                  </w:r>
                </w:p>
              </w:tc>
              <w:tc>
                <w:tcPr>
                  <w:tcW w:w="1520" w:type="pct"/>
                  <w:tcBorders>
                    <w:tl2br w:val="nil"/>
                    <w:tr2bl w:val="nil"/>
                  </w:tcBorders>
                  <w:vAlign w:val="center"/>
                </w:tcPr>
                <w:p>
                  <w:pPr>
                    <w:autoSpaceDE w:val="0"/>
                    <w:autoSpaceDN w:val="0"/>
                    <w:adjustRightInd w:val="0"/>
                    <w:snapToGrid w:val="0"/>
                    <w:spacing w:line="240" w:lineRule="auto"/>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项目</w:t>
                  </w:r>
                  <w:r>
                    <w:rPr>
                      <w:bCs/>
                      <w:color w:val="000000" w:themeColor="text1"/>
                      <w:kern w:val="0"/>
                      <w:szCs w:val="21"/>
                      <w14:textFill>
                        <w14:solidFill>
                          <w14:schemeClr w14:val="tx1"/>
                        </w14:solidFill>
                      </w14:textFill>
                    </w:rPr>
                    <w:t>不属于小水电工程项目</w:t>
                  </w:r>
                  <w:r>
                    <w:rPr>
                      <w:rFonts w:hint="eastAsia"/>
                      <w:bCs/>
                      <w:color w:val="000000" w:themeColor="text1"/>
                      <w:kern w:val="0"/>
                      <w:szCs w:val="21"/>
                      <w14:textFill>
                        <w14:solidFill>
                          <w14:schemeClr w14:val="tx1"/>
                        </w14:solidFill>
                      </w14:textFill>
                    </w:rPr>
                    <w:t>。</w:t>
                  </w:r>
                </w:p>
              </w:tc>
              <w:tc>
                <w:tcPr>
                  <w:tcW w:w="642" w:type="pct"/>
                  <w:tcBorders>
                    <w:tl2br w:val="nil"/>
                    <w:tr2bl w:val="nil"/>
                  </w:tcBorders>
                  <w:vAlign w:val="center"/>
                </w:tcPr>
                <w:p>
                  <w:pPr>
                    <w:autoSpaceDE w:val="0"/>
                    <w:autoSpaceDN w:val="0"/>
                    <w:adjustRightInd w:val="0"/>
                    <w:snapToGrid w:val="0"/>
                    <w:spacing w:line="240" w:lineRule="auto"/>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93" w:type="pct"/>
                  <w:tcBorders>
                    <w:tl2br w:val="nil"/>
                    <w:tr2bl w:val="nil"/>
                  </w:tcBorders>
                  <w:vAlign w:val="center"/>
                </w:tcPr>
                <w:p>
                  <w:pPr>
                    <w:autoSpaceDE w:val="0"/>
                    <w:autoSpaceDN w:val="0"/>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6</w:t>
                  </w:r>
                </w:p>
              </w:tc>
              <w:tc>
                <w:tcPr>
                  <w:tcW w:w="2445" w:type="pct"/>
                  <w:tcBorders>
                    <w:tl2br w:val="nil"/>
                    <w:tr2bl w:val="nil"/>
                  </w:tcBorders>
                  <w:vAlign w:val="center"/>
                </w:tcPr>
                <w:p>
                  <w:pPr>
                    <w:autoSpaceDE w:val="0"/>
                    <w:autoSpaceDN w:val="0"/>
                    <w:adjustRightInd w:val="0"/>
                    <w:snapToGrid w:val="0"/>
                    <w:spacing w:line="240" w:lineRule="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禁止在长江流域水土流失严重、生态脆弱的区域开展可能造成水土流失的生产建设活动</w:t>
                  </w:r>
                  <w:r>
                    <w:rPr>
                      <w:rFonts w:hint="eastAsia"/>
                      <w:bCs/>
                      <w:color w:val="000000" w:themeColor="text1"/>
                      <w:kern w:val="0"/>
                      <w:szCs w:val="21"/>
                      <w14:textFill>
                        <w14:solidFill>
                          <w14:schemeClr w14:val="tx1"/>
                        </w14:solidFill>
                      </w14:textFill>
                    </w:rPr>
                    <w:t>。</w:t>
                  </w:r>
                </w:p>
              </w:tc>
              <w:tc>
                <w:tcPr>
                  <w:tcW w:w="1520" w:type="pct"/>
                  <w:tcBorders>
                    <w:tl2br w:val="nil"/>
                    <w:tr2bl w:val="nil"/>
                  </w:tcBorders>
                  <w:vAlign w:val="center"/>
                </w:tcPr>
                <w:p>
                  <w:pPr>
                    <w:autoSpaceDE w:val="0"/>
                    <w:autoSpaceDN w:val="0"/>
                    <w:adjustRightInd w:val="0"/>
                    <w:snapToGrid w:val="0"/>
                    <w:spacing w:line="240" w:lineRule="auto"/>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项目位于双桥经开区邮亭片区A区</w:t>
                  </w:r>
                  <w:r>
                    <w:rPr>
                      <w:bCs/>
                      <w:color w:val="000000" w:themeColor="text1"/>
                      <w:kern w:val="0"/>
                      <w:szCs w:val="21"/>
                      <w14:textFill>
                        <w14:solidFill>
                          <w14:schemeClr w14:val="tx1"/>
                        </w14:solidFill>
                      </w14:textFill>
                    </w:rPr>
                    <w:t>，不属于水土流失严重、生态脆弱的区域</w:t>
                  </w:r>
                  <w:r>
                    <w:rPr>
                      <w:rFonts w:hint="eastAsia"/>
                      <w:bCs/>
                      <w:color w:val="000000" w:themeColor="text1"/>
                      <w:kern w:val="0"/>
                      <w:szCs w:val="21"/>
                      <w14:textFill>
                        <w14:solidFill>
                          <w14:schemeClr w14:val="tx1"/>
                        </w14:solidFill>
                      </w14:textFill>
                    </w:rPr>
                    <w:t>。</w:t>
                  </w:r>
                </w:p>
              </w:tc>
              <w:tc>
                <w:tcPr>
                  <w:tcW w:w="642" w:type="pct"/>
                  <w:tcBorders>
                    <w:tl2br w:val="nil"/>
                    <w:tr2bl w:val="nil"/>
                  </w:tcBorders>
                  <w:vAlign w:val="center"/>
                </w:tcPr>
                <w:p>
                  <w:pPr>
                    <w:autoSpaceDE w:val="0"/>
                    <w:autoSpaceDN w:val="0"/>
                    <w:adjustRightInd w:val="0"/>
                    <w:snapToGrid w:val="0"/>
                    <w:spacing w:line="240" w:lineRule="auto"/>
                    <w:jc w:val="center"/>
                    <w:rPr>
                      <w:b/>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93" w:type="pct"/>
                  <w:tcBorders>
                    <w:tl2br w:val="nil"/>
                    <w:tr2bl w:val="nil"/>
                  </w:tcBorders>
                  <w:vAlign w:val="center"/>
                </w:tcPr>
                <w:p>
                  <w:pPr>
                    <w:autoSpaceDE w:val="0"/>
                    <w:autoSpaceDN w:val="0"/>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7</w:t>
                  </w:r>
                </w:p>
              </w:tc>
              <w:tc>
                <w:tcPr>
                  <w:tcW w:w="2445" w:type="pct"/>
                  <w:tcBorders>
                    <w:tl2br w:val="nil"/>
                    <w:tr2bl w:val="nil"/>
                  </w:tcBorders>
                  <w:vAlign w:val="center"/>
                </w:tcPr>
                <w:p>
                  <w:pPr>
                    <w:pStyle w:val="32"/>
                    <w:spacing w:before="0" w:beforeAutospacing="0" w:after="0" w:afterAutospacing="0" w:line="240" w:lineRule="auto"/>
                    <w:jc w:val="both"/>
                    <w:rPr>
                      <w:rFonts w:ascii="Times New Roman" w:hAnsi="Times New Roman"/>
                      <w:b/>
                      <w:color w:val="000000" w:themeColor="text1"/>
                      <w:sz w:val="21"/>
                      <w:szCs w:val="21"/>
                      <w14:textFill>
                        <w14:solidFill>
                          <w14:schemeClr w14:val="tx1"/>
                        </w14:solidFill>
                      </w14:textFill>
                    </w:rPr>
                  </w:pPr>
                  <w:r>
                    <w:rPr>
                      <w:rFonts w:ascii="Times New Roman" w:hAnsi="Times New Roman"/>
                      <w:color w:val="000000" w:themeColor="text1"/>
                      <w:sz w:val="21"/>
                      <w:szCs w:val="21"/>
                      <w:shd w:val="clear" w:color="auto" w:fill="FFFFFF"/>
                      <w14:textFill>
                        <w14:solidFill>
                          <w14:schemeClr w14:val="tx1"/>
                        </w14:solidFill>
                      </w14:textFill>
                    </w:rPr>
                    <w:t>严格限制在长江流域生态保护红线、自然保护地、水生生物重要栖息地水域实施航道整治工程；确需整治的，应当经科学论证，并依法办理相关手续</w:t>
                  </w:r>
                  <w:r>
                    <w:rPr>
                      <w:rFonts w:hint="eastAsia" w:ascii="Times New Roman" w:hAnsi="Times New Roman"/>
                      <w:color w:val="000000" w:themeColor="text1"/>
                      <w:sz w:val="21"/>
                      <w:szCs w:val="21"/>
                      <w:shd w:val="clear" w:color="auto" w:fill="FFFFFF"/>
                      <w14:textFill>
                        <w14:solidFill>
                          <w14:schemeClr w14:val="tx1"/>
                        </w14:solidFill>
                      </w14:textFill>
                    </w:rPr>
                    <w:t>。</w:t>
                  </w:r>
                </w:p>
              </w:tc>
              <w:tc>
                <w:tcPr>
                  <w:tcW w:w="1520" w:type="pct"/>
                  <w:tcBorders>
                    <w:tl2br w:val="nil"/>
                    <w:tr2bl w:val="nil"/>
                  </w:tcBorders>
                  <w:vAlign w:val="center"/>
                </w:tcPr>
                <w:p>
                  <w:pPr>
                    <w:autoSpaceDE w:val="0"/>
                    <w:autoSpaceDN w:val="0"/>
                    <w:adjustRightInd w:val="0"/>
                    <w:snapToGrid w:val="0"/>
                    <w:spacing w:line="240" w:lineRule="auto"/>
                    <w:rPr>
                      <w:b/>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项目</w:t>
                  </w:r>
                  <w:r>
                    <w:rPr>
                      <w:bCs/>
                      <w:color w:val="000000" w:themeColor="text1"/>
                      <w:kern w:val="0"/>
                      <w:szCs w:val="21"/>
                      <w14:textFill>
                        <w14:solidFill>
                          <w14:schemeClr w14:val="tx1"/>
                        </w14:solidFill>
                      </w14:textFill>
                    </w:rPr>
                    <w:t>不属于航道整治工程</w:t>
                  </w:r>
                  <w:r>
                    <w:rPr>
                      <w:rFonts w:hint="eastAsia"/>
                      <w:bCs/>
                      <w:color w:val="000000" w:themeColor="text1"/>
                      <w:kern w:val="0"/>
                      <w:szCs w:val="21"/>
                      <w14:textFill>
                        <w14:solidFill>
                          <w14:schemeClr w14:val="tx1"/>
                        </w14:solidFill>
                      </w14:textFill>
                    </w:rPr>
                    <w:t>。</w:t>
                  </w:r>
                </w:p>
              </w:tc>
              <w:tc>
                <w:tcPr>
                  <w:tcW w:w="642" w:type="pct"/>
                  <w:tcBorders>
                    <w:tl2br w:val="nil"/>
                    <w:tr2bl w:val="nil"/>
                  </w:tcBorders>
                  <w:vAlign w:val="center"/>
                </w:tcPr>
                <w:p>
                  <w:pPr>
                    <w:autoSpaceDE w:val="0"/>
                    <w:autoSpaceDN w:val="0"/>
                    <w:adjustRightInd w:val="0"/>
                    <w:snapToGrid w:val="0"/>
                    <w:spacing w:line="240" w:lineRule="auto"/>
                    <w:jc w:val="center"/>
                    <w:rPr>
                      <w:b/>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符合</w:t>
                  </w:r>
                </w:p>
              </w:tc>
            </w:tr>
          </w:tbl>
          <w:p>
            <w:pPr>
              <w:autoSpaceDE w:val="0"/>
              <w:autoSpaceDN w:val="0"/>
              <w:adjustRightInd w:val="0"/>
              <w:snapToGrid w:val="0"/>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由上表可知，项目符合《中华人民共和国长江保护法》相关要求。</w:t>
            </w:r>
          </w:p>
          <w:p>
            <w:pPr>
              <w:tabs>
                <w:tab w:val="left" w:pos="2552"/>
              </w:tabs>
              <w:snapToGrid w:val="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1.14</w:t>
            </w:r>
            <w:r>
              <w:rPr>
                <w:rFonts w:hint="eastAsia"/>
                <w:b/>
                <w:bCs/>
                <w:color w:val="000000" w:themeColor="text1"/>
                <w:sz w:val="24"/>
                <w14:textFill>
                  <w14:solidFill>
                    <w14:schemeClr w14:val="tx1"/>
                  </w14:solidFill>
                </w14:textFill>
              </w:rPr>
              <w:t>与</w:t>
            </w:r>
            <w:r>
              <w:rPr>
                <w:b/>
                <w:bCs/>
                <w:color w:val="000000" w:themeColor="text1"/>
                <w:sz w:val="24"/>
                <w14:textFill>
                  <w14:solidFill>
                    <w14:schemeClr w14:val="tx1"/>
                  </w14:solidFill>
                </w14:textFill>
              </w:rPr>
              <w:t>《挥发性有机物（VOCs）污染防治技术政策》</w:t>
            </w:r>
            <w:r>
              <w:rPr>
                <w:rFonts w:hint="eastAsia"/>
                <w:b/>
                <w:bCs/>
                <w:color w:val="000000" w:themeColor="text1"/>
                <w:sz w:val="24"/>
                <w14:textFill>
                  <w14:solidFill>
                    <w14:schemeClr w14:val="tx1"/>
                  </w14:solidFill>
                </w14:textFill>
              </w:rPr>
              <w:t>符合性分析</w:t>
            </w:r>
          </w:p>
          <w:p>
            <w:pPr>
              <w:tabs>
                <w:tab w:val="left" w:pos="2552"/>
              </w:tabs>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与《挥发性有机物（VOCs）污染防治技术政策》（2013年5月24日实施）</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符合性分析</w:t>
            </w:r>
            <w:r>
              <w:rPr>
                <w:rFonts w:hint="eastAsia"/>
                <w:color w:val="000000" w:themeColor="text1"/>
                <w:sz w:val="24"/>
                <w14:textFill>
                  <w14:solidFill>
                    <w14:schemeClr w14:val="tx1"/>
                  </w14:solidFill>
                </w14:textFill>
              </w:rPr>
              <w:t>，详</w:t>
            </w:r>
            <w:r>
              <w:rPr>
                <w:color w:val="000000" w:themeColor="text1"/>
                <w:sz w:val="24"/>
                <w14:textFill>
                  <w14:solidFill>
                    <w14:schemeClr w14:val="tx1"/>
                  </w14:solidFill>
                </w14:textFill>
              </w:rPr>
              <w:t>见表</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.14</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p>
          <w:p>
            <w:pPr>
              <w:autoSpaceDE w:val="0"/>
              <w:autoSpaceDN w:val="0"/>
              <w:spacing w:line="240" w:lineRule="auto"/>
              <w:jc w:val="center"/>
              <w:textAlignment w:val="baseline"/>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表</w:t>
            </w:r>
            <w:r>
              <w:rPr>
                <w:b/>
                <w:bCs/>
                <w:color w:val="000000" w:themeColor="text1"/>
                <w:sz w:val="24"/>
                <w14:textFill>
                  <w14:solidFill>
                    <w14:schemeClr w14:val="tx1"/>
                  </w14:solidFill>
                </w14:textFill>
              </w:rPr>
              <w:t>1.14</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 xml:space="preserve">1 </w:t>
            </w:r>
            <w:r>
              <w:rPr>
                <w:b/>
                <w:bCs/>
                <w:color w:val="000000" w:themeColor="text1"/>
                <w:sz w:val="24"/>
                <w:lang w:val="zh-CN"/>
                <w14:textFill>
                  <w14:solidFill>
                    <w14:schemeClr w14:val="tx1"/>
                  </w14:solidFill>
                </w14:textFill>
              </w:rPr>
              <w:t xml:space="preserve"> 与挥发性有机物污染防治技术政策符合性分析</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12"/>
              <w:gridCol w:w="5475"/>
              <w:gridCol w:w="1459"/>
              <w:gridCol w:w="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28" w:type="dxa"/>
                  <w:vAlign w:val="center"/>
                </w:tcPr>
                <w:p>
                  <w:pPr>
                    <w:pStyle w:val="198"/>
                    <w:spacing w:line="240" w:lineRule="auto"/>
                    <w:jc w:val="center"/>
                    <w:rPr>
                      <w:rFonts w:asci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要求</w:t>
                  </w:r>
                </w:p>
              </w:tc>
              <w:tc>
                <w:tcPr>
                  <w:tcW w:w="5731" w:type="dxa"/>
                  <w:vAlign w:val="center"/>
                </w:tcPr>
                <w:p>
                  <w:pPr>
                    <w:pStyle w:val="198"/>
                    <w:spacing w:line="240" w:lineRule="auto"/>
                    <w:jc w:val="center"/>
                    <w:rPr>
                      <w:rFonts w:asci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文件内容</w:t>
                  </w:r>
                </w:p>
              </w:tc>
              <w:tc>
                <w:tcPr>
                  <w:tcW w:w="1510" w:type="dxa"/>
                  <w:vAlign w:val="center"/>
                </w:tcPr>
                <w:p>
                  <w:pPr>
                    <w:pStyle w:val="198"/>
                    <w:spacing w:line="240" w:lineRule="auto"/>
                    <w:jc w:val="center"/>
                    <w:rPr>
                      <w:rFonts w:asci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项目情况</w:t>
                  </w:r>
                </w:p>
              </w:tc>
              <w:tc>
                <w:tcPr>
                  <w:tcW w:w="660" w:type="dxa"/>
                  <w:vAlign w:val="center"/>
                </w:tcPr>
                <w:p>
                  <w:pPr>
                    <w:pStyle w:val="198"/>
                    <w:spacing w:line="240" w:lineRule="auto"/>
                    <w:jc w:val="center"/>
                    <w:rPr>
                      <w:rFonts w:asci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8"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源头和过程控制</w:t>
                  </w:r>
                </w:p>
              </w:tc>
              <w:tc>
                <w:tcPr>
                  <w:tcW w:w="5731" w:type="dxa"/>
                </w:tcPr>
                <w:p>
                  <w:pPr>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在涂装、印刷、粘合、工业清洗等含VOCs产品的使用过程中的VOCs污染防治技术措施包括：</w:t>
                  </w:r>
                </w:p>
                <w:p>
                  <w:pPr>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1、鼓励使用通过环境标志产品认证的环保型涂料、油墨、胶粘剂和清洗剂；</w:t>
                  </w:r>
                </w:p>
                <w:p>
                  <w:pPr>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2、在印刷工艺中推广使用水性油墨，印铁制罐行业鼓励使用紫外光固化（UV）油墨，书刊印刷行业鼓励使用预涂膜技术；</w:t>
                  </w:r>
                </w:p>
                <w:p>
                  <w:pPr>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3、含VOCs产品的使用过程中，应采取废气收集措施，提高废气收集效率，减少废气的无组织排放与逸散，并对收集后的废气进行回收或处理后达标排放</w:t>
                  </w:r>
                </w:p>
              </w:tc>
              <w:tc>
                <w:tcPr>
                  <w:tcW w:w="1510" w:type="dxa"/>
                  <w:vMerge w:val="restart"/>
                  <w:vAlign w:val="center"/>
                </w:tcPr>
                <w:p>
                  <w:pPr>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项目不属于</w:t>
                  </w:r>
                  <w:r>
                    <w:rPr>
                      <w:color w:val="000000" w:themeColor="text1"/>
                      <w:szCs w:val="21"/>
                      <w14:textFill>
                        <w14:solidFill>
                          <w14:schemeClr w14:val="tx1"/>
                        </w14:solidFill>
                      </w14:textFill>
                    </w:rPr>
                    <w:t>涂装、印刷、粘合、工业清洗</w:t>
                  </w:r>
                  <w:r>
                    <w:rPr>
                      <w:rFonts w:hint="eastAsia"/>
                      <w:color w:val="000000" w:themeColor="text1"/>
                      <w:szCs w:val="21"/>
                      <w14:textFill>
                        <w14:solidFill>
                          <w14:schemeClr w14:val="tx1"/>
                        </w14:solidFill>
                      </w14:textFill>
                    </w:rPr>
                    <w:t>行业。项目燃烧废气经处理后有组织达标排放；储油罐区呼吸废气接入二燃室燃烧处理。</w:t>
                  </w:r>
                </w:p>
              </w:tc>
              <w:tc>
                <w:tcPr>
                  <w:tcW w:w="660"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28" w:type="dxa"/>
                  <w:vMerge w:val="restar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末端治理与综合利用</w:t>
                  </w:r>
                </w:p>
              </w:tc>
              <w:tc>
                <w:tcPr>
                  <w:tcW w:w="5731" w:type="dxa"/>
                  <w:vAlign w:val="center"/>
                </w:tcPr>
                <w:p>
                  <w:pPr>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1、对于含高浓度VOCs的废气，宜优先采用冷凝回收、吸附回收技术进行回收利用，并辅助以其他治理技术实现达标排放。</w:t>
                  </w:r>
                </w:p>
                <w:p>
                  <w:pPr>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2、对于含中等浓度VOCs的废气，可采用吸附技术回收有机溶剂，或采用催化燃烧和热力焚烧技术净化后达标排放。当采用催化燃烧和热力焚烧技术进行净化时，应进行余热回收利用。</w:t>
                  </w:r>
                </w:p>
                <w:p>
                  <w:pPr>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510" w:type="dxa"/>
                  <w:vMerge w:val="continue"/>
                  <w:vAlign w:val="center"/>
                </w:tcPr>
                <w:p>
                  <w:pPr>
                    <w:spacing w:line="240" w:lineRule="auto"/>
                    <w:rPr>
                      <w:color w:val="000000" w:themeColor="text1"/>
                      <w:szCs w:val="21"/>
                      <w14:textFill>
                        <w14:solidFill>
                          <w14:schemeClr w14:val="tx1"/>
                        </w14:solidFill>
                      </w14:textFill>
                    </w:rPr>
                  </w:pPr>
                </w:p>
              </w:tc>
              <w:tc>
                <w:tcPr>
                  <w:tcW w:w="660"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28" w:type="dxa"/>
                  <w:vMerge w:val="continue"/>
                  <w:vAlign w:val="center"/>
                </w:tcPr>
                <w:p>
                  <w:pPr>
                    <w:spacing w:line="240" w:lineRule="auto"/>
                    <w:jc w:val="center"/>
                    <w:rPr>
                      <w:color w:val="000000" w:themeColor="text1"/>
                      <w:szCs w:val="21"/>
                      <w14:textFill>
                        <w14:solidFill>
                          <w14:schemeClr w14:val="tx1"/>
                        </w14:solidFill>
                      </w14:textFill>
                    </w:rPr>
                  </w:pPr>
                </w:p>
              </w:tc>
              <w:tc>
                <w:tcPr>
                  <w:tcW w:w="5731" w:type="dxa"/>
                  <w:vAlign w:val="center"/>
                </w:tcPr>
                <w:p>
                  <w:pPr>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对于不能再生的过滤材料、吸附剂及催化剂等净化材料，应按照国家固体废物管理的相关规定处理处置。</w:t>
                  </w:r>
                </w:p>
              </w:tc>
              <w:tc>
                <w:tcPr>
                  <w:tcW w:w="1510" w:type="dxa"/>
                  <w:vMerge w:val="continue"/>
                  <w:vAlign w:val="center"/>
                </w:tcPr>
                <w:p>
                  <w:pPr>
                    <w:spacing w:line="240" w:lineRule="auto"/>
                    <w:rPr>
                      <w:color w:val="000000" w:themeColor="text1"/>
                      <w:szCs w:val="21"/>
                      <w14:textFill>
                        <w14:solidFill>
                          <w14:schemeClr w14:val="tx1"/>
                        </w14:solidFill>
                      </w14:textFill>
                    </w:rPr>
                  </w:pPr>
                </w:p>
              </w:tc>
              <w:tc>
                <w:tcPr>
                  <w:tcW w:w="660"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28" w:type="dxa"/>
                  <w:vMerge w:val="restar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运行与监测</w:t>
                  </w:r>
                </w:p>
              </w:tc>
              <w:tc>
                <w:tcPr>
                  <w:tcW w:w="5731" w:type="dxa"/>
                </w:tcPr>
                <w:p>
                  <w:pPr>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企业应建立健全VOCs治理设施的运行维护规程和</w:t>
                  </w:r>
                  <w:r>
                    <w:rPr>
                      <w:rFonts w:hint="eastAsia"/>
                      <w:color w:val="000000" w:themeColor="text1"/>
                      <w:szCs w:val="21"/>
                      <w14:textFill>
                        <w14:solidFill>
                          <w14:schemeClr w14:val="tx1"/>
                        </w14:solidFill>
                      </w14:textFill>
                    </w:rPr>
                    <w:t>台账</w:t>
                  </w:r>
                  <w:r>
                    <w:rPr>
                      <w:color w:val="000000" w:themeColor="text1"/>
                      <w:szCs w:val="21"/>
                      <w14:textFill>
                        <w14:solidFill>
                          <w14:schemeClr w14:val="tx1"/>
                        </w14:solidFill>
                      </w14:textFill>
                    </w:rPr>
                    <w:t>等日常管理制度，并根据工艺要求定期对各类设备、电气、自控仪表等进行检修维护，确保设施的稳定运行</w:t>
                  </w:r>
                </w:p>
              </w:tc>
              <w:tc>
                <w:tcPr>
                  <w:tcW w:w="1510" w:type="dxa"/>
                  <w:vMerge w:val="continue"/>
                  <w:vAlign w:val="center"/>
                </w:tcPr>
                <w:p>
                  <w:pPr>
                    <w:spacing w:line="240" w:lineRule="auto"/>
                    <w:rPr>
                      <w:color w:val="000000" w:themeColor="text1"/>
                      <w:szCs w:val="21"/>
                      <w14:textFill>
                        <w14:solidFill>
                          <w14:schemeClr w14:val="tx1"/>
                        </w14:solidFill>
                      </w14:textFill>
                    </w:rPr>
                  </w:pPr>
                </w:p>
              </w:tc>
              <w:tc>
                <w:tcPr>
                  <w:tcW w:w="660"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28" w:type="dxa"/>
                  <w:vMerge w:val="continue"/>
                  <w:vAlign w:val="center"/>
                </w:tcPr>
                <w:p>
                  <w:pPr>
                    <w:spacing w:line="240" w:lineRule="auto"/>
                    <w:jc w:val="center"/>
                    <w:rPr>
                      <w:color w:val="000000" w:themeColor="text1"/>
                      <w:szCs w:val="21"/>
                      <w14:textFill>
                        <w14:solidFill>
                          <w14:schemeClr w14:val="tx1"/>
                        </w14:solidFill>
                      </w14:textFill>
                    </w:rPr>
                  </w:pPr>
                </w:p>
              </w:tc>
              <w:tc>
                <w:tcPr>
                  <w:tcW w:w="5731" w:type="dxa"/>
                </w:tcPr>
                <w:p>
                  <w:pPr>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当采用吸附回收（浓缩）、催化燃烧、热力焚烧、等离子体等方法进行末端治理时，应编制本单位事故火灾、爆炸等应急救援预案，配备应急救援人员和器材，并开展应急演练</w:t>
                  </w:r>
                  <w:r>
                    <w:rPr>
                      <w:rFonts w:hint="eastAsia"/>
                      <w:color w:val="000000" w:themeColor="text1"/>
                      <w:szCs w:val="21"/>
                      <w14:textFill>
                        <w14:solidFill>
                          <w14:schemeClr w14:val="tx1"/>
                        </w14:solidFill>
                      </w14:textFill>
                    </w:rPr>
                    <w:t>。</w:t>
                  </w:r>
                </w:p>
              </w:tc>
              <w:tc>
                <w:tcPr>
                  <w:tcW w:w="1510" w:type="dxa"/>
                  <w:vMerge w:val="continue"/>
                  <w:vAlign w:val="center"/>
                </w:tcPr>
                <w:p>
                  <w:pPr>
                    <w:spacing w:line="240" w:lineRule="auto"/>
                    <w:rPr>
                      <w:color w:val="000000" w:themeColor="text1"/>
                      <w:szCs w:val="21"/>
                      <w14:textFill>
                        <w14:solidFill>
                          <w14:schemeClr w14:val="tx1"/>
                        </w14:solidFill>
                      </w14:textFill>
                    </w:rPr>
                  </w:pPr>
                </w:p>
              </w:tc>
              <w:tc>
                <w:tcPr>
                  <w:tcW w:w="660"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pPr>
              <w:tabs>
                <w:tab w:val="left" w:pos="2552"/>
              </w:tabs>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从</w:t>
            </w:r>
            <w:r>
              <w:rPr>
                <w:rFonts w:hint="eastAsia"/>
                <w:color w:val="000000" w:themeColor="text1"/>
                <w:sz w:val="24"/>
                <w14:textFill>
                  <w14:solidFill>
                    <w14:schemeClr w14:val="tx1"/>
                  </w14:solidFill>
                </w14:textFill>
              </w:rPr>
              <w:t>上表可知，项目所用原料、末端处理工艺均符合</w:t>
            </w:r>
            <w:r>
              <w:rPr>
                <w:color w:val="000000" w:themeColor="text1"/>
                <w:sz w:val="24"/>
                <w14:textFill>
                  <w14:solidFill>
                    <w14:schemeClr w14:val="tx1"/>
                  </w14:solidFill>
                </w14:textFill>
              </w:rPr>
              <w:t>《挥发性有机物（VOCs）污染防治技术政策》的相关要求。</w:t>
            </w:r>
          </w:p>
          <w:p>
            <w:pPr>
              <w:autoSpaceDE w:val="0"/>
              <w:autoSpaceDN w:val="0"/>
              <w:adjustRightInd w:val="0"/>
              <w:snapToGrid w:val="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1.15</w:t>
            </w:r>
            <w:r>
              <w:rPr>
                <w:rFonts w:hint="eastAsia"/>
                <w:b/>
                <w:bCs/>
                <w:color w:val="000000" w:themeColor="text1"/>
                <w:sz w:val="24"/>
                <w14:textFill>
                  <w14:solidFill>
                    <w14:schemeClr w14:val="tx1"/>
                  </w14:solidFill>
                </w14:textFill>
              </w:rPr>
              <w:t>与《“十三五”挥发性有机物污染防治工作方案》（环大气[2017]121号）符合性分析</w:t>
            </w:r>
          </w:p>
          <w:p>
            <w:pPr>
              <w:tabs>
                <w:tab w:val="left" w:pos="2552"/>
              </w:tabs>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项目与《“十三五”挥发性有机物污染防治工作方案》（环大气[2017]121号）符合性分析，见表1</w:t>
            </w:r>
            <w:r>
              <w:rPr>
                <w:color w:val="000000" w:themeColor="text1"/>
                <w:sz w:val="24"/>
                <w14:textFill>
                  <w14:solidFill>
                    <w14:schemeClr w14:val="tx1"/>
                  </w14:solidFill>
                </w14:textFill>
              </w:rPr>
              <w:t>.15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p>
          <w:p>
            <w:pPr>
              <w:autoSpaceDE w:val="0"/>
              <w:autoSpaceDN w:val="0"/>
              <w:adjustRightInd w:val="0"/>
              <w:snapToGrid w:val="0"/>
              <w:spacing w:line="24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表1.15</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1</w:t>
            </w:r>
            <w:r>
              <w:rPr>
                <w:rFonts w:hint="eastAsia"/>
                <w:b/>
                <w:bCs/>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与《</w:t>
            </w:r>
            <w:r>
              <w:rPr>
                <w:rFonts w:hint="eastAsia" w:ascii="宋体" w:hAnsi="宋体" w:cs="宋体"/>
                <w:b/>
                <w:bCs/>
                <w:color w:val="000000" w:themeColor="text1"/>
                <w:sz w:val="24"/>
                <w14:textFill>
                  <w14:solidFill>
                    <w14:schemeClr w14:val="tx1"/>
                  </w14:solidFill>
                </w14:textFill>
              </w:rPr>
              <w:t>“十三五”</w:t>
            </w:r>
            <w:r>
              <w:rPr>
                <w:b/>
                <w:bCs/>
                <w:color w:val="000000" w:themeColor="text1"/>
                <w:sz w:val="24"/>
                <w14:textFill>
                  <w14:solidFill>
                    <w14:schemeClr w14:val="tx1"/>
                  </w14:solidFill>
                </w14:textFill>
              </w:rPr>
              <w:t>挥发性有机物污染防治工作方案》符合性分析</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4209"/>
              <w:gridCol w:w="2849"/>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73" w:type="pct"/>
                  <w:vAlign w:val="center"/>
                </w:tcPr>
                <w:p>
                  <w:pPr>
                    <w:autoSpaceDE w:val="0"/>
                    <w:autoSpaceDN w:val="0"/>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序号</w:t>
                  </w:r>
                </w:p>
              </w:tc>
              <w:tc>
                <w:tcPr>
                  <w:tcW w:w="2570" w:type="pct"/>
                  <w:vAlign w:val="center"/>
                </w:tcPr>
                <w:p>
                  <w:pPr>
                    <w:autoSpaceDE w:val="0"/>
                    <w:autoSpaceDN w:val="0"/>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文件规定</w:t>
                  </w:r>
                </w:p>
              </w:tc>
              <w:tc>
                <w:tcPr>
                  <w:tcW w:w="1740" w:type="pct"/>
                  <w:vAlign w:val="center"/>
                </w:tcPr>
                <w:p>
                  <w:pPr>
                    <w:autoSpaceDE w:val="0"/>
                    <w:autoSpaceDN w:val="0"/>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项目情况</w:t>
                  </w:r>
                </w:p>
              </w:tc>
              <w:tc>
                <w:tcPr>
                  <w:tcW w:w="417" w:type="pct"/>
                  <w:vAlign w:val="center"/>
                </w:tcPr>
                <w:p>
                  <w:pPr>
                    <w:autoSpaceDE w:val="0"/>
                    <w:autoSpaceDN w:val="0"/>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3"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2570" w:type="pct"/>
                  <w:vAlign w:val="center"/>
                </w:tcPr>
                <w:p>
                  <w:pPr>
                    <w:pStyle w:val="19"/>
                    <w:snapToGrid w:val="0"/>
                    <w:spacing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重点地区要严格限制石化、化工、包装印刷、工业涂装等高VOCs排放建设项目。新建涉VOCs排放的工业企业要入园区</w:t>
                  </w:r>
                  <w:r>
                    <w:rPr>
                      <w:rFonts w:hint="eastAsia" w:ascii="Times New Roman"/>
                      <w:color w:val="000000" w:themeColor="text1"/>
                      <w14:textFill>
                        <w14:solidFill>
                          <w14:schemeClr w14:val="tx1"/>
                        </w14:solidFill>
                      </w14:textFill>
                    </w:rPr>
                    <w:t>。</w:t>
                  </w:r>
                </w:p>
              </w:tc>
              <w:tc>
                <w:tcPr>
                  <w:tcW w:w="1740" w:type="pct"/>
                  <w:vAlign w:val="center"/>
                </w:tcPr>
                <w:p>
                  <w:pPr>
                    <w:autoSpaceDE w:val="0"/>
                    <w:autoSpaceDN w:val="0"/>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项目位于双桥经开区邮亭片区A区，属于废弃资源综合利用项目，不属于</w:t>
                  </w:r>
                  <w:r>
                    <w:rPr>
                      <w:color w:val="000000" w:themeColor="text1"/>
                      <w14:textFill>
                        <w14:solidFill>
                          <w14:schemeClr w14:val="tx1"/>
                        </w14:solidFill>
                      </w14:textFill>
                    </w:rPr>
                    <w:t>石化、化工、包装印刷、工业涂装等高VOCs排放建设项目</w:t>
                  </w:r>
                  <w:r>
                    <w:rPr>
                      <w:rFonts w:hint="eastAsia"/>
                      <w:color w:val="000000" w:themeColor="text1"/>
                      <w:szCs w:val="21"/>
                      <w14:textFill>
                        <w14:solidFill>
                          <w14:schemeClr w14:val="tx1"/>
                        </w14:solidFill>
                      </w14:textFill>
                    </w:rPr>
                    <w:t>。</w:t>
                  </w:r>
                </w:p>
              </w:tc>
              <w:tc>
                <w:tcPr>
                  <w:tcW w:w="417"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3"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570" w:type="pct"/>
                  <w:vAlign w:val="center"/>
                </w:tcPr>
                <w:p>
                  <w:pPr>
                    <w:pStyle w:val="233"/>
                    <w:spacing w:line="240" w:lineRule="auto"/>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加强废气收集与处理，有机废气收集效率不低于</w:t>
                  </w:r>
                  <w:r>
                    <w:rPr>
                      <w:color w:val="000000" w:themeColor="text1"/>
                      <w:szCs w:val="21"/>
                      <w14:textFill>
                        <w14:solidFill>
                          <w14:schemeClr w14:val="tx1"/>
                        </w14:solidFill>
                      </w14:textFill>
                    </w:rPr>
                    <w:t>80%</w:t>
                  </w:r>
                  <w:r>
                    <w:rPr>
                      <w:rFonts w:hint="eastAsia"/>
                      <w:color w:val="000000" w:themeColor="text1"/>
                      <w:szCs w:val="21"/>
                      <w14:textFill>
                        <w14:solidFill>
                          <w14:schemeClr w14:val="tx1"/>
                        </w14:solidFill>
                      </w14:textFill>
                    </w:rPr>
                    <w:t>。</w:t>
                  </w:r>
                </w:p>
              </w:tc>
              <w:tc>
                <w:tcPr>
                  <w:tcW w:w="1740" w:type="pct"/>
                  <w:vMerge w:val="restart"/>
                  <w:vAlign w:val="center"/>
                </w:tcPr>
                <w:p>
                  <w:pPr>
                    <w:pStyle w:val="233"/>
                    <w:spacing w:line="240" w:lineRule="auto"/>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项目燃烧烟气经处理后有组织达标排放；储油罐区呼吸废气接入二燃室燃烧处理。</w:t>
                  </w:r>
                </w:p>
              </w:tc>
              <w:tc>
                <w:tcPr>
                  <w:tcW w:w="417"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73"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570" w:type="pct"/>
                  <w:vAlign w:val="center"/>
                </w:tcPr>
                <w:p>
                  <w:pPr>
                    <w:pStyle w:val="233"/>
                    <w:spacing w:line="240" w:lineRule="auto"/>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推进整车制造、改装汽车制造、汽车零部件制造等领域</w:t>
                  </w:r>
                  <w:r>
                    <w:rPr>
                      <w:color w:val="000000" w:themeColor="text1"/>
                      <w:szCs w:val="21"/>
                      <w14:textFill>
                        <w14:solidFill>
                          <w14:schemeClr w14:val="tx1"/>
                        </w14:solidFill>
                      </w14:textFill>
                    </w:rPr>
                    <w:t>VOCs</w:t>
                  </w:r>
                  <w:r>
                    <w:rPr>
                      <w:rFonts w:hint="eastAsia"/>
                      <w:color w:val="000000" w:themeColor="text1"/>
                      <w:szCs w:val="21"/>
                      <w14:textFill>
                        <w14:solidFill>
                          <w14:schemeClr w14:val="tx1"/>
                        </w14:solidFill>
                      </w14:textFill>
                    </w:rPr>
                    <w:t>排放控制。推广使用高固体分、水性涂料，配套使用“三涂一烘”“两涂一烘”或免中涂等紧凑型涂装工艺；推广采用静电喷涂等高涂着效率的涂装工艺，喷漆、流平和烘干等工艺操作应置于喷烤漆房内，使用溶剂型涂料的喷枪应密闭清洗，产生的</w:t>
                  </w:r>
                  <w:r>
                    <w:rPr>
                      <w:color w:val="000000" w:themeColor="text1"/>
                      <w:szCs w:val="21"/>
                      <w14:textFill>
                        <w14:solidFill>
                          <w14:schemeClr w14:val="tx1"/>
                        </w14:solidFill>
                      </w14:textFill>
                    </w:rPr>
                    <w:t>VOCs</w:t>
                  </w:r>
                  <w:r>
                    <w:rPr>
                      <w:rFonts w:hint="eastAsia"/>
                      <w:color w:val="000000" w:themeColor="text1"/>
                      <w:szCs w:val="21"/>
                      <w14:textFill>
                        <w14:solidFill>
                          <w14:schemeClr w14:val="tx1"/>
                        </w14:solidFill>
                      </w14:textFill>
                    </w:rPr>
                    <w:t>废气应集中收集并导入治理设施，实现达标排放。</w:t>
                  </w:r>
                </w:p>
              </w:tc>
              <w:tc>
                <w:tcPr>
                  <w:tcW w:w="1740" w:type="pct"/>
                  <w:vMerge w:val="continue"/>
                  <w:vAlign w:val="center"/>
                </w:tcPr>
                <w:p>
                  <w:pPr>
                    <w:autoSpaceDE w:val="0"/>
                    <w:autoSpaceDN w:val="0"/>
                    <w:adjustRightInd w:val="0"/>
                    <w:snapToGrid w:val="0"/>
                    <w:spacing w:line="240" w:lineRule="auto"/>
                    <w:rPr>
                      <w:color w:val="000000" w:themeColor="text1"/>
                      <w:szCs w:val="21"/>
                      <w14:textFill>
                        <w14:solidFill>
                          <w14:schemeClr w14:val="tx1"/>
                        </w14:solidFill>
                      </w14:textFill>
                    </w:rPr>
                  </w:pPr>
                </w:p>
              </w:tc>
              <w:tc>
                <w:tcPr>
                  <w:tcW w:w="417"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3"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2570" w:type="pct"/>
                  <w:vAlign w:val="center"/>
                </w:tcPr>
                <w:p>
                  <w:pPr>
                    <w:pStyle w:val="233"/>
                    <w:spacing w:line="240" w:lineRule="auto"/>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加强源头控制。大力推广使用水性、大豆基、能量固化等低（无）</w:t>
                  </w:r>
                  <w:r>
                    <w:rPr>
                      <w:color w:val="000000" w:themeColor="text1"/>
                      <w:szCs w:val="21"/>
                      <w14:textFill>
                        <w14:solidFill>
                          <w14:schemeClr w14:val="tx1"/>
                        </w14:solidFill>
                      </w14:textFill>
                    </w:rPr>
                    <w:t>VOCs</w:t>
                  </w:r>
                  <w:r>
                    <w:rPr>
                      <w:rFonts w:hint="eastAsia"/>
                      <w:color w:val="000000" w:themeColor="text1"/>
                      <w:szCs w:val="21"/>
                      <w14:textFill>
                        <w14:solidFill>
                          <w14:schemeClr w14:val="tx1"/>
                        </w14:solidFill>
                      </w14:textFill>
                    </w:rPr>
                    <w:t>含量的油墨和低（无）</w:t>
                  </w:r>
                  <w:r>
                    <w:rPr>
                      <w:color w:val="000000" w:themeColor="text1"/>
                      <w:szCs w:val="21"/>
                      <w14:textFill>
                        <w14:solidFill>
                          <w14:schemeClr w14:val="tx1"/>
                        </w14:solidFill>
                      </w14:textFill>
                    </w:rPr>
                    <w:t>VOCs</w:t>
                  </w:r>
                  <w:r>
                    <w:rPr>
                      <w:rFonts w:hint="eastAsia"/>
                      <w:color w:val="000000" w:themeColor="text1"/>
                      <w:szCs w:val="21"/>
                      <w14:textFill>
                        <w14:solidFill>
                          <w14:schemeClr w14:val="tx1"/>
                        </w14:solidFill>
                      </w14:textFill>
                    </w:rPr>
                    <w:t>含量的胶粘剂、清洗剂、润版液、洗车水、涂布。</w:t>
                  </w:r>
                </w:p>
              </w:tc>
              <w:tc>
                <w:tcPr>
                  <w:tcW w:w="1740" w:type="pct"/>
                  <w:vAlign w:val="center"/>
                </w:tcPr>
                <w:p>
                  <w:pPr>
                    <w:pStyle w:val="233"/>
                    <w:spacing w:line="240" w:lineRule="auto"/>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项目不使用油墨、胶粘剂、润版液、洗车水、涂布、油漆。</w:t>
                  </w:r>
                </w:p>
              </w:tc>
              <w:tc>
                <w:tcPr>
                  <w:tcW w:w="417"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pPr>
              <w:autoSpaceDE w:val="0"/>
              <w:autoSpaceDN w:val="0"/>
              <w:adjustRightInd w:val="0"/>
              <w:snapToGrid w:val="0"/>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由上表可知，本项目符合《“十三五”挥发性有机物污染防治工作方案》（环大气[2017]121号）相关要求。</w:t>
            </w:r>
          </w:p>
          <w:p>
            <w:pPr>
              <w:rPr>
                <w:b/>
                <w:color w:val="000000" w:themeColor="text1"/>
                <w:sz w:val="24"/>
                <w14:textFill>
                  <w14:solidFill>
                    <w14:schemeClr w14:val="tx1"/>
                  </w14:solidFill>
                </w14:textFill>
              </w:rPr>
            </w:pPr>
            <w:r>
              <w:rPr>
                <w:b/>
                <w:color w:val="000000" w:themeColor="text1"/>
                <w:sz w:val="24"/>
                <w14:textFill>
                  <w14:solidFill>
                    <w14:schemeClr w14:val="tx1"/>
                  </w14:solidFill>
                </w14:textFill>
              </w:rPr>
              <w:t>1.16</w:t>
            </w:r>
            <w:r>
              <w:rPr>
                <w:rFonts w:hint="eastAsia"/>
                <w:b/>
                <w:color w:val="000000" w:themeColor="text1"/>
                <w:sz w:val="24"/>
                <w14:textFill>
                  <w14:solidFill>
                    <w14:schemeClr w14:val="tx1"/>
                  </w14:solidFill>
                </w14:textFill>
              </w:rPr>
              <w:t>与《重庆市“十三五”挥发性有机物大气污染防治工作实施方案》（渝环〔2017〕252号）的符合性分析</w:t>
            </w:r>
          </w:p>
          <w:p>
            <w:pPr>
              <w:autoSpaceDE w:val="0"/>
              <w:autoSpaceDN w:val="0"/>
              <w:adjustRightInd w:val="0"/>
              <w:snapToGrid w:val="0"/>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项目与《重庆市“十三五”挥发性有机物大气污染防治工作实施方案》（渝环〔2017〕252号）的符合性分析见表1</w:t>
            </w:r>
            <w:r>
              <w:rPr>
                <w:color w:val="000000" w:themeColor="text1"/>
                <w:sz w:val="24"/>
                <w14:textFill>
                  <w14:solidFill>
                    <w14:schemeClr w14:val="tx1"/>
                  </w14:solidFill>
                </w14:textFill>
              </w:rPr>
              <w:t>.16</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p>
          <w:p>
            <w:pPr>
              <w:pStyle w:val="2"/>
              <w:snapToGrid/>
              <w:spacing w:before="0" w:after="0" w:line="240" w:lineRule="auto"/>
              <w:ind w:right="0"/>
              <w:jc w:val="center"/>
              <w:rPr>
                <w:b/>
                <w:color w:val="000000" w:themeColor="text1"/>
                <w:kern w:val="2"/>
                <w:sz w:val="24"/>
                <w:szCs w:val="24"/>
                <w14:textFill>
                  <w14:solidFill>
                    <w14:schemeClr w14:val="tx1"/>
                  </w14:solidFill>
                </w14:textFill>
              </w:rPr>
            </w:pPr>
            <w:r>
              <w:rPr>
                <w:b/>
                <w:color w:val="000000" w:themeColor="text1"/>
                <w:kern w:val="2"/>
                <w:sz w:val="24"/>
                <w:szCs w:val="24"/>
                <w:lang w:val="zh-CN"/>
                <w14:textFill>
                  <w14:solidFill>
                    <w14:schemeClr w14:val="tx1"/>
                  </w14:solidFill>
                </w14:textFill>
              </w:rPr>
              <w:t>表</w:t>
            </w:r>
            <w:r>
              <w:rPr>
                <w:rFonts w:hint="eastAsia"/>
                <w:b/>
                <w:color w:val="000000" w:themeColor="text1"/>
                <w:kern w:val="2"/>
                <w:sz w:val="24"/>
                <w:szCs w:val="24"/>
                <w14:textFill>
                  <w14:solidFill>
                    <w14:schemeClr w14:val="tx1"/>
                  </w14:solidFill>
                </w14:textFill>
              </w:rPr>
              <w:t>1-1</w:t>
            </w:r>
            <w:r>
              <w:rPr>
                <w:b/>
                <w:color w:val="000000" w:themeColor="text1"/>
                <w:kern w:val="2"/>
                <w:sz w:val="24"/>
                <w:szCs w:val="24"/>
                <w14:textFill>
                  <w14:solidFill>
                    <w14:schemeClr w14:val="tx1"/>
                  </w14:solidFill>
                </w14:textFill>
              </w:rPr>
              <w:t>6</w:t>
            </w:r>
            <w:r>
              <w:rPr>
                <w:rFonts w:hint="eastAsia"/>
                <w:b/>
                <w:color w:val="000000" w:themeColor="text1"/>
                <w:kern w:val="2"/>
                <w:sz w:val="24"/>
                <w:szCs w:val="24"/>
                <w14:textFill>
                  <w14:solidFill>
                    <w14:schemeClr w14:val="tx1"/>
                  </w14:solidFill>
                </w14:textFill>
              </w:rPr>
              <w:t>-</w:t>
            </w:r>
            <w:r>
              <w:rPr>
                <w:b/>
                <w:color w:val="000000" w:themeColor="text1"/>
                <w:kern w:val="2"/>
                <w:sz w:val="24"/>
                <w:szCs w:val="24"/>
                <w14:textFill>
                  <w14:solidFill>
                    <w14:schemeClr w14:val="tx1"/>
                  </w14:solidFill>
                </w14:textFill>
              </w:rPr>
              <w:t>1</w:t>
            </w:r>
            <w:r>
              <w:rPr>
                <w:b/>
                <w:color w:val="000000" w:themeColor="text1"/>
                <w:kern w:val="2"/>
                <w:sz w:val="24"/>
                <w:szCs w:val="24"/>
                <w:lang w:val="zh-CN"/>
                <w14:textFill>
                  <w14:solidFill>
                    <w14:schemeClr w14:val="tx1"/>
                  </w14:solidFill>
                </w14:textFill>
              </w:rPr>
              <w:t xml:space="preserve">  与</w:t>
            </w:r>
            <w:r>
              <w:rPr>
                <w:rFonts w:hint="eastAsia"/>
                <w:b/>
                <w:color w:val="000000" w:themeColor="text1"/>
                <w:kern w:val="2"/>
                <w:sz w:val="24"/>
                <w:szCs w:val="24"/>
                <w14:textFill>
                  <w14:solidFill>
                    <w14:schemeClr w14:val="tx1"/>
                  </w14:solidFill>
                </w14:textFill>
              </w:rPr>
              <w:t>重庆市“十三五”挥发性有机物大气污染防治工作实施方案</w:t>
            </w:r>
            <w:r>
              <w:rPr>
                <w:b/>
                <w:color w:val="000000" w:themeColor="text1"/>
                <w:kern w:val="2"/>
                <w:sz w:val="24"/>
                <w:szCs w:val="24"/>
                <w:lang w:val="zh-CN"/>
                <w14:textFill>
                  <w14:solidFill>
                    <w14:schemeClr w14:val="tx1"/>
                  </w14:solidFill>
                </w14:textFill>
              </w:rPr>
              <w:t>的符合性分析</w:t>
            </w:r>
          </w:p>
          <w:tbl>
            <w:tblPr>
              <w:tblStyle w:val="3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721"/>
              <w:gridCol w:w="1377"/>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 w:type="pc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3509" w:type="pct"/>
                  <w:vAlign w:val="center"/>
                </w:tcPr>
                <w:p>
                  <w:pPr>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相关要求</w:t>
                  </w:r>
                </w:p>
              </w:tc>
              <w:tc>
                <w:tcPr>
                  <w:tcW w:w="853" w:type="pc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项目实际情况</w:t>
                  </w:r>
                </w:p>
              </w:tc>
              <w:tc>
                <w:tcPr>
                  <w:tcW w:w="410" w:type="pct"/>
                  <w:vAlign w:val="center"/>
                </w:tcPr>
                <w:p>
                  <w:pPr>
                    <w:spacing w:line="24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509" w:type="pct"/>
                  <w:vAlign w:val="center"/>
                </w:tcPr>
                <w:p>
                  <w:pPr>
                    <w:spacing w:line="240" w:lineRule="auto"/>
                    <w:rPr>
                      <w:color w:val="000000" w:themeColor="text1"/>
                      <w:szCs w:val="21"/>
                      <w14:textFill>
                        <w14:solidFill>
                          <w14:schemeClr w14:val="tx1"/>
                        </w14:solidFill>
                      </w14:textFill>
                    </w:rPr>
                  </w:pPr>
                  <w:r>
                    <w:rPr>
                      <w:bCs/>
                      <w:color w:val="000000" w:themeColor="text1"/>
                      <w:szCs w:val="21"/>
                      <w14:textFill>
                        <w14:solidFill>
                          <w14:schemeClr w14:val="tx1"/>
                        </w14:solidFill>
                      </w14:textFill>
                    </w:rPr>
                    <w:t>加快推进</w:t>
                  </w:r>
                  <w:r>
                    <w:rPr>
                      <w:rFonts w:hint="eastAsia" w:ascii="宋体" w:hAnsi="宋体" w:cs="宋体"/>
                      <w:bCs/>
                      <w:color w:val="000000" w:themeColor="text1"/>
                      <w:szCs w:val="21"/>
                      <w14:textFill>
                        <w14:solidFill>
                          <w14:schemeClr w14:val="tx1"/>
                        </w14:solidFill>
                      </w14:textFill>
                    </w:rPr>
                    <w:t>“散乱污”</w:t>
                  </w:r>
                  <w:r>
                    <w:rPr>
                      <w:bCs/>
                      <w:color w:val="000000" w:themeColor="text1"/>
                      <w:szCs w:val="21"/>
                      <w14:textFill>
                        <w14:solidFill>
                          <w14:schemeClr w14:val="tx1"/>
                        </w14:solidFill>
                      </w14:textFill>
                    </w:rPr>
                    <w:t>企业综合整治。</w:t>
                  </w:r>
                  <w:r>
                    <w:rPr>
                      <w:color w:val="000000" w:themeColor="text1"/>
                      <w:szCs w:val="21"/>
                      <w14:textFill>
                        <w14:solidFill>
                          <w14:schemeClr w14:val="tx1"/>
                        </w14:solidFill>
                      </w14:textFill>
                    </w:rPr>
                    <w:t>全面开展涉VOCs排放的“散乱污”企业排查工作，建立管理台账，实施分类处置。列入淘汰类的，依法依规予以取缔，做到</w:t>
                  </w:r>
                  <w:r>
                    <w:rPr>
                      <w:rFonts w:hint="eastAsia" w:ascii="宋体" w:hAnsi="宋体" w:cs="宋体"/>
                      <w:color w:val="000000" w:themeColor="text1"/>
                      <w:szCs w:val="21"/>
                      <w14:textFill>
                        <w14:solidFill>
                          <w14:schemeClr w14:val="tx1"/>
                        </w14:solidFill>
                      </w14:textFill>
                    </w:rPr>
                    <w:t>“两断三清”</w:t>
                  </w:r>
                  <w:r>
                    <w:rPr>
                      <w:color w:val="000000" w:themeColor="text1"/>
                      <w:szCs w:val="21"/>
                      <w14:textFill>
                        <w14:solidFill>
                          <w14:schemeClr w14:val="tx1"/>
                        </w14:solidFill>
                      </w14:textFill>
                    </w:rPr>
                    <w:t>，即断水、断电、清除原料、清除产品、清除设备；列入搬迁改造、升级改造类的，按照发展规模化、现代化产业的原则，制定改造提升方案，落实时间表和责任人；对</w:t>
                  </w:r>
                  <w:r>
                    <w:rPr>
                      <w:rFonts w:hint="eastAsia" w:ascii="宋体" w:hAnsi="宋体" w:cs="宋体"/>
                      <w:color w:val="000000" w:themeColor="text1"/>
                      <w:szCs w:val="21"/>
                      <w14:textFill>
                        <w14:solidFill>
                          <w14:schemeClr w14:val="tx1"/>
                        </w14:solidFill>
                      </w14:textFill>
                    </w:rPr>
                    <w:t>“散乱污”</w:t>
                  </w:r>
                  <w:r>
                    <w:rPr>
                      <w:color w:val="000000" w:themeColor="text1"/>
                      <w:szCs w:val="21"/>
                      <w14:textFill>
                        <w14:solidFill>
                          <w14:schemeClr w14:val="tx1"/>
                        </w14:solidFill>
                      </w14:textFill>
                    </w:rPr>
                    <w:t>企业集群，要制定总体整改方案，统一标准要求，并向社会公开，同步推进区域环境综合整治和企业升级改造。实行网格化管理，实行分片包干网格化管理，建立由镇、街、乡党政主要领导为</w:t>
                  </w:r>
                  <w:r>
                    <w:rPr>
                      <w:rFonts w:hint="eastAsia" w:ascii="宋体" w:hAnsi="宋体" w:cs="宋体"/>
                      <w:color w:val="000000" w:themeColor="text1"/>
                      <w:szCs w:val="21"/>
                      <w14:textFill>
                        <w14:solidFill>
                          <w14:schemeClr w14:val="tx1"/>
                        </w14:solidFill>
                      </w14:textFill>
                    </w:rPr>
                    <w:t>“网格长”</w:t>
                  </w:r>
                  <w:r>
                    <w:rPr>
                      <w:color w:val="000000" w:themeColor="text1"/>
                      <w:szCs w:val="21"/>
                      <w14:textFill>
                        <w14:solidFill>
                          <w14:schemeClr w14:val="tx1"/>
                        </w14:solidFill>
                      </w14:textFill>
                    </w:rPr>
                    <w:t>的监管制度，明确网格督查员，落实排查和整改责任。</w:t>
                  </w:r>
                </w:p>
              </w:tc>
              <w:tc>
                <w:tcPr>
                  <w:tcW w:w="853" w:type="pct"/>
                  <w:vAlign w:val="center"/>
                </w:tcPr>
                <w:p>
                  <w:pPr>
                    <w:spacing w:line="240" w:lineRule="auto"/>
                    <w:rPr>
                      <w:color w:val="000000" w:themeColor="text1"/>
                      <w:szCs w:val="21"/>
                      <w14:textFill>
                        <w14:solidFill>
                          <w14:schemeClr w14:val="tx1"/>
                        </w14:solidFill>
                      </w14:textFill>
                    </w:rPr>
                  </w:pPr>
                  <w:r>
                    <w:rPr>
                      <w:rFonts w:hint="eastAsia"/>
                    </w:rPr>
                    <w:t>项目为新建项目。严格按照国家及地方相关法律法规进行建设，并严格落实本次环评提出的各项污染防治及环境管理措施。</w:t>
                  </w:r>
                </w:p>
              </w:tc>
              <w:tc>
                <w:tcPr>
                  <w:tcW w:w="410"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509" w:type="pct"/>
                  <w:vAlign w:val="center"/>
                </w:tcPr>
                <w:p>
                  <w:pPr>
                    <w:spacing w:line="240" w:lineRule="auto"/>
                    <w:rPr>
                      <w:color w:val="000000" w:themeColor="text1"/>
                      <w:szCs w:val="32"/>
                      <w14:textFill>
                        <w14:solidFill>
                          <w14:schemeClr w14:val="tx1"/>
                        </w14:solidFill>
                      </w14:textFill>
                    </w:rPr>
                  </w:pPr>
                  <w:r>
                    <w:rPr>
                      <w:color w:val="000000" w:themeColor="text1"/>
                      <w:szCs w:val="32"/>
                      <w14:textFill>
                        <w14:solidFill>
                          <w14:schemeClr w14:val="tx1"/>
                        </w14:solidFill>
                      </w14:textFill>
                    </w:rPr>
                    <w:t>继续实施石化行业达标排放。石油炼制、石油化工、合成树脂等行业应严格按照排放标准要求，全面加强精细化管理，确保稳定达标排放。全面开展泄漏检测与修复（LDAR）。企业要定期开展LDAR工作，并建立LDAR管理制度，细化工作程序、检测方法、检测频率、泄漏浓度限值、修复要求等关键要素，建立信息管理平台，全面分析泄漏点信息，通过源头控制减少VOCs泄漏排放。</w:t>
                  </w:r>
                </w:p>
                <w:p>
                  <w:pPr>
                    <w:spacing w:line="240" w:lineRule="auto"/>
                    <w:rPr>
                      <w:color w:val="000000" w:themeColor="text1"/>
                      <w:szCs w:val="32"/>
                      <w14:textFill>
                        <w14:solidFill>
                          <w14:schemeClr w14:val="tx1"/>
                        </w14:solidFill>
                      </w14:textFill>
                    </w:rPr>
                  </w:pPr>
                  <w:r>
                    <w:rPr>
                      <w:color w:val="000000" w:themeColor="text1"/>
                      <w:szCs w:val="32"/>
                      <w14:textFill>
                        <w14:solidFill>
                          <w14:schemeClr w14:val="tx1"/>
                        </w14:solidFill>
                      </w14:textFill>
                    </w:rPr>
                    <w:t>严格控制储存、装卸损失。挥发性有机液体储存设施应在符合安全等相关规范的前提下，优先采用压力罐、低温罐、高效密封的浮顶罐或安装顶空联通置换油气回收装置的拱顶罐。</w:t>
                  </w:r>
                </w:p>
                <w:p>
                  <w:pPr>
                    <w:spacing w:line="240" w:lineRule="auto"/>
                    <w:rPr>
                      <w:color w:val="000000" w:themeColor="text1"/>
                      <w:szCs w:val="21"/>
                      <w14:textFill>
                        <w14:solidFill>
                          <w14:schemeClr w14:val="tx1"/>
                        </w14:solidFill>
                      </w14:textFill>
                    </w:rPr>
                  </w:pPr>
                  <w:r>
                    <w:rPr>
                      <w:color w:val="000000" w:themeColor="text1"/>
                      <w:szCs w:val="32"/>
                      <w14:textFill>
                        <w14:solidFill>
                          <w14:schemeClr w14:val="tx1"/>
                        </w14:solidFill>
                      </w14:textFill>
                    </w:rPr>
                    <w:t>强化废水处理系统等逸散废气收集治理。废水废液收集、储存、处理处置过程中，应对集水井（池）、调节池、隔油池、曝气池、气浮池、浓缩池等高浓度VOCs逸散和产生异味的主要环节采取有效的密闭收集措施，并回收利用，难以利用的应安装高效治理设施，确保废气经收集处理后达到相关标准要求，禁止稀释排放</w:t>
                  </w:r>
                  <w:r>
                    <w:rPr>
                      <w:color w:val="000000" w:themeColor="text1"/>
                      <w:szCs w:val="21"/>
                      <w14:textFill>
                        <w14:solidFill>
                          <w14:schemeClr w14:val="tx1"/>
                        </w14:solidFill>
                      </w14:textFill>
                    </w:rPr>
                    <w:t>。</w:t>
                  </w:r>
                </w:p>
              </w:tc>
              <w:tc>
                <w:tcPr>
                  <w:tcW w:w="853" w:type="pct"/>
                  <w:vAlign w:val="center"/>
                </w:tcPr>
                <w:p>
                  <w:pPr>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项目严格按要求定期开展L</w:t>
                  </w:r>
                  <w:r>
                    <w:rPr>
                      <w:color w:val="000000" w:themeColor="text1"/>
                      <w:szCs w:val="21"/>
                      <w14:textFill>
                        <w14:solidFill>
                          <w14:schemeClr w14:val="tx1"/>
                        </w14:solidFill>
                      </w14:textFill>
                    </w:rPr>
                    <w:t>DAR</w:t>
                  </w:r>
                  <w:r>
                    <w:rPr>
                      <w:rFonts w:hint="eastAsia"/>
                      <w:color w:val="000000" w:themeColor="text1"/>
                      <w:szCs w:val="21"/>
                      <w14:textFill>
                        <w14:solidFill>
                          <w14:schemeClr w14:val="tx1"/>
                        </w14:solidFill>
                      </w14:textFill>
                    </w:rPr>
                    <w:t>工作，并建立L</w:t>
                  </w:r>
                  <w:r>
                    <w:rPr>
                      <w:color w:val="000000" w:themeColor="text1"/>
                      <w:szCs w:val="21"/>
                      <w14:textFill>
                        <w14:solidFill>
                          <w14:schemeClr w14:val="tx1"/>
                        </w14:solidFill>
                      </w14:textFill>
                    </w:rPr>
                    <w:t>DAR</w:t>
                  </w:r>
                  <w:r>
                    <w:rPr>
                      <w:rFonts w:hint="eastAsia"/>
                      <w:color w:val="000000" w:themeColor="text1"/>
                      <w:szCs w:val="21"/>
                      <w14:textFill>
                        <w14:solidFill>
                          <w14:schemeClr w14:val="tx1"/>
                        </w14:solidFill>
                      </w14:textFill>
                    </w:rPr>
                    <w:t>管理制度，减少V</w:t>
                  </w:r>
                  <w:r>
                    <w:rPr>
                      <w:color w:val="000000" w:themeColor="text1"/>
                      <w:szCs w:val="21"/>
                      <w14:textFill>
                        <w14:solidFill>
                          <w14:schemeClr w14:val="tx1"/>
                        </w14:solidFill>
                      </w14:textFill>
                    </w:rPr>
                    <w:t>OC</w:t>
                  </w:r>
                  <w:r>
                    <w:rPr>
                      <w:rFonts w:hint="eastAsia"/>
                      <w:color w:val="000000" w:themeColor="text1"/>
                      <w:szCs w:val="21"/>
                      <w14:textFill>
                        <w14:solidFill>
                          <w14:schemeClr w14:val="tx1"/>
                        </w14:solidFill>
                      </w14:textFill>
                    </w:rPr>
                    <w:t>s泄漏排放；项目储油罐设置有废气处理设施。</w:t>
                  </w:r>
                </w:p>
              </w:tc>
              <w:tc>
                <w:tcPr>
                  <w:tcW w:w="410"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pPr>
              <w:pStyle w:val="75"/>
              <w:tabs>
                <w:tab w:val="left" w:pos="540"/>
                <w:tab w:val="left" w:pos="1080"/>
                <w:tab w:val="left" w:pos="1800"/>
              </w:tabs>
              <w:ind w:firstLine="480" w:firstLineChars="20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由</w:t>
            </w:r>
            <w:r>
              <w:rPr>
                <w:rFonts w:hint="eastAsia" w:ascii="Times New Roman" w:hAnsi="Times New Roman" w:cs="Times New Roman"/>
                <w:color w:val="000000" w:themeColor="text1"/>
                <w:szCs w:val="24"/>
                <w14:textFill>
                  <w14:solidFill>
                    <w14:schemeClr w14:val="tx1"/>
                  </w14:solidFill>
                </w14:textFill>
              </w:rPr>
              <w:t>上表</w:t>
            </w:r>
            <w:r>
              <w:rPr>
                <w:rFonts w:ascii="Times New Roman" w:hAnsi="Times New Roman" w:cs="Times New Roman"/>
                <w:color w:val="000000" w:themeColor="text1"/>
                <w:szCs w:val="24"/>
                <w14:textFill>
                  <w14:solidFill>
                    <w14:schemeClr w14:val="tx1"/>
                  </w14:solidFill>
                </w14:textFill>
              </w:rPr>
              <w:t>可知，</w:t>
            </w:r>
            <w:r>
              <w:rPr>
                <w:rFonts w:hint="eastAsia" w:ascii="Times New Roman" w:hAnsi="Times New Roman" w:cs="Times New Roman"/>
                <w:color w:val="000000" w:themeColor="text1"/>
                <w:szCs w:val="24"/>
                <w14:textFill>
                  <w14:solidFill>
                    <w14:schemeClr w14:val="tx1"/>
                  </w14:solidFill>
                </w14:textFill>
              </w:rPr>
              <w:t>项目</w:t>
            </w:r>
            <w:r>
              <w:rPr>
                <w:rFonts w:ascii="Times New Roman" w:hAnsi="Times New Roman" w:cs="Times New Roman"/>
                <w:color w:val="000000" w:themeColor="text1"/>
                <w:szCs w:val="24"/>
                <w14:textFill>
                  <w14:solidFill>
                    <w14:schemeClr w14:val="tx1"/>
                  </w14:solidFill>
                </w14:textFill>
              </w:rPr>
              <w:t>建设符合《重庆</w:t>
            </w:r>
            <w:r>
              <w:rPr>
                <w:rFonts w:hint="eastAsia" w:ascii="宋体" w:hAnsi="宋体"/>
                <w:color w:val="000000" w:themeColor="text1"/>
                <w:szCs w:val="24"/>
                <w14:textFill>
                  <w14:solidFill>
                    <w14:schemeClr w14:val="tx1"/>
                  </w14:solidFill>
                </w14:textFill>
              </w:rPr>
              <w:t>市“十三五”挥</w:t>
            </w:r>
            <w:r>
              <w:rPr>
                <w:rFonts w:ascii="Times New Roman" w:hAnsi="Times New Roman" w:cs="Times New Roman"/>
                <w:color w:val="000000" w:themeColor="text1"/>
                <w:szCs w:val="24"/>
                <w14:textFill>
                  <w14:solidFill>
                    <w14:schemeClr w14:val="tx1"/>
                  </w14:solidFill>
                </w14:textFill>
              </w:rPr>
              <w:t>发性有机物大气污染防治工作实施方案》（渝环〔2017〕252号）中相关要求。</w:t>
            </w:r>
          </w:p>
          <w:p>
            <w:pPr>
              <w:autoSpaceDE w:val="0"/>
              <w:autoSpaceDN w:val="0"/>
              <w:adjustRightInd w:val="0"/>
              <w:snapToGrid w:val="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1.17</w:t>
            </w:r>
            <w:r>
              <w:rPr>
                <w:rFonts w:hint="eastAsia"/>
                <w:b/>
                <w:bCs/>
                <w:color w:val="000000" w:themeColor="text1"/>
                <w:sz w:val="24"/>
                <w14:textFill>
                  <w14:solidFill>
                    <w14:schemeClr w14:val="tx1"/>
                  </w14:solidFill>
                </w14:textFill>
              </w:rPr>
              <w:t>与《挥发性有机物无组织排放控制标准》（GB37822-2019）符合性分析</w:t>
            </w:r>
          </w:p>
          <w:p>
            <w:pPr>
              <w:pStyle w:val="75"/>
              <w:tabs>
                <w:tab w:val="left" w:pos="540"/>
                <w:tab w:val="left" w:pos="1080"/>
                <w:tab w:val="left" w:pos="1800"/>
              </w:tabs>
              <w:ind w:firstLine="480" w:firstLineChars="20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项目与《挥发性有机物无组织排放控制标准》（GB37822-2019）符合性分析，详见表1</w:t>
            </w:r>
            <w:r>
              <w:rPr>
                <w:rFonts w:ascii="Times New Roman" w:hAnsi="Times New Roman" w:cs="Times New Roman"/>
                <w:color w:val="000000" w:themeColor="text1"/>
                <w:szCs w:val="24"/>
                <w14:textFill>
                  <w14:solidFill>
                    <w14:schemeClr w14:val="tx1"/>
                  </w14:solidFill>
                </w14:textFill>
              </w:rPr>
              <w:t>.17</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1</w:t>
            </w:r>
            <w:r>
              <w:rPr>
                <w:rFonts w:hint="eastAsia" w:ascii="Times New Roman" w:hAnsi="Times New Roman" w:cs="Times New Roman"/>
                <w:color w:val="000000" w:themeColor="text1"/>
                <w:szCs w:val="24"/>
                <w14:textFill>
                  <w14:solidFill>
                    <w14:schemeClr w14:val="tx1"/>
                  </w14:solidFill>
                </w14:textFill>
              </w:rPr>
              <w:t>。</w:t>
            </w:r>
          </w:p>
          <w:p>
            <w:pPr>
              <w:autoSpaceDE w:val="0"/>
              <w:autoSpaceDN w:val="0"/>
              <w:adjustRightInd w:val="0"/>
              <w:snapToGrid w:val="0"/>
              <w:spacing w:line="24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表1.17</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1</w:t>
            </w:r>
            <w:r>
              <w:rPr>
                <w:rFonts w:hint="eastAsia"/>
                <w:b/>
                <w:bCs/>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与《挥发性有机物无组织排放控制标准》符合性分析</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5126"/>
              <w:gridCol w:w="1599"/>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82" w:type="pct"/>
                  <w:gridSpan w:val="2"/>
                  <w:vAlign w:val="center"/>
                </w:tcPr>
                <w:p>
                  <w:pPr>
                    <w:autoSpaceDE w:val="0"/>
                    <w:autoSpaceDN w:val="0"/>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要求</w:t>
                  </w:r>
                </w:p>
              </w:tc>
              <w:tc>
                <w:tcPr>
                  <w:tcW w:w="977" w:type="pct"/>
                  <w:vAlign w:val="center"/>
                </w:tcPr>
                <w:p>
                  <w:pPr>
                    <w:autoSpaceDE w:val="0"/>
                    <w:autoSpaceDN w:val="0"/>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项目情况</w:t>
                  </w:r>
                </w:p>
              </w:tc>
              <w:tc>
                <w:tcPr>
                  <w:tcW w:w="441" w:type="pct"/>
                  <w:vAlign w:val="center"/>
                </w:tcPr>
                <w:p>
                  <w:pPr>
                    <w:autoSpaceDE w:val="0"/>
                    <w:autoSpaceDN w:val="0"/>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1" w:type="pct"/>
                  <w:vAlign w:val="center"/>
                </w:tcPr>
                <w:p>
                  <w:pPr>
                    <w:autoSpaceDE w:val="0"/>
                    <w:autoSpaceDN w:val="0"/>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VOCs物料储存无组织排放控制要求</w:t>
                  </w:r>
                </w:p>
              </w:tc>
              <w:tc>
                <w:tcPr>
                  <w:tcW w:w="3131" w:type="pct"/>
                  <w:vAlign w:val="center"/>
                </w:tcPr>
                <w:p>
                  <w:pPr>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1.VOCs物料应储存于密闭的容器、包装袋、储罐、储库、料仓中。</w:t>
                  </w:r>
                </w:p>
                <w:p>
                  <w:pPr>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2.盛装VOCs物料的容器或包装袋应存放于室内，或存放于设置有雨棚、遮阳和防渗设施的专用场地。盛装VOCs物料的容器或包装袋在非取用状态时应加盖、封口，保持密闭。</w:t>
                  </w:r>
                </w:p>
                <w:p>
                  <w:pPr>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3.VOCs物料储罐应密封良好，其中挥发性有机液体储罐应符合5.2条规定。</w:t>
                  </w:r>
                </w:p>
                <w:p>
                  <w:pPr>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4.VOCs物料储库、料仓应满足3.6条对密闭空间的要求。</w:t>
                  </w:r>
                </w:p>
              </w:tc>
              <w:tc>
                <w:tcPr>
                  <w:tcW w:w="977" w:type="pct"/>
                  <w:vAlign w:val="center"/>
                </w:tcPr>
                <w:p>
                  <w:pPr>
                    <w:autoSpaceDE w:val="0"/>
                    <w:autoSpaceDN w:val="0"/>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项目燃烧烟气经处理后有组织达标排放；储油罐区呼吸废气接入二燃室燃烧处理。</w:t>
                  </w:r>
                </w:p>
              </w:tc>
              <w:tc>
                <w:tcPr>
                  <w:tcW w:w="441"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1" w:type="pct"/>
                  <w:vAlign w:val="center"/>
                </w:tcPr>
                <w:p>
                  <w:pPr>
                    <w:autoSpaceDE w:val="0"/>
                    <w:autoSpaceDN w:val="0"/>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w:t>
                  </w:r>
                  <w:r>
                    <w:rPr>
                      <w:color w:val="000000" w:themeColor="text1"/>
                      <w:szCs w:val="21"/>
                      <w14:textFill>
                        <w14:solidFill>
                          <w14:schemeClr w14:val="tx1"/>
                        </w14:solidFill>
                      </w14:textFill>
                    </w:rPr>
                    <w:t>VOCs产品的使用过程</w:t>
                  </w:r>
                </w:p>
              </w:tc>
              <w:tc>
                <w:tcPr>
                  <w:tcW w:w="3131" w:type="pct"/>
                  <w:vAlign w:val="center"/>
                </w:tcPr>
                <w:p>
                  <w:pPr>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VOCs质量占比大于等于10%的含VOCs产品，其使用过程应采用密闭设备或在密闭空间内操作，废气应排至VOCs废气收集处理系统</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无法密闭的，应采取局部气体收集措施，废气应排至VOCs废气收集处理系统。含VOCs产品的使用过程包括但不限于以下作业</w:t>
                  </w:r>
                  <w:r>
                    <w:rPr>
                      <w:rFonts w:hint="eastAsia"/>
                      <w:color w:val="000000" w:themeColor="text1"/>
                      <w:szCs w:val="21"/>
                      <w14:textFill>
                        <w14:solidFill>
                          <w14:schemeClr w14:val="tx1"/>
                        </w14:solidFill>
                      </w14:textFill>
                    </w:rPr>
                    <w:t>：</w:t>
                  </w:r>
                </w:p>
                <w:p>
                  <w:pPr>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a)调配</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混合、搅拌等</w:t>
                  </w:r>
                  <w:r>
                    <w:rPr>
                      <w:rFonts w:hint="eastAsia"/>
                      <w:color w:val="000000" w:themeColor="text1"/>
                      <w:szCs w:val="21"/>
                      <w14:textFill>
                        <w14:solidFill>
                          <w14:schemeClr w14:val="tx1"/>
                        </w14:solidFill>
                      </w14:textFill>
                    </w:rPr>
                    <w:t>）；</w:t>
                  </w:r>
                </w:p>
                <w:p>
                  <w:pPr>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b)涂装</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喷涂、浸涂、淋涂、辊涂、刷涂、涂布等</w:t>
                  </w:r>
                  <w:r>
                    <w:rPr>
                      <w:rFonts w:hint="eastAsia"/>
                      <w:color w:val="000000" w:themeColor="text1"/>
                      <w:szCs w:val="21"/>
                      <w14:textFill>
                        <w14:solidFill>
                          <w14:schemeClr w14:val="tx1"/>
                        </w14:solidFill>
                      </w14:textFill>
                    </w:rPr>
                    <w:t>）；</w:t>
                  </w:r>
                </w:p>
                <w:p>
                  <w:pPr>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c)印刷</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平版、凸版、凹版、孔版等</w:t>
                  </w:r>
                  <w:r>
                    <w:rPr>
                      <w:rFonts w:hint="eastAsia"/>
                      <w:color w:val="000000" w:themeColor="text1"/>
                      <w:szCs w:val="21"/>
                      <w14:textFill>
                        <w14:solidFill>
                          <w14:schemeClr w14:val="tx1"/>
                        </w14:solidFill>
                      </w14:textFill>
                    </w:rPr>
                    <w:t>）；</w:t>
                  </w:r>
                </w:p>
                <w:p>
                  <w:pPr>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d)粘结</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涂胶、热压、复合、贴合等</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p>
                  <w:pPr>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e)印染</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染色、印花、定型等</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p>
                  <w:pPr>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f)干燥</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烘干、风干、晾干等</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p>
                  <w:pPr>
                    <w:autoSpaceDE w:val="0"/>
                    <w:autoSpaceDN w:val="0"/>
                    <w:adjustRightInd w:val="0"/>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g)清洗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浸洗、喷洗、淋洗、冲洗、擦洗等</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tc>
              <w:tc>
                <w:tcPr>
                  <w:tcW w:w="977"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41"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1" w:type="pct"/>
                  <w:vMerge w:val="restar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其他要求</w:t>
                  </w:r>
                </w:p>
              </w:tc>
              <w:tc>
                <w:tcPr>
                  <w:tcW w:w="3131" w:type="pct"/>
                  <w:vAlign w:val="center"/>
                </w:tcPr>
                <w:p>
                  <w:pPr>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企业应建立台账，记录含VOCs原辅材料和含VOCs产品的名称、使用量、回收量、废弃量、去向以及VOCs含量等信息。台账保存期限不少于3年。</w:t>
                  </w:r>
                </w:p>
              </w:tc>
              <w:tc>
                <w:tcPr>
                  <w:tcW w:w="977" w:type="pct"/>
                  <w:vAlign w:val="center"/>
                </w:tcPr>
                <w:p>
                  <w:pPr>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企业设置</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名兼职</w:t>
                  </w:r>
                  <w:r>
                    <w:rPr>
                      <w:color w:val="000000" w:themeColor="text1"/>
                      <w:szCs w:val="21"/>
                      <w14:textFill>
                        <w14:solidFill>
                          <w14:schemeClr w14:val="tx1"/>
                        </w14:solidFill>
                      </w14:textFill>
                    </w:rPr>
                    <w:t>环保人员，负责建立、管理台账</w:t>
                  </w:r>
                  <w:r>
                    <w:rPr>
                      <w:rFonts w:hint="eastAsia"/>
                      <w:color w:val="000000" w:themeColor="text1"/>
                      <w:szCs w:val="21"/>
                      <w14:textFill>
                        <w14:solidFill>
                          <w14:schemeClr w14:val="tx1"/>
                        </w14:solidFill>
                      </w14:textFill>
                    </w:rPr>
                    <w:t>。</w:t>
                  </w:r>
                </w:p>
              </w:tc>
              <w:tc>
                <w:tcPr>
                  <w:tcW w:w="441"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1" w:type="pct"/>
                  <w:vMerge w:val="continue"/>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p>
              </w:tc>
              <w:tc>
                <w:tcPr>
                  <w:tcW w:w="3131" w:type="pct"/>
                  <w:vAlign w:val="center"/>
                </w:tcPr>
                <w:p>
                  <w:pPr>
                    <w:snapToGrid w:val="0"/>
                    <w:spacing w:line="24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工艺过程产生的含VOCs废料(渣、液)应按照第5章、第6章的要求进行储存、转移和输送。盛装过VOCs物料的废包装容器应加盖密闭。</w:t>
                  </w:r>
                </w:p>
              </w:tc>
              <w:tc>
                <w:tcPr>
                  <w:tcW w:w="977" w:type="pct"/>
                  <w:vAlign w:val="center"/>
                </w:tcPr>
                <w:p>
                  <w:pPr>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项目裂解油采用油罐储存。</w:t>
                  </w:r>
                </w:p>
              </w:tc>
              <w:tc>
                <w:tcPr>
                  <w:tcW w:w="441"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pPr>
              <w:autoSpaceDE w:val="0"/>
              <w:autoSpaceDN w:val="0"/>
              <w:adjustRightInd w:val="0"/>
              <w:snapToGrid w:val="0"/>
              <w:ind w:firstLine="480" w:firstLineChars="200"/>
              <w:jc w:val="left"/>
              <w:rPr>
                <w:b/>
                <w:bCs/>
                <w:color w:val="000000" w:themeColor="text1"/>
                <w:sz w:val="24"/>
                <w14:textFill>
                  <w14:solidFill>
                    <w14:schemeClr w14:val="tx1"/>
                  </w14:solidFill>
                </w14:textFill>
              </w:rPr>
            </w:pPr>
            <w:r>
              <w:rPr>
                <w:color w:val="000000" w:themeColor="text1"/>
                <w:sz w:val="24"/>
                <w14:textFill>
                  <w14:solidFill>
                    <w14:schemeClr w14:val="tx1"/>
                  </w14:solidFill>
                </w14:textFill>
              </w:rPr>
              <w:t>由</w:t>
            </w:r>
            <w:r>
              <w:rPr>
                <w:rFonts w:hint="eastAsia"/>
                <w:color w:val="000000" w:themeColor="text1"/>
                <w:sz w:val="24"/>
                <w14:textFill>
                  <w14:solidFill>
                    <w14:schemeClr w14:val="tx1"/>
                  </w14:solidFill>
                </w14:textFill>
              </w:rPr>
              <w:t>上表</w:t>
            </w:r>
            <w:r>
              <w:rPr>
                <w:color w:val="000000" w:themeColor="text1"/>
                <w:sz w:val="24"/>
                <w14:textFill>
                  <w14:solidFill>
                    <w14:schemeClr w14:val="tx1"/>
                  </w14:solidFill>
                </w14:textFill>
              </w:rPr>
              <w:t>分析可知，</w:t>
            </w: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符合《挥发性有机物无组织排放控制标准》（GB</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37822-2019）</w:t>
            </w:r>
            <w:r>
              <w:rPr>
                <w:rFonts w:hint="eastAsia"/>
                <w:color w:val="000000" w:themeColor="text1"/>
                <w:sz w:val="24"/>
                <w14:textFill>
                  <w14:solidFill>
                    <w14:schemeClr w14:val="tx1"/>
                  </w14:solidFill>
                </w14:textFill>
              </w:rPr>
              <w:t>相关要求</w:t>
            </w:r>
            <w:r>
              <w:rPr>
                <w:color w:val="000000" w:themeColor="text1"/>
                <w:sz w:val="24"/>
                <w14:textFill>
                  <w14:solidFill>
                    <w14:schemeClr w14:val="tx1"/>
                  </w14:solidFill>
                </w14:textFill>
              </w:rPr>
              <w:t>。</w:t>
            </w:r>
          </w:p>
          <w:p>
            <w:pPr>
              <w:autoSpaceDE w:val="0"/>
              <w:autoSpaceDN w:val="0"/>
              <w:adjustRightInd w:val="0"/>
              <w:snapToGrid w:val="0"/>
              <w:rPr>
                <w:b/>
                <w:color w:val="FF0000"/>
                <w:sz w:val="24"/>
              </w:rPr>
            </w:pPr>
            <w:r>
              <w:rPr>
                <w:rFonts w:hint="eastAsia"/>
                <w:b/>
                <w:color w:val="FF0000"/>
                <w:sz w:val="24"/>
              </w:rPr>
              <w:t>1</w:t>
            </w:r>
            <w:r>
              <w:rPr>
                <w:b/>
                <w:color w:val="FF0000"/>
                <w:sz w:val="24"/>
              </w:rPr>
              <w:t>.18</w:t>
            </w:r>
            <w:r>
              <w:rPr>
                <w:rFonts w:hint="eastAsia"/>
                <w:b/>
                <w:color w:val="FF0000"/>
                <w:sz w:val="24"/>
              </w:rPr>
              <w:t>与《固体废物再生利用污染防治技术导则》（HJ1091-2020）符合性分析</w:t>
            </w:r>
          </w:p>
          <w:p>
            <w:pPr>
              <w:autoSpaceDE w:val="0"/>
              <w:autoSpaceDN w:val="0"/>
              <w:adjustRightInd w:val="0"/>
              <w:snapToGrid w:val="0"/>
              <w:ind w:firstLine="480" w:firstLineChars="200"/>
              <w:rPr>
                <w:color w:val="FF0000"/>
                <w:kern w:val="0"/>
                <w:sz w:val="24"/>
              </w:rPr>
            </w:pPr>
            <w:r>
              <w:rPr>
                <w:rFonts w:hint="eastAsia"/>
                <w:color w:val="FF0000"/>
                <w:kern w:val="0"/>
                <w:sz w:val="24"/>
              </w:rPr>
              <w:t>项目与《固体废物再生利用污染防治技术导则》（HJ1091-2020）的符合性分析，见表1</w:t>
            </w:r>
            <w:r>
              <w:rPr>
                <w:color w:val="FF0000"/>
                <w:kern w:val="0"/>
                <w:sz w:val="24"/>
              </w:rPr>
              <w:t>.18</w:t>
            </w:r>
            <w:r>
              <w:rPr>
                <w:rFonts w:hint="eastAsia"/>
                <w:color w:val="FF0000"/>
                <w:kern w:val="0"/>
                <w:sz w:val="24"/>
              </w:rPr>
              <w:t>-</w:t>
            </w:r>
            <w:r>
              <w:rPr>
                <w:color w:val="FF0000"/>
                <w:kern w:val="0"/>
                <w:sz w:val="24"/>
              </w:rPr>
              <w:t>1</w:t>
            </w:r>
            <w:r>
              <w:rPr>
                <w:rFonts w:hint="eastAsia"/>
                <w:color w:val="FF0000"/>
                <w:kern w:val="0"/>
                <w:sz w:val="24"/>
              </w:rPr>
              <w:t>。</w:t>
            </w:r>
          </w:p>
          <w:p>
            <w:pPr>
              <w:tabs>
                <w:tab w:val="left" w:pos="4500"/>
              </w:tabs>
              <w:adjustRightInd w:val="0"/>
              <w:spacing w:line="240" w:lineRule="auto"/>
              <w:jc w:val="center"/>
              <w:rPr>
                <w:b/>
                <w:color w:val="FF0000"/>
                <w:kern w:val="0"/>
                <w:sz w:val="24"/>
              </w:rPr>
            </w:pPr>
            <w:r>
              <w:rPr>
                <w:b/>
                <w:color w:val="FF0000"/>
                <w:kern w:val="0"/>
                <w:sz w:val="24"/>
              </w:rPr>
              <w:t>表1.18</w:t>
            </w:r>
            <w:r>
              <w:rPr>
                <w:rFonts w:hint="eastAsia"/>
                <w:b/>
                <w:color w:val="FF0000"/>
                <w:kern w:val="0"/>
                <w:sz w:val="24"/>
              </w:rPr>
              <w:t>-</w:t>
            </w:r>
            <w:r>
              <w:rPr>
                <w:b/>
                <w:color w:val="FF0000"/>
                <w:kern w:val="0"/>
                <w:sz w:val="24"/>
              </w:rPr>
              <w:t>1   项目与</w:t>
            </w:r>
            <w:r>
              <w:rPr>
                <w:rFonts w:hint="eastAsia"/>
                <w:b/>
                <w:color w:val="FF0000"/>
                <w:kern w:val="0"/>
                <w:sz w:val="24"/>
              </w:rPr>
              <w:t>《固体废物再生利用污染防治技术导则》</w:t>
            </w:r>
            <w:r>
              <w:rPr>
                <w:b/>
                <w:color w:val="FF0000"/>
                <w:kern w:val="0"/>
                <w:sz w:val="24"/>
              </w:rPr>
              <w:t>符合性分析</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4690"/>
              <w:gridCol w:w="3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62" w:type="pct"/>
                  <w:vAlign w:val="center"/>
                </w:tcPr>
                <w:p>
                  <w:pPr>
                    <w:spacing w:line="240" w:lineRule="auto"/>
                    <w:jc w:val="center"/>
                    <w:rPr>
                      <w:b/>
                      <w:color w:val="FF0000"/>
                      <w:szCs w:val="21"/>
                    </w:rPr>
                  </w:pPr>
                  <w:r>
                    <w:rPr>
                      <w:b/>
                      <w:color w:val="FF0000"/>
                      <w:szCs w:val="21"/>
                    </w:rPr>
                    <w:t>序号</w:t>
                  </w:r>
                </w:p>
              </w:tc>
              <w:tc>
                <w:tcPr>
                  <w:tcW w:w="2863" w:type="pct"/>
                  <w:vAlign w:val="center"/>
                </w:tcPr>
                <w:p>
                  <w:pPr>
                    <w:spacing w:line="240" w:lineRule="auto"/>
                    <w:jc w:val="center"/>
                    <w:rPr>
                      <w:b/>
                      <w:color w:val="FF0000"/>
                      <w:szCs w:val="21"/>
                    </w:rPr>
                  </w:pPr>
                  <w:r>
                    <w:rPr>
                      <w:b/>
                      <w:color w:val="FF0000"/>
                      <w:szCs w:val="21"/>
                    </w:rPr>
                    <w:t>控制要求</w:t>
                  </w:r>
                </w:p>
              </w:tc>
              <w:tc>
                <w:tcPr>
                  <w:tcW w:w="1874" w:type="pct"/>
                  <w:vAlign w:val="center"/>
                </w:tcPr>
                <w:p>
                  <w:pPr>
                    <w:spacing w:line="240" w:lineRule="auto"/>
                    <w:jc w:val="center"/>
                    <w:rPr>
                      <w:b/>
                      <w:color w:val="FF0000"/>
                      <w:szCs w:val="21"/>
                    </w:rPr>
                  </w:pPr>
                  <w:r>
                    <w:rPr>
                      <w:rFonts w:hint="eastAsia"/>
                      <w:b/>
                      <w:color w:val="FF0000"/>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Merge w:val="restart"/>
                  <w:vAlign w:val="center"/>
                </w:tcPr>
                <w:p>
                  <w:pPr>
                    <w:spacing w:line="240" w:lineRule="auto"/>
                    <w:jc w:val="center"/>
                    <w:rPr>
                      <w:color w:val="FF0000"/>
                      <w:szCs w:val="21"/>
                    </w:rPr>
                  </w:pPr>
                  <w:r>
                    <w:rPr>
                      <w:color w:val="FF0000"/>
                      <w:szCs w:val="21"/>
                    </w:rPr>
                    <w:t>1</w:t>
                  </w:r>
                </w:p>
              </w:tc>
              <w:tc>
                <w:tcPr>
                  <w:tcW w:w="2863" w:type="pct"/>
                  <w:vAlign w:val="center"/>
                </w:tcPr>
                <w:p>
                  <w:pPr>
                    <w:spacing w:line="240" w:lineRule="auto"/>
                    <w:jc w:val="left"/>
                    <w:rPr>
                      <w:color w:val="FF0000"/>
                      <w:szCs w:val="21"/>
                    </w:rPr>
                  </w:pPr>
                  <w:r>
                    <w:rPr>
                      <w:rFonts w:hint="eastAsia"/>
                      <w:color w:val="FF0000"/>
                      <w:szCs w:val="21"/>
                    </w:rPr>
                    <w:t>5.11.3固体废物热解前应对其进行破碎、分选等预处理，以保证废物的均匀性，提高废物的热解效率，减少热解废气的产生。采用热解技术处理污泥的含水率宜低于30%。</w:t>
                  </w:r>
                </w:p>
              </w:tc>
              <w:tc>
                <w:tcPr>
                  <w:tcW w:w="1874" w:type="pct"/>
                  <w:vAlign w:val="center"/>
                </w:tcPr>
                <w:p>
                  <w:pPr>
                    <w:spacing w:line="240" w:lineRule="auto"/>
                    <w:jc w:val="left"/>
                    <w:rPr>
                      <w:color w:val="FF0000"/>
                      <w:szCs w:val="21"/>
                    </w:rPr>
                  </w:pPr>
                  <w:r>
                    <w:rPr>
                      <w:rFonts w:hint="eastAsia"/>
                      <w:color w:val="FF0000"/>
                      <w:szCs w:val="21"/>
                    </w:rPr>
                    <w:t>本</w:t>
                  </w:r>
                  <w:r>
                    <w:rPr>
                      <w:color w:val="FF0000"/>
                      <w:szCs w:val="21"/>
                    </w:rPr>
                    <w:t>项目</w:t>
                  </w:r>
                  <w:r>
                    <w:rPr>
                      <w:rFonts w:hint="eastAsia"/>
                      <w:color w:val="FF0000"/>
                      <w:szCs w:val="21"/>
                    </w:rPr>
                    <w:t>废轮胎热裂解前</w:t>
                  </w:r>
                  <w:r>
                    <w:rPr>
                      <w:color w:val="FF0000"/>
                      <w:szCs w:val="21"/>
                    </w:rPr>
                    <w:t>，采取</w:t>
                  </w:r>
                  <w:r>
                    <w:rPr>
                      <w:rFonts w:hint="eastAsia"/>
                      <w:color w:val="FF0000"/>
                      <w:szCs w:val="21"/>
                    </w:rPr>
                    <w:t>破碎</w:t>
                  </w:r>
                  <w:r>
                    <w:rPr>
                      <w:color w:val="FF0000"/>
                      <w:szCs w:val="21"/>
                    </w:rPr>
                    <w:t>、</w:t>
                  </w:r>
                  <w:r>
                    <w:rPr>
                      <w:rFonts w:hint="eastAsia"/>
                      <w:color w:val="FF0000"/>
                      <w:szCs w:val="21"/>
                    </w:rPr>
                    <w:t>筛分</w:t>
                  </w:r>
                  <w:r>
                    <w:rPr>
                      <w:color w:val="FF0000"/>
                      <w:szCs w:val="21"/>
                    </w:rPr>
                    <w:t>、钢丝分离分选等预处理工序，符合要求。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pPr>
                    <w:spacing w:line="240" w:lineRule="auto"/>
                    <w:jc w:val="center"/>
                    <w:rPr>
                      <w:color w:val="FF0000"/>
                      <w:szCs w:val="21"/>
                    </w:rPr>
                  </w:pPr>
                  <w:r>
                    <w:rPr>
                      <w:rFonts w:hint="eastAsia"/>
                      <w:color w:val="FF0000"/>
                      <w:szCs w:val="21"/>
                    </w:rPr>
                    <w:t>2</w:t>
                  </w:r>
                </w:p>
              </w:tc>
              <w:tc>
                <w:tcPr>
                  <w:tcW w:w="2863" w:type="pct"/>
                  <w:vAlign w:val="center"/>
                </w:tcPr>
                <w:p>
                  <w:pPr>
                    <w:spacing w:line="240" w:lineRule="auto"/>
                    <w:jc w:val="left"/>
                    <w:rPr>
                      <w:color w:val="FF0000"/>
                      <w:szCs w:val="21"/>
                    </w:rPr>
                  </w:pPr>
                  <w:r>
                    <w:rPr>
                      <w:rFonts w:hint="eastAsia"/>
                      <w:color w:val="FF0000"/>
                      <w:szCs w:val="21"/>
                    </w:rPr>
                    <w:t>5.11.4热解设备应配备温度自动控制装置，应具备良好的密封性，操作过程应防止裂解气体外泄，热解设备和烟气管道应采取绝热措施。</w:t>
                  </w:r>
                </w:p>
              </w:tc>
              <w:tc>
                <w:tcPr>
                  <w:tcW w:w="1874" w:type="pct"/>
                  <w:vAlign w:val="center"/>
                </w:tcPr>
                <w:p>
                  <w:pPr>
                    <w:spacing w:line="240" w:lineRule="auto"/>
                    <w:jc w:val="left"/>
                    <w:rPr>
                      <w:color w:val="FF0000"/>
                      <w:szCs w:val="21"/>
                    </w:rPr>
                  </w:pPr>
                  <w:r>
                    <w:rPr>
                      <w:rFonts w:hint="eastAsia"/>
                      <w:color w:val="FF0000"/>
                      <w:szCs w:val="21"/>
                    </w:rPr>
                    <w:t>本</w:t>
                  </w:r>
                  <w:r>
                    <w:rPr>
                      <w:color w:val="FF0000"/>
                      <w:szCs w:val="21"/>
                    </w:rPr>
                    <w:t>项目热解设备采取自动化控制装置及技术，</w:t>
                  </w:r>
                  <w:r>
                    <w:rPr>
                      <w:rFonts w:hint="eastAsia"/>
                      <w:color w:val="FF0000"/>
                      <w:szCs w:val="21"/>
                    </w:rPr>
                    <w:t>设备</w:t>
                  </w:r>
                  <w:r>
                    <w:rPr>
                      <w:color w:val="FF0000"/>
                      <w:szCs w:val="21"/>
                    </w:rPr>
                    <w:t>具有良好的密闭性，</w:t>
                  </w:r>
                  <w:r>
                    <w:rPr>
                      <w:rFonts w:hint="eastAsia"/>
                      <w:color w:val="FF0000"/>
                      <w:szCs w:val="21"/>
                    </w:rPr>
                    <w:t>防止</w:t>
                  </w:r>
                  <w:r>
                    <w:rPr>
                      <w:color w:val="FF0000"/>
                      <w:szCs w:val="21"/>
                    </w:rPr>
                    <w:t>裂解气外泄。</w:t>
                  </w:r>
                  <w:r>
                    <w:rPr>
                      <w:rFonts w:hint="eastAsia"/>
                      <w:color w:val="FF0000"/>
                      <w:szCs w:val="21"/>
                    </w:rPr>
                    <w:t>热解设备和烟气管道采取绝热措施。符合要求</w:t>
                  </w:r>
                  <w:r>
                    <w:rPr>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pPr>
                    <w:spacing w:line="240" w:lineRule="auto"/>
                    <w:jc w:val="center"/>
                    <w:rPr>
                      <w:color w:val="FF0000"/>
                      <w:szCs w:val="21"/>
                    </w:rPr>
                  </w:pPr>
                  <w:r>
                    <w:rPr>
                      <w:color w:val="FF0000"/>
                      <w:szCs w:val="21"/>
                    </w:rPr>
                    <w:t>3</w:t>
                  </w:r>
                </w:p>
              </w:tc>
              <w:tc>
                <w:tcPr>
                  <w:tcW w:w="2863" w:type="pct"/>
                  <w:vAlign w:val="center"/>
                </w:tcPr>
                <w:p>
                  <w:pPr>
                    <w:spacing w:line="240" w:lineRule="auto"/>
                    <w:jc w:val="left"/>
                    <w:rPr>
                      <w:color w:val="FF0000"/>
                      <w:szCs w:val="21"/>
                    </w:rPr>
                  </w:pPr>
                  <w:r>
                    <w:rPr>
                      <w:rFonts w:hint="eastAsia"/>
                      <w:color w:val="FF0000"/>
                      <w:szCs w:val="21"/>
                    </w:rPr>
                    <w:t>5.11.5在启动热解炉时，应先将炉内温度升至热解炉设计温度后才能投入固体废物。固体废物投入量应逐渐增加，直至达到额定热解处理量。在关闭热解炉时，停止投入固体废物后，应立即启动助燃系统,以保证炉内固体废物裂解完全.热解炉运行时应减少停机或启动次数。</w:t>
                  </w:r>
                </w:p>
              </w:tc>
              <w:tc>
                <w:tcPr>
                  <w:tcW w:w="1874" w:type="pct"/>
                  <w:vAlign w:val="center"/>
                </w:tcPr>
                <w:p>
                  <w:pPr>
                    <w:spacing w:line="240" w:lineRule="auto"/>
                    <w:jc w:val="left"/>
                    <w:rPr>
                      <w:color w:val="FF0000"/>
                      <w:szCs w:val="21"/>
                    </w:rPr>
                  </w:pPr>
                  <w:r>
                    <w:rPr>
                      <w:rFonts w:hint="eastAsia"/>
                      <w:color w:val="FF0000"/>
                      <w:szCs w:val="21"/>
                    </w:rPr>
                    <w:t>本</w:t>
                  </w:r>
                  <w:r>
                    <w:rPr>
                      <w:color w:val="FF0000"/>
                      <w:szCs w:val="21"/>
                    </w:rPr>
                    <w:t>项目按照要求进行</w:t>
                  </w:r>
                  <w:r>
                    <w:rPr>
                      <w:rFonts w:hint="eastAsia"/>
                      <w:color w:val="FF0000"/>
                      <w:szCs w:val="21"/>
                    </w:rPr>
                    <w:t>设计</w:t>
                  </w:r>
                  <w:r>
                    <w:rPr>
                      <w:color w:val="FF0000"/>
                      <w:szCs w:val="21"/>
                    </w:rPr>
                    <w:t>、生产</w:t>
                  </w:r>
                  <w:r>
                    <w:rPr>
                      <w:rFonts w:hint="eastAsia"/>
                      <w:color w:val="FF0000"/>
                      <w:szCs w:val="21"/>
                    </w:rPr>
                    <w:t>作业</w:t>
                  </w:r>
                  <w:r>
                    <w:rPr>
                      <w:color w:val="FF0000"/>
                      <w:szCs w:val="21"/>
                    </w:rPr>
                    <w:t>，</w:t>
                  </w:r>
                  <w:r>
                    <w:rPr>
                      <w:rFonts w:hint="eastAsia"/>
                      <w:color w:val="FF0000"/>
                      <w:szCs w:val="21"/>
                    </w:rPr>
                    <w:t>符合</w:t>
                  </w:r>
                  <w:r>
                    <w:rPr>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pPr>
                    <w:spacing w:line="240" w:lineRule="auto"/>
                    <w:jc w:val="center"/>
                    <w:rPr>
                      <w:color w:val="FF0000"/>
                      <w:szCs w:val="21"/>
                    </w:rPr>
                  </w:pPr>
                  <w:r>
                    <w:rPr>
                      <w:rFonts w:hint="eastAsia"/>
                      <w:color w:val="FF0000"/>
                      <w:szCs w:val="21"/>
                    </w:rPr>
                    <w:t>4</w:t>
                  </w:r>
                </w:p>
              </w:tc>
              <w:tc>
                <w:tcPr>
                  <w:tcW w:w="2863" w:type="pct"/>
                  <w:vAlign w:val="center"/>
                </w:tcPr>
                <w:p>
                  <w:pPr>
                    <w:spacing w:line="240" w:lineRule="auto"/>
                    <w:jc w:val="left"/>
                    <w:rPr>
                      <w:color w:val="FF0000"/>
                      <w:szCs w:val="21"/>
                    </w:rPr>
                  </w:pPr>
                  <w:r>
                    <w:rPr>
                      <w:rFonts w:hint="eastAsia"/>
                      <w:color w:val="FF0000"/>
                      <w:szCs w:val="21"/>
                    </w:rPr>
                    <w:t>5.11.6固体废物热解作业应实时监测除尘器的运行状态,排放不能满足要求时应及时停炉进行处理。</w:t>
                  </w:r>
                </w:p>
              </w:tc>
              <w:tc>
                <w:tcPr>
                  <w:tcW w:w="1874" w:type="pct"/>
                  <w:vAlign w:val="center"/>
                </w:tcPr>
                <w:p>
                  <w:pPr>
                    <w:spacing w:line="240" w:lineRule="auto"/>
                    <w:jc w:val="left"/>
                    <w:rPr>
                      <w:color w:val="FF0000"/>
                      <w:szCs w:val="21"/>
                    </w:rPr>
                  </w:pPr>
                  <w:r>
                    <w:rPr>
                      <w:rFonts w:hint="eastAsia"/>
                      <w:color w:val="FF0000"/>
                      <w:szCs w:val="21"/>
                    </w:rPr>
                    <w:t>本</w:t>
                  </w:r>
                  <w:r>
                    <w:rPr>
                      <w:color w:val="FF0000"/>
                      <w:szCs w:val="21"/>
                    </w:rPr>
                    <w:t>项目</w:t>
                  </w:r>
                  <w:r>
                    <w:rPr>
                      <w:rFonts w:hint="eastAsia"/>
                      <w:color w:val="FF0000"/>
                      <w:szCs w:val="21"/>
                    </w:rPr>
                    <w:t>烟气安装</w:t>
                  </w:r>
                  <w:r>
                    <w:rPr>
                      <w:color w:val="FF0000"/>
                      <w:szCs w:val="21"/>
                    </w:rPr>
                    <w:t>在线监测设备，一旦出现超标现象，将停炉检修，符合要求。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pPr>
                    <w:spacing w:line="240" w:lineRule="auto"/>
                    <w:jc w:val="center"/>
                    <w:rPr>
                      <w:color w:val="FF0000"/>
                      <w:szCs w:val="21"/>
                    </w:rPr>
                  </w:pPr>
                  <w:r>
                    <w:rPr>
                      <w:rFonts w:hint="eastAsia"/>
                      <w:color w:val="FF0000"/>
                      <w:szCs w:val="21"/>
                    </w:rPr>
                    <w:t>5</w:t>
                  </w:r>
                </w:p>
              </w:tc>
              <w:tc>
                <w:tcPr>
                  <w:tcW w:w="2863" w:type="pct"/>
                  <w:vAlign w:val="center"/>
                </w:tcPr>
                <w:p>
                  <w:pPr>
                    <w:spacing w:line="240" w:lineRule="auto"/>
                    <w:jc w:val="left"/>
                    <w:rPr>
                      <w:color w:val="FF0000"/>
                      <w:szCs w:val="21"/>
                    </w:rPr>
                  </w:pPr>
                  <w:r>
                    <w:rPr>
                      <w:rFonts w:hint="eastAsia"/>
                      <w:color w:val="FF0000"/>
                      <w:szCs w:val="21"/>
                    </w:rPr>
                    <w:t>5.11.7固体废物热解产生的气体应优先循环利用作为热解的燃料，不能回收利用的应焚烧处理后排放。</w:t>
                  </w:r>
                </w:p>
              </w:tc>
              <w:tc>
                <w:tcPr>
                  <w:tcW w:w="1874" w:type="pct"/>
                  <w:vAlign w:val="center"/>
                </w:tcPr>
                <w:p>
                  <w:pPr>
                    <w:spacing w:line="240" w:lineRule="auto"/>
                    <w:jc w:val="left"/>
                    <w:rPr>
                      <w:color w:val="FF0000"/>
                      <w:szCs w:val="21"/>
                    </w:rPr>
                  </w:pPr>
                  <w:r>
                    <w:rPr>
                      <w:rFonts w:hint="eastAsia"/>
                      <w:color w:val="FF0000"/>
                      <w:szCs w:val="21"/>
                    </w:rPr>
                    <w:t>本</w:t>
                  </w:r>
                  <w:r>
                    <w:rPr>
                      <w:color w:val="FF0000"/>
                      <w:szCs w:val="21"/>
                    </w:rPr>
                    <w:t>项目热解</w:t>
                  </w:r>
                  <w:r>
                    <w:rPr>
                      <w:rFonts w:hint="eastAsia"/>
                      <w:color w:val="FF0000"/>
                      <w:szCs w:val="21"/>
                    </w:rPr>
                    <w:t>不凝气</w:t>
                  </w:r>
                  <w:r>
                    <w:rPr>
                      <w:color w:val="FF0000"/>
                      <w:szCs w:val="21"/>
                    </w:rPr>
                    <w:t>作为热解热源，</w:t>
                  </w:r>
                  <w:r>
                    <w:rPr>
                      <w:rFonts w:hint="eastAsia"/>
                      <w:color w:val="FF0000"/>
                      <w:szCs w:val="21"/>
                    </w:rPr>
                    <w:t>回收利用，多余部分进入二燃室燃烧处理后排放。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pPr>
                    <w:spacing w:line="240" w:lineRule="auto"/>
                    <w:jc w:val="center"/>
                    <w:rPr>
                      <w:color w:val="FF0000"/>
                      <w:szCs w:val="21"/>
                    </w:rPr>
                  </w:pPr>
                  <w:r>
                    <w:rPr>
                      <w:color w:val="FF0000"/>
                      <w:szCs w:val="21"/>
                    </w:rPr>
                    <w:t>6</w:t>
                  </w:r>
                </w:p>
              </w:tc>
              <w:tc>
                <w:tcPr>
                  <w:tcW w:w="2863" w:type="pct"/>
                  <w:vAlign w:val="center"/>
                </w:tcPr>
                <w:p>
                  <w:pPr>
                    <w:spacing w:line="240" w:lineRule="auto"/>
                    <w:jc w:val="left"/>
                    <w:rPr>
                      <w:color w:val="FF0000"/>
                      <w:szCs w:val="21"/>
                    </w:rPr>
                  </w:pPr>
                  <w:r>
                    <w:rPr>
                      <w:rFonts w:hint="eastAsia"/>
                      <w:color w:val="FF0000"/>
                      <w:szCs w:val="21"/>
                    </w:rPr>
                    <w:t>5.11.8固体废物热解产生的炭黑和底渣，应采取分离、造粒等方法综合利用，分离、造粒过程应采取设备密闭和水法造粒等措施以防止炭黑粉尘散逸。对不回收利用的残余物的处置应符合本标准第5.1.9条的要求。</w:t>
                  </w:r>
                </w:p>
              </w:tc>
              <w:tc>
                <w:tcPr>
                  <w:tcW w:w="1874" w:type="pct"/>
                  <w:vAlign w:val="center"/>
                </w:tcPr>
                <w:p>
                  <w:pPr>
                    <w:spacing w:line="240" w:lineRule="auto"/>
                    <w:jc w:val="left"/>
                    <w:rPr>
                      <w:color w:val="FF0000"/>
                      <w:szCs w:val="21"/>
                    </w:rPr>
                  </w:pPr>
                  <w:r>
                    <w:rPr>
                      <w:rFonts w:hint="eastAsia"/>
                      <w:color w:val="FF0000"/>
                      <w:szCs w:val="21"/>
                    </w:rPr>
                    <w:t>本</w:t>
                  </w:r>
                  <w:r>
                    <w:rPr>
                      <w:color w:val="FF0000"/>
                      <w:szCs w:val="21"/>
                    </w:rPr>
                    <w:t>项目产生的热解</w:t>
                  </w:r>
                  <w:r>
                    <w:rPr>
                      <w:rFonts w:hint="eastAsia"/>
                      <w:color w:val="FF0000"/>
                      <w:szCs w:val="21"/>
                    </w:rPr>
                    <w:t>炭黑</w:t>
                  </w:r>
                  <w:r>
                    <w:rPr>
                      <w:color w:val="FF0000"/>
                      <w:szCs w:val="21"/>
                    </w:rPr>
                    <w:t>不造粒，</w:t>
                  </w:r>
                  <w:r>
                    <w:rPr>
                      <w:rFonts w:hint="eastAsia"/>
                      <w:color w:val="FF0000"/>
                      <w:szCs w:val="21"/>
                    </w:rPr>
                    <w:t>经过磨粉、磁选、打包后外售</w:t>
                  </w:r>
                  <w:r>
                    <w:rPr>
                      <w:color w:val="FF0000"/>
                      <w:szCs w:val="21"/>
                    </w:rPr>
                    <w:t>。热解</w:t>
                  </w:r>
                  <w:r>
                    <w:rPr>
                      <w:rFonts w:hint="eastAsia"/>
                      <w:color w:val="FF0000"/>
                      <w:szCs w:val="21"/>
                    </w:rPr>
                    <w:t>后</w:t>
                  </w:r>
                  <w:r>
                    <w:rPr>
                      <w:color w:val="FF0000"/>
                      <w:szCs w:val="21"/>
                    </w:rPr>
                    <w:t>无底渣。符合要求。</w:t>
                  </w:r>
                </w:p>
              </w:tc>
            </w:tr>
          </w:tbl>
          <w:p>
            <w:pPr>
              <w:autoSpaceDE w:val="0"/>
              <w:autoSpaceDN w:val="0"/>
              <w:adjustRightInd w:val="0"/>
              <w:snapToGrid w:val="0"/>
              <w:ind w:firstLine="480"/>
              <w:rPr>
                <w:color w:val="FF0000"/>
                <w:kern w:val="0"/>
                <w:sz w:val="24"/>
              </w:rPr>
            </w:pPr>
            <w:r>
              <w:rPr>
                <w:rFonts w:hint="eastAsia"/>
                <w:color w:val="FF0000"/>
                <w:kern w:val="0"/>
                <w:sz w:val="24"/>
              </w:rPr>
              <w:t>由上表可知</w:t>
            </w:r>
            <w:r>
              <w:rPr>
                <w:color w:val="FF0000"/>
                <w:kern w:val="0"/>
                <w:sz w:val="24"/>
              </w:rPr>
              <w:t>，本项目符合</w:t>
            </w:r>
            <w:r>
              <w:rPr>
                <w:rFonts w:hint="eastAsia"/>
                <w:color w:val="FF0000"/>
                <w:kern w:val="0"/>
                <w:sz w:val="24"/>
              </w:rPr>
              <w:t>《固体废物再生利用污染防治技术导则》（HJ1091-2020）中对热裂解技术的</w:t>
            </w:r>
            <w:r>
              <w:rPr>
                <w:color w:val="FF0000"/>
                <w:kern w:val="0"/>
                <w:sz w:val="24"/>
              </w:rPr>
              <w:t>相关要求。</w:t>
            </w:r>
          </w:p>
          <w:p>
            <w:pPr>
              <w:autoSpaceDE w:val="0"/>
              <w:autoSpaceDN w:val="0"/>
              <w:adjustRightInd w:val="0"/>
              <w:snapToGrid w:val="0"/>
              <w:rPr>
                <w:b/>
                <w:color w:val="FF0000"/>
                <w:sz w:val="24"/>
              </w:rPr>
            </w:pPr>
            <w:r>
              <w:rPr>
                <w:rFonts w:hint="eastAsia"/>
                <w:b/>
                <w:color w:val="FF0000"/>
                <w:sz w:val="24"/>
              </w:rPr>
              <w:t>1</w:t>
            </w:r>
            <w:r>
              <w:rPr>
                <w:b/>
                <w:color w:val="FF0000"/>
                <w:sz w:val="24"/>
              </w:rPr>
              <w:t>.19</w:t>
            </w:r>
            <w:r>
              <w:rPr>
                <w:rFonts w:hint="eastAsia"/>
                <w:b/>
                <w:color w:val="FF0000"/>
                <w:sz w:val="24"/>
              </w:rPr>
              <w:t>项目与《废轮胎、废橡胶热裂解技术规范》（G</w:t>
            </w:r>
            <w:r>
              <w:rPr>
                <w:b/>
                <w:color w:val="FF0000"/>
                <w:sz w:val="24"/>
              </w:rPr>
              <w:t>B/T 40009-2021</w:t>
            </w:r>
            <w:r>
              <w:rPr>
                <w:rFonts w:hint="eastAsia"/>
                <w:b/>
                <w:color w:val="FF0000"/>
                <w:sz w:val="24"/>
              </w:rPr>
              <w:t>）符合性分析</w:t>
            </w:r>
          </w:p>
          <w:p>
            <w:pPr>
              <w:autoSpaceDE w:val="0"/>
              <w:autoSpaceDN w:val="0"/>
              <w:adjustRightInd w:val="0"/>
              <w:snapToGrid w:val="0"/>
              <w:ind w:firstLine="480"/>
              <w:rPr>
                <w:color w:val="FF0000"/>
                <w:kern w:val="0"/>
                <w:sz w:val="24"/>
              </w:rPr>
            </w:pPr>
            <w:r>
              <w:rPr>
                <w:rFonts w:hint="eastAsia"/>
                <w:color w:val="FF0000"/>
                <w:kern w:val="0"/>
                <w:sz w:val="24"/>
              </w:rPr>
              <w:t>项目与《废轮胎、废橡胶热裂解技术规范》（G</w:t>
            </w:r>
            <w:r>
              <w:rPr>
                <w:color w:val="FF0000"/>
                <w:kern w:val="0"/>
                <w:sz w:val="24"/>
              </w:rPr>
              <w:t>B/T 40009-2021</w:t>
            </w:r>
            <w:r>
              <w:rPr>
                <w:rFonts w:hint="eastAsia"/>
                <w:color w:val="FF0000"/>
                <w:kern w:val="0"/>
                <w:sz w:val="24"/>
              </w:rPr>
              <w:t>）的符合性分析，详见表1</w:t>
            </w:r>
            <w:r>
              <w:rPr>
                <w:color w:val="FF0000"/>
                <w:kern w:val="0"/>
                <w:sz w:val="24"/>
              </w:rPr>
              <w:t>.19</w:t>
            </w:r>
            <w:r>
              <w:rPr>
                <w:rFonts w:hint="eastAsia"/>
                <w:color w:val="FF0000"/>
                <w:kern w:val="0"/>
                <w:sz w:val="24"/>
              </w:rPr>
              <w:t>-</w:t>
            </w:r>
            <w:r>
              <w:rPr>
                <w:color w:val="FF0000"/>
                <w:kern w:val="0"/>
                <w:sz w:val="24"/>
              </w:rPr>
              <w:t>1</w:t>
            </w:r>
            <w:r>
              <w:rPr>
                <w:rFonts w:hint="eastAsia"/>
                <w:color w:val="FF0000"/>
                <w:kern w:val="0"/>
                <w:sz w:val="24"/>
              </w:rPr>
              <w:t>。</w:t>
            </w:r>
          </w:p>
          <w:p>
            <w:pPr>
              <w:tabs>
                <w:tab w:val="left" w:pos="4500"/>
              </w:tabs>
              <w:adjustRightInd w:val="0"/>
              <w:spacing w:line="240" w:lineRule="auto"/>
              <w:jc w:val="center"/>
              <w:rPr>
                <w:b/>
                <w:color w:val="FF0000"/>
                <w:kern w:val="0"/>
                <w:sz w:val="24"/>
              </w:rPr>
            </w:pPr>
            <w:r>
              <w:rPr>
                <w:rFonts w:hint="eastAsia"/>
                <w:b/>
                <w:color w:val="FF0000"/>
                <w:kern w:val="0"/>
                <w:sz w:val="24"/>
              </w:rPr>
              <w:t>表1</w:t>
            </w:r>
            <w:r>
              <w:rPr>
                <w:b/>
                <w:color w:val="FF0000"/>
                <w:kern w:val="0"/>
                <w:sz w:val="24"/>
              </w:rPr>
              <w:t>.19</w:t>
            </w:r>
            <w:r>
              <w:rPr>
                <w:rFonts w:hint="eastAsia"/>
                <w:b/>
                <w:color w:val="FF0000"/>
                <w:kern w:val="0"/>
                <w:sz w:val="24"/>
              </w:rPr>
              <w:t>-</w:t>
            </w:r>
            <w:r>
              <w:rPr>
                <w:b/>
                <w:color w:val="FF0000"/>
                <w:kern w:val="0"/>
                <w:sz w:val="24"/>
              </w:rPr>
              <w:t xml:space="preserve">1  </w:t>
            </w:r>
            <w:r>
              <w:rPr>
                <w:rFonts w:hint="eastAsia"/>
                <w:b/>
                <w:color w:val="FF0000"/>
                <w:kern w:val="0"/>
                <w:sz w:val="24"/>
              </w:rPr>
              <w:t>项目与《废轮胎、废橡胶热裂解技术规范》符合性分析</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2"/>
              <w:gridCol w:w="3261"/>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2" w:type="dxa"/>
                </w:tcPr>
                <w:p>
                  <w:pPr>
                    <w:pStyle w:val="3"/>
                    <w:numPr>
                      <w:ilvl w:val="0"/>
                      <w:numId w:val="0"/>
                    </w:num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要求</w:t>
                  </w:r>
                </w:p>
              </w:tc>
              <w:tc>
                <w:tcPr>
                  <w:tcW w:w="3261" w:type="dxa"/>
                </w:tcPr>
                <w:p>
                  <w:pPr>
                    <w:pStyle w:val="3"/>
                    <w:numPr>
                      <w:ilvl w:val="0"/>
                      <w:numId w:val="0"/>
                    </w:num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本项目情况</w:t>
                  </w:r>
                </w:p>
              </w:tc>
              <w:tc>
                <w:tcPr>
                  <w:tcW w:w="928" w:type="dxa"/>
                </w:tcPr>
                <w:p>
                  <w:pPr>
                    <w:pStyle w:val="3"/>
                    <w:numPr>
                      <w:ilvl w:val="0"/>
                      <w:numId w:val="0"/>
                    </w:num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2" w:type="dxa"/>
                  <w:vAlign w:val="center"/>
                </w:tcPr>
                <w:p>
                  <w:pPr>
                    <w:pStyle w:val="3"/>
                    <w:numPr>
                      <w:ilvl w:val="0"/>
                      <w:numId w:val="0"/>
                    </w:num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工厂设计：废轮胎、废橡胶热裂解生产企业的工厂设计应由具备工程设计资质的单位进行。废轮胎、废橡胶预处理装置应注意防尘、防噪，且与热裂解生产装置分别设置在不同车间，并保持安全距离。</w:t>
                  </w:r>
                </w:p>
              </w:tc>
              <w:tc>
                <w:tcPr>
                  <w:tcW w:w="3261" w:type="dxa"/>
                  <w:vAlign w:val="center"/>
                </w:tcPr>
                <w:p>
                  <w:pPr>
                    <w:pStyle w:val="3"/>
                    <w:numPr>
                      <w:ilvl w:val="0"/>
                      <w:numId w:val="0"/>
                    </w:num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本项目厂区由具备工程设计资质的单位进行设计，废轮胎预处理与热裂解生产线分别位于不同车间，并保持安全距离。</w:t>
                  </w:r>
                </w:p>
              </w:tc>
              <w:tc>
                <w:tcPr>
                  <w:tcW w:w="928" w:type="dxa"/>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52" w:type="dxa"/>
                  <w:vAlign w:val="center"/>
                </w:tcPr>
                <w:p>
                  <w:pPr>
                    <w:pStyle w:val="3"/>
                    <w:numPr>
                      <w:ilvl w:val="0"/>
                      <w:numId w:val="0"/>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工艺技术：废轮胎热裂解温度350~550℃，压力0±500Pa，不凝可燃气回收作为加热燃料，废气有组织排放，能耗＜200kW·h/t。</w:t>
                  </w:r>
                </w:p>
              </w:tc>
              <w:tc>
                <w:tcPr>
                  <w:tcW w:w="3261" w:type="dxa"/>
                  <w:vAlign w:val="center"/>
                </w:tcPr>
                <w:p>
                  <w:pPr>
                    <w:pStyle w:val="3"/>
                    <w:numPr>
                      <w:ilvl w:val="0"/>
                      <w:numId w:val="0"/>
                    </w:num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本项目热裂解温度为</w:t>
                  </w:r>
                  <w:r>
                    <w:rPr>
                      <w:color w:val="000000" w:themeColor="text1"/>
                      <w14:textFill>
                        <w14:solidFill>
                          <w14:schemeClr w14:val="tx1"/>
                        </w14:solidFill>
                      </w14:textFill>
                    </w:rPr>
                    <w:t>420</w:t>
                  </w:r>
                  <w:r>
                    <w:rPr>
                      <w:rFonts w:hint="eastAsia"/>
                      <w:color w:val="000000" w:themeColor="text1"/>
                      <w14:textFill>
                        <w14:solidFill>
                          <w14:schemeClr w14:val="tx1"/>
                        </w14:solidFill>
                      </w14:textFill>
                    </w:rPr>
                    <w:t>℃左右，压力-</w:t>
                  </w:r>
                  <w:r>
                    <w:rPr>
                      <w:color w:val="000000" w:themeColor="text1"/>
                      <w14:textFill>
                        <w14:solidFill>
                          <w14:schemeClr w14:val="tx1"/>
                        </w14:solidFill>
                      </w14:textFill>
                    </w:rPr>
                    <w:t>0.005MP</w:t>
                  </w:r>
                  <w:r>
                    <w:rPr>
                      <w:rFonts w:hint="eastAsia"/>
                      <w:color w:val="000000" w:themeColor="text1"/>
                      <w14:textFill>
                        <w14:solidFill>
                          <w14:schemeClr w14:val="tx1"/>
                        </w14:solidFill>
                      </w14:textFill>
                    </w:rPr>
                    <w:t>a，不凝气回收作为加热燃料，废气有组织排放。根据建设单位提供的节能评估资料，项目热裂解处理综合能耗1</w:t>
                  </w:r>
                  <w:r>
                    <w:rPr>
                      <w:color w:val="000000" w:themeColor="text1"/>
                      <w14:textFill>
                        <w14:solidFill>
                          <w14:schemeClr w14:val="tx1"/>
                        </w14:solidFill>
                      </w14:textFill>
                    </w:rPr>
                    <w:t>44.99kW</w:t>
                  </w:r>
                  <w:r>
                    <w:rPr>
                      <w:rFonts w:hint="eastAsia"/>
                      <w:color w:val="000000" w:themeColor="text1"/>
                      <w14:textFill>
                        <w14:solidFill>
                          <w14:schemeClr w14:val="tx1"/>
                        </w14:solidFill>
                      </w14:textFill>
                    </w:rPr>
                    <w:t>·h</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t＜2</w:t>
                  </w:r>
                  <w:r>
                    <w:rPr>
                      <w:color w:val="000000" w:themeColor="text1"/>
                      <w14:textFill>
                        <w14:solidFill>
                          <w14:schemeClr w14:val="tx1"/>
                        </w14:solidFill>
                      </w14:textFill>
                    </w:rPr>
                    <w:t>00 kW</w:t>
                  </w:r>
                  <w:r>
                    <w:rPr>
                      <w:rFonts w:hint="eastAsia"/>
                      <w:color w:val="000000" w:themeColor="text1"/>
                      <w14:textFill>
                        <w14:solidFill>
                          <w14:schemeClr w14:val="tx1"/>
                        </w14:solidFill>
                      </w14:textFill>
                    </w:rPr>
                    <w:t>·h</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t。</w:t>
                  </w:r>
                </w:p>
              </w:tc>
              <w:tc>
                <w:tcPr>
                  <w:tcW w:w="928" w:type="dxa"/>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2" w:type="dxa"/>
                  <w:vAlign w:val="center"/>
                </w:tcPr>
                <w:p>
                  <w:pPr>
                    <w:pStyle w:val="3"/>
                    <w:numPr>
                      <w:ilvl w:val="0"/>
                      <w:numId w:val="0"/>
                    </w:num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设备：废轮胎、废橡胶热裂解成套设备技术要求应符合《废橡胶废塑料裂解油化成套生产装备》（G</w:t>
                  </w:r>
                  <w:r>
                    <w:rPr>
                      <w:color w:val="000000" w:themeColor="text1"/>
                      <w14:textFill>
                        <w14:solidFill>
                          <w14:schemeClr w14:val="tx1"/>
                        </w14:solidFill>
                      </w14:textFill>
                    </w:rPr>
                    <w:t>B/T 32662-2016</w:t>
                  </w:r>
                  <w:r>
                    <w:rPr>
                      <w:rFonts w:hint="eastAsia"/>
                      <w:color w:val="000000" w:themeColor="text1"/>
                      <w14:textFill>
                        <w14:solidFill>
                          <w14:schemeClr w14:val="tx1"/>
                        </w14:solidFill>
                      </w14:textFill>
                    </w:rPr>
                    <w:t>）的规定。</w:t>
                  </w:r>
                </w:p>
              </w:tc>
              <w:tc>
                <w:tcPr>
                  <w:tcW w:w="3261" w:type="dxa"/>
                  <w:vAlign w:val="center"/>
                </w:tcPr>
                <w:p>
                  <w:pPr>
                    <w:pStyle w:val="3"/>
                    <w:numPr>
                      <w:ilvl w:val="0"/>
                      <w:numId w:val="0"/>
                    </w:num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项目热裂解工艺采用自动化程度较高的连续式成套卧式旋转裂解设备，符合规定中的要求。</w:t>
                  </w:r>
                </w:p>
              </w:tc>
              <w:tc>
                <w:tcPr>
                  <w:tcW w:w="928" w:type="dxa"/>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autoSpaceDE w:val="0"/>
              <w:autoSpaceDN w:val="0"/>
              <w:adjustRightInd w:val="0"/>
              <w:snapToGrid w:val="0"/>
              <w:ind w:firstLine="480"/>
              <w:rPr>
                <w:color w:val="FF0000"/>
                <w:kern w:val="0"/>
                <w:sz w:val="24"/>
              </w:rPr>
            </w:pPr>
            <w:r>
              <w:rPr>
                <w:rFonts w:hint="eastAsia"/>
                <w:color w:val="FF0000"/>
                <w:kern w:val="0"/>
                <w:sz w:val="24"/>
              </w:rPr>
              <w:t>由上表可知，项目符合《废轮胎、废橡胶热裂解技术规范》（G</w:t>
            </w:r>
            <w:r>
              <w:rPr>
                <w:color w:val="FF0000"/>
                <w:kern w:val="0"/>
                <w:sz w:val="24"/>
              </w:rPr>
              <w:t>B/T 40009-2021</w:t>
            </w:r>
            <w:r>
              <w:rPr>
                <w:rFonts w:hint="eastAsia"/>
                <w:color w:val="FF0000"/>
                <w:kern w:val="0"/>
                <w:sz w:val="24"/>
              </w:rPr>
              <w:t>）中相关要求。</w:t>
            </w:r>
          </w:p>
          <w:p>
            <w:pPr>
              <w:pStyle w:val="3"/>
              <w:numPr>
                <w:ilvl w:val="0"/>
                <w:numId w:val="0"/>
              </w:numPr>
              <w:spacing w:line="240" w:lineRule="auto"/>
              <w:rPr>
                <w:color w:val="000000" w:themeColor="text1"/>
                <w14:textFill>
                  <w14:solidFill>
                    <w14:schemeClr w14:val="tx1"/>
                  </w14:solidFill>
                </w14:textFill>
              </w:rPr>
            </w:pPr>
          </w:p>
          <w:p>
            <w:pPr>
              <w:pStyle w:val="3"/>
              <w:numPr>
                <w:ilvl w:val="0"/>
                <w:numId w:val="0"/>
              </w:numPr>
              <w:spacing w:line="240" w:lineRule="auto"/>
              <w:rPr>
                <w:color w:val="000000" w:themeColor="text1"/>
                <w14:textFill>
                  <w14:solidFill>
                    <w14:schemeClr w14:val="tx1"/>
                  </w14:solidFill>
                </w14:textFill>
              </w:rPr>
            </w:pPr>
          </w:p>
          <w:p>
            <w:pPr>
              <w:pStyle w:val="3"/>
              <w:numPr>
                <w:ilvl w:val="0"/>
                <w:numId w:val="0"/>
              </w:numPr>
              <w:spacing w:line="240" w:lineRule="auto"/>
              <w:rPr>
                <w:color w:val="000000" w:themeColor="text1"/>
                <w14:textFill>
                  <w14:solidFill>
                    <w14:schemeClr w14:val="tx1"/>
                  </w14:solidFill>
                </w14:textFill>
              </w:rPr>
            </w:pPr>
          </w:p>
          <w:p>
            <w:pPr>
              <w:pStyle w:val="3"/>
              <w:numPr>
                <w:ilvl w:val="0"/>
                <w:numId w:val="0"/>
              </w:numPr>
              <w:spacing w:line="240" w:lineRule="auto"/>
              <w:rPr>
                <w:color w:val="000000" w:themeColor="text1"/>
                <w14:textFill>
                  <w14:solidFill>
                    <w14:schemeClr w14:val="tx1"/>
                  </w14:solidFill>
                </w14:textFill>
              </w:rPr>
            </w:pPr>
          </w:p>
          <w:p>
            <w:pPr>
              <w:pStyle w:val="3"/>
              <w:numPr>
                <w:ilvl w:val="0"/>
                <w:numId w:val="0"/>
              </w:numPr>
              <w:spacing w:line="240" w:lineRule="auto"/>
              <w:rPr>
                <w:color w:val="000000" w:themeColor="text1"/>
                <w14:textFill>
                  <w14:solidFill>
                    <w14:schemeClr w14:val="tx1"/>
                  </w14:solidFill>
                </w14:textFill>
              </w:rPr>
            </w:pPr>
          </w:p>
          <w:p>
            <w:pPr>
              <w:pStyle w:val="3"/>
              <w:numPr>
                <w:ilvl w:val="0"/>
                <w:numId w:val="0"/>
              </w:numPr>
              <w:spacing w:line="240" w:lineRule="auto"/>
              <w:rPr>
                <w:color w:val="000000" w:themeColor="text1"/>
                <w14:textFill>
                  <w14:solidFill>
                    <w14:schemeClr w14:val="tx1"/>
                  </w14:solidFill>
                </w14:textFill>
              </w:rPr>
            </w:pPr>
          </w:p>
          <w:p>
            <w:pPr>
              <w:pStyle w:val="3"/>
              <w:numPr>
                <w:ilvl w:val="0"/>
                <w:numId w:val="0"/>
              </w:numPr>
              <w:spacing w:line="240" w:lineRule="auto"/>
              <w:rPr>
                <w:color w:val="000000" w:themeColor="text1"/>
                <w14:textFill>
                  <w14:solidFill>
                    <w14:schemeClr w14:val="tx1"/>
                  </w14:solidFill>
                </w14:textFill>
              </w:rPr>
            </w:pPr>
          </w:p>
          <w:p>
            <w:pPr>
              <w:pStyle w:val="3"/>
              <w:numPr>
                <w:ilvl w:val="0"/>
                <w:numId w:val="0"/>
              </w:numPr>
              <w:spacing w:line="240" w:lineRule="auto"/>
              <w:rPr>
                <w:color w:val="000000" w:themeColor="text1"/>
                <w14:textFill>
                  <w14:solidFill>
                    <w14:schemeClr w14:val="tx1"/>
                  </w14:solidFill>
                </w14:textFill>
              </w:rPr>
            </w:pPr>
          </w:p>
          <w:p>
            <w:pPr>
              <w:pStyle w:val="3"/>
              <w:numPr>
                <w:ilvl w:val="0"/>
                <w:numId w:val="0"/>
              </w:numPr>
              <w:spacing w:line="240" w:lineRule="auto"/>
              <w:rPr>
                <w:color w:val="000000" w:themeColor="text1"/>
                <w14:textFill>
                  <w14:solidFill>
                    <w14:schemeClr w14:val="tx1"/>
                  </w14:solidFill>
                </w14:textFill>
              </w:rPr>
            </w:pPr>
          </w:p>
        </w:tc>
      </w:tr>
    </w:tbl>
    <w:p>
      <w:pPr>
        <w:ind w:firstLine="600"/>
        <w:rPr>
          <w:rFonts w:eastAsia="黑体"/>
          <w:color w:val="000000" w:themeColor="text1"/>
          <w:sz w:val="30"/>
          <w14:textFill>
            <w14:solidFill>
              <w14:schemeClr w14:val="tx1"/>
            </w14:solidFill>
          </w14:textFill>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2"/>
        <w:spacing w:line="240" w:lineRule="auto"/>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二、建设项目工程分析</w:t>
      </w:r>
      <w:bookmarkEnd w:id="3"/>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235" w:type="pct"/>
            <w:vAlign w:val="center"/>
          </w:tcPr>
          <w:p>
            <w:pPr>
              <w:pStyle w:val="32"/>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建设内容</w:t>
            </w:r>
          </w:p>
        </w:tc>
        <w:tc>
          <w:tcPr>
            <w:tcW w:w="4765" w:type="pct"/>
          </w:tcPr>
          <w:p>
            <w:pPr>
              <w:adjustRightInd w:val="0"/>
              <w:snapToGrid w:val="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2.1项目由来</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重庆垚鑫再生资源有限公司</w:t>
            </w:r>
            <w:r>
              <w:rPr>
                <w:color w:val="000000" w:themeColor="text1"/>
                <w:sz w:val="24"/>
                <w14:textFill>
                  <w14:solidFill>
                    <w14:schemeClr w14:val="tx1"/>
                  </w14:solidFill>
                </w14:textFill>
              </w:rPr>
              <w:t>（以下简称</w:t>
            </w:r>
            <w:r>
              <w:rPr>
                <w:rFonts w:hint="eastAsia"/>
                <w:color w:val="000000" w:themeColor="text1"/>
                <w:sz w:val="24"/>
                <w14:textFill>
                  <w14:solidFill>
                    <w14:schemeClr w14:val="tx1"/>
                  </w14:solidFill>
                </w14:textFill>
              </w:rPr>
              <w:t>“垚鑫公司”</w:t>
            </w:r>
            <w:r>
              <w:rPr>
                <w:color w:val="000000" w:themeColor="text1"/>
                <w:sz w:val="24"/>
                <w14:textFill>
                  <w14:solidFill>
                    <w14:schemeClr w14:val="tx1"/>
                  </w14:solidFill>
                </w14:textFill>
              </w:rPr>
              <w:t>），是一家</w:t>
            </w:r>
            <w:r>
              <w:rPr>
                <w:rFonts w:hint="eastAsia"/>
                <w:color w:val="000000" w:themeColor="text1"/>
                <w:sz w:val="24"/>
                <w14:textFill>
                  <w14:solidFill>
                    <w14:schemeClr w14:val="tx1"/>
                  </w14:solidFill>
                </w14:textFill>
              </w:rPr>
              <w:t>废旧轮胎加工处理、综合利用</w:t>
            </w:r>
            <w:r>
              <w:rPr>
                <w:color w:val="000000" w:themeColor="text1"/>
                <w:sz w:val="24"/>
                <w14:textFill>
                  <w14:solidFill>
                    <w14:schemeClr w14:val="tx1"/>
                  </w14:solidFill>
                </w14:textFill>
              </w:rPr>
              <w:t>的民营企业。该公司位于</w:t>
            </w:r>
            <w:r>
              <w:rPr>
                <w:rFonts w:hint="eastAsia"/>
                <w:color w:val="000000" w:themeColor="text1"/>
                <w:sz w:val="24"/>
                <w14:textFill>
                  <w14:solidFill>
                    <w14:schemeClr w14:val="tx1"/>
                  </w14:solidFill>
                </w14:textFill>
              </w:rPr>
              <w:t>重庆市双桥经开区邮亭工业园区A区</w:t>
            </w:r>
            <w:r>
              <w:rPr>
                <w:color w:val="000000" w:themeColor="text1"/>
                <w:sz w:val="24"/>
                <w14:textFill>
                  <w14:solidFill>
                    <w14:schemeClr w14:val="tx1"/>
                  </w14:solidFill>
                </w14:textFill>
              </w:rPr>
              <w:t>，地理位置见附图1。</w:t>
            </w:r>
          </w:p>
          <w:p>
            <w:pPr>
              <w:pStyle w:val="35"/>
              <w:spacing w:after="0"/>
              <w:ind w:left="0" w:leftChars="0" w:firstLine="52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14:textFill>
                  <w14:solidFill>
                    <w14:schemeClr w14:val="tx1"/>
                  </w14:solidFill>
                </w14:textFill>
              </w:rPr>
              <w:t>根据市场发展需要，垚鑫公司拟在</w:t>
            </w:r>
            <w:r>
              <w:rPr>
                <w:rFonts w:hint="eastAsia" w:ascii="Times New Roman" w:hAnsi="Times New Roman"/>
                <w:color w:val="000000" w:themeColor="text1"/>
                <w:sz w:val="24"/>
                <w14:textFill>
                  <w14:solidFill>
                    <w14:schemeClr w14:val="tx1"/>
                  </w14:solidFill>
                </w14:textFill>
              </w:rPr>
              <w:t>重庆市双桥经开区邮亭工业园A15-01-02/02地块</w:t>
            </w:r>
            <w:r>
              <w:rPr>
                <w:rFonts w:hint="eastAsia"/>
                <w:color w:val="000000" w:themeColor="text1"/>
                <w:sz w:val="24"/>
                <w14:textFill>
                  <w14:solidFill>
                    <w14:schemeClr w14:val="tx1"/>
                  </w14:solidFill>
                </w14:textFill>
              </w:rPr>
              <w:t>建设</w:t>
            </w:r>
            <w:r>
              <w:rPr>
                <w:rFonts w:hint="eastAsia" w:cs="宋体"/>
                <w:color w:val="000000" w:themeColor="text1"/>
                <w:sz w:val="24"/>
                <w14:textFill>
                  <w14:solidFill>
                    <w14:schemeClr w14:val="tx1"/>
                  </w14:solidFill>
                </w14:textFill>
              </w:rPr>
              <w:t>“年加工处理</w:t>
            </w:r>
            <w:r>
              <w:rPr>
                <w:rFonts w:ascii="Times New Roman" w:hAnsi="Times New Roman"/>
                <w:color w:val="000000" w:themeColor="text1"/>
                <w:sz w:val="24"/>
                <w14:textFill>
                  <w14:solidFill>
                    <w14:schemeClr w14:val="tx1"/>
                  </w14:solidFill>
                </w14:textFill>
              </w:rPr>
              <w:t>9</w:t>
            </w:r>
            <w:r>
              <w:rPr>
                <w:rFonts w:hint="eastAsia" w:cs="宋体"/>
                <w:color w:val="000000" w:themeColor="text1"/>
                <w:sz w:val="24"/>
                <w14:textFill>
                  <w14:solidFill>
                    <w14:schemeClr w14:val="tx1"/>
                  </w14:solidFill>
                </w14:textFill>
              </w:rPr>
              <w:t>万吨废旧轮胎综合利用建设项目”</w:t>
            </w:r>
            <w:r>
              <w:rPr>
                <w:rFonts w:ascii="Times New Roman" w:hAnsi="Times New Roman"/>
                <w:color w:val="000000" w:themeColor="text1"/>
                <w:sz w:val="24"/>
                <w14:textFill>
                  <w14:solidFill>
                    <w14:schemeClr w14:val="tx1"/>
                  </w14:solidFill>
                </w14:textFill>
              </w:rPr>
              <w:t>（以下称</w:t>
            </w:r>
            <w:r>
              <w:rPr>
                <w:rFonts w:hint="eastAsia" w:cs="宋体"/>
                <w:color w:val="000000" w:themeColor="text1"/>
                <w:sz w:val="24"/>
                <w14:textFill>
                  <w14:solidFill>
                    <w14:schemeClr w14:val="tx1"/>
                  </w14:solidFill>
                </w14:textFill>
              </w:rPr>
              <w:t>“本项目”</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项目占地总面积</w:t>
            </w:r>
            <w:r>
              <w:rPr>
                <w:rFonts w:ascii="Times New Roman" w:hAnsi="Times New Roman"/>
                <w:color w:val="000000" w:themeColor="text1"/>
                <w:sz w:val="24"/>
                <w:szCs w:val="24"/>
                <w14:textFill>
                  <w14:solidFill>
                    <w14:schemeClr w14:val="tx1"/>
                  </w14:solidFill>
                </w14:textFill>
              </w:rPr>
              <w:t>44666m</w:t>
            </w:r>
            <w:r>
              <w:rPr>
                <w:rFonts w:ascii="Times New Roman" w:hAnsi="Times New Roman"/>
                <w:color w:val="000000" w:themeColor="text1"/>
                <w:sz w:val="24"/>
                <w:szCs w:val="24"/>
                <w:vertAlign w:val="superscript"/>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、建筑总面积</w:t>
            </w:r>
            <w:r>
              <w:rPr>
                <w:rFonts w:ascii="Times New Roman" w:hAnsi="Times New Roman"/>
                <w:color w:val="000000" w:themeColor="text1"/>
                <w:sz w:val="24"/>
                <w:szCs w:val="24"/>
                <w14:textFill>
                  <w14:solidFill>
                    <w14:schemeClr w14:val="tx1"/>
                  </w14:solidFill>
                </w14:textFill>
              </w:rPr>
              <w:t>21947.36</w:t>
            </w:r>
            <w:r>
              <w:rPr>
                <w:rFonts w:hint="eastAsia"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vertAlign w:val="superscript"/>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；建设内容包括主体工程（</w:t>
            </w:r>
            <w:r>
              <w:rPr>
                <w:rFonts w:ascii="Times New Roman" w:hAnsi="Times New Roman"/>
                <w:color w:val="000000" w:themeColor="text1"/>
                <w:sz w:val="24"/>
                <w:szCs w:val="24"/>
                <w14:textFill>
                  <w14:solidFill>
                    <w14:schemeClr w14:val="tx1"/>
                  </w14:solidFill>
                </w14:textFill>
              </w:rPr>
              <w:t>6</w:t>
            </w:r>
            <w:r>
              <w:rPr>
                <w:rFonts w:hint="eastAsia" w:ascii="Times New Roman" w:hAnsi="Times New Roman"/>
                <w:color w:val="000000" w:themeColor="text1"/>
                <w:sz w:val="24"/>
                <w:szCs w:val="24"/>
                <w14:textFill>
                  <w14:solidFill>
                    <w14:schemeClr w14:val="tx1"/>
                  </w14:solidFill>
                </w14:textFill>
              </w:rPr>
              <w:t>条轮胎破碎生产线、</w:t>
            </w:r>
            <w:r>
              <w:rPr>
                <w:rFonts w:ascii="Times New Roman" w:hAnsi="Times New Roman"/>
                <w:color w:val="000000" w:themeColor="text1"/>
                <w:sz w:val="24"/>
                <w:szCs w:val="24"/>
                <w14:textFill>
                  <w14:solidFill>
                    <w14:schemeClr w14:val="tx1"/>
                  </w14:solidFill>
                </w14:textFill>
              </w:rPr>
              <w:t>6</w:t>
            </w:r>
            <w:r>
              <w:rPr>
                <w:rFonts w:hint="eastAsia" w:ascii="Times New Roman" w:hAnsi="Times New Roman"/>
                <w:color w:val="000000" w:themeColor="text1"/>
                <w:sz w:val="24"/>
                <w:szCs w:val="24"/>
                <w14:textFill>
                  <w14:solidFill>
                    <w14:schemeClr w14:val="tx1"/>
                  </w14:solidFill>
                </w14:textFill>
              </w:rPr>
              <w:t>条连续干馏裂解生产线、2条炭黑加工生产线、</w:t>
            </w:r>
            <w:r>
              <w:rPr>
                <w:rFonts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14:textFill>
                  <w14:solidFill>
                    <w14:schemeClr w14:val="tx1"/>
                  </w14:solidFill>
                </w14:textFill>
              </w:rPr>
              <w:t>条钢丝加工生产线）、公辅工程（地磅房、办公楼、供水、供电及供气等）、储运工程（储油罐区、裂解油暂存罐、原料仓库、钢丝及炭黑存放区等）、环保工程等；年加工处理</w:t>
            </w:r>
            <w:r>
              <w:rPr>
                <w:rFonts w:ascii="Times New Roman" w:hAnsi="Times New Roman"/>
                <w:color w:val="000000" w:themeColor="text1"/>
                <w:sz w:val="24"/>
                <w14:textFill>
                  <w14:solidFill>
                    <w14:schemeClr w14:val="tx1"/>
                  </w14:solidFill>
                </w14:textFill>
              </w:rPr>
              <w:t>9</w:t>
            </w:r>
            <w:r>
              <w:rPr>
                <w:rFonts w:hint="eastAsia" w:ascii="Times New Roman" w:hAnsi="Times New Roman"/>
                <w:color w:val="000000" w:themeColor="text1"/>
                <w:sz w:val="24"/>
                <w14:textFill>
                  <w14:solidFill>
                    <w14:schemeClr w14:val="tx1"/>
                  </w14:solidFill>
                </w14:textFill>
              </w:rPr>
              <w:t>万吨废旧轮胎</w:t>
            </w:r>
            <w:r>
              <w:rPr>
                <w:rFonts w:hint="eastAsia" w:ascii="Times New Roman" w:hAnsi="Times New Roman"/>
                <w:color w:val="000000" w:themeColor="text1"/>
                <w:sz w:val="24"/>
                <w:szCs w:val="24"/>
                <w14:textFill>
                  <w14:solidFill>
                    <w14:schemeClr w14:val="tx1"/>
                  </w14:solidFill>
                </w14:textFill>
              </w:rPr>
              <w:t>。总投资</w:t>
            </w:r>
            <w:r>
              <w:rPr>
                <w:rFonts w:ascii="Times New Roman" w:hAnsi="Times New Roman"/>
                <w:color w:val="000000" w:themeColor="text1"/>
                <w:sz w:val="24"/>
                <w:szCs w:val="24"/>
                <w14:textFill>
                  <w14:solidFill>
                    <w14:schemeClr w14:val="tx1"/>
                  </w14:solidFill>
                </w14:textFill>
              </w:rPr>
              <w:t>20</w:t>
            </w:r>
            <w:r>
              <w:rPr>
                <w:rFonts w:hint="eastAsia" w:ascii="Times New Roman" w:hAnsi="Times New Roman"/>
                <w:color w:val="000000" w:themeColor="text1"/>
                <w:sz w:val="24"/>
                <w:szCs w:val="24"/>
                <w14:textFill>
                  <w14:solidFill>
                    <w14:schemeClr w14:val="tx1"/>
                  </w14:solidFill>
                </w14:textFill>
              </w:rPr>
              <w:t>000万元，其中环保投资</w:t>
            </w:r>
            <w:r>
              <w:rPr>
                <w:rFonts w:ascii="Times New Roman" w:hAnsi="Times New Roman"/>
                <w:color w:val="000000" w:themeColor="text1"/>
                <w:sz w:val="24"/>
                <w:szCs w:val="24"/>
                <w14:textFill>
                  <w14:solidFill>
                    <w14:schemeClr w14:val="tx1"/>
                  </w14:solidFill>
                </w14:textFill>
              </w:rPr>
              <w:t>741</w:t>
            </w:r>
            <w:r>
              <w:rPr>
                <w:rFonts w:hint="eastAsia" w:ascii="Times New Roman" w:hAnsi="Times New Roman"/>
                <w:color w:val="000000" w:themeColor="text1"/>
                <w:sz w:val="24"/>
                <w:szCs w:val="24"/>
                <w14:textFill>
                  <w14:solidFill>
                    <w14:schemeClr w14:val="tx1"/>
                  </w14:solidFill>
                </w14:textFill>
              </w:rPr>
              <w:t>万元。</w:t>
            </w:r>
          </w:p>
          <w:p>
            <w:pPr>
              <w:pStyle w:val="35"/>
              <w:spacing w:after="0"/>
              <w:ind w:left="0" w:leftChars="0" w:firstLine="52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项目分</w:t>
            </w:r>
            <w:r>
              <w:rPr>
                <w:rFonts w:hint="eastAsia" w:ascii="Times New Roman" w:hAnsi="Times New Roman"/>
                <w:color w:val="000000" w:themeColor="text1"/>
                <w:sz w:val="24"/>
                <w14:textFill>
                  <w14:solidFill>
                    <w14:schemeClr w14:val="tx1"/>
                  </w14:solidFill>
                </w14:textFill>
              </w:rPr>
              <w:t>两</w:t>
            </w:r>
            <w:r>
              <w:rPr>
                <w:rFonts w:ascii="Times New Roman" w:hAnsi="Times New Roman"/>
                <w:color w:val="000000" w:themeColor="text1"/>
                <w:sz w:val="24"/>
                <w14:textFill>
                  <w14:solidFill>
                    <w14:schemeClr w14:val="tx1"/>
                  </w14:solidFill>
                </w14:textFill>
              </w:rPr>
              <w:t>期建设</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其中</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一期工程主要建设1#原料破碎车间（</w:t>
            </w:r>
            <w:r>
              <w:rPr>
                <w:rFonts w:hint="eastAsia" w:ascii="Times New Roman" w:hAnsi="Times New Roman"/>
                <w:color w:val="000000" w:themeColor="text1"/>
                <w:sz w:val="24"/>
                <w14:textFill>
                  <w14:solidFill>
                    <w14:schemeClr w14:val="tx1"/>
                  </w14:solidFill>
                </w14:textFill>
              </w:rPr>
              <w:t>新建</w:t>
            </w:r>
            <w:r>
              <w:rPr>
                <w:rFonts w:ascii="Times New Roman" w:hAnsi="Times New Roman"/>
                <w:color w:val="000000" w:themeColor="text1"/>
                <w:sz w:val="24"/>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条轮胎破碎生产线</w:t>
            </w:r>
            <w:r>
              <w:rPr>
                <w:rFonts w:ascii="Times New Roman" w:hAnsi="Times New Roman"/>
                <w:color w:val="000000" w:themeColor="text1"/>
                <w:sz w:val="24"/>
                <w14:textFill>
                  <w14:solidFill>
                    <w14:schemeClr w14:val="tx1"/>
                  </w14:solidFill>
                </w14:textFill>
              </w:rPr>
              <w:t>）、裂解车间（</w:t>
            </w:r>
            <w:r>
              <w:rPr>
                <w:rFonts w:hint="eastAsia" w:ascii="Times New Roman" w:hAnsi="Times New Roman"/>
                <w:color w:val="000000" w:themeColor="text1"/>
                <w:sz w:val="24"/>
                <w14:textFill>
                  <w14:solidFill>
                    <w14:schemeClr w14:val="tx1"/>
                  </w14:solidFill>
                </w14:textFill>
              </w:rPr>
              <w:t>新建</w:t>
            </w:r>
            <w:r>
              <w:rPr>
                <w:rFonts w:ascii="Times New Roman" w:hAnsi="Times New Roman"/>
                <w:color w:val="000000" w:themeColor="text1"/>
                <w:sz w:val="24"/>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条连续干馏裂解生产线</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、钢丝加工车间（新建2条钢丝加工生产线）、炭黑加工车间（新建1条炭黑加工生产线）、办公楼、地磅房等配套设施；年加工处理</w:t>
            </w:r>
            <w:r>
              <w:rPr>
                <w:rFonts w:ascii="Times New Roman" w:hAnsi="Times New Roman"/>
                <w:color w:val="000000" w:themeColor="text1"/>
                <w:sz w:val="24"/>
                <w14:textFill>
                  <w14:solidFill>
                    <w14:schemeClr w14:val="tx1"/>
                  </w14:solidFill>
                </w14:textFill>
              </w:rPr>
              <w:t>3</w:t>
            </w:r>
            <w:r>
              <w:rPr>
                <w:rFonts w:hint="eastAsia" w:ascii="Times New Roman" w:hAnsi="Times New Roman"/>
                <w:color w:val="000000" w:themeColor="text1"/>
                <w:sz w:val="24"/>
                <w14:textFill>
                  <w14:solidFill>
                    <w14:schemeClr w14:val="tx1"/>
                  </w14:solidFill>
                </w14:textFill>
              </w:rPr>
              <w:t>万吨废旧轮胎。</w:t>
            </w:r>
          </w:p>
          <w:p>
            <w:pPr>
              <w:pStyle w:val="35"/>
              <w:spacing w:after="0"/>
              <w:ind w:left="0" w:leftChars="0" w:firstLine="52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二期工程主要</w:t>
            </w:r>
            <w:r>
              <w:rPr>
                <w:rFonts w:hint="eastAsia" w:ascii="Times New Roman" w:hAnsi="Times New Roman"/>
                <w:color w:val="000000" w:themeColor="text1"/>
                <w:sz w:val="24"/>
                <w14:textFill>
                  <w14:solidFill>
                    <w14:schemeClr w14:val="tx1"/>
                  </w14:solidFill>
                </w14:textFill>
              </w:rPr>
              <w:t>建设</w:t>
            </w:r>
            <w:r>
              <w:rPr>
                <w:rFonts w:ascii="Times New Roman" w:hAnsi="Times New Roman"/>
                <w:color w:val="000000" w:themeColor="text1"/>
                <w:sz w:val="24"/>
                <w14:textFill>
                  <w14:solidFill>
                    <w14:schemeClr w14:val="tx1"/>
                  </w14:solidFill>
                </w14:textFill>
              </w:rPr>
              <w:t>2#原料破碎车间（</w:t>
            </w:r>
            <w:r>
              <w:rPr>
                <w:rFonts w:hint="eastAsia" w:ascii="Times New Roman" w:hAnsi="Times New Roman"/>
                <w:color w:val="000000" w:themeColor="text1"/>
                <w:sz w:val="24"/>
                <w14:textFill>
                  <w14:solidFill>
                    <w14:schemeClr w14:val="tx1"/>
                  </w14:solidFill>
                </w14:textFill>
              </w:rPr>
              <w:t>新建</w:t>
            </w:r>
            <w:r>
              <w:rPr>
                <w:rFonts w:ascii="Times New Roman" w:hAnsi="Times New Roman"/>
                <w:color w:val="000000" w:themeColor="text1"/>
                <w:sz w:val="24"/>
                <w14:textFill>
                  <w14:solidFill>
                    <w14:schemeClr w14:val="tx1"/>
                  </w14:solidFill>
                </w14:textFill>
              </w:rPr>
              <w:t>4</w:t>
            </w:r>
            <w:r>
              <w:rPr>
                <w:rFonts w:hint="eastAsia" w:ascii="Times New Roman" w:hAnsi="Times New Roman"/>
                <w:color w:val="000000" w:themeColor="text1"/>
                <w:sz w:val="24"/>
                <w14:textFill>
                  <w14:solidFill>
                    <w14:schemeClr w14:val="tx1"/>
                  </w14:solidFill>
                </w14:textFill>
              </w:rPr>
              <w:t>条轮胎破碎生产线</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新建</w:t>
            </w:r>
            <w:r>
              <w:rPr>
                <w:rFonts w:ascii="Times New Roman" w:hAnsi="Times New Roman"/>
                <w:color w:val="000000" w:themeColor="text1"/>
                <w:sz w:val="24"/>
                <w14:textFill>
                  <w14:solidFill>
                    <w14:schemeClr w14:val="tx1"/>
                  </w14:solidFill>
                </w14:textFill>
              </w:rPr>
              <w:t>4</w:t>
            </w:r>
            <w:r>
              <w:rPr>
                <w:rFonts w:hint="eastAsia" w:ascii="Times New Roman" w:hAnsi="Times New Roman"/>
                <w:color w:val="000000" w:themeColor="text1"/>
                <w:sz w:val="24"/>
                <w14:textFill>
                  <w14:solidFill>
                    <w14:schemeClr w14:val="tx1"/>
                  </w14:solidFill>
                </w14:textFill>
              </w:rPr>
              <w:t>条连续干馏裂解生产线</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新建</w:t>
            </w:r>
            <w:r>
              <w:rPr>
                <w:rFonts w:ascii="Times New Roman" w:hAnsi="Times New Roman"/>
                <w:color w:val="000000" w:themeColor="text1"/>
                <w:sz w:val="24"/>
                <w14:textFill>
                  <w14:solidFill>
                    <w14:schemeClr w14:val="tx1"/>
                  </w14:solidFill>
                </w14:textFill>
              </w:rPr>
              <w:t>1</w:t>
            </w:r>
            <w:r>
              <w:rPr>
                <w:rFonts w:hint="eastAsia" w:ascii="Times New Roman" w:hAnsi="Times New Roman"/>
                <w:color w:val="000000" w:themeColor="text1"/>
                <w:sz w:val="24"/>
                <w14:textFill>
                  <w14:solidFill>
                    <w14:schemeClr w14:val="tx1"/>
                  </w14:solidFill>
                </w14:textFill>
              </w:rPr>
              <w:t>炭黑加工生产线、新建</w:t>
            </w:r>
            <w:r>
              <w:rPr>
                <w:rFonts w:ascii="Times New Roman" w:hAnsi="Times New Roman"/>
                <w:color w:val="000000" w:themeColor="text1"/>
                <w:sz w:val="24"/>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条钢丝加工生产线</w:t>
            </w:r>
            <w:r>
              <w:rPr>
                <w:rFonts w:ascii="Times New Roman" w:hAnsi="Times New Roman"/>
                <w:color w:val="000000" w:themeColor="text1"/>
                <w:sz w:val="24"/>
                <w14:textFill>
                  <w14:solidFill>
                    <w14:schemeClr w14:val="tx1"/>
                  </w14:solidFill>
                </w14:textFill>
              </w:rPr>
              <w:t>，其他依托一期工程</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年加工处理6万吨废旧轮胎</w:t>
            </w:r>
            <w:r>
              <w:rPr>
                <w:rFonts w:hint="eastAsia" w:ascii="Times New Roman" w:hAnsi="Times New Roman"/>
                <w:color w:val="000000" w:themeColor="text1"/>
                <w:sz w:val="24"/>
                <w14:textFill>
                  <w14:solidFill>
                    <w14:schemeClr w14:val="tx1"/>
                  </w14:solidFill>
                </w14:textFill>
              </w:rPr>
              <w:t>。</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022</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月，重庆市双桥经济技术开发区经济发展局对本项目予以备案，项目备案号：2</w:t>
            </w:r>
            <w:r>
              <w:rPr>
                <w:color w:val="000000" w:themeColor="text1"/>
                <w:sz w:val="24"/>
                <w14:textFill>
                  <w14:solidFill>
                    <w14:schemeClr w14:val="tx1"/>
                  </w14:solidFill>
                </w14:textFill>
              </w:rPr>
              <w:t>208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500111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04</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01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699644</w:t>
            </w:r>
            <w:r>
              <w:rPr>
                <w:rFonts w:hint="eastAsia"/>
                <w:color w:val="000000" w:themeColor="text1"/>
                <w:sz w:val="24"/>
                <w14:textFill>
                  <w14:solidFill>
                    <w14:schemeClr w14:val="tx1"/>
                  </w14:solidFill>
                </w14:textFill>
              </w:rPr>
              <w:t>，详见附件1；2</w:t>
            </w:r>
            <w:r>
              <w:rPr>
                <w:color w:val="000000" w:themeColor="text1"/>
                <w:sz w:val="24"/>
                <w14:textFill>
                  <w14:solidFill>
                    <w14:schemeClr w14:val="tx1"/>
                  </w14:solidFill>
                </w14:textFill>
              </w:rPr>
              <w:t>022</w:t>
            </w:r>
            <w:r>
              <w:rPr>
                <w:rFonts w:hint="eastAsia"/>
                <w:color w:val="000000" w:themeColor="text1"/>
                <w:sz w:val="24"/>
                <w14:textFill>
                  <w14:solidFill>
                    <w14:schemeClr w14:val="tx1"/>
                  </w14:solidFill>
                </w14:textFill>
              </w:rPr>
              <w:t>年9月，本项目节能审查报告完成告知承诺备案，详见附件7；同月，企业编制完成《重庆垚鑫再生资源有限公司年加工处理9万吨废旧轮胎综合利用建设项目安全生产条件和设施综合分析报告》。</w:t>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根据《中华人民共和国环境影响评价法》和《建设项目环境保护管理条例》等有关环保法律法规和条例的规定，项目应进行环境影响评价。</w:t>
            </w:r>
          </w:p>
          <w:p>
            <w:pPr>
              <w:ind w:firstLine="480" w:firstLineChars="200"/>
              <w:rPr>
                <w:color w:val="FF0000"/>
                <w:sz w:val="24"/>
              </w:rPr>
            </w:pPr>
            <w:r>
              <w:rPr>
                <w:rFonts w:hint="eastAsia"/>
                <w:color w:val="FF0000"/>
                <w:sz w:val="24"/>
              </w:rPr>
              <w:t>对照《建设项目环境影响评价分类管理名录》（2</w:t>
            </w:r>
            <w:r>
              <w:rPr>
                <w:color w:val="FF0000"/>
                <w:sz w:val="24"/>
              </w:rPr>
              <w:t>021</w:t>
            </w:r>
            <w:r>
              <w:rPr>
                <w:rFonts w:hint="eastAsia"/>
                <w:color w:val="FF0000"/>
                <w:sz w:val="24"/>
              </w:rPr>
              <w:t>年版）</w:t>
            </w:r>
            <w:r>
              <w:rPr>
                <w:color w:val="FF0000"/>
                <w:sz w:val="24"/>
              </w:rPr>
              <w:t>，</w:t>
            </w:r>
            <w:r>
              <w:rPr>
                <w:rFonts w:hint="eastAsia"/>
                <w:color w:val="FF0000"/>
                <w:sz w:val="24"/>
              </w:rPr>
              <w:t>结合《关于利用废硅胶加工生产硅油等产品项目行业类别和环评类别判定事宜的复函》（环办环评函[</w:t>
            </w:r>
            <w:r>
              <w:rPr>
                <w:color w:val="FF0000"/>
                <w:sz w:val="24"/>
              </w:rPr>
              <w:t>2022]223</w:t>
            </w:r>
            <w:r>
              <w:rPr>
                <w:rFonts w:hint="eastAsia"/>
                <w:color w:val="FF0000"/>
                <w:sz w:val="24"/>
              </w:rPr>
              <w:t>号，中华人民共和国生态环境部办公厅，2</w:t>
            </w:r>
            <w:r>
              <w:rPr>
                <w:color w:val="FF0000"/>
                <w:sz w:val="24"/>
              </w:rPr>
              <w:t>022</w:t>
            </w:r>
            <w:r>
              <w:rPr>
                <w:rFonts w:hint="eastAsia"/>
                <w:color w:val="FF0000"/>
                <w:sz w:val="24"/>
              </w:rPr>
              <w:t>年6月1日），本项目类别按照《名录》“三十九、废气资源综合利用业4</w:t>
            </w:r>
            <w:r>
              <w:rPr>
                <w:color w:val="FF0000"/>
                <w:sz w:val="24"/>
              </w:rPr>
              <w:t>2</w:t>
            </w:r>
            <w:r>
              <w:rPr>
                <w:rFonts w:hint="eastAsia"/>
                <w:color w:val="FF0000"/>
                <w:sz w:val="24"/>
              </w:rPr>
              <w:t>”中的“非金属废料和碎屑加工处理4</w:t>
            </w:r>
            <w:r>
              <w:rPr>
                <w:color w:val="FF0000"/>
                <w:sz w:val="24"/>
              </w:rPr>
              <w:t>22</w:t>
            </w:r>
            <w:r>
              <w:rPr>
                <w:rFonts w:hint="eastAsia"/>
                <w:color w:val="FF0000"/>
                <w:sz w:val="24"/>
              </w:rPr>
              <w:t>（均不含原料为危险废物的，均不含仅分拣、破碎的）”确定，项目须</w:t>
            </w:r>
            <w:r>
              <w:rPr>
                <w:color w:val="FF0000"/>
                <w:sz w:val="24"/>
              </w:rPr>
              <w:t>编制环境影响报告表。</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受垚鑫公司委托，重庆雅城环保科技有限公司承担本项目环境影响评价工作。承接该项目环境影响评价工作后</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我公司安排人员收集资料</w:t>
            </w:r>
            <w:r>
              <w:rPr>
                <w:color w:val="000000" w:themeColor="text1"/>
                <w:sz w:val="24"/>
                <w14:textFill>
                  <w14:solidFill>
                    <w14:schemeClr w14:val="tx1"/>
                  </w14:solidFill>
                </w14:textFill>
              </w:rPr>
              <w:t>，对项目周围环境状况、项目建设情况进行了实地调查</w:t>
            </w:r>
            <w:r>
              <w:rPr>
                <w:rFonts w:hint="eastAsia"/>
                <w:color w:val="000000" w:themeColor="text1"/>
                <w:sz w:val="24"/>
                <w14:textFill>
                  <w14:solidFill>
                    <w14:schemeClr w14:val="tx1"/>
                  </w14:solidFill>
                </w14:textFill>
              </w:rPr>
              <w:t>。在此基础上，结合相关法律法规及导则编制完成了</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重庆垚鑫再生资源有限公司年加工处理</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万吨废旧轮胎综合利用建设项目</w:t>
            </w:r>
            <w:r>
              <w:rPr>
                <w:color w:val="000000" w:themeColor="text1"/>
                <w:sz w:val="24"/>
                <w14:textFill>
                  <w14:solidFill>
                    <w14:schemeClr w14:val="tx1"/>
                  </w14:solidFill>
                </w14:textFill>
              </w:rPr>
              <w:t>环境影响报告表》，报请生态环境主管部门</w:t>
            </w:r>
            <w:r>
              <w:rPr>
                <w:rFonts w:hint="eastAsia"/>
                <w:color w:val="000000" w:themeColor="text1"/>
                <w:sz w:val="24"/>
                <w14:textFill>
                  <w14:solidFill>
                    <w14:schemeClr w14:val="tx1"/>
                  </w14:solidFill>
                </w14:textFill>
              </w:rPr>
              <w:t>审批</w:t>
            </w:r>
            <w:r>
              <w:rPr>
                <w:color w:val="000000" w:themeColor="text1"/>
                <w:sz w:val="24"/>
                <w14:textFill>
                  <w14:solidFill>
                    <w14:schemeClr w14:val="tx1"/>
                  </w14:solidFill>
                </w14:textFill>
              </w:rPr>
              <w:t>。</w:t>
            </w:r>
          </w:p>
          <w:p>
            <w:pPr>
              <w:adjustRightInd w:val="0"/>
              <w:snapToGrid w:val="0"/>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2.2项目建设内容</w:t>
            </w:r>
          </w:p>
          <w:p>
            <w:pPr>
              <w:adjustRightInd w:val="0"/>
              <w:snapToGrid w:val="0"/>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2.2.1</w:t>
            </w:r>
            <w:r>
              <w:rPr>
                <w:rFonts w:hint="eastAsia"/>
                <w:b/>
                <w:color w:val="000000" w:themeColor="text1"/>
                <w:sz w:val="24"/>
                <w14:textFill>
                  <w14:solidFill>
                    <w14:schemeClr w14:val="tx1"/>
                  </w14:solidFill>
                </w14:textFill>
              </w:rPr>
              <w:t>项目概况</w:t>
            </w:r>
          </w:p>
          <w:p>
            <w:pPr>
              <w:pStyle w:val="183"/>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项目名称：</w:t>
            </w:r>
            <w:r>
              <w:rPr>
                <w:rFonts w:hint="eastAsia"/>
                <w:color w:val="000000" w:themeColor="text1"/>
                <w14:textFill>
                  <w14:solidFill>
                    <w14:schemeClr w14:val="tx1"/>
                  </w14:solidFill>
                </w14:textFill>
              </w:rPr>
              <w:t>年加工处理</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万吨废旧轮胎综合利用建设项目。</w:t>
            </w:r>
          </w:p>
          <w:p>
            <w:pPr>
              <w:pStyle w:val="72"/>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建设单位：</w:t>
            </w:r>
            <w:r>
              <w:rPr>
                <w:rFonts w:hint="eastAsia"/>
                <w:color w:val="000000" w:themeColor="text1"/>
                <w14:textFill>
                  <w14:solidFill>
                    <w14:schemeClr w14:val="tx1"/>
                  </w14:solidFill>
                </w14:textFill>
              </w:rPr>
              <w:t>重庆垚鑫再生资源有限公司</w:t>
            </w:r>
            <w:r>
              <w:rPr>
                <w:rFonts w:hint="eastAsia" w:cs="Times New Roman"/>
                <w:color w:val="000000" w:themeColor="text1"/>
                <w:szCs w:val="24"/>
                <w14:textFill>
                  <w14:solidFill>
                    <w14:schemeClr w14:val="tx1"/>
                  </w14:solidFill>
                </w14:textFill>
              </w:rPr>
              <w:t>。</w:t>
            </w:r>
          </w:p>
          <w:p>
            <w:pPr>
              <w:pStyle w:val="72"/>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建设性质：</w:t>
            </w:r>
            <w:r>
              <w:rPr>
                <w:rFonts w:hint="eastAsia" w:cs="Times New Roman"/>
                <w:color w:val="000000" w:themeColor="text1"/>
                <w:szCs w:val="24"/>
                <w14:textFill>
                  <w14:solidFill>
                    <w14:schemeClr w14:val="tx1"/>
                  </w14:solidFill>
                </w14:textFill>
              </w:rPr>
              <w:t>新</w:t>
            </w:r>
            <w:r>
              <w:rPr>
                <w:rFonts w:cs="Times New Roman"/>
                <w:color w:val="000000" w:themeColor="text1"/>
                <w:szCs w:val="24"/>
                <w14:textFill>
                  <w14:solidFill>
                    <w14:schemeClr w14:val="tx1"/>
                  </w14:solidFill>
                </w14:textFill>
              </w:rPr>
              <w:t>建</w:t>
            </w:r>
            <w:r>
              <w:rPr>
                <w:rFonts w:hint="eastAsia" w:cs="Times New Roman"/>
                <w:color w:val="000000" w:themeColor="text1"/>
                <w:szCs w:val="24"/>
                <w14:textFill>
                  <w14:solidFill>
                    <w14:schemeClr w14:val="tx1"/>
                  </w14:solidFill>
                </w14:textFill>
              </w:rPr>
              <w:t>。</w:t>
            </w:r>
          </w:p>
          <w:p>
            <w:pPr>
              <w:pStyle w:val="72"/>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建设地点：</w:t>
            </w:r>
            <w:r>
              <w:rPr>
                <w:rFonts w:hint="eastAsia"/>
                <w:color w:val="000000" w:themeColor="text1"/>
                <w14:textFill>
                  <w14:solidFill>
                    <w14:schemeClr w14:val="tx1"/>
                  </w14:solidFill>
                </w14:textFill>
              </w:rPr>
              <w:t>重庆市双桥经开区邮亭工业园A</w:t>
            </w:r>
            <w:r>
              <w:rPr>
                <w:color w:val="000000" w:themeColor="text1"/>
                <w14:textFill>
                  <w14:solidFill>
                    <w14:schemeClr w14:val="tx1"/>
                  </w14:solidFill>
                </w14:textFill>
              </w:rPr>
              <w:t>15-01-02/02</w:t>
            </w:r>
            <w:r>
              <w:rPr>
                <w:rFonts w:hint="eastAsia"/>
                <w:color w:val="000000" w:themeColor="text1"/>
                <w14:textFill>
                  <w14:solidFill>
                    <w14:schemeClr w14:val="tx1"/>
                  </w14:solidFill>
                </w14:textFill>
              </w:rPr>
              <w:t>地块</w:t>
            </w:r>
            <w:r>
              <w:rPr>
                <w:rFonts w:hint="eastAsia" w:cs="Times New Roman"/>
                <w:color w:val="000000" w:themeColor="text1"/>
                <w:szCs w:val="24"/>
                <w14:textFill>
                  <w14:solidFill>
                    <w14:schemeClr w14:val="tx1"/>
                  </w14:solidFill>
                </w14:textFill>
              </w:rPr>
              <w:t>。</w:t>
            </w:r>
          </w:p>
          <w:p>
            <w:pPr>
              <w:pStyle w:val="72"/>
              <w:ind w:firstLine="48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占地面积：厂区占地面积</w:t>
            </w:r>
            <w:r>
              <w:rPr>
                <w:rFonts w:cs="Times New Roman"/>
                <w:color w:val="000000" w:themeColor="text1"/>
                <w:szCs w:val="24"/>
                <w14:textFill>
                  <w14:solidFill>
                    <w14:schemeClr w14:val="tx1"/>
                  </w14:solidFill>
                </w14:textFill>
              </w:rPr>
              <w:t>44666</w:t>
            </w:r>
            <w:r>
              <w:rPr>
                <w:rFonts w:hint="eastAsia" w:cs="Times New Roman"/>
                <w:color w:val="000000" w:themeColor="text1"/>
                <w:szCs w:val="24"/>
                <w14:textFill>
                  <w14:solidFill>
                    <w14:schemeClr w14:val="tx1"/>
                  </w14:solidFill>
                </w14:textFill>
              </w:rPr>
              <w:t>m</w:t>
            </w:r>
            <w:r>
              <w:rPr>
                <w:rFonts w:cs="Times New Roman"/>
                <w:color w:val="000000" w:themeColor="text1"/>
                <w:szCs w:val="24"/>
                <w:vertAlign w:val="superscript"/>
                <w14:textFill>
                  <w14:solidFill>
                    <w14:schemeClr w14:val="tx1"/>
                  </w14:solidFill>
                </w14:textFill>
              </w:rPr>
              <w:t>2</w:t>
            </w:r>
            <w:r>
              <w:rPr>
                <w:rFonts w:hint="eastAsia" w:cs="Times New Roman"/>
                <w:color w:val="000000" w:themeColor="text1"/>
                <w:szCs w:val="24"/>
                <w14:textFill>
                  <w14:solidFill>
                    <w14:schemeClr w14:val="tx1"/>
                  </w14:solidFill>
                </w14:textFill>
              </w:rPr>
              <w:t>（合6</w:t>
            </w:r>
            <w:r>
              <w:rPr>
                <w:rFonts w:cs="Times New Roman"/>
                <w:color w:val="000000" w:themeColor="text1"/>
                <w:szCs w:val="24"/>
                <w14:textFill>
                  <w14:solidFill>
                    <w14:schemeClr w14:val="tx1"/>
                  </w14:solidFill>
                </w14:textFill>
              </w:rPr>
              <w:t>7</w:t>
            </w:r>
            <w:r>
              <w:rPr>
                <w:rFonts w:hint="eastAsia" w:cs="Times New Roman"/>
                <w:color w:val="000000" w:themeColor="text1"/>
                <w:szCs w:val="24"/>
                <w14:textFill>
                  <w14:solidFill>
                    <w14:schemeClr w14:val="tx1"/>
                  </w14:solidFill>
                </w14:textFill>
              </w:rPr>
              <w:t>亩），总建筑面积</w:t>
            </w:r>
            <w:r>
              <w:rPr>
                <w:rFonts w:cs="Times New Roman"/>
                <w:color w:val="000000" w:themeColor="text1"/>
                <w:szCs w:val="24"/>
                <w14:textFill>
                  <w14:solidFill>
                    <w14:schemeClr w14:val="tx1"/>
                  </w14:solidFill>
                </w14:textFill>
              </w:rPr>
              <w:t>21947.36</w:t>
            </w:r>
            <w:r>
              <w:rPr>
                <w:rFonts w:hint="eastAsia" w:cs="Times New Roman"/>
                <w:color w:val="000000" w:themeColor="text1"/>
                <w:szCs w:val="24"/>
                <w14:textFill>
                  <w14:solidFill>
                    <w14:schemeClr w14:val="tx1"/>
                  </w14:solidFill>
                </w14:textFill>
              </w:rPr>
              <w:t>m</w:t>
            </w:r>
            <w:r>
              <w:rPr>
                <w:rFonts w:cs="Times New Roman"/>
                <w:color w:val="000000" w:themeColor="text1"/>
                <w:szCs w:val="24"/>
                <w:vertAlign w:val="superscript"/>
                <w14:textFill>
                  <w14:solidFill>
                    <w14:schemeClr w14:val="tx1"/>
                  </w14:solidFill>
                </w14:textFill>
              </w:rPr>
              <w:t>2</w:t>
            </w:r>
            <w:r>
              <w:rPr>
                <w:rFonts w:hint="eastAsia" w:cs="Times New Roman"/>
                <w:color w:val="000000" w:themeColor="text1"/>
                <w:szCs w:val="24"/>
                <w14:textFill>
                  <w14:solidFill>
                    <w14:schemeClr w14:val="tx1"/>
                  </w14:solidFill>
                </w14:textFill>
              </w:rPr>
              <w:t>。</w:t>
            </w:r>
          </w:p>
          <w:p>
            <w:pPr>
              <w:pStyle w:val="72"/>
              <w:ind w:firstLine="480"/>
              <w:rPr>
                <w:rFonts w:cs="Times New Roman"/>
                <w:color w:val="000000" w:themeColor="text1"/>
                <w14:textFill>
                  <w14:solidFill>
                    <w14:schemeClr w14:val="tx1"/>
                  </w14:solidFill>
                </w14:textFill>
              </w:rPr>
            </w:pPr>
            <w:r>
              <w:rPr>
                <w:rFonts w:cs="Times New Roman"/>
                <w:color w:val="000000" w:themeColor="text1"/>
                <w:szCs w:val="24"/>
                <w14:textFill>
                  <w14:solidFill>
                    <w14:schemeClr w14:val="tx1"/>
                  </w14:solidFill>
                </w14:textFill>
              </w:rPr>
              <w:t>劳动定员：</w:t>
            </w:r>
            <w:r>
              <w:rPr>
                <w:rFonts w:hint="eastAsia" w:cs="Times New Roman"/>
                <w:color w:val="000000" w:themeColor="text1"/>
                <w:szCs w:val="24"/>
                <w14:textFill>
                  <w14:solidFill>
                    <w14:schemeClr w14:val="tx1"/>
                  </w14:solidFill>
                </w14:textFill>
              </w:rPr>
              <w:t>项目劳动定员</w:t>
            </w:r>
            <w:r>
              <w:rPr>
                <w:rFonts w:cs="Times New Roman"/>
                <w:color w:val="000000" w:themeColor="text1"/>
                <w:szCs w:val="24"/>
                <w14:textFill>
                  <w14:solidFill>
                    <w14:schemeClr w14:val="tx1"/>
                  </w14:solidFill>
                </w14:textFill>
              </w:rPr>
              <w:t>60</w:t>
            </w:r>
            <w:r>
              <w:rPr>
                <w:rFonts w:hint="eastAsia" w:cs="Times New Roman"/>
                <w:color w:val="000000" w:themeColor="text1"/>
                <w:szCs w:val="24"/>
                <w14:textFill>
                  <w14:solidFill>
                    <w14:schemeClr w14:val="tx1"/>
                  </w14:solidFill>
                </w14:textFill>
              </w:rPr>
              <w:t>人</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一期劳动定员</w:t>
            </w:r>
            <w:r>
              <w:rPr>
                <w:rFonts w:cs="Times New Roman"/>
                <w:color w:val="000000" w:themeColor="text1"/>
                <w14:textFill>
                  <w14:solidFill>
                    <w14:schemeClr w14:val="tx1"/>
                  </w14:solidFill>
                </w14:textFill>
              </w:rPr>
              <w:t>40</w:t>
            </w:r>
            <w:r>
              <w:rPr>
                <w:rFonts w:hint="eastAsia" w:cs="Times New Roman"/>
                <w:color w:val="000000" w:themeColor="text1"/>
                <w14:textFill>
                  <w14:solidFill>
                    <w14:schemeClr w14:val="tx1"/>
                  </w14:solidFill>
                </w14:textFill>
              </w:rPr>
              <w:t>人，二期劳动定员</w:t>
            </w:r>
            <w:r>
              <w:rPr>
                <w:rFonts w:cs="Times New Roman"/>
                <w:color w:val="000000" w:themeColor="text1"/>
                <w14:textFill>
                  <w14:solidFill>
                    <w14:schemeClr w14:val="tx1"/>
                  </w14:solidFill>
                </w14:textFill>
              </w:rPr>
              <w:t>20</w:t>
            </w:r>
            <w:r>
              <w:rPr>
                <w:rFonts w:hint="eastAsia" w:cs="Times New Roman"/>
                <w:color w:val="000000" w:themeColor="text1"/>
                <w14:textFill>
                  <w14:solidFill>
                    <w14:schemeClr w14:val="tx1"/>
                  </w14:solidFill>
                </w14:textFill>
              </w:rPr>
              <w:t>人。厂区设置食堂，无住宿。</w:t>
            </w:r>
          </w:p>
          <w:p>
            <w:pPr>
              <w:pStyle w:val="72"/>
              <w:ind w:firstLine="480"/>
              <w:rPr>
                <w:rFonts w:cs="Times New Roman"/>
                <w:color w:val="000000" w:themeColor="text1"/>
                <w:szCs w:val="24"/>
                <w14:textFill>
                  <w14:solidFill>
                    <w14:schemeClr w14:val="tx1"/>
                  </w14:solidFill>
                </w14:textFill>
              </w:rPr>
            </w:pPr>
            <w:r>
              <w:rPr>
                <w:rFonts w:cs="Times New Roman"/>
                <w:color w:val="000000" w:themeColor="text1"/>
                <w14:textFill>
                  <w14:solidFill>
                    <w14:schemeClr w14:val="tx1"/>
                  </w14:solidFill>
                </w14:textFill>
              </w:rPr>
              <w:t>工作制度：年生产300d，3班制，8h/班</w:t>
            </w:r>
            <w:r>
              <w:rPr>
                <w:rFonts w:hint="eastAsia" w:cs="Times New Roman"/>
                <w:color w:val="000000" w:themeColor="text1"/>
                <w14:textFill>
                  <w14:solidFill>
                    <w14:schemeClr w14:val="tx1"/>
                  </w14:solidFill>
                </w14:textFill>
              </w:rPr>
              <w:t>。</w:t>
            </w:r>
          </w:p>
          <w:p>
            <w:pPr>
              <w:pStyle w:val="72"/>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项目投资：总投资20000万</w:t>
            </w:r>
            <w:r>
              <w:rPr>
                <w:rFonts w:hint="eastAsia" w:cs="Times New Roman"/>
                <w:color w:val="000000" w:themeColor="text1"/>
                <w:szCs w:val="24"/>
                <w14:textFill>
                  <w14:solidFill>
                    <w14:schemeClr w14:val="tx1"/>
                  </w14:solidFill>
                </w14:textFill>
              </w:rPr>
              <w:t>元（其中一期投资</w:t>
            </w:r>
            <w:r>
              <w:rPr>
                <w:rFonts w:cs="Times New Roman"/>
                <w:color w:val="000000" w:themeColor="text1"/>
                <w:szCs w:val="24"/>
                <w14:textFill>
                  <w14:solidFill>
                    <w14:schemeClr w14:val="tx1"/>
                  </w14:solidFill>
                </w14:textFill>
              </w:rPr>
              <w:t>8000</w:t>
            </w:r>
            <w:r>
              <w:rPr>
                <w:rFonts w:hint="eastAsia" w:cs="Times New Roman"/>
                <w:color w:val="000000" w:themeColor="text1"/>
                <w:szCs w:val="24"/>
                <w14:textFill>
                  <w14:solidFill>
                    <w14:schemeClr w14:val="tx1"/>
                  </w14:solidFill>
                </w14:textFill>
              </w:rPr>
              <w:t>万元，二期投资</w:t>
            </w:r>
            <w:r>
              <w:rPr>
                <w:rFonts w:cs="Times New Roman"/>
                <w:color w:val="000000" w:themeColor="text1"/>
                <w:szCs w:val="24"/>
                <w14:textFill>
                  <w14:solidFill>
                    <w14:schemeClr w14:val="tx1"/>
                  </w14:solidFill>
                </w14:textFill>
              </w:rPr>
              <w:t>12000</w:t>
            </w:r>
            <w:r>
              <w:rPr>
                <w:rFonts w:hint="eastAsia" w:cs="Times New Roman"/>
                <w:color w:val="000000" w:themeColor="text1"/>
                <w:szCs w:val="24"/>
                <w14:textFill>
                  <w14:solidFill>
                    <w14:schemeClr w14:val="tx1"/>
                  </w14:solidFill>
                </w14:textFill>
              </w:rPr>
              <w:t>万元）</w:t>
            </w:r>
            <w:r>
              <w:rPr>
                <w:rFonts w:cs="Times New Roman"/>
                <w:color w:val="000000" w:themeColor="text1"/>
                <w:szCs w:val="24"/>
                <w14:textFill>
                  <w14:solidFill>
                    <w14:schemeClr w14:val="tx1"/>
                  </w14:solidFill>
                </w14:textFill>
              </w:rPr>
              <w:t>，其中环保投资741万</w:t>
            </w:r>
            <w:r>
              <w:rPr>
                <w:rFonts w:hint="eastAsia" w:cs="Times New Roman"/>
                <w:color w:val="000000" w:themeColor="text1"/>
                <w:szCs w:val="24"/>
                <w14:textFill>
                  <w14:solidFill>
                    <w14:schemeClr w14:val="tx1"/>
                  </w14:solidFill>
                </w14:textFill>
              </w:rPr>
              <w:t>元。</w:t>
            </w:r>
          </w:p>
          <w:p>
            <w:pPr>
              <w:pStyle w:val="72"/>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建设工期：24个月</w:t>
            </w:r>
            <w:r>
              <w:rPr>
                <w:rFonts w:hint="eastAsia" w:cs="Times New Roman"/>
                <w:color w:val="000000" w:themeColor="text1"/>
                <w:szCs w:val="24"/>
                <w14:textFill>
                  <w14:solidFill>
                    <w14:schemeClr w14:val="tx1"/>
                  </w14:solidFill>
                </w14:textFill>
              </w:rPr>
              <w:t>。一期建设时间为2</w:t>
            </w:r>
            <w:r>
              <w:rPr>
                <w:rFonts w:cs="Times New Roman"/>
                <w:color w:val="000000" w:themeColor="text1"/>
                <w:szCs w:val="24"/>
                <w14:textFill>
                  <w14:solidFill>
                    <w14:schemeClr w14:val="tx1"/>
                  </w14:solidFill>
                </w14:textFill>
              </w:rPr>
              <w:t>023</w:t>
            </w:r>
            <w:r>
              <w:rPr>
                <w:rFonts w:hint="eastAsia" w:cs="Times New Roman"/>
                <w:color w:val="000000" w:themeColor="text1"/>
                <w:szCs w:val="24"/>
                <w14:textFill>
                  <w14:solidFill>
                    <w14:schemeClr w14:val="tx1"/>
                  </w14:solidFill>
                </w14:textFill>
              </w:rPr>
              <w:t>年1月~</w:t>
            </w:r>
            <w:r>
              <w:rPr>
                <w:rFonts w:cs="Times New Roman"/>
                <w:color w:val="000000" w:themeColor="text1"/>
                <w:szCs w:val="24"/>
                <w14:textFill>
                  <w14:solidFill>
                    <w14:schemeClr w14:val="tx1"/>
                  </w14:solidFill>
                </w14:textFill>
              </w:rPr>
              <w:t>2024</w:t>
            </w:r>
            <w:r>
              <w:rPr>
                <w:rFonts w:hint="eastAsia" w:cs="Times New Roman"/>
                <w:color w:val="000000" w:themeColor="text1"/>
                <w:szCs w:val="24"/>
                <w14:textFill>
                  <w14:solidFill>
                    <w14:schemeClr w14:val="tx1"/>
                  </w14:solidFill>
                </w14:textFill>
              </w:rPr>
              <w:t>年1月，二期建设时间为2</w:t>
            </w:r>
            <w:r>
              <w:rPr>
                <w:rFonts w:cs="Times New Roman"/>
                <w:color w:val="000000" w:themeColor="text1"/>
                <w:szCs w:val="24"/>
                <w14:textFill>
                  <w14:solidFill>
                    <w14:schemeClr w14:val="tx1"/>
                  </w14:solidFill>
                </w14:textFill>
              </w:rPr>
              <w:t>024</w:t>
            </w:r>
            <w:r>
              <w:rPr>
                <w:rFonts w:hint="eastAsia" w:cs="Times New Roman"/>
                <w:color w:val="000000" w:themeColor="text1"/>
                <w:szCs w:val="24"/>
                <w14:textFill>
                  <w14:solidFill>
                    <w14:schemeClr w14:val="tx1"/>
                  </w14:solidFill>
                </w14:textFill>
              </w:rPr>
              <w:t>年1月~</w:t>
            </w:r>
            <w:r>
              <w:rPr>
                <w:rFonts w:cs="Times New Roman"/>
                <w:color w:val="000000" w:themeColor="text1"/>
                <w:szCs w:val="24"/>
                <w14:textFill>
                  <w14:solidFill>
                    <w14:schemeClr w14:val="tx1"/>
                  </w14:solidFill>
                </w14:textFill>
              </w:rPr>
              <w:t>2025</w:t>
            </w:r>
            <w:r>
              <w:rPr>
                <w:rFonts w:hint="eastAsia" w:cs="Times New Roman"/>
                <w:color w:val="000000" w:themeColor="text1"/>
                <w:szCs w:val="24"/>
                <w14:textFill>
                  <w14:solidFill>
                    <w14:schemeClr w14:val="tx1"/>
                  </w14:solidFill>
                </w14:textFill>
              </w:rPr>
              <w:t>年1月。</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项目建设内容及规模：</w:t>
            </w:r>
            <w:r>
              <w:rPr>
                <w:rFonts w:hint="eastAsia"/>
                <w:color w:val="000000" w:themeColor="text1"/>
                <w:sz w:val="24"/>
                <w14:textFill>
                  <w14:solidFill>
                    <w14:schemeClr w14:val="tx1"/>
                  </w14:solidFill>
                </w14:textFill>
              </w:rPr>
              <w:t>项目新建</w:t>
            </w:r>
            <w:r>
              <w:rPr>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条原料破碎生产线、</w:t>
            </w:r>
            <w:r>
              <w:rPr>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条连续干馏裂解生产线、4条钢丝加工生产线、2条炭黑加工生产线，年加工处理9万吨废旧轮胎。</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项目分两期建设。其中一期新建2条原料破碎生产线、2条连续干馏裂解生产线、2条钢丝加工生产线、1条炭黑加工生产线，及配套设施。年加工处理3万吨废旧轮胎。</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二期新建</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条原料破碎生产线、</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条连续干馏裂解生产线、2条钢丝加工生产线、1条炭黑加工生产线，及配套设施。年加工处理6万吨废旧轮胎。</w:t>
            </w:r>
          </w:p>
          <w:p>
            <w:pPr>
              <w:adjustRightInd w:val="0"/>
              <w:snapToGrid w:val="0"/>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2.2.2项目组成</w:t>
            </w:r>
          </w:p>
          <w:p>
            <w:pPr>
              <w:adjustRightInd w:val="0"/>
              <w:snapToGrid w:val="0"/>
              <w:ind w:firstLine="448" w:firstLineChars="200"/>
              <w:rPr>
                <w:color w:val="000000" w:themeColor="text1"/>
                <w:spacing w:val="-8"/>
                <w:sz w:val="24"/>
                <w14:textFill>
                  <w14:solidFill>
                    <w14:schemeClr w14:val="tx1"/>
                  </w14:solidFill>
                </w14:textFill>
              </w:rPr>
            </w:pPr>
            <w:r>
              <w:rPr>
                <w:rFonts w:hint="eastAsia"/>
                <w:color w:val="000000" w:themeColor="text1"/>
                <w:spacing w:val="-8"/>
                <w:sz w:val="24"/>
                <w14:textFill>
                  <w14:solidFill>
                    <w14:schemeClr w14:val="tx1"/>
                  </w14:solidFill>
                </w14:textFill>
              </w:rPr>
              <w:t>本项目主要建设内容包括主体工程、辅助工程、储运工程、公用工程和环保工程。</w:t>
            </w:r>
            <w:r>
              <w:rPr>
                <w:color w:val="000000" w:themeColor="text1"/>
                <w:spacing w:val="-8"/>
                <w:sz w:val="24"/>
                <w14:textFill>
                  <w14:solidFill>
                    <w14:schemeClr w14:val="tx1"/>
                  </w14:solidFill>
                </w14:textFill>
              </w:rPr>
              <w:t>项目建设内容和组成情况详见表2.2</w:t>
            </w:r>
            <w:r>
              <w:rPr>
                <w:rFonts w:hint="eastAsia"/>
                <w:color w:val="000000" w:themeColor="text1"/>
                <w:spacing w:val="-8"/>
                <w:sz w:val="24"/>
                <w14:textFill>
                  <w14:solidFill>
                    <w14:schemeClr w14:val="tx1"/>
                  </w14:solidFill>
                </w14:textFill>
              </w:rPr>
              <w:t>-</w:t>
            </w:r>
            <w:r>
              <w:rPr>
                <w:color w:val="000000" w:themeColor="text1"/>
                <w:spacing w:val="-8"/>
                <w:sz w:val="24"/>
                <w14:textFill>
                  <w14:solidFill>
                    <w14:schemeClr w14:val="tx1"/>
                  </w14:solidFill>
                </w14:textFill>
              </w:rPr>
              <w:t>1</w:t>
            </w:r>
            <w:r>
              <w:rPr>
                <w:rFonts w:hint="eastAsia"/>
                <w:color w:val="000000" w:themeColor="text1"/>
                <w:spacing w:val="-8"/>
                <w:sz w:val="24"/>
                <w14:textFill>
                  <w14:solidFill>
                    <w14:schemeClr w14:val="tx1"/>
                  </w14:solidFill>
                </w14:textFill>
              </w:rPr>
              <w:t>。</w:t>
            </w: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tc>
      </w:tr>
    </w:tbl>
    <w:p>
      <w:pPr>
        <w:ind w:firstLine="420"/>
        <w:rPr>
          <w:color w:val="000000" w:themeColor="text1"/>
          <w14:textFill>
            <w14:solidFill>
              <w14:schemeClr w14:val="tx1"/>
            </w14:solidFill>
          </w14:textFill>
        </w:rPr>
        <w:sectPr>
          <w:pgSz w:w="11906" w:h="16838"/>
          <w:pgMar w:top="1559" w:right="1531" w:bottom="1418" w:left="1531" w:header="851" w:footer="851" w:gutter="0"/>
          <w:pgBorders>
            <w:top w:val="none" w:sz="0" w:space="0"/>
            <w:left w:val="none" w:sz="0" w:space="0"/>
            <w:bottom w:val="none" w:sz="0" w:space="0"/>
            <w:right w:val="none" w:sz="0" w:space="0"/>
          </w:pgBorders>
          <w:cols w:space="720" w:num="1"/>
          <w:docGrid w:linePitch="312" w:charSpace="0"/>
        </w:sect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3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8" w:hRule="atLeast"/>
        </w:trPr>
        <w:tc>
          <w:tcPr>
            <w:tcW w:w="392" w:type="dxa"/>
            <w:shd w:val="clear" w:color="auto" w:fill="auto"/>
            <w:vAlign w:val="center"/>
          </w:tcPr>
          <w:p>
            <w:pPr>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建设内容</w:t>
            </w:r>
          </w:p>
        </w:tc>
        <w:tc>
          <w:tcPr>
            <w:tcW w:w="13260" w:type="dxa"/>
            <w:shd w:val="clear" w:color="auto" w:fill="auto"/>
          </w:tcPr>
          <w:p>
            <w:pPr>
              <w:spacing w:line="24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表2</w:t>
            </w:r>
            <w:r>
              <w:rPr>
                <w:b/>
                <w:color w:val="000000" w:themeColor="text1"/>
                <w:sz w:val="24"/>
                <w14:textFill>
                  <w14:solidFill>
                    <w14:schemeClr w14:val="tx1"/>
                  </w14:solidFill>
                </w14:textFill>
              </w:rPr>
              <w:t>.2</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 xml:space="preserve">1  </w:t>
            </w:r>
            <w:r>
              <w:rPr>
                <w:rFonts w:hint="eastAsia"/>
                <w:b/>
                <w:color w:val="000000" w:themeColor="text1"/>
                <w:sz w:val="24"/>
                <w14:textFill>
                  <w14:solidFill>
                    <w14:schemeClr w14:val="tx1"/>
                  </w14:solidFill>
                </w14:textFill>
              </w:rPr>
              <w:t>项目组成一览表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426"/>
              <w:gridCol w:w="834"/>
              <w:gridCol w:w="3356"/>
              <w:gridCol w:w="3175"/>
              <w:gridCol w:w="359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restart"/>
                  <w:shd w:val="clear" w:color="auto" w:fill="auto"/>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工程类别</w:t>
                  </w:r>
                </w:p>
              </w:tc>
              <w:tc>
                <w:tcPr>
                  <w:tcW w:w="1260" w:type="dxa"/>
                  <w:gridSpan w:val="2"/>
                  <w:vMerge w:val="restart"/>
                  <w:shd w:val="clear" w:color="auto" w:fill="auto"/>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工程名称</w:t>
                  </w:r>
                </w:p>
              </w:tc>
              <w:tc>
                <w:tcPr>
                  <w:tcW w:w="10121" w:type="dxa"/>
                  <w:gridSpan w:val="3"/>
                  <w:shd w:val="clear" w:color="auto" w:fill="auto"/>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工程内容</w:t>
                  </w:r>
                </w:p>
              </w:tc>
              <w:tc>
                <w:tcPr>
                  <w:tcW w:w="709" w:type="dxa"/>
                  <w:vMerge w:val="restart"/>
                  <w:shd w:val="clear" w:color="auto" w:fill="auto"/>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3356" w:type="dxa"/>
                  <w:shd w:val="clear" w:color="auto" w:fill="auto"/>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一期工程</w:t>
                  </w:r>
                </w:p>
              </w:tc>
              <w:tc>
                <w:tcPr>
                  <w:tcW w:w="3175" w:type="dxa"/>
                  <w:shd w:val="clear" w:color="auto" w:fill="auto"/>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二期工程</w:t>
                  </w:r>
                </w:p>
              </w:tc>
              <w:tc>
                <w:tcPr>
                  <w:tcW w:w="3590" w:type="dxa"/>
                  <w:shd w:val="clear" w:color="auto" w:fill="auto"/>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二期建成后全厂工程内容</w:t>
                  </w:r>
                </w:p>
              </w:tc>
              <w:tc>
                <w:tcPr>
                  <w:tcW w:w="70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主体工程</w:t>
                  </w: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1#原料破碎车间</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座，1F，钢混结构。建筑面积</w:t>
                  </w:r>
                  <w:r>
                    <w:rPr>
                      <w:color w:val="000000" w:themeColor="text1"/>
                      <w14:textFill>
                        <w14:solidFill>
                          <w14:schemeClr w14:val="tx1"/>
                        </w14:solidFill>
                      </w14:textFill>
                    </w:rPr>
                    <w:t>2916</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，高1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m，布置2条轮胎破碎生产线，主要用于轮胎处理及胶粉生产。</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590" w:type="dxa"/>
                  <w:vMerge w:val="restart"/>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共建设2座原料破碎车间，1F，钢混结构。1#原料破碎车间建筑面积</w:t>
                  </w:r>
                  <w:r>
                    <w:rPr>
                      <w:color w:val="000000" w:themeColor="text1"/>
                      <w14:textFill>
                        <w14:solidFill>
                          <w14:schemeClr w14:val="tx1"/>
                        </w14:solidFill>
                      </w14:textFill>
                    </w:rPr>
                    <w:t>2916</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，布置2条轮胎破碎生产线；2#原料破碎车间建筑面积4</w:t>
                  </w:r>
                  <w:r>
                    <w:rPr>
                      <w:color w:val="000000" w:themeColor="text1"/>
                      <w14:textFill>
                        <w14:solidFill>
                          <w14:schemeClr w14:val="tx1"/>
                        </w14:solidFill>
                      </w14:textFill>
                    </w:rPr>
                    <w:t>860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，设置</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条轮胎破碎生产线。主要用于轮胎处理及胶粉生产。</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2#原料破碎车间</w:t>
                  </w:r>
                </w:p>
              </w:tc>
              <w:tc>
                <w:tcPr>
                  <w:tcW w:w="3356"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175" w:type="dxa"/>
                  <w:shd w:val="clear" w:color="auto" w:fill="auto"/>
                  <w:vAlign w:val="center"/>
                </w:tcPr>
                <w:p>
                  <w:pPr>
                    <w:spacing w:line="240" w:lineRule="auto"/>
                    <w:jc w:val="left"/>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座，1F，钢混结构。建筑面积4</w:t>
                  </w:r>
                  <w:r>
                    <w:rPr>
                      <w:color w:val="000000" w:themeColor="text1"/>
                      <w14:textFill>
                        <w14:solidFill>
                          <w14:schemeClr w14:val="tx1"/>
                        </w14:solidFill>
                      </w14:textFill>
                    </w:rPr>
                    <w:t>860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，高1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m，设置</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条轮胎破碎生产线，主要用于轮胎处理及胶粉生产。</w:t>
                  </w:r>
                </w:p>
              </w:tc>
              <w:tc>
                <w:tcPr>
                  <w:tcW w:w="3590"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裂解车间</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座，1F，钢混结构。建筑面积</w:t>
                  </w:r>
                  <w:r>
                    <w:rPr>
                      <w:color w:val="000000" w:themeColor="text1"/>
                      <w14:textFill>
                        <w14:solidFill>
                          <w14:schemeClr w14:val="tx1"/>
                        </w14:solidFill>
                      </w14:textFill>
                    </w:rPr>
                    <w:t>4860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，高1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m，布置</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条连续干馏裂解生产线，主要用于轮胎裂解。每条连续干馏裂解生产线配套建设5个裂解油暂存罐，2</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个，共1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个。</w:t>
                  </w:r>
                </w:p>
              </w:tc>
              <w:tc>
                <w:tcPr>
                  <w:tcW w:w="3175"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依托一期工程，新建4条连续干馏裂解生产线。</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建设1座裂解车间，1</w:t>
                  </w:r>
                  <w:r>
                    <w:rPr>
                      <w:color w:val="000000" w:themeColor="text1"/>
                      <w14:textFill>
                        <w14:solidFill>
                          <w14:schemeClr w14:val="tx1"/>
                        </w14:solidFill>
                      </w14:textFill>
                    </w:rPr>
                    <w:t>F</w:t>
                  </w:r>
                  <w:r>
                    <w:rPr>
                      <w:rFonts w:hint="eastAsia"/>
                      <w:color w:val="000000" w:themeColor="text1"/>
                      <w14:textFill>
                        <w14:solidFill>
                          <w14:schemeClr w14:val="tx1"/>
                        </w14:solidFill>
                      </w14:textFill>
                    </w:rPr>
                    <w:t>，钢混结构。建筑面积4</w:t>
                  </w:r>
                  <w:r>
                    <w:rPr>
                      <w:color w:val="000000" w:themeColor="text1"/>
                      <w14:textFill>
                        <w14:solidFill>
                          <w14:schemeClr w14:val="tx1"/>
                        </w14:solidFill>
                      </w14:textFill>
                    </w:rPr>
                    <w:t>860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，布置</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条连续干馏裂解生产线，主要用于轮胎裂解。每条连续干馏裂解生产线配套建设5个裂解油暂存罐，2</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个，共</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个。</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钢丝加工车间</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座，1F，钢混结构。建筑面积3</w:t>
                  </w:r>
                  <w:r>
                    <w:rPr>
                      <w:color w:val="000000" w:themeColor="text1"/>
                      <w14:textFill>
                        <w14:solidFill>
                          <w14:schemeClr w14:val="tx1"/>
                        </w14:solidFill>
                      </w14:textFill>
                    </w:rPr>
                    <w:t>240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，高1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m，布置2条钢丝加工生产线，主要用于钢丝加工。</w:t>
                  </w:r>
                </w:p>
              </w:tc>
              <w:tc>
                <w:tcPr>
                  <w:tcW w:w="3175"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依托一期工程，新建2条钢丝加工生产线。</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建设1座钢丝加工车间，1</w:t>
                  </w:r>
                  <w:r>
                    <w:rPr>
                      <w:color w:val="000000" w:themeColor="text1"/>
                      <w14:textFill>
                        <w14:solidFill>
                          <w14:schemeClr w14:val="tx1"/>
                        </w14:solidFill>
                      </w14:textFill>
                    </w:rPr>
                    <w:t>F</w:t>
                  </w:r>
                  <w:r>
                    <w:rPr>
                      <w:rFonts w:hint="eastAsia"/>
                      <w:color w:val="000000" w:themeColor="text1"/>
                      <w14:textFill>
                        <w14:solidFill>
                          <w14:schemeClr w14:val="tx1"/>
                        </w14:solidFill>
                      </w14:textFill>
                    </w:rPr>
                    <w:t>，钢混结构。建筑面积3</w:t>
                  </w:r>
                  <w:r>
                    <w:rPr>
                      <w:color w:val="000000" w:themeColor="text1"/>
                      <w14:textFill>
                        <w14:solidFill>
                          <w14:schemeClr w14:val="tx1"/>
                        </w14:solidFill>
                      </w14:textFill>
                    </w:rPr>
                    <w:t>240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，布置4条钢丝加工生产线，主要用于钢丝加工。</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炭黑加工车间</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座，1F，钢混结构。建筑面积1</w:t>
                  </w:r>
                  <w:r>
                    <w:rPr>
                      <w:color w:val="000000" w:themeColor="text1"/>
                      <w14:textFill>
                        <w14:solidFill>
                          <w14:schemeClr w14:val="tx1"/>
                        </w14:solidFill>
                      </w14:textFill>
                    </w:rPr>
                    <w:t>080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，高1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m，布置1条炭黑加工生产线，用于炭黑加工。</w:t>
                  </w:r>
                </w:p>
              </w:tc>
              <w:tc>
                <w:tcPr>
                  <w:tcW w:w="3175"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依托一期工程，新建1条炭黑加工生产线。</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建设1座炭黑加工车间，1</w:t>
                  </w:r>
                  <w:r>
                    <w:rPr>
                      <w:color w:val="000000" w:themeColor="text1"/>
                      <w14:textFill>
                        <w14:solidFill>
                          <w14:schemeClr w14:val="tx1"/>
                        </w14:solidFill>
                      </w14:textFill>
                    </w:rPr>
                    <w:t>F</w:t>
                  </w:r>
                  <w:r>
                    <w:rPr>
                      <w:rFonts w:hint="eastAsia"/>
                      <w:color w:val="000000" w:themeColor="text1"/>
                      <w14:textFill>
                        <w14:solidFill>
                          <w14:schemeClr w14:val="tx1"/>
                        </w14:solidFill>
                      </w14:textFill>
                    </w:rPr>
                    <w:t>，钢混结构。建筑面积1</w:t>
                  </w:r>
                  <w:r>
                    <w:rPr>
                      <w:color w:val="000000" w:themeColor="text1"/>
                      <w14:textFill>
                        <w14:solidFill>
                          <w14:schemeClr w14:val="tx1"/>
                        </w14:solidFill>
                      </w14:textFill>
                    </w:rPr>
                    <w:t>080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，布置2条炭黑加工生产线，用于炭黑加工。</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辅助工程</w:t>
                  </w: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办公楼</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1座，3F。建筑面积1</w:t>
                  </w:r>
                  <w:r>
                    <w:rPr>
                      <w:color w:val="000000" w:themeColor="text1"/>
                      <w14:textFill>
                        <w14:solidFill>
                          <w14:schemeClr w14:val="tx1"/>
                        </w14:solidFill>
                      </w14:textFill>
                    </w:rPr>
                    <w:t>548.36</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，主要用于企业生产经营管理、值班人员休息等。</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1座，3F。建筑面积1</w:t>
                  </w:r>
                  <w:r>
                    <w:rPr>
                      <w:color w:val="000000" w:themeColor="text1"/>
                      <w14:textFill>
                        <w14:solidFill>
                          <w14:schemeClr w14:val="tx1"/>
                        </w14:solidFill>
                      </w14:textFill>
                    </w:rPr>
                    <w:t>548.36</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，主要用于企业生产经营管理、值班人员休息等。</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食堂</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位于办公楼1</w:t>
                  </w:r>
                  <w:r>
                    <w:rPr>
                      <w:color w:val="000000" w:themeColor="text1"/>
                      <w14:textFill>
                        <w14:solidFill>
                          <w14:schemeClr w14:val="tx1"/>
                        </w14:solidFill>
                      </w14:textFill>
                    </w:rPr>
                    <w:t>F</w:t>
                  </w:r>
                  <w:r>
                    <w:rPr>
                      <w:rFonts w:hint="eastAsia"/>
                      <w:color w:val="000000" w:themeColor="text1"/>
                      <w14:textFill>
                        <w14:solidFill>
                          <w14:schemeClr w14:val="tx1"/>
                        </w14:solidFill>
                      </w14:textFill>
                    </w:rPr>
                    <w:t>，为厂区员工提供食堂就餐。</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位于办公楼1</w:t>
                  </w:r>
                  <w:r>
                    <w:rPr>
                      <w:color w:val="000000" w:themeColor="text1"/>
                      <w14:textFill>
                        <w14:solidFill>
                          <w14:schemeClr w14:val="tx1"/>
                        </w14:solidFill>
                      </w14:textFill>
                    </w:rPr>
                    <w:t>F</w:t>
                  </w:r>
                  <w:r>
                    <w:rPr>
                      <w:rFonts w:hint="eastAsia"/>
                      <w:color w:val="000000" w:themeColor="text1"/>
                      <w14:textFill>
                        <w14:solidFill>
                          <w14:schemeClr w14:val="tx1"/>
                        </w14:solidFill>
                      </w14:textFill>
                    </w:rPr>
                    <w:t>，为厂区员工提供食堂就餐。</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门卫</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1座，1</w:t>
                  </w:r>
                  <w:r>
                    <w:rPr>
                      <w:color w:val="000000" w:themeColor="text1"/>
                      <w14:textFill>
                        <w14:solidFill>
                          <w14:schemeClr w14:val="tx1"/>
                        </w14:solidFill>
                      </w14:textFill>
                    </w:rPr>
                    <w:t>F</w:t>
                  </w:r>
                  <w:r>
                    <w:rPr>
                      <w:rFonts w:hint="eastAsia"/>
                      <w:color w:val="000000" w:themeColor="text1"/>
                      <w14:textFill>
                        <w14:solidFill>
                          <w14:schemeClr w14:val="tx1"/>
                        </w14:solidFill>
                      </w14:textFill>
                    </w:rPr>
                    <w:t>。建筑面积2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，用于门卫值班。</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1座，1</w:t>
                  </w:r>
                  <w:r>
                    <w:rPr>
                      <w:color w:val="000000" w:themeColor="text1"/>
                      <w14:textFill>
                        <w14:solidFill>
                          <w14:schemeClr w14:val="tx1"/>
                        </w14:solidFill>
                      </w14:textFill>
                    </w:rPr>
                    <w:t>F</w:t>
                  </w:r>
                  <w:r>
                    <w:rPr>
                      <w:rFonts w:hint="eastAsia"/>
                      <w:color w:val="000000" w:themeColor="text1"/>
                      <w14:textFill>
                        <w14:solidFill>
                          <w14:schemeClr w14:val="tx1"/>
                        </w14:solidFill>
                      </w14:textFill>
                    </w:rPr>
                    <w:t>。建筑面积2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，用于门卫值班。</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地磅房</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1座，建筑面积1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，设有地磅称重。</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1座，建筑面积1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，设有地磅称重。</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公厕</w:t>
                  </w:r>
                </w:p>
              </w:tc>
              <w:tc>
                <w:tcPr>
                  <w:tcW w:w="3356"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1座，建筑面积1</w:t>
                  </w:r>
                  <w:r>
                    <w:rPr>
                      <w:color w:val="000000" w:themeColor="text1"/>
                      <w14:textFill>
                        <w14:solidFill>
                          <w14:schemeClr w14:val="tx1"/>
                        </w14:solidFill>
                      </w14:textFill>
                    </w:rPr>
                    <w:t>05.40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1座，建筑面积1</w:t>
                  </w:r>
                  <w:r>
                    <w:rPr>
                      <w:color w:val="000000" w:themeColor="text1"/>
                      <w14:textFill>
                        <w14:solidFill>
                          <w14:schemeClr w14:val="tx1"/>
                        </w14:solidFill>
                      </w14:textFill>
                    </w:rPr>
                    <w:t>05.40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储运工程</w:t>
                  </w: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储油罐区</w:t>
                  </w:r>
                </w:p>
              </w:tc>
              <w:tc>
                <w:tcPr>
                  <w:tcW w:w="3356" w:type="dxa"/>
                  <w:shd w:val="clear" w:color="auto" w:fill="auto"/>
                  <w:vAlign w:val="center"/>
                </w:tcPr>
                <w:p>
                  <w:pPr>
                    <w:spacing w:line="240" w:lineRule="auto"/>
                    <w:jc w:val="left"/>
                    <w:rPr>
                      <w:color w:val="FF0000"/>
                    </w:rPr>
                  </w:pPr>
                  <w:r>
                    <w:rPr>
                      <w:rFonts w:hint="eastAsia"/>
                      <w:color w:val="FF0000"/>
                    </w:rPr>
                    <w:t>1处，位于厂区东南部，占地面积约1</w:t>
                  </w:r>
                  <w:r>
                    <w:rPr>
                      <w:color w:val="FF0000"/>
                    </w:rPr>
                    <w:t>600</w:t>
                  </w:r>
                  <w:r>
                    <w:rPr>
                      <w:rFonts w:hint="eastAsia"/>
                      <w:color w:val="FF0000"/>
                    </w:rPr>
                    <w:t>m</w:t>
                  </w:r>
                  <w:r>
                    <w:rPr>
                      <w:color w:val="FF0000"/>
                      <w:vertAlign w:val="superscript"/>
                    </w:rPr>
                    <w:t>2</w:t>
                  </w:r>
                  <w:r>
                    <w:rPr>
                      <w:rFonts w:hint="eastAsia"/>
                      <w:color w:val="FF0000"/>
                    </w:rPr>
                    <w:t>，设置</w:t>
                  </w:r>
                  <w:r>
                    <w:rPr>
                      <w:color w:val="FF0000"/>
                    </w:rPr>
                    <w:t>2</w:t>
                  </w:r>
                  <w:r>
                    <w:rPr>
                      <w:rFonts w:hint="eastAsia"/>
                      <w:color w:val="FF0000"/>
                    </w:rPr>
                    <w:t>个</w:t>
                  </w:r>
                  <w:r>
                    <w:rPr>
                      <w:color w:val="FF0000"/>
                    </w:rPr>
                    <w:t>400</w:t>
                  </w:r>
                  <w:r>
                    <w:rPr>
                      <w:rFonts w:hint="eastAsia"/>
                      <w:color w:val="FF0000"/>
                    </w:rPr>
                    <w:t>m</w:t>
                  </w:r>
                  <w:r>
                    <w:rPr>
                      <w:color w:val="FF0000"/>
                      <w:vertAlign w:val="superscript"/>
                    </w:rPr>
                    <w:t>3</w:t>
                  </w:r>
                  <w:r>
                    <w:rPr>
                      <w:rFonts w:hint="eastAsia"/>
                      <w:color w:val="FF0000"/>
                    </w:rPr>
                    <w:t>的固定储油罐，主要用于成品裂解油存放。罐区设置围堰。</w:t>
                  </w:r>
                </w:p>
              </w:tc>
              <w:tc>
                <w:tcPr>
                  <w:tcW w:w="3175" w:type="dxa"/>
                  <w:shd w:val="clear" w:color="auto" w:fill="auto"/>
                  <w:vAlign w:val="center"/>
                </w:tcPr>
                <w:p>
                  <w:pPr>
                    <w:spacing w:line="240" w:lineRule="auto"/>
                    <w:jc w:val="center"/>
                    <w:rPr>
                      <w:color w:val="FF0000"/>
                    </w:rPr>
                  </w:pPr>
                  <w:r>
                    <w:rPr>
                      <w:rFonts w:hint="eastAsia"/>
                      <w:color w:val="FF0000"/>
                    </w:rPr>
                    <w:t>依托一期储油罐区，在储油罐区增加</w:t>
                  </w:r>
                  <w:r>
                    <w:rPr>
                      <w:color w:val="FF0000"/>
                    </w:rPr>
                    <w:t>3</w:t>
                  </w:r>
                  <w:r>
                    <w:rPr>
                      <w:rFonts w:hint="eastAsia"/>
                      <w:color w:val="FF0000"/>
                    </w:rPr>
                    <w:t>个</w:t>
                  </w:r>
                  <w:r>
                    <w:rPr>
                      <w:color w:val="FF0000"/>
                    </w:rPr>
                    <w:t>400</w:t>
                  </w:r>
                  <w:r>
                    <w:rPr>
                      <w:rFonts w:hint="eastAsia"/>
                      <w:color w:val="FF0000"/>
                    </w:rPr>
                    <w:t>m</w:t>
                  </w:r>
                  <w:r>
                    <w:rPr>
                      <w:color w:val="FF0000"/>
                      <w:vertAlign w:val="superscript"/>
                    </w:rPr>
                    <w:t>3</w:t>
                  </w:r>
                  <w:r>
                    <w:rPr>
                      <w:rFonts w:hint="eastAsia"/>
                      <w:color w:val="FF0000"/>
                    </w:rPr>
                    <w:t>的固定储油罐。</w:t>
                  </w:r>
                </w:p>
              </w:tc>
              <w:tc>
                <w:tcPr>
                  <w:tcW w:w="3590" w:type="dxa"/>
                  <w:shd w:val="clear" w:color="auto" w:fill="auto"/>
                  <w:vAlign w:val="center"/>
                </w:tcPr>
                <w:p>
                  <w:pPr>
                    <w:spacing w:line="240" w:lineRule="auto"/>
                    <w:jc w:val="left"/>
                    <w:rPr>
                      <w:color w:val="FF0000"/>
                    </w:rPr>
                  </w:pPr>
                  <w:r>
                    <w:rPr>
                      <w:rFonts w:hint="eastAsia"/>
                      <w:color w:val="FF0000"/>
                    </w:rPr>
                    <w:t>1处，位于厂区东南部，占地面积约1</w:t>
                  </w:r>
                  <w:r>
                    <w:rPr>
                      <w:color w:val="FF0000"/>
                    </w:rPr>
                    <w:t>600</w:t>
                  </w:r>
                  <w:r>
                    <w:rPr>
                      <w:rFonts w:hint="eastAsia"/>
                      <w:color w:val="FF0000"/>
                    </w:rPr>
                    <w:t>m</w:t>
                  </w:r>
                  <w:r>
                    <w:rPr>
                      <w:color w:val="FF0000"/>
                      <w:vertAlign w:val="superscript"/>
                    </w:rPr>
                    <w:t>2</w:t>
                  </w:r>
                  <w:r>
                    <w:rPr>
                      <w:rFonts w:hint="eastAsia"/>
                      <w:color w:val="FF0000"/>
                    </w:rPr>
                    <w:t>，共设置</w:t>
                  </w:r>
                  <w:r>
                    <w:rPr>
                      <w:color w:val="FF0000"/>
                    </w:rPr>
                    <w:t>5</w:t>
                  </w:r>
                  <w:r>
                    <w:rPr>
                      <w:rFonts w:hint="eastAsia"/>
                      <w:color w:val="FF0000"/>
                    </w:rPr>
                    <w:t>个</w:t>
                  </w:r>
                  <w:r>
                    <w:rPr>
                      <w:color w:val="FF0000"/>
                    </w:rPr>
                    <w:t>400</w:t>
                  </w:r>
                  <w:r>
                    <w:rPr>
                      <w:rFonts w:hint="eastAsia"/>
                      <w:color w:val="FF0000"/>
                    </w:rPr>
                    <w:t>m</w:t>
                  </w:r>
                  <w:r>
                    <w:rPr>
                      <w:color w:val="FF0000"/>
                      <w:vertAlign w:val="superscript"/>
                    </w:rPr>
                    <w:t>3</w:t>
                  </w:r>
                  <w:r>
                    <w:rPr>
                      <w:rFonts w:hint="eastAsia"/>
                      <w:color w:val="FF0000"/>
                    </w:rPr>
                    <w:t>的固定储油罐，主要用于成品裂解油存放。罐区设置围堰。</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原料仓库</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1座，建筑面积</w:t>
                  </w:r>
                  <w:r>
                    <w:rPr>
                      <w:color w:val="000000" w:themeColor="text1"/>
                      <w14:textFill>
                        <w14:solidFill>
                          <w14:schemeClr w14:val="tx1"/>
                        </w14:solidFill>
                      </w14:textFill>
                    </w:rPr>
                    <w:t>3240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，主要用于存放废轮胎等原辅材料。</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1座，建筑面积</w:t>
                  </w:r>
                  <w:r>
                    <w:rPr>
                      <w:color w:val="000000" w:themeColor="text1"/>
                      <w14:textFill>
                        <w14:solidFill>
                          <w14:schemeClr w14:val="tx1"/>
                        </w14:solidFill>
                      </w14:textFill>
                    </w:rPr>
                    <w:t>3240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，主要用于存放废轮胎等原辅材料。</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钢丝存放区</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位于钢丝加工车间，占地面积约5</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，用于存放钢丝产品。</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位于钢丝加工车间，占地面积约5</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，用于存放钢丝产品。</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炭黑存放区</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位于炭黑加工车间，占地面积约4</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，用于存放炭黑成品。</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位于炭黑加工车间，占地面积约4</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，用于存放炭黑成品。</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运输</w:t>
                  </w:r>
                </w:p>
              </w:tc>
              <w:tc>
                <w:tcPr>
                  <w:tcW w:w="3356" w:type="dxa"/>
                  <w:shd w:val="clear" w:color="auto" w:fill="auto"/>
                  <w:vAlign w:val="center"/>
                </w:tcPr>
                <w:p>
                  <w:pPr>
                    <w:spacing w:line="24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厂内运输：采用板车等方式转运，厂区内修建有场内道路。</w:t>
                  </w:r>
                </w:p>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厂外运输：原料运输和产品运输均由第三方单位运输。其中，裂解油成品由有资质的第三方单位负责运输</w:t>
                  </w:r>
                  <w:r>
                    <w:rPr>
                      <w:rFonts w:hint="eastAsia"/>
                      <w:color w:val="000000" w:themeColor="text1"/>
                      <w:sz w:val="21"/>
                      <w:szCs w:val="21"/>
                      <w:lang w:eastAsia="zh-CN"/>
                      <w14:textFill>
                        <w14:solidFill>
                          <w14:schemeClr w14:val="tx1"/>
                        </w14:solidFill>
                      </w14:textFill>
                    </w:rPr>
                    <w:t>。</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厂内运输：采用板车等方式转运，厂区内修建有场内道路。</w:t>
                  </w:r>
                </w:p>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厂外运输：原料运输和产品运输均由第三方单位运输。其中，裂解油成品由有资质的第三方单位负责运输</w:t>
                  </w:r>
                  <w:r>
                    <w:rPr>
                      <w:rFonts w:hint="eastAsia"/>
                      <w:color w:val="000000" w:themeColor="text1"/>
                      <w:sz w:val="21"/>
                      <w:szCs w:val="21"/>
                      <w:lang w:eastAsia="zh-CN"/>
                      <w14:textFill>
                        <w14:solidFill>
                          <w14:schemeClr w14:val="tx1"/>
                        </w14:solidFill>
                      </w14:textFill>
                    </w:rPr>
                    <w:t>。</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公用工程</w:t>
                  </w: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供水</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依托园区供水系统，厂区内修建供水管网。</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依托园区供水系统，厂区内修建供水管网。</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供电</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依托园区供电系统，厂区内修建变压器室，内设2台S</w:t>
                  </w:r>
                  <w:r>
                    <w:rPr>
                      <w:color w:val="000000" w:themeColor="text1"/>
                      <w14:textFill>
                        <w14:solidFill>
                          <w14:schemeClr w14:val="tx1"/>
                        </w14:solidFill>
                      </w14:textFill>
                    </w:rPr>
                    <w:t>CB14-1600/10-0.4</w:t>
                  </w:r>
                  <w:r>
                    <w:rPr>
                      <w:rFonts w:hint="eastAsia"/>
                      <w:color w:val="000000" w:themeColor="text1"/>
                      <w14:textFill>
                        <w14:solidFill>
                          <w14:schemeClr w14:val="tx1"/>
                        </w14:solidFill>
                      </w14:textFill>
                    </w:rPr>
                    <w:t>型变压器。</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依托园区供电系统，厂区内修建变压器室，内设2台S</w:t>
                  </w:r>
                  <w:r>
                    <w:rPr>
                      <w:color w:val="000000" w:themeColor="text1"/>
                      <w14:textFill>
                        <w14:solidFill>
                          <w14:schemeClr w14:val="tx1"/>
                        </w14:solidFill>
                      </w14:textFill>
                    </w:rPr>
                    <w:t>CB14-1600/10-0.4</w:t>
                  </w:r>
                  <w:r>
                    <w:rPr>
                      <w:rFonts w:hint="eastAsia"/>
                      <w:color w:val="000000" w:themeColor="text1"/>
                      <w14:textFill>
                        <w14:solidFill>
                          <w14:schemeClr w14:val="tx1"/>
                        </w14:solidFill>
                      </w14:textFill>
                    </w:rPr>
                    <w:t>型变压器。</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排水</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排水系统采用雨污分流制，</w:t>
                  </w:r>
                  <w:r>
                    <w:rPr>
                      <w:rFonts w:hint="eastAsia"/>
                    </w:rPr>
                    <w:t>新建</w:t>
                  </w:r>
                  <w:r>
                    <w:rPr>
                      <w:rFonts w:hint="eastAsia" w:ascii="宋体" w:hAnsi="宋体" w:cs="宋体"/>
                      <w:color w:val="000000"/>
                      <w:kern w:val="0"/>
                      <w:szCs w:val="21"/>
                      <w:lang w:bidi="ar"/>
                    </w:rPr>
                    <w:t>厂区设生产废水、生活污水、冷却水排水和雨水排水系统</w:t>
                  </w:r>
                  <w:r>
                    <w:rPr>
                      <w:rFonts w:hint="eastAsia" w:ascii="宋体" w:hAnsi="宋体" w:cs="宋体"/>
                      <w:color w:val="000000"/>
                      <w:kern w:val="0"/>
                      <w:szCs w:val="21"/>
                      <w:lang w:eastAsia="zh-CN" w:bidi="ar"/>
                    </w:rPr>
                    <w:t>。</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排水系统采用雨污分流制，</w:t>
                  </w:r>
                  <w:r>
                    <w:rPr>
                      <w:rFonts w:hint="eastAsia"/>
                    </w:rPr>
                    <w:t>新建</w:t>
                  </w:r>
                  <w:r>
                    <w:rPr>
                      <w:rFonts w:hint="eastAsia" w:ascii="宋体" w:hAnsi="宋体" w:cs="宋体"/>
                      <w:color w:val="000000"/>
                      <w:kern w:val="0"/>
                      <w:szCs w:val="21"/>
                      <w:lang w:bidi="ar"/>
                    </w:rPr>
                    <w:t>厂区设生产废水、生活污水、冷却水排水和雨水排水系统。</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供气</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依托园区供气系统，厂区修建供气管网。</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依托园区供气系统，厂区修建供气管网。</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供热</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裂解装置使用天然气启动；运行状态下裂解装置使用后续工艺中产生的不凝气作为燃料。</w:t>
                  </w:r>
                </w:p>
              </w:tc>
              <w:tc>
                <w:tcPr>
                  <w:tcW w:w="3175"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裂解装置使用天然气启动；运行状态下裂解装置使用后续工艺中产生的不凝气作为燃料。</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裂解装置使用天然气启动；运行状态下裂解装置使用后续工艺中产生的不凝气作为燃料。</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循环冷却水系统</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厂内建设1座循环冷却塔，规模1</w:t>
                  </w:r>
                  <w:r>
                    <w:rPr>
                      <w:color w:val="000000" w:themeColor="text1"/>
                      <w14:textFill>
                        <w14:solidFill>
                          <w14:schemeClr w14:val="tx1"/>
                        </w14:solidFill>
                      </w14:textFill>
                    </w:rPr>
                    <w:t>80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h，配套循环水池2</w:t>
                  </w:r>
                  <w:r>
                    <w:rPr>
                      <w:color w:val="000000" w:themeColor="text1"/>
                      <w14:textFill>
                        <w14:solidFill>
                          <w14:schemeClr w14:val="tx1"/>
                        </w14:solidFill>
                      </w14:textFill>
                    </w:rPr>
                    <w:t>000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，为裂解生产线冷凝器提供循环冷却水</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厂内建设1座循环冷却塔，规模1</w:t>
                  </w:r>
                  <w:r>
                    <w:rPr>
                      <w:color w:val="000000" w:themeColor="text1"/>
                      <w14:textFill>
                        <w14:solidFill>
                          <w14:schemeClr w14:val="tx1"/>
                        </w14:solidFill>
                      </w14:textFill>
                    </w:rPr>
                    <w:t>80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h，配套循环水池2</w:t>
                  </w:r>
                  <w:r>
                    <w:rPr>
                      <w:color w:val="000000" w:themeColor="text1"/>
                      <w14:textFill>
                        <w14:solidFill>
                          <w14:schemeClr w14:val="tx1"/>
                        </w14:solidFill>
                      </w14:textFill>
                    </w:rPr>
                    <w:t>000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，为裂解生产线冷凝器提供循环冷却水</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环保工程</w:t>
                  </w:r>
                </w:p>
              </w:tc>
              <w:tc>
                <w:tcPr>
                  <w:tcW w:w="426"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834"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轮胎处理粉尘</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1#破碎废气处理设施：新建1套轮胎破碎废气处理设施，采用布袋除尘措施，处理风量8</w:t>
                  </w:r>
                  <w:r>
                    <w:rPr>
                      <w:color w:val="000000" w:themeColor="text1"/>
                      <w14:textFill>
                        <w14:solidFill>
                          <w14:schemeClr w14:val="tx1"/>
                        </w14:solidFill>
                      </w14:textFill>
                    </w:rPr>
                    <w:t>000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h，达标废气经D</w:t>
                  </w:r>
                  <w:r>
                    <w:rPr>
                      <w:color w:val="000000" w:themeColor="text1"/>
                      <w14:textFill>
                        <w14:solidFill>
                          <w14:schemeClr w14:val="tx1"/>
                        </w14:solidFill>
                      </w14:textFill>
                    </w:rPr>
                    <w:t>A001</w:t>
                  </w:r>
                  <w:r>
                    <w:rPr>
                      <w:rFonts w:hint="eastAsia"/>
                      <w:color w:val="000000" w:themeColor="text1"/>
                      <w14:textFill>
                        <w14:solidFill>
                          <w14:schemeClr w14:val="tx1"/>
                        </w14:solidFill>
                      </w14:textFill>
                    </w:rPr>
                    <w:t>排气筒（1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m）排放。</w:t>
                  </w:r>
                </w:p>
              </w:tc>
              <w:tc>
                <w:tcPr>
                  <w:tcW w:w="3175" w:type="dxa"/>
                  <w:shd w:val="clear" w:color="auto" w:fill="auto"/>
                  <w:vAlign w:val="center"/>
                </w:tcPr>
                <w:p>
                  <w:pPr>
                    <w:spacing w:line="240" w:lineRule="auto"/>
                    <w:jc w:val="left"/>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#破碎废气处理设施：新建1套轮胎破碎废气处理设施，采用布袋除尘措施，处理风量1</w:t>
                  </w:r>
                  <w:r>
                    <w:rPr>
                      <w:color w:val="000000" w:themeColor="text1"/>
                      <w14:textFill>
                        <w14:solidFill>
                          <w14:schemeClr w14:val="tx1"/>
                        </w14:solidFill>
                      </w14:textFill>
                    </w:rPr>
                    <w:t>6000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h，达标废气经D</w:t>
                  </w:r>
                  <w:r>
                    <w:rPr>
                      <w:color w:val="000000" w:themeColor="text1"/>
                      <w14:textFill>
                        <w14:solidFill>
                          <w14:schemeClr w14:val="tx1"/>
                        </w14:solidFill>
                      </w14:textFill>
                    </w:rPr>
                    <w:t>A002</w:t>
                  </w:r>
                  <w:r>
                    <w:rPr>
                      <w:rFonts w:hint="eastAsia"/>
                      <w:color w:val="000000" w:themeColor="text1"/>
                      <w14:textFill>
                        <w14:solidFill>
                          <w14:schemeClr w14:val="tx1"/>
                        </w14:solidFill>
                      </w14:textFill>
                    </w:rPr>
                    <w:t>排气筒（1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m）排放。</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新建2套破碎废气处理设施，采用布袋除尘措施。其中1#破碎废气处理设施，处理风量8</w:t>
                  </w:r>
                  <w:r>
                    <w:rPr>
                      <w:color w:val="000000" w:themeColor="text1"/>
                      <w14:textFill>
                        <w14:solidFill>
                          <w14:schemeClr w14:val="tx1"/>
                        </w14:solidFill>
                      </w14:textFill>
                    </w:rPr>
                    <w:t>000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h，处理一期，设置</w:t>
                  </w:r>
                  <w:r>
                    <w:rPr>
                      <w:color w:val="000000" w:themeColor="text1"/>
                      <w14:textFill>
                        <w14:solidFill>
                          <w14:schemeClr w14:val="tx1"/>
                        </w14:solidFill>
                      </w14:textFill>
                    </w:rPr>
                    <w:t>DA001</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）排气筒；</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#破碎废气处理设施，处理风量1</w:t>
                  </w:r>
                  <w:r>
                    <w:rPr>
                      <w:color w:val="000000" w:themeColor="text1"/>
                      <w14:textFill>
                        <w14:solidFill>
                          <w14:schemeClr w14:val="tx1"/>
                        </w14:solidFill>
                      </w14:textFill>
                    </w:rPr>
                    <w:t>6000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h，处理二期，设置</w:t>
                  </w:r>
                  <w:r>
                    <w:rPr>
                      <w:color w:val="000000" w:themeColor="text1"/>
                      <w14:textFill>
                        <w14:solidFill>
                          <w14:schemeClr w14:val="tx1"/>
                        </w14:solidFill>
                      </w14:textFill>
                    </w:rPr>
                    <w:t>DA002</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m）排气筒</w:t>
                  </w:r>
                  <w:r>
                    <w:rPr>
                      <w:color w:val="000000" w:themeColor="text1"/>
                      <w14:textFill>
                        <w14:solidFill>
                          <w14:schemeClr w14:val="tx1"/>
                        </w14:solidFill>
                      </w14:textFill>
                    </w:rPr>
                    <w:t>。</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426"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34"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裂解不凝气燃烧烟气</w:t>
                  </w:r>
                </w:p>
              </w:tc>
              <w:tc>
                <w:tcPr>
                  <w:tcW w:w="3356" w:type="dxa"/>
                  <w:shd w:val="clear" w:color="auto" w:fill="auto"/>
                  <w:vAlign w:val="center"/>
                </w:tcPr>
                <w:p>
                  <w:pPr>
                    <w:spacing w:line="240" w:lineRule="auto"/>
                    <w:jc w:val="left"/>
                    <w:rPr>
                      <w:color w:val="FF0000"/>
                    </w:rPr>
                  </w:pPr>
                  <w:r>
                    <w:rPr>
                      <w:color w:val="FF0000"/>
                    </w:rPr>
                    <w:t>3</w:t>
                  </w:r>
                  <w:r>
                    <w:rPr>
                      <w:rFonts w:hint="eastAsia"/>
                      <w:color w:val="FF0000"/>
                    </w:rPr>
                    <w:t>#</w:t>
                  </w:r>
                  <w:r>
                    <w:rPr>
                      <w:color w:val="FF0000"/>
                    </w:rPr>
                    <w:t>燃烧烟气处理设施：</w:t>
                  </w:r>
                  <w:r>
                    <w:rPr>
                      <w:rFonts w:hint="eastAsia"/>
                      <w:color w:val="FF0000"/>
                    </w:rPr>
                    <w:t>新建1套燃烧烟气处理设施，用于处理各生产线的燃烧室燃烧烟气和多余不凝气，采取“二次燃烧+</w:t>
                  </w:r>
                  <w:r>
                    <w:rPr>
                      <w:rFonts w:hint="eastAsia"/>
                      <w:bCs/>
                      <w:color w:val="FF0000"/>
                      <w:szCs w:val="21"/>
                    </w:rPr>
                    <w:t>烟气骤冷+SCR脱硝+钠碱法脱硫+湿电除尘+气液分离+二级活性炭吸附</w:t>
                  </w:r>
                  <w:r>
                    <w:rPr>
                      <w:rFonts w:hint="eastAsia"/>
                      <w:color w:val="FF0000"/>
                    </w:rPr>
                    <w:t>”处理工艺</w:t>
                  </w:r>
                  <w:r>
                    <w:rPr>
                      <w:color w:val="FF0000"/>
                      <w:szCs w:val="21"/>
                    </w:rPr>
                    <w:t>，处理风量15000m</w:t>
                  </w:r>
                  <w:r>
                    <w:rPr>
                      <w:color w:val="FF0000"/>
                      <w:szCs w:val="21"/>
                      <w:vertAlign w:val="superscript"/>
                    </w:rPr>
                    <w:t>3</w:t>
                  </w:r>
                  <w:r>
                    <w:rPr>
                      <w:color w:val="FF0000"/>
                      <w:szCs w:val="21"/>
                    </w:rPr>
                    <w:t>/h（变频风机，一期实际运行风量约5000m</w:t>
                  </w:r>
                  <w:r>
                    <w:rPr>
                      <w:color w:val="FF0000"/>
                      <w:szCs w:val="21"/>
                      <w:vertAlign w:val="superscript"/>
                    </w:rPr>
                    <w:t>3</w:t>
                  </w:r>
                  <w:r>
                    <w:rPr>
                      <w:color w:val="FF0000"/>
                      <w:szCs w:val="21"/>
                    </w:rPr>
                    <w:t>/h</w:t>
                  </w:r>
                  <w:r>
                    <w:rPr>
                      <w:rFonts w:hint="eastAsia"/>
                      <w:color w:val="FF0000"/>
                      <w:szCs w:val="21"/>
                    </w:rPr>
                    <w:t>，预留风口、阀门</w:t>
                  </w:r>
                  <w:r>
                    <w:rPr>
                      <w:color w:val="FF0000"/>
                      <w:szCs w:val="21"/>
                    </w:rPr>
                    <w:t>），</w:t>
                  </w:r>
                  <w:r>
                    <w:rPr>
                      <w:rFonts w:hint="eastAsia"/>
                      <w:color w:val="FF0000"/>
                      <w:szCs w:val="21"/>
                    </w:rPr>
                    <w:t>达标废气经D</w:t>
                  </w:r>
                  <w:r>
                    <w:rPr>
                      <w:color w:val="FF0000"/>
                      <w:szCs w:val="21"/>
                    </w:rPr>
                    <w:t>A003</w:t>
                  </w:r>
                  <w:r>
                    <w:rPr>
                      <w:rFonts w:hint="eastAsia"/>
                      <w:color w:val="FF0000"/>
                      <w:szCs w:val="21"/>
                    </w:rPr>
                    <w:t>排气筒（1</w:t>
                  </w:r>
                  <w:r>
                    <w:rPr>
                      <w:color w:val="FF0000"/>
                      <w:szCs w:val="21"/>
                    </w:rPr>
                    <w:t>5</w:t>
                  </w:r>
                  <w:r>
                    <w:rPr>
                      <w:rFonts w:hint="eastAsia"/>
                      <w:color w:val="FF0000"/>
                      <w:szCs w:val="21"/>
                    </w:rPr>
                    <w:t>m）排放</w:t>
                  </w:r>
                  <w:r>
                    <w:rPr>
                      <w:color w:val="FF0000"/>
                    </w:rPr>
                    <w:t>。</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r>
                    <w:rPr>
                      <w:color w:val="000000" w:themeColor="text1"/>
                      <w14:textFill>
                        <w14:solidFill>
                          <w14:schemeClr w14:val="tx1"/>
                        </w14:solidFill>
                      </w14:textFill>
                    </w:rPr>
                    <w:t>。</w:t>
                  </w:r>
                </w:p>
              </w:tc>
              <w:tc>
                <w:tcPr>
                  <w:tcW w:w="3590" w:type="dxa"/>
                  <w:shd w:val="clear" w:color="auto" w:fill="auto"/>
                  <w:vAlign w:val="center"/>
                </w:tcPr>
                <w:p>
                  <w:pPr>
                    <w:spacing w:line="240" w:lineRule="auto"/>
                    <w:jc w:val="left"/>
                    <w:rPr>
                      <w:color w:val="FF0000"/>
                    </w:rPr>
                  </w:pPr>
                  <w:r>
                    <w:rPr>
                      <w:color w:val="FF0000"/>
                    </w:rPr>
                    <w:t>3</w:t>
                  </w:r>
                  <w:r>
                    <w:rPr>
                      <w:rFonts w:hint="eastAsia"/>
                      <w:color w:val="FF0000"/>
                    </w:rPr>
                    <w:t>#</w:t>
                  </w:r>
                  <w:r>
                    <w:rPr>
                      <w:color w:val="FF0000"/>
                    </w:rPr>
                    <w:t>燃烧烟气处理设施：</w:t>
                  </w:r>
                  <w:r>
                    <w:rPr>
                      <w:rFonts w:hint="eastAsia"/>
                      <w:color w:val="FF0000"/>
                    </w:rPr>
                    <w:t>新建1套燃烧烟气处理设施，用于处理各生产线的燃烧室燃烧烟气和多余不凝气，采取“二次燃烧+</w:t>
                  </w:r>
                  <w:r>
                    <w:rPr>
                      <w:rFonts w:hint="eastAsia"/>
                      <w:bCs/>
                      <w:color w:val="FF0000"/>
                      <w:szCs w:val="21"/>
                    </w:rPr>
                    <w:t>烟气骤冷+SCR脱硝+钠碱法脱硫+湿电除尘+气液分离+二级活性炭吸附</w:t>
                  </w:r>
                  <w:r>
                    <w:rPr>
                      <w:rFonts w:hint="eastAsia"/>
                      <w:color w:val="FF0000"/>
                    </w:rPr>
                    <w:t>”处理工艺</w:t>
                  </w:r>
                  <w:r>
                    <w:rPr>
                      <w:color w:val="FF0000"/>
                      <w:szCs w:val="21"/>
                    </w:rPr>
                    <w:t>，处理风量15000m</w:t>
                  </w:r>
                  <w:r>
                    <w:rPr>
                      <w:color w:val="FF0000"/>
                      <w:szCs w:val="21"/>
                      <w:vertAlign w:val="superscript"/>
                    </w:rPr>
                    <w:t>3</w:t>
                  </w:r>
                  <w:r>
                    <w:rPr>
                      <w:color w:val="FF0000"/>
                      <w:szCs w:val="21"/>
                    </w:rPr>
                    <w:t>/h</w:t>
                  </w:r>
                  <w:r>
                    <w:rPr>
                      <w:rFonts w:hint="eastAsia"/>
                      <w:color w:val="FF0000"/>
                      <w:szCs w:val="21"/>
                    </w:rPr>
                    <w:t>（变频风机，一期运行风量5</w:t>
                  </w:r>
                  <w:r>
                    <w:rPr>
                      <w:color w:val="FF0000"/>
                      <w:szCs w:val="21"/>
                    </w:rPr>
                    <w:t>000</w:t>
                  </w:r>
                  <w:r>
                    <w:rPr>
                      <w:rFonts w:hint="eastAsia"/>
                      <w:color w:val="FF0000"/>
                      <w:szCs w:val="21"/>
                    </w:rPr>
                    <w:t>m</w:t>
                  </w:r>
                  <w:r>
                    <w:rPr>
                      <w:color w:val="FF0000"/>
                      <w:szCs w:val="21"/>
                      <w:vertAlign w:val="superscript"/>
                    </w:rPr>
                    <w:t>3</w:t>
                  </w:r>
                  <w:r>
                    <w:rPr>
                      <w:color w:val="FF0000"/>
                      <w:szCs w:val="21"/>
                    </w:rPr>
                    <w:t>/</w:t>
                  </w:r>
                  <w:r>
                    <w:rPr>
                      <w:rFonts w:hint="eastAsia"/>
                      <w:color w:val="FF0000"/>
                      <w:szCs w:val="21"/>
                    </w:rPr>
                    <w:t>h，二期运行风量1</w:t>
                  </w:r>
                  <w:r>
                    <w:rPr>
                      <w:color w:val="FF0000"/>
                      <w:szCs w:val="21"/>
                    </w:rPr>
                    <w:t>0000</w:t>
                  </w:r>
                  <w:r>
                    <w:rPr>
                      <w:rFonts w:hint="eastAsia"/>
                      <w:color w:val="FF0000"/>
                      <w:szCs w:val="21"/>
                    </w:rPr>
                    <w:t>m</w:t>
                  </w:r>
                  <w:r>
                    <w:rPr>
                      <w:color w:val="FF0000"/>
                      <w:szCs w:val="21"/>
                      <w:vertAlign w:val="superscript"/>
                    </w:rPr>
                    <w:t>3</w:t>
                  </w:r>
                  <w:r>
                    <w:rPr>
                      <w:color w:val="FF0000"/>
                      <w:szCs w:val="21"/>
                    </w:rPr>
                    <w:t>/</w:t>
                  </w:r>
                  <w:r>
                    <w:rPr>
                      <w:rFonts w:hint="eastAsia"/>
                      <w:color w:val="FF0000"/>
                      <w:szCs w:val="21"/>
                    </w:rPr>
                    <w:t>h）</w:t>
                  </w:r>
                  <w:r>
                    <w:rPr>
                      <w:color w:val="FF0000"/>
                      <w:szCs w:val="21"/>
                    </w:rPr>
                    <w:t>，</w:t>
                  </w:r>
                  <w:r>
                    <w:rPr>
                      <w:rFonts w:hint="eastAsia"/>
                      <w:color w:val="FF0000"/>
                      <w:szCs w:val="21"/>
                    </w:rPr>
                    <w:t>达标废气经D</w:t>
                  </w:r>
                  <w:r>
                    <w:rPr>
                      <w:color w:val="FF0000"/>
                      <w:szCs w:val="21"/>
                    </w:rPr>
                    <w:t>A003</w:t>
                  </w:r>
                  <w:r>
                    <w:rPr>
                      <w:rFonts w:hint="eastAsia"/>
                      <w:color w:val="FF0000"/>
                      <w:szCs w:val="21"/>
                    </w:rPr>
                    <w:t>排气筒（1</w:t>
                  </w:r>
                  <w:r>
                    <w:rPr>
                      <w:color w:val="FF0000"/>
                      <w:szCs w:val="21"/>
                    </w:rPr>
                    <w:t>5</w:t>
                  </w:r>
                  <w:r>
                    <w:rPr>
                      <w:rFonts w:hint="eastAsia"/>
                      <w:color w:val="FF0000"/>
                      <w:szCs w:val="21"/>
                    </w:rPr>
                    <w:t>m）排放</w:t>
                  </w:r>
                  <w:r>
                    <w:rPr>
                      <w:color w:val="FF0000"/>
                    </w:rPr>
                    <w:t>。</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426"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34"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炭黑加工粉尘</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4#炭黑加工粉尘处理设施：新建1套炭黑加工粉尘处理设施，采用布袋除尘措施，处理风量</w:t>
                  </w:r>
                  <w:r>
                    <w:rPr>
                      <w:color w:val="000000" w:themeColor="text1"/>
                      <w14:textFill>
                        <w14:solidFill>
                          <w14:schemeClr w14:val="tx1"/>
                        </w14:solidFill>
                      </w14:textFill>
                    </w:rPr>
                    <w:t>10000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h（变频风机，一期实际运行风量约5</w:t>
                  </w:r>
                  <w:r>
                    <w:rPr>
                      <w:color w:val="000000" w:themeColor="text1"/>
                      <w14:textFill>
                        <w14:solidFill>
                          <w14:schemeClr w14:val="tx1"/>
                        </w14:solidFill>
                      </w14:textFill>
                    </w:rPr>
                    <w:t>000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h，预留风口、阀门），</w:t>
                  </w:r>
                  <w:r>
                    <w:rPr>
                      <w:rFonts w:hint="eastAsia"/>
                      <w:color w:val="FF0000"/>
                      <w:szCs w:val="21"/>
                    </w:rPr>
                    <w:t>达标废气经D</w:t>
                  </w:r>
                  <w:r>
                    <w:rPr>
                      <w:color w:val="FF0000"/>
                      <w:szCs w:val="21"/>
                    </w:rPr>
                    <w:t>A004</w:t>
                  </w:r>
                  <w:r>
                    <w:rPr>
                      <w:rFonts w:hint="eastAsia"/>
                      <w:color w:val="FF0000"/>
                      <w:szCs w:val="21"/>
                    </w:rPr>
                    <w:t>排气筒（1</w:t>
                  </w:r>
                  <w:r>
                    <w:rPr>
                      <w:color w:val="FF0000"/>
                      <w:szCs w:val="21"/>
                    </w:rPr>
                    <w:t>5</w:t>
                  </w:r>
                  <w:r>
                    <w:rPr>
                      <w:rFonts w:hint="eastAsia"/>
                      <w:color w:val="FF0000"/>
                      <w:szCs w:val="21"/>
                    </w:rPr>
                    <w:t>m）排放</w:t>
                  </w:r>
                  <w:r>
                    <w:rPr>
                      <w:rFonts w:hint="eastAsia"/>
                      <w:color w:val="FF0000"/>
                      <w:szCs w:val="21"/>
                      <w:lang w:eastAsia="zh-CN"/>
                    </w:rPr>
                    <w:t>。</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4#炭黑加工粉尘处理设施：新建1套炭黑加工粉尘处理设施，采用布袋除尘措施，处理风量</w:t>
                  </w:r>
                  <w:r>
                    <w:rPr>
                      <w:color w:val="000000" w:themeColor="text1"/>
                      <w14:textFill>
                        <w14:solidFill>
                          <w14:schemeClr w14:val="tx1"/>
                        </w14:solidFill>
                      </w14:textFill>
                    </w:rPr>
                    <w:t>10000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h（变频风机，一期运行风量5</w:t>
                  </w:r>
                  <w:r>
                    <w:rPr>
                      <w:color w:val="000000" w:themeColor="text1"/>
                      <w14:textFill>
                        <w14:solidFill>
                          <w14:schemeClr w14:val="tx1"/>
                        </w14:solidFill>
                      </w14:textFill>
                    </w:rPr>
                    <w:t>000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h，二期运行风量5</w:t>
                  </w:r>
                  <w:r>
                    <w:rPr>
                      <w:color w:val="000000" w:themeColor="text1"/>
                      <w14:textFill>
                        <w14:solidFill>
                          <w14:schemeClr w14:val="tx1"/>
                        </w14:solidFill>
                      </w14:textFill>
                    </w:rPr>
                    <w:t>000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w:t>
                  </w:r>
                  <w:r>
                    <w:rPr>
                      <w:rFonts w:hint="eastAsia"/>
                      <w:color w:val="FF0000"/>
                      <w:szCs w:val="21"/>
                    </w:rPr>
                    <w:t>达标废气经D</w:t>
                  </w:r>
                  <w:r>
                    <w:rPr>
                      <w:color w:val="FF0000"/>
                      <w:szCs w:val="21"/>
                    </w:rPr>
                    <w:t>A004</w:t>
                  </w:r>
                  <w:r>
                    <w:rPr>
                      <w:rFonts w:hint="eastAsia"/>
                      <w:color w:val="FF0000"/>
                      <w:szCs w:val="21"/>
                    </w:rPr>
                    <w:t>排气筒（1</w:t>
                  </w:r>
                  <w:r>
                    <w:rPr>
                      <w:color w:val="FF0000"/>
                      <w:szCs w:val="21"/>
                    </w:rPr>
                    <w:t>5</w:t>
                  </w:r>
                  <w:r>
                    <w:rPr>
                      <w:rFonts w:hint="eastAsia"/>
                      <w:color w:val="FF0000"/>
                      <w:szCs w:val="21"/>
                    </w:rPr>
                    <w:t>m）排放</w:t>
                  </w:r>
                  <w:r>
                    <w:rPr>
                      <w:rFonts w:hint="eastAsia"/>
                      <w:color w:val="FF0000"/>
                      <w:szCs w:val="21"/>
                      <w:lang w:eastAsia="zh-CN"/>
                    </w:rPr>
                    <w:t>。</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426"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34"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储油罐区大小呼吸油气</w:t>
                  </w:r>
                </w:p>
              </w:tc>
              <w:tc>
                <w:tcPr>
                  <w:tcW w:w="3356" w:type="dxa"/>
                  <w:shd w:val="clear" w:color="auto" w:fill="auto"/>
                  <w:vAlign w:val="center"/>
                </w:tcPr>
                <w:p>
                  <w:pPr>
                    <w:spacing w:line="240" w:lineRule="auto"/>
                    <w:jc w:val="left"/>
                    <w:rPr>
                      <w:color w:val="FF0000"/>
                    </w:rPr>
                  </w:pPr>
                  <w:r>
                    <w:rPr>
                      <w:rFonts w:hint="eastAsia"/>
                      <w:color w:val="FF0000"/>
                    </w:rPr>
                    <w:t>安装密闭排气系统，将呼吸废气收集后接入二燃室燃烧处理。</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FF0000"/>
                    </w:rPr>
                  </w:pPr>
                  <w:r>
                    <w:rPr>
                      <w:rFonts w:hint="eastAsia"/>
                      <w:color w:val="FF0000"/>
                    </w:rPr>
                    <w:t>安装密闭排气系统，将呼吸废气收集后接入二燃室燃烧处理。</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426"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34"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食堂油烟</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5#食堂油烟处理设施：新建</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套食堂油烟处理设施，采用油烟净化器处理，处理风量4</w:t>
                  </w:r>
                  <w:r>
                    <w:rPr>
                      <w:color w:val="000000" w:themeColor="text1"/>
                      <w14:textFill>
                        <w14:solidFill>
                          <w14:schemeClr w14:val="tx1"/>
                        </w14:solidFill>
                      </w14:textFill>
                    </w:rPr>
                    <w:t>000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w:t>
                  </w:r>
                  <w:r>
                    <w:rPr>
                      <w:rFonts w:hint="eastAsia"/>
                      <w:color w:val="FF0000"/>
                      <w:szCs w:val="21"/>
                    </w:rPr>
                    <w:t>达标废气经D</w:t>
                  </w:r>
                  <w:r>
                    <w:rPr>
                      <w:color w:val="FF0000"/>
                      <w:szCs w:val="21"/>
                    </w:rPr>
                    <w:t>A005</w:t>
                  </w:r>
                  <w:r>
                    <w:rPr>
                      <w:rFonts w:hint="eastAsia"/>
                      <w:color w:val="FF0000"/>
                      <w:szCs w:val="21"/>
                    </w:rPr>
                    <w:t>排气筒（1</w:t>
                  </w:r>
                  <w:r>
                    <w:rPr>
                      <w:color w:val="FF0000"/>
                      <w:szCs w:val="21"/>
                    </w:rPr>
                    <w:t>5</w:t>
                  </w:r>
                  <w:r>
                    <w:rPr>
                      <w:rFonts w:hint="eastAsia"/>
                      <w:color w:val="FF0000"/>
                      <w:szCs w:val="21"/>
                    </w:rPr>
                    <w:t>m）排放</w:t>
                  </w:r>
                  <w:r>
                    <w:rPr>
                      <w:rFonts w:hint="eastAsia"/>
                      <w:color w:val="000000" w:themeColor="text1"/>
                      <w14:textFill>
                        <w14:solidFill>
                          <w14:schemeClr w14:val="tx1"/>
                        </w14:solidFill>
                      </w14:textFill>
                    </w:rPr>
                    <w:t>。</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5#食堂油烟处理设施：新建</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套食堂油烟处理设施，采用油烟净化器处理，处理风量4</w:t>
                  </w:r>
                  <w:r>
                    <w:rPr>
                      <w:color w:val="000000" w:themeColor="text1"/>
                      <w14:textFill>
                        <w14:solidFill>
                          <w14:schemeClr w14:val="tx1"/>
                        </w14:solidFill>
                      </w14:textFill>
                    </w:rPr>
                    <w:t>000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w:t>
                  </w:r>
                  <w:r>
                    <w:rPr>
                      <w:rFonts w:hint="eastAsia"/>
                      <w:color w:val="FF0000"/>
                      <w:szCs w:val="21"/>
                    </w:rPr>
                    <w:t>达标废气经D</w:t>
                  </w:r>
                  <w:r>
                    <w:rPr>
                      <w:color w:val="FF0000"/>
                      <w:szCs w:val="21"/>
                    </w:rPr>
                    <w:t>A005</w:t>
                  </w:r>
                  <w:r>
                    <w:rPr>
                      <w:rFonts w:hint="eastAsia"/>
                      <w:color w:val="FF0000"/>
                      <w:szCs w:val="21"/>
                    </w:rPr>
                    <w:t>排气筒（1</w:t>
                  </w:r>
                  <w:r>
                    <w:rPr>
                      <w:color w:val="FF0000"/>
                      <w:szCs w:val="21"/>
                    </w:rPr>
                    <w:t>5</w:t>
                  </w:r>
                  <w:r>
                    <w:rPr>
                      <w:rFonts w:hint="eastAsia"/>
                      <w:color w:val="FF0000"/>
                      <w:szCs w:val="21"/>
                    </w:rPr>
                    <w:t>m）排放</w:t>
                  </w:r>
                  <w:r>
                    <w:rPr>
                      <w:rFonts w:hint="eastAsia"/>
                      <w:color w:val="000000" w:themeColor="text1"/>
                      <w14:textFill>
                        <w14:solidFill>
                          <w14:schemeClr w14:val="tx1"/>
                        </w14:solidFill>
                      </w14:textFill>
                    </w:rPr>
                    <w:t>。</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426"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834"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食堂废水</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新建1套食堂废水预处理设施，处理规模5m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d，采用隔油沉淀处理工艺，食堂废水预处理后排入厂区生化池。</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新建1套食堂废水预处理设施，处理规模5m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d，采用隔油沉淀处理工艺，食堂废水预处理后排入厂区生化池。</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426"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34"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3356" w:type="dxa"/>
                  <w:shd w:val="clear" w:color="auto" w:fill="auto"/>
                  <w:vAlign w:val="center"/>
                </w:tcPr>
                <w:p>
                  <w:pPr>
                    <w:spacing w:line="240" w:lineRule="auto"/>
                    <w:jc w:val="left"/>
                    <w:rPr>
                      <w:color w:val="FF0000"/>
                    </w:rPr>
                  </w:pPr>
                  <w:r>
                    <w:rPr>
                      <w:rFonts w:hint="eastAsia"/>
                      <w:color w:val="FF0000"/>
                    </w:rPr>
                    <w:t>新建1套生活污水处理设施，处理规模</w:t>
                  </w:r>
                  <w:r>
                    <w:rPr>
                      <w:color w:val="FF0000"/>
                    </w:rPr>
                    <w:t>50</w:t>
                  </w:r>
                  <w:r>
                    <w:rPr>
                      <w:rFonts w:hint="eastAsia"/>
                      <w:color w:val="FF0000"/>
                    </w:rPr>
                    <w:t>m</w:t>
                  </w:r>
                  <w:r>
                    <w:rPr>
                      <w:rFonts w:hint="eastAsia"/>
                      <w:color w:val="FF0000"/>
                      <w:vertAlign w:val="superscript"/>
                    </w:rPr>
                    <w:t>3</w:t>
                  </w:r>
                  <w:r>
                    <w:rPr>
                      <w:color w:val="FF0000"/>
                    </w:rPr>
                    <w:t>/</w:t>
                  </w:r>
                  <w:r>
                    <w:rPr>
                      <w:rFonts w:hint="eastAsia"/>
                      <w:color w:val="FF0000"/>
                    </w:rPr>
                    <w:t>d，采用“格栅沉淀+水解酸化+沉淀”处理工艺，生活污水经生化池处理后排入市政污水管网。</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FF0000"/>
                    </w:rPr>
                  </w:pPr>
                  <w:r>
                    <w:rPr>
                      <w:rFonts w:hint="eastAsia"/>
                      <w:color w:val="FF0000"/>
                    </w:rPr>
                    <w:t>新建1套生活污水处理设施，处理规模</w:t>
                  </w:r>
                  <w:r>
                    <w:rPr>
                      <w:color w:val="FF0000"/>
                    </w:rPr>
                    <w:t>50</w:t>
                  </w:r>
                  <w:r>
                    <w:rPr>
                      <w:rFonts w:hint="eastAsia"/>
                      <w:color w:val="FF0000"/>
                    </w:rPr>
                    <w:t>m</w:t>
                  </w:r>
                  <w:r>
                    <w:rPr>
                      <w:rFonts w:hint="eastAsia"/>
                      <w:color w:val="FF0000"/>
                      <w:vertAlign w:val="superscript"/>
                    </w:rPr>
                    <w:t>3</w:t>
                  </w:r>
                  <w:r>
                    <w:rPr>
                      <w:color w:val="FF0000"/>
                    </w:rPr>
                    <w:t>/</w:t>
                  </w:r>
                  <w:r>
                    <w:rPr>
                      <w:rFonts w:hint="eastAsia"/>
                      <w:color w:val="FF0000"/>
                    </w:rPr>
                    <w:t>d，采用“格栅沉淀+水解酸化+沉淀”处理工艺，生活污水经生化池处理后排入市政污水管网。</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426"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34"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w:t>
                  </w:r>
                </w:p>
              </w:tc>
              <w:tc>
                <w:tcPr>
                  <w:tcW w:w="3356" w:type="dxa"/>
                  <w:shd w:val="clear" w:color="auto" w:fill="auto"/>
                  <w:vAlign w:val="center"/>
                </w:tcPr>
                <w:p>
                  <w:pPr>
                    <w:spacing w:line="240" w:lineRule="auto"/>
                    <w:jc w:val="left"/>
                    <w:rPr>
                      <w:color w:val="FF0000"/>
                    </w:rPr>
                  </w:pPr>
                  <w:r>
                    <w:rPr>
                      <w:rFonts w:hint="eastAsia"/>
                      <w:color w:val="FF0000"/>
                    </w:rPr>
                    <w:t>新建1套生产废水（地面冲洗废水、脱硫系统排水）预处理设施，处理规模</w:t>
                  </w:r>
                  <w:r>
                    <w:rPr>
                      <w:color w:val="FF0000"/>
                    </w:rPr>
                    <w:t>20</w:t>
                  </w:r>
                  <w:r>
                    <w:rPr>
                      <w:rFonts w:hint="eastAsia"/>
                      <w:color w:val="FF0000"/>
                    </w:rPr>
                    <w:t>m</w:t>
                  </w:r>
                  <w:r>
                    <w:rPr>
                      <w:color w:val="FF0000"/>
                      <w:vertAlign w:val="superscript"/>
                    </w:rPr>
                    <w:t>3</w:t>
                  </w:r>
                  <w:r>
                    <w:rPr>
                      <w:color w:val="FF0000"/>
                    </w:rPr>
                    <w:t>/</w:t>
                  </w:r>
                  <w:r>
                    <w:rPr>
                      <w:rFonts w:hint="eastAsia"/>
                      <w:color w:val="FF0000"/>
                    </w:rPr>
                    <w:t>d，采用“隔油+厌氧反应器+好氧活性污泥法（A/O法）”处理工艺，生产废水预处理后排入厂区生化池。</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FF0000"/>
                    </w:rPr>
                  </w:pPr>
                  <w:r>
                    <w:rPr>
                      <w:rFonts w:hint="eastAsia"/>
                      <w:color w:val="FF0000"/>
                    </w:rPr>
                    <w:t>新建1套生产废水（地面冲洗废水、脱硫系统排水）预处理设施，处理规模</w:t>
                  </w:r>
                  <w:r>
                    <w:rPr>
                      <w:color w:val="FF0000"/>
                    </w:rPr>
                    <w:t>20</w:t>
                  </w:r>
                  <w:r>
                    <w:rPr>
                      <w:rFonts w:hint="eastAsia"/>
                      <w:color w:val="FF0000"/>
                    </w:rPr>
                    <w:t>m</w:t>
                  </w:r>
                  <w:r>
                    <w:rPr>
                      <w:color w:val="FF0000"/>
                      <w:vertAlign w:val="superscript"/>
                    </w:rPr>
                    <w:t>3</w:t>
                  </w:r>
                  <w:r>
                    <w:rPr>
                      <w:color w:val="FF0000"/>
                    </w:rPr>
                    <w:t>/</w:t>
                  </w:r>
                  <w:r>
                    <w:rPr>
                      <w:rFonts w:hint="eastAsia"/>
                      <w:color w:val="FF0000"/>
                    </w:rPr>
                    <w:t>d，采用“隔油+厌氧反应器+好氧活性污泥法（A/O法）”处理工艺，生产废水预处理后排入厂区生化池。</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426"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834"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新建1个生活垃圾收集箱，位于办公楼旁，生活垃圾经收集后交环卫部门统一清运。</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新建1个生活垃圾收集箱，位于办公楼旁，生活垃圾经收集后交环卫部门统一清运。</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426"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34"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餐厨垃圾</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新建1个餐厨垃圾收集箱，位于办公楼旁，餐厨垃圾经收集后交有资质单位处置。</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新建1个餐厨垃圾收集箱，位于办公楼旁，餐厨垃圾经收集后交有资质单位处置。</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426"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34"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一般工业固体废物</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新建1间一般固废暂存间，位于1#原料破碎车间西北角，面积5</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采取“防渗漏、防雨淋、防扬尘”的措施。</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新建1间一般固废暂存间，位于1#原料破碎车间西北角，面积5</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采取“防渗漏、防雨淋、防扬尘”的措施。</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426"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34"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3356"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新建1间危废暂存间，位于钢丝加工车间西北角设置1间危废暂存间，面积1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采取“防风、防雨、防晒、防渗漏、防腐”措施，四周修建截排水沟和收集井、并设置托盘，标识标牌等。</w:t>
                  </w:r>
                </w:p>
              </w:tc>
              <w:tc>
                <w:tcPr>
                  <w:tcW w:w="3175"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依托一期工程。</w:t>
                  </w:r>
                </w:p>
              </w:tc>
              <w:tc>
                <w:tcPr>
                  <w:tcW w:w="3590" w:type="dxa"/>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新建1间危废暂存间，位于钢丝加工车间西北角设置1间危废暂存间，面积1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采取“防风、防雨、防晒、防渗漏、防腐”措施，四周修建截排水沟和收集井、并设置托盘，标识标牌等。</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10121" w:type="dxa"/>
                  <w:gridSpan w:val="3"/>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采用低噪声设备，隔声、减振等措施。</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60" w:type="dxa"/>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tc>
              <w:tc>
                <w:tcPr>
                  <w:tcW w:w="10121" w:type="dxa"/>
                  <w:gridSpan w:val="3"/>
                  <w:shd w:val="clear" w:color="auto" w:fill="auto"/>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储油罐区：储油罐区设置围堰，并采取防渗漏、防腐措施。</w:t>
                  </w:r>
                </w:p>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裂解车间：每个裂解油暂存罐单独设置围堰（不小于暂存罐最大容积</w:t>
                  </w:r>
                  <w:r>
                    <w:rPr>
                      <w:color w:val="000000" w:themeColor="text1"/>
                      <w14:textFill>
                        <w14:solidFill>
                          <w14:schemeClr w14:val="tx1"/>
                        </w14:solidFill>
                      </w14:textFill>
                    </w:rPr>
                    <w:t>2.8</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），并采取防渗漏、防腐措施。</w:t>
                  </w:r>
                </w:p>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氨水储罐区：氨水储罐区设置围堰（不小于储罐最大容积0</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），并采取防渗漏、防腐措施。</w:t>
                  </w:r>
                </w:p>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事故水池：新建1座事故水池，有效容积不小于</w:t>
                  </w:r>
                  <w:r>
                    <w:rPr>
                      <w:color w:val="000000" w:themeColor="text1"/>
                      <w14:textFill>
                        <w14:solidFill>
                          <w14:schemeClr w14:val="tx1"/>
                        </w14:solidFill>
                      </w14:textFill>
                    </w:rPr>
                    <w:t>700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，并采取防渗漏、防腐措施。</w:t>
                  </w:r>
                </w:p>
                <w:p>
                  <w:pPr>
                    <w:spacing w:line="240" w:lineRule="auto"/>
                    <w:jc w:val="left"/>
                    <w:rPr>
                      <w:color w:val="FF0000"/>
                    </w:rPr>
                  </w:pPr>
                  <w:r>
                    <w:rPr>
                      <w:rFonts w:hint="eastAsia"/>
                      <w:color w:val="000000" w:themeColor="text1"/>
                      <w14:textFill>
                        <w14:solidFill>
                          <w14:schemeClr w14:val="tx1"/>
                        </w14:solidFill>
                      </w14:textFill>
                    </w:rPr>
                    <w:t>初期雨水收集池：</w:t>
                  </w:r>
                  <w:r>
                    <w:rPr>
                      <w:rFonts w:hint="eastAsia"/>
                      <w:color w:val="FF0000"/>
                    </w:rPr>
                    <w:t>新建初期雨水收集池（</w:t>
                  </w:r>
                  <w:r>
                    <w:rPr>
                      <w:color w:val="FF0000"/>
                    </w:rPr>
                    <w:t>750</w:t>
                  </w:r>
                  <w:r>
                    <w:rPr>
                      <w:rFonts w:hint="eastAsia"/>
                      <w:color w:val="FF0000"/>
                    </w:rPr>
                    <w:t>m</w:t>
                  </w:r>
                  <w:r>
                    <w:rPr>
                      <w:color w:val="FF0000"/>
                      <w:vertAlign w:val="superscript"/>
                    </w:rPr>
                    <w:t>3</w:t>
                  </w:r>
                  <w:r>
                    <w:rPr>
                      <w:rFonts w:hint="eastAsia"/>
                      <w:color w:val="FF0000"/>
                    </w:rPr>
                    <w:t>），并设置雨污切换阀，初期雨水经初期雨水收集池收集，然后少量多次转移至生产废水处理设施处理。</w:t>
                  </w:r>
                </w:p>
                <w:p>
                  <w:pPr>
                    <w:spacing w:line="240" w:lineRule="auto"/>
                    <w:jc w:val="left"/>
                    <w:rPr>
                      <w:color w:val="000000" w:themeColor="text1"/>
                      <w:szCs w:val="21"/>
                      <w14:textFill>
                        <w14:solidFill>
                          <w14:schemeClr w14:val="tx1"/>
                        </w14:solidFill>
                      </w14:textFill>
                    </w:rPr>
                  </w:pPr>
                  <w:r>
                    <w:rPr>
                      <w:rFonts w:hint="eastAsia"/>
                    </w:rPr>
                    <w:t>分区防渗要求：</w:t>
                  </w:r>
                  <w:r>
                    <w:rPr>
                      <w:rFonts w:hint="eastAsia"/>
                      <w:color w:val="000000" w:themeColor="text1"/>
                      <w:szCs w:val="21"/>
                      <w14:textFill>
                        <w14:solidFill>
                          <w14:schemeClr w14:val="tx1"/>
                        </w14:solidFill>
                      </w14:textFill>
                    </w:rPr>
                    <w:t>重点防渗区：裂解车间</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储油</w:t>
                  </w:r>
                  <w:r>
                    <w:rPr>
                      <w:color w:val="000000" w:themeColor="text1"/>
                      <w:szCs w:val="21"/>
                      <w14:textFill>
                        <w14:solidFill>
                          <w14:schemeClr w14:val="tx1"/>
                        </w14:solidFill>
                      </w14:textFill>
                    </w:rPr>
                    <w:t>罐区、脱硫循环水池、危废暂存间</w:t>
                  </w:r>
                  <w:r>
                    <w:rPr>
                      <w:rFonts w:hint="eastAsia"/>
                      <w:color w:val="000000" w:themeColor="text1"/>
                      <w:szCs w:val="21"/>
                      <w14:textFill>
                        <w14:solidFill>
                          <w14:schemeClr w14:val="tx1"/>
                        </w14:solidFill>
                      </w14:textFill>
                    </w:rPr>
                    <w:t>、生产废水处理设施、生化池进行重点防渗；事故水池、初期雨水收集池、一般固废暂存间、其他生产车间进行一般防渗；办公楼进行简单防渗。</w:t>
                  </w:r>
                </w:p>
              </w:tc>
              <w:tc>
                <w:tcPr>
                  <w:tcW w:w="709"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r>
          </w:tbl>
          <w:p>
            <w:pPr>
              <w:pStyle w:val="3"/>
              <w:numPr>
                <w:ilvl w:val="0"/>
                <w:numId w:val="0"/>
              </w:numPr>
              <w:rPr>
                <w:color w:val="000000" w:themeColor="text1"/>
                <w14:textFill>
                  <w14:solidFill>
                    <w14:schemeClr w14:val="tx1"/>
                  </w14:solidFill>
                </w14:textFill>
              </w:rPr>
            </w:pPr>
          </w:p>
        </w:tc>
      </w:tr>
    </w:tbl>
    <w:p>
      <w:pPr>
        <w:ind w:firstLine="420"/>
        <w:rPr>
          <w:color w:val="000000" w:themeColor="text1"/>
          <w14:textFill>
            <w14:solidFill>
              <w14:schemeClr w14:val="tx1"/>
            </w14:solidFill>
          </w14:textFill>
        </w:rPr>
      </w:pPr>
    </w:p>
    <w:p>
      <w:pPr>
        <w:ind w:firstLine="420"/>
        <w:rPr>
          <w:color w:val="000000" w:themeColor="text1"/>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36"/>
        <w:tblW w:w="5000" w:type="pct"/>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635"/>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5" w:hRule="atLeast"/>
          <w:jc w:val="center"/>
        </w:trPr>
        <w:tc>
          <w:tcPr>
            <w:tcW w:w="243" w:type="pct"/>
            <w:vAlign w:val="center"/>
          </w:tcPr>
          <w:p>
            <w:pPr>
              <w:pStyle w:val="32"/>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建设内容</w:t>
            </w:r>
          </w:p>
        </w:tc>
        <w:tc>
          <w:tcPr>
            <w:tcW w:w="4757" w:type="pct"/>
          </w:tcPr>
          <w:p>
            <w:pPr>
              <w:adjustRightInd w:val="0"/>
              <w:snapToGrid w:val="0"/>
              <w:rPr>
                <w:b/>
                <w:color w:val="000000" w:themeColor="text1"/>
                <w:sz w:val="24"/>
                <w14:textFill>
                  <w14:solidFill>
                    <w14:schemeClr w14:val="tx1"/>
                  </w14:solidFill>
                </w14:textFill>
              </w:rPr>
            </w:pPr>
            <w:r>
              <w:rPr>
                <w:b/>
                <w:color w:val="000000" w:themeColor="text1"/>
                <w:sz w:val="24"/>
                <w14:textFill>
                  <w14:solidFill>
                    <w14:schemeClr w14:val="tx1"/>
                  </w14:solidFill>
                </w14:textFill>
              </w:rPr>
              <w:t>2.3产品方案</w:t>
            </w:r>
            <w:r>
              <w:rPr>
                <w:rFonts w:hint="eastAsia"/>
                <w:b/>
                <w:color w:val="000000" w:themeColor="text1"/>
                <w:sz w:val="24"/>
                <w14:textFill>
                  <w14:solidFill>
                    <w14:schemeClr w14:val="tx1"/>
                  </w14:solidFill>
                </w14:textFill>
              </w:rPr>
              <w:t>及质量标准</w:t>
            </w:r>
          </w:p>
          <w:p>
            <w:pPr>
              <w:pStyle w:val="72"/>
              <w:ind w:firstLine="0" w:firstLineChars="0"/>
              <w:rPr>
                <w:rFonts w:cs="Times New Roman"/>
                <w:b/>
                <w:color w:val="000000" w:themeColor="text1"/>
                <w:szCs w:val="24"/>
                <w14:textFill>
                  <w14:solidFill>
                    <w14:schemeClr w14:val="tx1"/>
                  </w14:solidFill>
                </w14:textFill>
              </w:rPr>
            </w:pPr>
            <w:r>
              <w:rPr>
                <w:rFonts w:cs="Times New Roman"/>
                <w:b/>
                <w:color w:val="000000" w:themeColor="text1"/>
                <w:szCs w:val="24"/>
                <w14:textFill>
                  <w14:solidFill>
                    <w14:schemeClr w14:val="tx1"/>
                  </w14:solidFill>
                </w14:textFill>
              </w:rPr>
              <w:t>2.3.1</w:t>
            </w:r>
            <w:r>
              <w:rPr>
                <w:rFonts w:hint="eastAsia" w:cs="Times New Roman"/>
                <w:b/>
                <w:color w:val="000000" w:themeColor="text1"/>
                <w:szCs w:val="24"/>
                <w14:textFill>
                  <w14:solidFill>
                    <w14:schemeClr w14:val="tx1"/>
                  </w14:solidFill>
                </w14:textFill>
              </w:rPr>
              <w:t>产品方案</w:t>
            </w:r>
          </w:p>
          <w:p>
            <w:pPr>
              <w:pStyle w:val="72"/>
              <w:ind w:firstLine="48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本项目建成后，年加工处理</w:t>
            </w:r>
            <w:r>
              <w:rPr>
                <w:rFonts w:cs="Times New Roman"/>
                <w:color w:val="000000" w:themeColor="text1"/>
                <w:szCs w:val="24"/>
                <w14:textFill>
                  <w14:solidFill>
                    <w14:schemeClr w14:val="tx1"/>
                  </w14:solidFill>
                </w14:textFill>
              </w:rPr>
              <w:t>9</w:t>
            </w:r>
            <w:r>
              <w:rPr>
                <w:rFonts w:hint="eastAsia" w:cs="Times New Roman"/>
                <w:color w:val="000000" w:themeColor="text1"/>
                <w:szCs w:val="24"/>
                <w14:textFill>
                  <w14:solidFill>
                    <w14:schemeClr w14:val="tx1"/>
                  </w14:solidFill>
                </w14:textFill>
              </w:rPr>
              <w:t>万吨废旧轮胎（其中一期</w:t>
            </w:r>
            <w:r>
              <w:rPr>
                <w:rFonts w:cs="Times New Roman"/>
                <w:color w:val="000000" w:themeColor="text1"/>
                <w:szCs w:val="24"/>
                <w14:textFill>
                  <w14:solidFill>
                    <w14:schemeClr w14:val="tx1"/>
                  </w14:solidFill>
                </w14:textFill>
              </w:rPr>
              <w:t>3</w:t>
            </w:r>
            <w:r>
              <w:rPr>
                <w:rFonts w:hint="eastAsia" w:cs="Times New Roman"/>
                <w:color w:val="000000" w:themeColor="text1"/>
                <w:szCs w:val="24"/>
                <w14:textFill>
                  <w14:solidFill>
                    <w14:schemeClr w14:val="tx1"/>
                  </w14:solidFill>
                </w14:textFill>
              </w:rPr>
              <w:t>万吨、二期</w:t>
            </w:r>
            <w:r>
              <w:rPr>
                <w:rFonts w:cs="Times New Roman"/>
                <w:color w:val="000000" w:themeColor="text1"/>
                <w:szCs w:val="24"/>
                <w14:textFill>
                  <w14:solidFill>
                    <w14:schemeClr w14:val="tx1"/>
                  </w14:solidFill>
                </w14:textFill>
              </w:rPr>
              <w:t>6</w:t>
            </w:r>
            <w:r>
              <w:rPr>
                <w:rFonts w:hint="eastAsia" w:cs="Times New Roman"/>
                <w:color w:val="000000" w:themeColor="text1"/>
                <w:szCs w:val="24"/>
                <w14:textFill>
                  <w14:solidFill>
                    <w14:schemeClr w14:val="tx1"/>
                  </w14:solidFill>
                </w14:textFill>
              </w:rPr>
              <w:t>万吨）。</w:t>
            </w:r>
          </w:p>
          <w:p>
            <w:pPr>
              <w:pStyle w:val="72"/>
              <w:ind w:firstLine="48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废旧轮胎破碎裂解后的产物包括炭黑、钢丝、裂解油和副产品裂解不凝气。轮胎品牌及种类较多。因此，轮胎中各组分比例有波动。在实际裂解过程中，受操作条件及运行工况等影响，各产品的比例会产生一定的波动。</w:t>
            </w:r>
          </w:p>
          <w:p>
            <w:pPr>
              <w:pStyle w:val="72"/>
              <w:ind w:firstLine="48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根据本项目裂解设备厂家提供的同型号设备的实际运行数据，</w:t>
            </w:r>
            <w:r>
              <w:rPr>
                <w:rFonts w:hint="eastAsia"/>
                <w:color w:val="000000" w:themeColor="text1"/>
                <w14:textFill>
                  <w14:solidFill>
                    <w14:schemeClr w14:val="tx1"/>
                  </w14:solidFill>
                </w14:textFill>
              </w:rPr>
              <w:t>裂解油得率3</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%、炭黑得率32~3</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%、可燃气得率</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%、钢丝得率1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%。本次评价取各产物得率平均值，即</w:t>
            </w:r>
            <w:r>
              <w:rPr>
                <w:rFonts w:hint="eastAsia" w:cs="Times New Roman"/>
                <w:color w:val="000000" w:themeColor="text1"/>
                <w:szCs w:val="24"/>
                <w14:textFill>
                  <w14:solidFill>
                    <w14:schemeClr w14:val="tx1"/>
                  </w14:solidFill>
                </w14:textFill>
              </w:rPr>
              <w:t>每处理1t废轮胎各产品及副产物的产生量约</w:t>
            </w:r>
            <w:r>
              <w:rPr>
                <w:color w:val="000000" w:themeColor="text1"/>
                <w14:textFill>
                  <w14:solidFill>
                    <w14:schemeClr w14:val="tx1"/>
                  </w14:solidFill>
                </w14:textFill>
              </w:rPr>
              <w:t>裂解油</w:t>
            </w:r>
            <w:r>
              <w:rPr>
                <w:rFonts w:hint="eastAsia"/>
                <w:color w:val="000000" w:themeColor="text1"/>
                <w14:textFill>
                  <w14:solidFill>
                    <w14:schemeClr w14:val="tx1"/>
                  </w14:solidFill>
                </w14:textFill>
              </w:rPr>
              <w:t>0.4</w:t>
            </w:r>
            <w:r>
              <w:rPr>
                <w:color w:val="000000" w:themeColor="text1"/>
                <w14:textFill>
                  <w14:solidFill>
                    <w14:schemeClr w14:val="tx1"/>
                  </w14:solidFill>
                </w14:textFill>
              </w:rPr>
              <w:t>t（产生比例</w:t>
            </w:r>
            <w:r>
              <w:rPr>
                <w:rFonts w:hint="eastAsia"/>
                <w:color w:val="000000" w:themeColor="text1"/>
                <w14:textFill>
                  <w14:solidFill>
                    <w14:schemeClr w14:val="tx1"/>
                  </w14:solidFill>
                </w14:textFill>
              </w:rPr>
              <w:t>40</w:t>
            </w:r>
            <w:r>
              <w:rPr>
                <w:color w:val="000000" w:themeColor="text1"/>
                <w14:textFill>
                  <w14:solidFill>
                    <w14:schemeClr w14:val="tx1"/>
                  </w14:solidFill>
                </w14:textFill>
              </w:rPr>
              <w:t>%）、炭</w:t>
            </w:r>
            <w:r>
              <w:rPr>
                <w:rFonts w:hint="eastAsia"/>
                <w:color w:val="000000" w:themeColor="text1"/>
                <w14:textFill>
                  <w14:solidFill>
                    <w14:schemeClr w14:val="tx1"/>
                  </w14:solidFill>
                </w14:textFill>
              </w:rPr>
              <w:t>黑0.35</w:t>
            </w:r>
            <w:r>
              <w:rPr>
                <w:color w:val="000000" w:themeColor="text1"/>
                <w14:textFill>
                  <w14:solidFill>
                    <w14:schemeClr w14:val="tx1"/>
                  </w14:solidFill>
                </w14:textFill>
              </w:rPr>
              <w:t>t（产生比例</w:t>
            </w:r>
            <w:r>
              <w:rPr>
                <w:rFonts w:hint="eastAsia"/>
                <w:color w:val="000000" w:themeColor="text1"/>
                <w14:textFill>
                  <w14:solidFill>
                    <w14:schemeClr w14:val="tx1"/>
                  </w14:solidFill>
                </w14:textFill>
              </w:rPr>
              <w:t>35</w:t>
            </w:r>
            <w:r>
              <w:rPr>
                <w:color w:val="000000" w:themeColor="text1"/>
                <w14:textFill>
                  <w14:solidFill>
                    <w14:schemeClr w14:val="tx1"/>
                  </w14:solidFill>
                </w14:textFill>
              </w:rPr>
              <w:t>%）、钢丝</w:t>
            </w:r>
            <w:r>
              <w:rPr>
                <w:rFonts w:hint="eastAsia"/>
                <w:color w:val="000000" w:themeColor="text1"/>
                <w14:textFill>
                  <w14:solidFill>
                    <w14:schemeClr w14:val="tx1"/>
                  </w14:solidFill>
                </w14:textFill>
              </w:rPr>
              <w:t>0.1</w:t>
            </w:r>
            <w:r>
              <w:rPr>
                <w:color w:val="000000" w:themeColor="text1"/>
                <w14:textFill>
                  <w14:solidFill>
                    <w14:schemeClr w14:val="tx1"/>
                  </w14:solidFill>
                </w14:textFill>
              </w:rPr>
              <w:t>6t（产生比例</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6%）、裂解不凝气</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08t（产生比例</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r>
              <w:rPr>
                <w:rFonts w:hint="eastAsia" w:cs="Times New Roman"/>
                <w:color w:val="000000" w:themeColor="text1"/>
                <w:szCs w:val="24"/>
                <w14:textFill>
                  <w14:solidFill>
                    <w14:schemeClr w14:val="tx1"/>
                  </w14:solidFill>
                </w14:textFill>
              </w:rPr>
              <w:t>。其中，不凝气作为项目燃料使用，不外售。本项目的产品方案见表2</w:t>
            </w:r>
            <w:r>
              <w:rPr>
                <w:rFonts w:cs="Times New Roman"/>
                <w:color w:val="000000" w:themeColor="text1"/>
                <w:szCs w:val="24"/>
                <w14:textFill>
                  <w14:solidFill>
                    <w14:schemeClr w14:val="tx1"/>
                  </w14:solidFill>
                </w14:textFill>
              </w:rPr>
              <w:t>.3</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1。</w:t>
            </w:r>
          </w:p>
          <w:p>
            <w:pPr>
              <w:pStyle w:val="221"/>
              <w:spacing w:line="240" w:lineRule="auto"/>
              <w:rPr>
                <w:color w:val="000000" w:themeColor="text1"/>
                <w:szCs w:val="24"/>
                <w14:textFill>
                  <w14:solidFill>
                    <w14:schemeClr w14:val="tx1"/>
                  </w14:solidFill>
                </w14:textFill>
              </w:rPr>
            </w:pPr>
            <w:r>
              <w:rPr>
                <w:color w:val="000000" w:themeColor="text1"/>
                <w:szCs w:val="24"/>
                <w14:textFill>
                  <w14:solidFill>
                    <w14:schemeClr w14:val="tx1"/>
                  </w14:solidFill>
                </w14:textFill>
              </w:rPr>
              <w:t>表2.3</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1   产品方案</w:t>
            </w:r>
            <w:r>
              <w:rPr>
                <w:rFonts w:hint="eastAsia"/>
                <w:color w:val="000000" w:themeColor="text1"/>
                <w:szCs w:val="24"/>
                <w14:textFill>
                  <w14:solidFill>
                    <w14:schemeClr w14:val="tx1"/>
                  </w14:solidFill>
                </w14:textFill>
              </w:rPr>
              <w:t>、产量一览表</w:t>
            </w:r>
          </w:p>
          <w:tbl>
            <w:tblPr>
              <w:tblStyle w:val="36"/>
              <w:tblW w:w="0" w:type="auto"/>
              <w:tblInd w:w="0" w:type="dxa"/>
              <w:tblLayout w:type="autofit"/>
              <w:tblCellMar>
                <w:top w:w="0" w:type="dxa"/>
                <w:left w:w="108" w:type="dxa"/>
                <w:bottom w:w="0" w:type="dxa"/>
                <w:right w:w="108" w:type="dxa"/>
              </w:tblCellMar>
            </w:tblPr>
            <w:tblGrid>
              <w:gridCol w:w="659"/>
              <w:gridCol w:w="835"/>
              <w:gridCol w:w="1405"/>
              <w:gridCol w:w="1398"/>
              <w:gridCol w:w="1118"/>
              <w:gridCol w:w="2722"/>
            </w:tblGrid>
            <w:tr>
              <w:tblPrEx>
                <w:tblCellMar>
                  <w:top w:w="0" w:type="dxa"/>
                  <w:left w:w="108" w:type="dxa"/>
                  <w:bottom w:w="0" w:type="dxa"/>
                  <w:right w:w="108" w:type="dxa"/>
                </w:tblCellMar>
              </w:tblPrEx>
              <w:trPr>
                <w:trHeight w:val="20" w:hRule="atLeast"/>
              </w:trPr>
              <w:tc>
                <w:tcPr>
                  <w:tcW w:w="149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产品名称</w:t>
                  </w:r>
                </w:p>
              </w:tc>
              <w:tc>
                <w:tcPr>
                  <w:tcW w:w="392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年产量（t）</w:t>
                  </w:r>
                </w:p>
              </w:tc>
              <w:tc>
                <w:tcPr>
                  <w:tcW w:w="2722" w:type="dxa"/>
                  <w:vMerge w:val="restart"/>
                  <w:tcBorders>
                    <w:top w:val="single" w:color="auto" w:sz="4" w:space="0"/>
                    <w:left w:val="single" w:color="auto" w:sz="4" w:space="0"/>
                    <w:bottom w:val="single" w:color="auto" w:sz="4" w:space="0"/>
                    <w:right w:val="single" w:color="auto" w:sz="8" w:space="0"/>
                  </w:tcBorders>
                  <w:shd w:val="clear" w:color="auto" w:fill="auto"/>
                  <w:vAlign w:val="center"/>
                </w:tcPr>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备注</w:t>
                  </w:r>
                </w:p>
              </w:tc>
            </w:tr>
            <w:tr>
              <w:tblPrEx>
                <w:tblCellMar>
                  <w:top w:w="0" w:type="dxa"/>
                  <w:left w:w="108" w:type="dxa"/>
                  <w:bottom w:w="0" w:type="dxa"/>
                  <w:right w:w="108" w:type="dxa"/>
                </w:tblCellMar>
              </w:tblPrEx>
              <w:trPr>
                <w:trHeight w:val="20" w:hRule="atLeast"/>
              </w:trPr>
              <w:tc>
                <w:tcPr>
                  <w:tcW w:w="1494"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b/>
                      <w:bCs/>
                      <w:color w:val="000000" w:themeColor="text1"/>
                      <w:kern w:val="0"/>
                      <w:szCs w:val="21"/>
                      <w14:textFill>
                        <w14:solidFill>
                          <w14:schemeClr w14:val="tx1"/>
                        </w14:solidFill>
                      </w14:textFill>
                    </w:rPr>
                  </w:pP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一期</w:t>
                  </w:r>
                </w:p>
              </w:tc>
              <w:tc>
                <w:tcPr>
                  <w:tcW w:w="13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二期</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总体</w:t>
                  </w:r>
                </w:p>
              </w:tc>
              <w:tc>
                <w:tcPr>
                  <w:tcW w:w="2722" w:type="dxa"/>
                  <w:vMerge w:val="continue"/>
                  <w:tcBorders>
                    <w:top w:val="single" w:color="auto" w:sz="4" w:space="0"/>
                    <w:left w:val="single" w:color="auto" w:sz="4" w:space="0"/>
                    <w:bottom w:val="single" w:color="auto" w:sz="4" w:space="0"/>
                    <w:right w:val="single" w:color="auto" w:sz="8" w:space="0"/>
                  </w:tcBorders>
                  <w:vAlign w:val="center"/>
                </w:tcPr>
                <w:p>
                  <w:pPr>
                    <w:spacing w:line="240" w:lineRule="auto"/>
                    <w:jc w:val="center"/>
                    <w:rPr>
                      <w:b/>
                      <w:bCs/>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20" w:hRule="atLeast"/>
              </w:trPr>
              <w:tc>
                <w:tcPr>
                  <w:tcW w:w="6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产品</w:t>
                  </w:r>
                </w:p>
              </w:tc>
              <w:tc>
                <w:tcPr>
                  <w:tcW w:w="83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裂解油</w:t>
                  </w: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1993.431</w:t>
                  </w:r>
                </w:p>
              </w:tc>
              <w:tc>
                <w:tcPr>
                  <w:tcW w:w="13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3988.429</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5981.86</w:t>
                  </w:r>
                </w:p>
              </w:tc>
              <w:tc>
                <w:tcPr>
                  <w:tcW w:w="2722" w:type="dxa"/>
                  <w:vMerge w:val="restart"/>
                  <w:tcBorders>
                    <w:top w:val="single" w:color="auto" w:sz="4" w:space="0"/>
                    <w:left w:val="single" w:color="auto" w:sz="4" w:space="0"/>
                    <w:right w:val="single" w:color="auto" w:sz="8" w:space="0"/>
                  </w:tcBorders>
                  <w:shd w:val="clear" w:color="auto" w:fill="auto"/>
                  <w:vAlign w:val="center"/>
                </w:tcPr>
                <w:p>
                  <w:pPr>
                    <w:spacing w:line="240" w:lineRule="auto"/>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产品产能根据物料平衡核算。本项目钢丝、磁选出来的毛细钢丝经过加工最终制成钢丸。</w:t>
                  </w:r>
                </w:p>
              </w:tc>
            </w:tr>
            <w:tr>
              <w:tblPrEx>
                <w:tblCellMar>
                  <w:top w:w="0" w:type="dxa"/>
                  <w:left w:w="108" w:type="dxa"/>
                  <w:bottom w:w="0" w:type="dxa"/>
                  <w:right w:w="108" w:type="dxa"/>
                </w:tblCellMar>
              </w:tblPrEx>
              <w:trPr>
                <w:trHeight w:val="20" w:hRule="atLeast"/>
              </w:trPr>
              <w:tc>
                <w:tcPr>
                  <w:tcW w:w="659"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kern w:val="0"/>
                      <w:szCs w:val="21"/>
                      <w14:textFill>
                        <w14:solidFill>
                          <w14:schemeClr w14:val="tx1"/>
                        </w14:solidFill>
                      </w14:textFill>
                    </w:rPr>
                  </w:pPr>
                </w:p>
              </w:tc>
              <w:tc>
                <w:tcPr>
                  <w:tcW w:w="83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炭黑</w:t>
                  </w: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0497.9</w:t>
                  </w:r>
                </w:p>
              </w:tc>
              <w:tc>
                <w:tcPr>
                  <w:tcW w:w="13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0995.8</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1493.7</w:t>
                  </w:r>
                </w:p>
              </w:tc>
              <w:tc>
                <w:tcPr>
                  <w:tcW w:w="2722" w:type="dxa"/>
                  <w:vMerge w:val="continue"/>
                  <w:tcBorders>
                    <w:left w:val="single" w:color="auto" w:sz="4" w:space="0"/>
                    <w:right w:val="single" w:color="auto" w:sz="8"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20" w:hRule="atLeast"/>
              </w:trPr>
              <w:tc>
                <w:tcPr>
                  <w:tcW w:w="659"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kern w:val="0"/>
                      <w:szCs w:val="21"/>
                      <w14:textFill>
                        <w14:solidFill>
                          <w14:schemeClr w14:val="tx1"/>
                        </w14:solidFill>
                      </w14:textFill>
                    </w:rPr>
                  </w:pPr>
                </w:p>
              </w:tc>
              <w:tc>
                <w:tcPr>
                  <w:tcW w:w="83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钢</w:t>
                  </w:r>
                  <w:r>
                    <w:rPr>
                      <w:rFonts w:hint="eastAsia"/>
                      <w:color w:val="000000" w:themeColor="text1"/>
                      <w:kern w:val="0"/>
                      <w:szCs w:val="21"/>
                      <w14:textFill>
                        <w14:solidFill>
                          <w14:schemeClr w14:val="tx1"/>
                        </w14:solidFill>
                      </w14:textFill>
                    </w:rPr>
                    <w:t>丸</w:t>
                  </w: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800</w:t>
                  </w:r>
                </w:p>
              </w:tc>
              <w:tc>
                <w:tcPr>
                  <w:tcW w:w="13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600</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4400</w:t>
                  </w:r>
                </w:p>
              </w:tc>
              <w:tc>
                <w:tcPr>
                  <w:tcW w:w="2722" w:type="dxa"/>
                  <w:vMerge w:val="continue"/>
                  <w:tcBorders>
                    <w:left w:val="single" w:color="auto" w:sz="4" w:space="0"/>
                    <w:bottom w:val="single" w:color="auto" w:sz="4" w:space="0"/>
                    <w:right w:val="single" w:color="auto" w:sz="8"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p>
              </w:tc>
            </w:tr>
          </w:tbl>
          <w:p>
            <w:pPr>
              <w:pStyle w:val="72"/>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2.3.2</w:t>
            </w:r>
            <w:r>
              <w:rPr>
                <w:rFonts w:hint="eastAsia"/>
                <w:b/>
                <w:color w:val="000000" w:themeColor="text1"/>
                <w14:textFill>
                  <w14:solidFill>
                    <w14:schemeClr w14:val="tx1"/>
                  </w14:solidFill>
                </w14:textFill>
              </w:rPr>
              <w:t>质量标准</w:t>
            </w:r>
          </w:p>
          <w:p>
            <w:pPr>
              <w:pStyle w:val="7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）炭黑</w:t>
            </w:r>
          </w:p>
          <w:p>
            <w:pPr>
              <w:pStyle w:val="7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本项目产品炭黑经过深加工后可用于轮胎制造、橡胶制品、塑料色母粒、油墨等行业回收利用。项目炭黑产品质量指标执行《废旧轮胎裂解炭黑》（H</w:t>
            </w:r>
            <w:r>
              <w:rPr>
                <w:color w:val="000000" w:themeColor="text1"/>
                <w14:textFill>
                  <w14:solidFill>
                    <w14:schemeClr w14:val="tx1"/>
                  </w14:solidFill>
                </w14:textFill>
              </w:rPr>
              <w:t>G/T5459-2018</w:t>
            </w:r>
            <w:r>
              <w:rPr>
                <w:rFonts w:hint="eastAsia"/>
                <w:color w:val="000000" w:themeColor="text1"/>
                <w14:textFill>
                  <w14:solidFill>
                    <w14:schemeClr w14:val="tx1"/>
                  </w14:solidFill>
                </w14:textFill>
              </w:rPr>
              <w:t>）中的N</w:t>
            </w:r>
            <w:r>
              <w:rPr>
                <w:color w:val="000000" w:themeColor="text1"/>
                <w14:textFill>
                  <w14:solidFill>
                    <w14:schemeClr w14:val="tx1"/>
                  </w14:solidFill>
                </w14:textFill>
              </w:rPr>
              <w:t>330</w:t>
            </w:r>
            <w:r>
              <w:rPr>
                <w:rFonts w:hint="eastAsia"/>
                <w:color w:val="000000" w:themeColor="text1"/>
                <w14:textFill>
                  <w14:solidFill>
                    <w14:schemeClr w14:val="tx1"/>
                  </w14:solidFill>
                </w14:textFill>
              </w:rPr>
              <w:t>系列炭黑指标，详见表2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pPr>
              <w:pStyle w:val="72"/>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表2</w:t>
            </w:r>
            <w:r>
              <w:rPr>
                <w:b/>
                <w:color w:val="000000" w:themeColor="text1"/>
                <w14:textFill>
                  <w14:solidFill>
                    <w14:schemeClr w14:val="tx1"/>
                  </w14:solidFill>
                </w14:textFill>
              </w:rPr>
              <w:t>.3</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 xml:space="preserve">2  </w:t>
            </w:r>
            <w:r>
              <w:rPr>
                <w:rFonts w:hint="eastAsia"/>
                <w:b/>
                <w:color w:val="000000" w:themeColor="text1"/>
                <w14:textFill>
                  <w14:solidFill>
                    <w14:schemeClr w14:val="tx1"/>
                  </w14:solidFill>
                </w14:textFill>
              </w:rPr>
              <w:t>炭黑产品指标表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2117"/>
              <w:gridCol w:w="1274"/>
              <w:gridCol w:w="1191"/>
              <w:gridCol w:w="1400"/>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shd w:val="clear" w:color="auto" w:fill="auto"/>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序号</w:t>
                  </w:r>
                </w:p>
              </w:tc>
              <w:tc>
                <w:tcPr>
                  <w:tcW w:w="2126" w:type="dxa"/>
                  <w:shd w:val="clear" w:color="auto" w:fill="auto"/>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指标</w:t>
                  </w:r>
                </w:p>
              </w:tc>
              <w:tc>
                <w:tcPr>
                  <w:tcW w:w="1276" w:type="dxa"/>
                  <w:shd w:val="clear" w:color="auto" w:fill="auto"/>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单位</w:t>
                  </w:r>
                </w:p>
              </w:tc>
              <w:tc>
                <w:tcPr>
                  <w:tcW w:w="1193" w:type="dxa"/>
                  <w:shd w:val="clear" w:color="auto" w:fill="auto"/>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数值</w:t>
                  </w:r>
                </w:p>
              </w:tc>
              <w:tc>
                <w:tcPr>
                  <w:tcW w:w="1406" w:type="dxa"/>
                  <w:shd w:val="clear" w:color="auto" w:fill="auto"/>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允许波动</w:t>
                  </w:r>
                </w:p>
              </w:tc>
              <w:tc>
                <w:tcPr>
                  <w:tcW w:w="1406" w:type="dxa"/>
                  <w:shd w:val="clear" w:color="auto" w:fill="auto"/>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12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吸碘值</w:t>
                  </w:r>
                </w:p>
              </w:tc>
              <w:tc>
                <w:tcPr>
                  <w:tcW w:w="127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g/kg</w:t>
                  </w:r>
                </w:p>
              </w:tc>
              <w:tc>
                <w:tcPr>
                  <w:tcW w:w="1193"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≥90</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GB/T3780.1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212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吸油值</w:t>
                  </w:r>
                </w:p>
              </w:tc>
              <w:tc>
                <w:tcPr>
                  <w:tcW w:w="127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w:t>
                  </w:r>
                  <w:r>
                    <w:rPr>
                      <w:rFonts w:cs="Times New Roman"/>
                      <w:color w:val="000000" w:themeColor="text1"/>
                      <w:sz w:val="21"/>
                      <w:szCs w:val="21"/>
                      <w:vertAlign w:val="superscript"/>
                      <w14:textFill>
                        <w14:solidFill>
                          <w14:schemeClr w14:val="tx1"/>
                        </w14:solidFill>
                      </w14:textFill>
                    </w:rPr>
                    <w:t>-5</w:t>
                  </w:r>
                  <w:r>
                    <w:rPr>
                      <w:rFonts w:cs="Times New Roman"/>
                      <w:color w:val="000000" w:themeColor="text1"/>
                      <w:sz w:val="21"/>
                      <w:szCs w:val="21"/>
                      <w14:textFill>
                        <w14:solidFill>
                          <w14:schemeClr w14:val="tx1"/>
                        </w14:solidFill>
                      </w14:textFill>
                    </w:rPr>
                    <w:t>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/kg</w:t>
                  </w:r>
                </w:p>
              </w:tc>
              <w:tc>
                <w:tcPr>
                  <w:tcW w:w="1193"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≥60</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±9</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GB/T3780.2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25"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212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CTAB吸附比表面积</w:t>
                  </w:r>
                </w:p>
              </w:tc>
              <w:tc>
                <w:tcPr>
                  <w:tcW w:w="127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m</w:t>
                  </w:r>
                  <w:r>
                    <w:rPr>
                      <w:rFonts w:cs="Times New Roman"/>
                      <w:color w:val="000000" w:themeColor="text1"/>
                      <w:sz w:val="21"/>
                      <w:szCs w:val="21"/>
                      <w:vertAlign w:val="superscript"/>
                      <w14:textFill>
                        <w14:solidFill>
                          <w14:schemeClr w14:val="tx1"/>
                        </w14:solidFill>
                      </w14:textFill>
                    </w:rPr>
                    <w:t>2</w:t>
                  </w:r>
                  <w:r>
                    <w:rPr>
                      <w:rFonts w:cs="Times New Roman"/>
                      <w:color w:val="000000" w:themeColor="text1"/>
                      <w:sz w:val="21"/>
                      <w:szCs w:val="21"/>
                      <w14:textFill>
                        <w14:solidFill>
                          <w14:schemeClr w14:val="tx1"/>
                        </w14:solidFill>
                      </w14:textFill>
                    </w:rPr>
                    <w:t>/kg</w:t>
                  </w:r>
                </w:p>
              </w:tc>
              <w:tc>
                <w:tcPr>
                  <w:tcW w:w="1193"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≥45</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±8</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GB/T3780.5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212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加热减量</w:t>
                  </w:r>
                </w:p>
              </w:tc>
              <w:tc>
                <w:tcPr>
                  <w:tcW w:w="127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193"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GB/T3780.8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w:t>
                  </w:r>
                </w:p>
              </w:tc>
              <w:tc>
                <w:tcPr>
                  <w:tcW w:w="212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45μm筛余物</w:t>
                  </w:r>
                </w:p>
              </w:tc>
              <w:tc>
                <w:tcPr>
                  <w:tcW w:w="127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mg/kg</w:t>
                  </w:r>
                </w:p>
              </w:tc>
              <w:tc>
                <w:tcPr>
                  <w:tcW w:w="1193"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≤500</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GB/T3780.21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w:t>
                  </w:r>
                </w:p>
              </w:tc>
              <w:tc>
                <w:tcPr>
                  <w:tcW w:w="212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甲苯抽出物透光率</w:t>
                  </w:r>
                </w:p>
              </w:tc>
              <w:tc>
                <w:tcPr>
                  <w:tcW w:w="127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193"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≤80</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GB/T3780.15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w:t>
                  </w:r>
                </w:p>
              </w:tc>
              <w:tc>
                <w:tcPr>
                  <w:tcW w:w="212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300%定伸应力</w:t>
                  </w:r>
                </w:p>
              </w:tc>
              <w:tc>
                <w:tcPr>
                  <w:tcW w:w="127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MPa</w:t>
                  </w:r>
                </w:p>
              </w:tc>
              <w:tc>
                <w:tcPr>
                  <w:tcW w:w="1193"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≥-6.0</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w:t>
                  </w:r>
                </w:p>
              </w:tc>
              <w:tc>
                <w:tcPr>
                  <w:tcW w:w="1406" w:type="dxa"/>
                  <w:vMerge w:val="restart"/>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GB/T3780.18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8</w:t>
                  </w:r>
                </w:p>
              </w:tc>
              <w:tc>
                <w:tcPr>
                  <w:tcW w:w="212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拉伸强度</w:t>
                  </w:r>
                </w:p>
              </w:tc>
              <w:tc>
                <w:tcPr>
                  <w:tcW w:w="127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MPa</w:t>
                  </w:r>
                </w:p>
              </w:tc>
              <w:tc>
                <w:tcPr>
                  <w:tcW w:w="1193"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≥-5.0</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w:t>
                  </w:r>
                </w:p>
              </w:tc>
              <w:tc>
                <w:tcPr>
                  <w:tcW w:w="1406" w:type="dxa"/>
                  <w:vMerge w:val="continue"/>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9</w:t>
                  </w:r>
                </w:p>
              </w:tc>
              <w:tc>
                <w:tcPr>
                  <w:tcW w:w="212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拉断伸长率</w:t>
                  </w:r>
                </w:p>
              </w:tc>
              <w:tc>
                <w:tcPr>
                  <w:tcW w:w="127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193"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406" w:type="dxa"/>
                  <w:vMerge w:val="continue"/>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w:t>
                  </w:r>
                </w:p>
              </w:tc>
              <w:tc>
                <w:tcPr>
                  <w:tcW w:w="212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杂质</w:t>
                  </w:r>
                </w:p>
              </w:tc>
              <w:tc>
                <w:tcPr>
                  <w:tcW w:w="127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193"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无</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无</w:t>
                  </w:r>
                </w:p>
              </w:tc>
              <w:tc>
                <w:tcPr>
                  <w:tcW w:w="1406"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GB/T3780.12</w:t>
                  </w:r>
                </w:p>
              </w:tc>
            </w:tr>
          </w:tbl>
          <w:p>
            <w:pPr>
              <w:pStyle w:val="7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）裂解油</w:t>
            </w:r>
          </w:p>
          <w:p>
            <w:pPr>
              <w:pStyle w:val="72"/>
              <w:ind w:firstLine="480"/>
              <w:rPr>
                <w:color w:val="FF0000"/>
              </w:rPr>
            </w:pPr>
            <w:r>
              <w:rPr>
                <w:rFonts w:hint="eastAsia"/>
                <w:color w:val="FF0000"/>
              </w:rPr>
              <w:t>目前，我国尚未发布废旧轮胎裂解燃料油的强制性国家质量标准。因此，裂解油产品质量标准参照执行中国轮胎循环利用协会2</w:t>
            </w:r>
            <w:r>
              <w:rPr>
                <w:color w:val="FF0000"/>
              </w:rPr>
              <w:t>020</w:t>
            </w:r>
            <w:r>
              <w:rPr>
                <w:rFonts w:hint="eastAsia"/>
                <w:color w:val="FF0000"/>
              </w:rPr>
              <w:t>年1</w:t>
            </w:r>
            <w:r>
              <w:rPr>
                <w:color w:val="FF0000"/>
              </w:rPr>
              <w:t>2</w:t>
            </w:r>
            <w:r>
              <w:rPr>
                <w:rFonts w:hint="eastAsia"/>
                <w:color w:val="FF0000"/>
              </w:rPr>
              <w:t>月发布的《废轮胎/橡胶再生油》（</w:t>
            </w:r>
            <w:r>
              <w:rPr>
                <w:color w:val="FF0000"/>
              </w:rPr>
              <w:t>T/CTRA 01-2020</w:t>
            </w:r>
            <w:r>
              <w:rPr>
                <w:rFonts w:hint="eastAsia"/>
                <w:color w:val="FF0000"/>
              </w:rPr>
              <w:t>）。该标准的适用范围为：以废轮胎/橡胶为原料，通过热裂解的方式生产的再生油。因此，本项目热裂解油执行该行业质量标准。产品质量技术指标详见表2</w:t>
            </w:r>
            <w:r>
              <w:rPr>
                <w:color w:val="FF0000"/>
              </w:rPr>
              <w:t>.3</w:t>
            </w:r>
            <w:r>
              <w:rPr>
                <w:rFonts w:hint="eastAsia"/>
                <w:color w:val="FF0000"/>
              </w:rPr>
              <w:t>-</w:t>
            </w:r>
            <w:r>
              <w:rPr>
                <w:color w:val="FF0000"/>
              </w:rPr>
              <w:t>3</w:t>
            </w:r>
            <w:r>
              <w:rPr>
                <w:rFonts w:hint="eastAsia"/>
                <w:color w:val="FF0000"/>
              </w:rPr>
              <w:t>。</w:t>
            </w:r>
          </w:p>
          <w:p>
            <w:pPr>
              <w:pStyle w:val="72"/>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表2</w:t>
            </w:r>
            <w:r>
              <w:rPr>
                <w:b/>
                <w:color w:val="000000" w:themeColor="text1"/>
                <w14:textFill>
                  <w14:solidFill>
                    <w14:schemeClr w14:val="tx1"/>
                  </w14:solidFill>
                </w14:textFill>
              </w:rPr>
              <w:t>.3</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 xml:space="preserve">3  </w:t>
            </w:r>
            <w:r>
              <w:rPr>
                <w:rFonts w:hint="eastAsia"/>
                <w:b/>
                <w:color w:val="000000" w:themeColor="text1"/>
                <w14:textFill>
                  <w14:solidFill>
                    <w14:schemeClr w14:val="tx1"/>
                  </w14:solidFill>
                </w14:textFill>
              </w:rPr>
              <w:t>废轮胎/橡胶再生油的技术指标（T/CTRA 01-2020）</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7"/>
              <w:gridCol w:w="2097"/>
              <w:gridCol w:w="2097"/>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7" w:type="dxa"/>
                  <w:shd w:val="clear" w:color="auto" w:fill="auto"/>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项目</w:t>
                  </w:r>
                </w:p>
              </w:tc>
              <w:tc>
                <w:tcPr>
                  <w:tcW w:w="2097" w:type="dxa"/>
                  <w:shd w:val="clear" w:color="auto" w:fill="auto"/>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单位</w:t>
                  </w:r>
                </w:p>
              </w:tc>
              <w:tc>
                <w:tcPr>
                  <w:tcW w:w="2097" w:type="dxa"/>
                  <w:shd w:val="clear" w:color="auto" w:fill="auto"/>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技术指标</w:t>
                  </w:r>
                </w:p>
              </w:tc>
              <w:tc>
                <w:tcPr>
                  <w:tcW w:w="2098" w:type="dxa"/>
                  <w:shd w:val="clear" w:color="auto" w:fill="auto"/>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测试方法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热值</w:t>
                  </w:r>
                </w:p>
              </w:tc>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kcal/kg</w:t>
                  </w:r>
                </w:p>
              </w:tc>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≥9500</w:t>
                  </w:r>
                </w:p>
              </w:tc>
              <w:tc>
                <w:tcPr>
                  <w:tcW w:w="2098"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G</w:t>
                  </w:r>
                  <w:r>
                    <w:rPr>
                      <w:rFonts w:cs="Times New Roman"/>
                      <w:color w:val="000000" w:themeColor="text1"/>
                      <w:sz w:val="21"/>
                      <w:szCs w:val="21"/>
                      <w14:textFill>
                        <w14:solidFill>
                          <w14:schemeClr w14:val="tx1"/>
                        </w14:solidFill>
                      </w14:textFill>
                    </w:rPr>
                    <w:t>B/T 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硫含量</w:t>
                  </w:r>
                </w:p>
              </w:tc>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w:t>
                  </w:r>
                </w:p>
              </w:tc>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098"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G</w:t>
                  </w:r>
                  <w:r>
                    <w:rPr>
                      <w:rFonts w:cs="Times New Roman"/>
                      <w:color w:val="000000" w:themeColor="text1"/>
                      <w:sz w:val="21"/>
                      <w:szCs w:val="21"/>
                      <w14:textFill>
                        <w14:solidFill>
                          <w14:schemeClr w14:val="tx1"/>
                        </w14:solidFill>
                      </w14:textFill>
                    </w:rPr>
                    <w:t>B/T 17040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水分</w:t>
                  </w:r>
                </w:p>
              </w:tc>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w:t>
                  </w:r>
                </w:p>
              </w:tc>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≤0.5</w:t>
                  </w:r>
                </w:p>
              </w:tc>
              <w:tc>
                <w:tcPr>
                  <w:tcW w:w="2098"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G</w:t>
                  </w:r>
                  <w:r>
                    <w:rPr>
                      <w:rFonts w:cs="Times New Roman"/>
                      <w:color w:val="000000" w:themeColor="text1"/>
                      <w:sz w:val="21"/>
                      <w:szCs w:val="21"/>
                      <w14:textFill>
                        <w14:solidFill>
                          <w14:schemeClr w14:val="tx1"/>
                        </w14:solidFill>
                      </w14:textFill>
                    </w:rPr>
                    <w:t>B/T 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闪点（闭口）</w:t>
                  </w:r>
                </w:p>
              </w:tc>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实测</w:t>
                  </w:r>
                </w:p>
              </w:tc>
              <w:tc>
                <w:tcPr>
                  <w:tcW w:w="2098"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G</w:t>
                  </w:r>
                  <w:r>
                    <w:rPr>
                      <w:rFonts w:cs="Times New Roman"/>
                      <w:color w:val="000000" w:themeColor="text1"/>
                      <w:sz w:val="21"/>
                      <w:szCs w:val="21"/>
                      <w14:textFill>
                        <w14:solidFill>
                          <w14:schemeClr w14:val="tx1"/>
                        </w14:solidFill>
                      </w14:textFill>
                    </w:rPr>
                    <w:t>B/T 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密度（20℃）</w:t>
                  </w:r>
                </w:p>
              </w:tc>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kg/m</w:t>
                  </w:r>
                  <w:r>
                    <w:rPr>
                      <w:rFonts w:cs="Times New Roman"/>
                      <w:color w:val="000000" w:themeColor="text1"/>
                      <w:sz w:val="21"/>
                      <w:szCs w:val="21"/>
                      <w:vertAlign w:val="superscript"/>
                      <w14:textFill>
                        <w14:solidFill>
                          <w14:schemeClr w14:val="tx1"/>
                        </w14:solidFill>
                      </w14:textFill>
                    </w:rPr>
                    <w:t>3</w:t>
                  </w:r>
                </w:p>
              </w:tc>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≤950</w:t>
                  </w:r>
                </w:p>
              </w:tc>
              <w:tc>
                <w:tcPr>
                  <w:tcW w:w="2098"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G</w:t>
                  </w:r>
                  <w:r>
                    <w:rPr>
                      <w:rFonts w:cs="Times New Roman"/>
                      <w:color w:val="000000" w:themeColor="text1"/>
                      <w:sz w:val="21"/>
                      <w:szCs w:val="21"/>
                      <w14:textFill>
                        <w14:solidFill>
                          <w14:schemeClr w14:val="tx1"/>
                        </w14:solidFill>
                      </w14:textFill>
                    </w:rPr>
                    <w:t>B/T 1884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运动粘度（40℃）</w:t>
                  </w:r>
                </w:p>
              </w:tc>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mm</w:t>
                  </w:r>
                  <w:r>
                    <w:rPr>
                      <w:rFonts w:cs="Times New Roman"/>
                      <w:color w:val="000000" w:themeColor="text1"/>
                      <w:sz w:val="21"/>
                      <w:szCs w:val="21"/>
                      <w:vertAlign w:val="superscript"/>
                      <w14:textFill>
                        <w14:solidFill>
                          <w14:schemeClr w14:val="tx1"/>
                        </w14:solidFill>
                      </w14:textFill>
                    </w:rPr>
                    <w:t>2</w:t>
                  </w:r>
                  <w:r>
                    <w:rPr>
                      <w:rFonts w:cs="Times New Roman"/>
                      <w:color w:val="000000" w:themeColor="text1"/>
                      <w:sz w:val="21"/>
                      <w:szCs w:val="21"/>
                      <w14:textFill>
                        <w14:solidFill>
                          <w14:schemeClr w14:val="tx1"/>
                        </w14:solidFill>
                      </w14:textFill>
                    </w:rPr>
                    <w:t>/s</w:t>
                  </w:r>
                </w:p>
              </w:tc>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1.3≤Vt≤5.5</w:t>
                  </w:r>
                </w:p>
              </w:tc>
              <w:tc>
                <w:tcPr>
                  <w:tcW w:w="2098"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G</w:t>
                  </w:r>
                  <w:r>
                    <w:rPr>
                      <w:rFonts w:cs="Times New Roman"/>
                      <w:color w:val="000000" w:themeColor="text1"/>
                      <w:sz w:val="21"/>
                      <w:szCs w:val="21"/>
                      <w14:textFill>
                        <w14:solidFill>
                          <w14:schemeClr w14:val="tx1"/>
                        </w14:solidFill>
                      </w14:textFill>
                    </w:rPr>
                    <w:t>B/T 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倾点</w:t>
                  </w:r>
                </w:p>
              </w:tc>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w:t>
                  </w:r>
                </w:p>
              </w:tc>
              <w:tc>
                <w:tcPr>
                  <w:tcW w:w="2098"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G</w:t>
                  </w:r>
                  <w:r>
                    <w:rPr>
                      <w:rFonts w:cs="Times New Roman"/>
                      <w:color w:val="000000" w:themeColor="text1"/>
                      <w:sz w:val="21"/>
                      <w:szCs w:val="21"/>
                      <w14:textFill>
                        <w14:solidFill>
                          <w14:schemeClr w14:val="tx1"/>
                        </w14:solidFill>
                      </w14:textFill>
                    </w:rPr>
                    <w:t>B/T 3535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灰分</w:t>
                  </w:r>
                </w:p>
              </w:tc>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w:t>
                  </w:r>
                </w:p>
              </w:tc>
              <w:tc>
                <w:tcPr>
                  <w:tcW w:w="2097" w:type="dxa"/>
                  <w:shd w:val="clear" w:color="auto" w:fill="auto"/>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≤0.04</w:t>
                  </w:r>
                </w:p>
              </w:tc>
              <w:tc>
                <w:tcPr>
                  <w:tcW w:w="2098" w:type="dxa"/>
                  <w:shd w:val="clear" w:color="auto" w:fill="auto"/>
                </w:tcPr>
                <w:p>
                  <w:pPr>
                    <w:pStyle w:val="72"/>
                    <w:spacing w:line="240" w:lineRule="auto"/>
                    <w:ind w:firstLine="0" w:firstLineChars="0"/>
                    <w:jc w:val="center"/>
                    <w:rPr>
                      <w:b/>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G</w:t>
                  </w:r>
                  <w:r>
                    <w:rPr>
                      <w:color w:val="000000" w:themeColor="text1"/>
                      <w:sz w:val="21"/>
                      <w:szCs w:val="21"/>
                      <w14:textFill>
                        <w14:solidFill>
                          <w14:schemeClr w14:val="tx1"/>
                        </w14:solidFill>
                      </w14:textFill>
                    </w:rPr>
                    <w:t>B/T 508</w:t>
                  </w:r>
                </w:p>
              </w:tc>
            </w:tr>
          </w:tbl>
          <w:p>
            <w:pPr>
              <w:pStyle w:val="72"/>
              <w:ind w:firstLine="480"/>
              <w:rPr>
                <w:color w:val="FF0000"/>
              </w:rPr>
            </w:pPr>
            <w:r>
              <w:rPr>
                <w:rFonts w:hint="eastAsia"/>
                <w:color w:val="FF0000"/>
              </w:rPr>
              <w:t>根据建设单位提供的同行业采用同种型号裂解设备加工的裂解油的检测报告（见表2</w:t>
            </w:r>
            <w:r>
              <w:rPr>
                <w:color w:val="FF0000"/>
              </w:rPr>
              <w:t>.3</w:t>
            </w:r>
            <w:r>
              <w:rPr>
                <w:rFonts w:hint="eastAsia"/>
                <w:color w:val="FF0000"/>
              </w:rPr>
              <w:t>-</w:t>
            </w:r>
            <w:r>
              <w:rPr>
                <w:color w:val="FF0000"/>
              </w:rPr>
              <w:t>4</w:t>
            </w:r>
            <w:r>
              <w:rPr>
                <w:rFonts w:hint="eastAsia"/>
                <w:color w:val="FF0000"/>
              </w:rPr>
              <w:t>及附件5）可知，本项目所选用的裂解设备裂解出的裂解油完全能够达到《废轮胎/橡胶再生油》（</w:t>
            </w:r>
            <w:r>
              <w:rPr>
                <w:color w:val="FF0000"/>
              </w:rPr>
              <w:t>T/CTRA 01-2020</w:t>
            </w:r>
            <w:r>
              <w:rPr>
                <w:rFonts w:hint="eastAsia"/>
                <w:color w:val="FF0000"/>
              </w:rPr>
              <w:t>）中的质量标准要求。</w:t>
            </w:r>
          </w:p>
          <w:p>
            <w:pPr>
              <w:pStyle w:val="72"/>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表2</w:t>
            </w:r>
            <w:r>
              <w:rPr>
                <w:b/>
                <w:color w:val="000000" w:themeColor="text1"/>
                <w14:textFill>
                  <w14:solidFill>
                    <w14:schemeClr w14:val="tx1"/>
                  </w14:solidFill>
                </w14:textFill>
              </w:rPr>
              <w:t>.3</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 xml:space="preserve">4  </w:t>
            </w:r>
            <w:r>
              <w:rPr>
                <w:rFonts w:hint="eastAsia"/>
                <w:b/>
                <w:color w:val="000000" w:themeColor="text1"/>
                <w14:textFill>
                  <w14:solidFill>
                    <w14:schemeClr w14:val="tx1"/>
                  </w14:solidFill>
                </w14:textFill>
              </w:rPr>
              <w:t>轮胎裂解油检测报告</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8"/>
              <w:gridCol w:w="2977"/>
              <w:gridCol w:w="3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68" w:type="dxa"/>
                  <w:vAlign w:val="center"/>
                </w:tcPr>
                <w:p>
                  <w:pPr>
                    <w:pStyle w:val="72"/>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2977" w:type="dxa"/>
                  <w:vAlign w:val="center"/>
                </w:tcPr>
                <w:p>
                  <w:pPr>
                    <w:pStyle w:val="72"/>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检测项目</w:t>
                  </w:r>
                </w:p>
              </w:tc>
              <w:tc>
                <w:tcPr>
                  <w:tcW w:w="3197" w:type="dxa"/>
                  <w:vAlign w:val="center"/>
                </w:tcPr>
                <w:p>
                  <w:pPr>
                    <w:pStyle w:val="72"/>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68"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297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硫含量/%</w:t>
                  </w:r>
                </w:p>
              </w:tc>
              <w:tc>
                <w:tcPr>
                  <w:tcW w:w="319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68"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297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密度（2</w:t>
                  </w: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℃）/kg</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p>
              </w:tc>
              <w:tc>
                <w:tcPr>
                  <w:tcW w:w="319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r>
                    <w:rPr>
                      <w:color w:val="000000" w:themeColor="text1"/>
                      <w:sz w:val="21"/>
                      <w:szCs w:val="21"/>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68"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97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残炭/%</w:t>
                  </w:r>
                </w:p>
              </w:tc>
              <w:tc>
                <w:tcPr>
                  <w:tcW w:w="319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68"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297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水分（体积分数）/%</w:t>
                  </w:r>
                </w:p>
              </w:tc>
              <w:tc>
                <w:tcPr>
                  <w:tcW w:w="319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68"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97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机械杂质/%</w:t>
                  </w:r>
                </w:p>
              </w:tc>
              <w:tc>
                <w:tcPr>
                  <w:tcW w:w="319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68"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297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运动粘度（2</w:t>
                  </w: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℃）/mm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s</w:t>
                  </w:r>
                </w:p>
              </w:tc>
              <w:tc>
                <w:tcPr>
                  <w:tcW w:w="319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68"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297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净热值/</w:t>
                  </w:r>
                  <w:r>
                    <w:rPr>
                      <w:color w:val="000000" w:themeColor="text1"/>
                      <w:sz w:val="21"/>
                      <w:szCs w:val="21"/>
                      <w14:textFill>
                        <w14:solidFill>
                          <w14:schemeClr w14:val="tx1"/>
                        </w14:solidFill>
                      </w14:textFill>
                    </w:rPr>
                    <w:t>C</w:t>
                  </w:r>
                  <w:r>
                    <w:rPr>
                      <w:rFonts w:hint="eastAsia"/>
                      <w:color w:val="000000" w:themeColor="text1"/>
                      <w:sz w:val="21"/>
                      <w:szCs w:val="21"/>
                      <w14:textFill>
                        <w14:solidFill>
                          <w14:schemeClr w14:val="tx1"/>
                        </w14:solidFill>
                      </w14:textFill>
                    </w:rPr>
                    <w:t>al</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g</w:t>
                  </w:r>
                </w:p>
              </w:tc>
              <w:tc>
                <w:tcPr>
                  <w:tcW w:w="319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68"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297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灰分（质量分数）/%</w:t>
                  </w:r>
                </w:p>
              </w:tc>
              <w:tc>
                <w:tcPr>
                  <w:tcW w:w="319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68"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297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闪点（闭口）/℃</w:t>
                  </w:r>
                </w:p>
              </w:tc>
              <w:tc>
                <w:tcPr>
                  <w:tcW w:w="319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68"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w:t>
                  </w:r>
                </w:p>
              </w:tc>
              <w:tc>
                <w:tcPr>
                  <w:tcW w:w="2977" w:type="dxa"/>
                  <w:vAlign w:val="center"/>
                </w:tcPr>
                <w:p>
                  <w:pPr>
                    <w:pStyle w:val="72"/>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馏程</w:t>
                  </w:r>
                </w:p>
                <w:p>
                  <w:pPr>
                    <w:pStyle w:val="72"/>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初馏点/℃</w:t>
                  </w:r>
                </w:p>
                <w:p>
                  <w:pPr>
                    <w:pStyle w:val="72"/>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%蒸发温度/℃</w:t>
                  </w:r>
                </w:p>
                <w:p>
                  <w:pPr>
                    <w:pStyle w:val="72"/>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%蒸发温度/℃</w:t>
                  </w:r>
                </w:p>
                <w:p>
                  <w:pPr>
                    <w:pStyle w:val="72"/>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终馏点/℃</w:t>
                  </w:r>
                </w:p>
              </w:tc>
              <w:tc>
                <w:tcPr>
                  <w:tcW w:w="3197" w:type="dxa"/>
                  <w:vAlign w:val="center"/>
                </w:tcPr>
                <w:p>
                  <w:pPr>
                    <w:pStyle w:val="72"/>
                    <w:spacing w:line="240" w:lineRule="auto"/>
                    <w:ind w:firstLine="0" w:firstLineChars="0"/>
                    <w:jc w:val="center"/>
                    <w:rPr>
                      <w:color w:val="000000" w:themeColor="text1"/>
                      <w:sz w:val="21"/>
                      <w:szCs w:val="21"/>
                      <w14:textFill>
                        <w14:solidFill>
                          <w14:schemeClr w14:val="tx1"/>
                        </w14:solidFill>
                      </w14:textFill>
                    </w:rPr>
                  </w:pPr>
                </w:p>
                <w:p>
                  <w:pPr>
                    <w:pStyle w:val="72"/>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40</w:t>
                  </w:r>
                </w:p>
                <w:p>
                  <w:pPr>
                    <w:pStyle w:val="72"/>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260</w:t>
                  </w:r>
                </w:p>
                <w:p>
                  <w:pPr>
                    <w:pStyle w:val="72"/>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290</w:t>
                  </w:r>
                </w:p>
                <w:p>
                  <w:pPr>
                    <w:pStyle w:val="72"/>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360</w:t>
                  </w:r>
                </w:p>
              </w:tc>
            </w:tr>
          </w:tbl>
          <w:p>
            <w:pPr>
              <w:pStyle w:val="72"/>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裂解油产品主要去向及综合利用方案</w:t>
            </w:r>
            <w:r>
              <w:rPr>
                <w:rFonts w:hint="eastAsia"/>
                <w:color w:val="000000" w:themeColor="text1"/>
                <w14:textFill>
                  <w14:solidFill>
                    <w14:schemeClr w14:val="tx1"/>
                  </w14:solidFill>
                </w14:textFill>
              </w:rPr>
              <w:t>：据建设单位提供的资料，裂解油产品主要外售给四川中昆石化有限公司（销售合作协议见附件8）。四川中昆石化有限公司再外售到川渝地区综合利用，主要利用方式为供沥青搅拌站行业作为燃料油供能使用。</w:t>
            </w:r>
          </w:p>
          <w:p>
            <w:pPr>
              <w:pStyle w:val="72"/>
              <w:ind w:firstLine="48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项目热裂解油产品</w:t>
            </w:r>
            <w:r>
              <w:rPr>
                <w:bCs/>
                <w:color w:val="000000" w:themeColor="text1"/>
                <w:szCs w:val="21"/>
                <w14:textFill>
                  <w14:solidFill>
                    <w14:schemeClr w14:val="tx1"/>
                  </w14:solidFill>
                </w14:textFill>
              </w:rPr>
              <w:t>运输</w:t>
            </w:r>
            <w:r>
              <w:rPr>
                <w:rFonts w:hint="eastAsia"/>
                <w:bCs/>
                <w:color w:val="000000" w:themeColor="text1"/>
                <w:szCs w:val="21"/>
                <w14:textFill>
                  <w14:solidFill>
                    <w14:schemeClr w14:val="tx1"/>
                  </w14:solidFill>
                </w14:textFill>
              </w:rPr>
              <w:t>由第三方具有相关</w:t>
            </w:r>
            <w:r>
              <w:rPr>
                <w:bCs/>
                <w:color w:val="000000" w:themeColor="text1"/>
                <w:szCs w:val="21"/>
                <w14:textFill>
                  <w14:solidFill>
                    <w14:schemeClr w14:val="tx1"/>
                  </w14:solidFill>
                </w14:textFill>
              </w:rPr>
              <w:t>专业资质的</w:t>
            </w:r>
            <w:r>
              <w:rPr>
                <w:rFonts w:hint="eastAsia"/>
                <w:bCs/>
                <w:color w:val="000000" w:themeColor="text1"/>
                <w:szCs w:val="21"/>
                <w14:textFill>
                  <w14:solidFill>
                    <w14:schemeClr w14:val="tx1"/>
                  </w14:solidFill>
                </w14:textFill>
              </w:rPr>
              <w:t>单位负责</w:t>
            </w:r>
            <w:r>
              <w:rPr>
                <w:bCs/>
                <w:color w:val="000000" w:themeColor="text1"/>
                <w:szCs w:val="21"/>
                <w14:textFill>
                  <w14:solidFill>
                    <w14:schemeClr w14:val="tx1"/>
                  </w14:solidFill>
                </w14:textFill>
              </w:rPr>
              <w:t>输运</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因此，项目的产品热裂解油</w:t>
            </w:r>
            <w:r>
              <w:rPr>
                <w:rFonts w:hint="eastAsia"/>
                <w:bCs/>
                <w:color w:val="000000" w:themeColor="text1"/>
                <w:szCs w:val="21"/>
                <w14:textFill>
                  <w14:solidFill>
                    <w14:schemeClr w14:val="tx1"/>
                  </w14:solidFill>
                </w14:textFill>
              </w:rPr>
              <w:t>外售</w:t>
            </w:r>
            <w:r>
              <w:rPr>
                <w:bCs/>
                <w:color w:val="000000" w:themeColor="text1"/>
                <w:szCs w:val="21"/>
                <w14:textFill>
                  <w14:solidFill>
                    <w14:schemeClr w14:val="tx1"/>
                  </w14:solidFill>
                </w14:textFill>
              </w:rPr>
              <w:t>给下游利用企业，下游企业</w:t>
            </w:r>
            <w:r>
              <w:rPr>
                <w:rFonts w:hint="eastAsia"/>
                <w:bCs/>
                <w:color w:val="000000" w:themeColor="text1"/>
                <w:szCs w:val="21"/>
                <w14:textFill>
                  <w14:solidFill>
                    <w14:schemeClr w14:val="tx1"/>
                  </w14:solidFill>
                </w14:textFill>
              </w:rPr>
              <w:t>在按照</w:t>
            </w:r>
            <w:r>
              <w:rPr>
                <w:bCs/>
                <w:color w:val="000000" w:themeColor="text1"/>
                <w:szCs w:val="21"/>
                <w14:textFill>
                  <w14:solidFill>
                    <w14:schemeClr w14:val="tx1"/>
                  </w14:solidFill>
                </w14:textFill>
              </w:rPr>
              <w:t>环境影响评价文件中要求的采取污染防治</w:t>
            </w:r>
            <w:r>
              <w:rPr>
                <w:rFonts w:hint="eastAsia"/>
                <w:bCs/>
                <w:color w:val="000000" w:themeColor="text1"/>
                <w:szCs w:val="21"/>
                <w14:textFill>
                  <w14:solidFill>
                    <w14:schemeClr w14:val="tx1"/>
                  </w14:solidFill>
                </w14:textFill>
              </w:rPr>
              <w:t>措施</w:t>
            </w:r>
            <w:r>
              <w:rPr>
                <w:bCs/>
                <w:color w:val="000000" w:themeColor="text1"/>
                <w:szCs w:val="21"/>
                <w14:textFill>
                  <w14:solidFill>
                    <w14:schemeClr w14:val="tx1"/>
                  </w14:solidFill>
                </w14:textFill>
              </w:rPr>
              <w:t>后，</w:t>
            </w:r>
            <w:r>
              <w:rPr>
                <w:rFonts w:hint="eastAsia"/>
                <w:bCs/>
                <w:color w:val="000000" w:themeColor="text1"/>
                <w:szCs w:val="21"/>
                <w14:textFill>
                  <w14:solidFill>
                    <w14:schemeClr w14:val="tx1"/>
                  </w14:solidFill>
                </w14:textFill>
              </w:rPr>
              <w:t>不会</w:t>
            </w:r>
            <w:r>
              <w:rPr>
                <w:bCs/>
                <w:color w:val="000000" w:themeColor="text1"/>
                <w:szCs w:val="21"/>
                <w14:textFill>
                  <w14:solidFill>
                    <w14:schemeClr w14:val="tx1"/>
                  </w14:solidFill>
                </w14:textFill>
              </w:rPr>
              <w:t>造成</w:t>
            </w:r>
            <w:r>
              <w:rPr>
                <w:rFonts w:hint="eastAsia"/>
                <w:bCs/>
                <w:color w:val="000000" w:themeColor="text1"/>
                <w:szCs w:val="21"/>
                <w14:textFill>
                  <w14:solidFill>
                    <w14:schemeClr w14:val="tx1"/>
                  </w14:solidFill>
                </w14:textFill>
              </w:rPr>
              <w:t>污染</w:t>
            </w:r>
            <w:r>
              <w:rPr>
                <w:bCs/>
                <w:color w:val="000000" w:themeColor="text1"/>
                <w:szCs w:val="21"/>
                <w14:textFill>
                  <w14:solidFill>
                    <w14:schemeClr w14:val="tx1"/>
                  </w14:solidFill>
                </w14:textFill>
              </w:rPr>
              <w:t>转移及二次污染</w:t>
            </w:r>
            <w:r>
              <w:rPr>
                <w:rFonts w:hint="eastAsia"/>
                <w:bCs/>
                <w:color w:val="000000" w:themeColor="text1"/>
                <w:szCs w:val="21"/>
                <w14:textFill>
                  <w14:solidFill>
                    <w14:schemeClr w14:val="tx1"/>
                  </w14:solidFill>
                </w14:textFill>
              </w:rPr>
              <w:t>。</w:t>
            </w:r>
          </w:p>
          <w:p>
            <w:pPr>
              <w:pStyle w:val="72"/>
              <w:ind w:firstLine="0" w:firstLineChars="0"/>
              <w:rPr>
                <w:b/>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.3.3</w:t>
            </w:r>
            <w:r>
              <w:rPr>
                <w:rFonts w:hint="eastAsia"/>
                <w:b/>
                <w:color w:val="000000" w:themeColor="text1"/>
                <w:szCs w:val="21"/>
                <w14:textFill>
                  <w14:solidFill>
                    <w14:schemeClr w14:val="tx1"/>
                  </w14:solidFill>
                </w14:textFill>
              </w:rPr>
              <w:t>项目产品与《固体废物鉴别标准 通则》（GB34330-2017）、</w:t>
            </w:r>
            <w:r>
              <w:rPr>
                <w:rFonts w:hint="eastAsia"/>
                <w:b/>
                <w:color w:val="000000" w:themeColor="text1"/>
                <w14:textFill>
                  <w14:solidFill>
                    <w14:schemeClr w14:val="tx1"/>
                  </w14:solidFill>
                </w14:textFill>
              </w:rPr>
              <w:t>《固体废物再生利用污染防治技术导则》（HJ1091-2020）的相关规定分析</w:t>
            </w:r>
          </w:p>
          <w:p>
            <w:pPr>
              <w:adjustRightInd w:val="0"/>
              <w:snapToGrid w:val="0"/>
              <w:ind w:firstLine="482" w:firstLineChars="200"/>
              <w:rPr>
                <w:bCs/>
                <w:color w:val="000000" w:themeColor="text1"/>
                <w:sz w:val="24"/>
                <w:szCs w:val="21"/>
                <w14:textFill>
                  <w14:solidFill>
                    <w14:schemeClr w14:val="tx1"/>
                  </w14:solidFill>
                </w14:textFill>
              </w:rPr>
            </w:pPr>
            <w:r>
              <w:rPr>
                <w:rFonts w:hint="eastAsia"/>
                <w:b/>
                <w:color w:val="000000" w:themeColor="text1"/>
                <w:sz w:val="24"/>
                <w:szCs w:val="21"/>
                <w14:textFill>
                  <w14:solidFill>
                    <w14:schemeClr w14:val="tx1"/>
                  </w14:solidFill>
                </w14:textFill>
              </w:rPr>
              <w:t>·与《固体废物鉴别标准 通则》（GB34330-2017）相关规定分析</w:t>
            </w:r>
          </w:p>
          <w:p>
            <w:pPr>
              <w:adjustRightInd w:val="0"/>
              <w:snapToGrid w:val="0"/>
              <w:ind w:firstLine="480" w:firstLineChars="200"/>
              <w:rPr>
                <w:bCs/>
                <w:color w:val="000000" w:themeColor="text1"/>
                <w:sz w:val="24"/>
                <w:szCs w:val="21"/>
                <w14:textFill>
                  <w14:solidFill>
                    <w14:schemeClr w14:val="tx1"/>
                  </w14:solidFill>
                </w14:textFill>
              </w:rPr>
            </w:pPr>
            <w:r>
              <w:rPr>
                <w:rFonts w:hint="eastAsia"/>
                <w:bCs/>
                <w:color w:val="000000" w:themeColor="text1"/>
                <w:sz w:val="24"/>
                <w:szCs w:val="21"/>
                <w14:textFill>
                  <w14:solidFill>
                    <w14:schemeClr w14:val="tx1"/>
                  </w14:solidFill>
                </w14:textFill>
              </w:rPr>
              <w:t>根据《固体废物鉴别标准 通则》（GB34330-2017）中</w:t>
            </w:r>
            <w:r>
              <w:rPr>
                <w:bCs/>
                <w:color w:val="000000" w:themeColor="text1"/>
                <w:sz w:val="24"/>
                <w:szCs w:val="21"/>
                <w14:textFill>
                  <w14:solidFill>
                    <w14:schemeClr w14:val="tx1"/>
                  </w14:solidFill>
                </w14:textFill>
              </w:rPr>
              <w:t>的</w:t>
            </w:r>
            <w:r>
              <w:rPr>
                <w:rFonts w:hint="eastAsia"/>
                <w:bCs/>
                <w:color w:val="000000" w:themeColor="text1"/>
                <w:sz w:val="24"/>
                <w:szCs w:val="21"/>
                <w14:textFill>
                  <w14:solidFill>
                    <w14:schemeClr w14:val="tx1"/>
                  </w14:solidFill>
                </w14:textFill>
              </w:rPr>
              <w:t>5.2，5.2利用固体废物生产的产物同时满足下述条件的，不作为固体废物管理，按照相应的产品管理(按照5.1条进行利用或处置的除外)：</w:t>
            </w:r>
          </w:p>
          <w:p>
            <w:pPr>
              <w:adjustRightInd w:val="0"/>
              <w:snapToGrid w:val="0"/>
              <w:ind w:firstLine="480" w:firstLineChars="200"/>
              <w:rPr>
                <w:bCs/>
                <w:color w:val="000000" w:themeColor="text1"/>
                <w:sz w:val="24"/>
                <w:szCs w:val="21"/>
                <w14:textFill>
                  <w14:solidFill>
                    <w14:schemeClr w14:val="tx1"/>
                  </w14:solidFill>
                </w14:textFill>
              </w:rPr>
            </w:pPr>
            <w:r>
              <w:rPr>
                <w:rFonts w:hint="eastAsia"/>
                <w:bCs/>
                <w:color w:val="000000" w:themeColor="text1"/>
                <w:sz w:val="24"/>
                <w:szCs w:val="21"/>
                <w14:textFill>
                  <w14:solidFill>
                    <w14:schemeClr w14:val="tx1"/>
                  </w14:solidFill>
                </w14:textFill>
              </w:rPr>
              <w:t>a）符合国家、地方制定或行业通行的被替代原料生产的产品质量标准;</w:t>
            </w:r>
          </w:p>
          <w:p>
            <w:pPr>
              <w:adjustRightInd w:val="0"/>
              <w:snapToGrid w:val="0"/>
              <w:ind w:firstLine="480" w:firstLineChars="200"/>
              <w:rPr>
                <w:bCs/>
                <w:color w:val="000000" w:themeColor="text1"/>
                <w:sz w:val="24"/>
                <w:szCs w:val="21"/>
                <w14:textFill>
                  <w14:solidFill>
                    <w14:schemeClr w14:val="tx1"/>
                  </w14:solidFill>
                </w14:textFill>
              </w:rPr>
            </w:pPr>
            <w:r>
              <w:rPr>
                <w:rFonts w:hint="eastAsia"/>
                <w:bCs/>
                <w:color w:val="000000" w:themeColor="text1"/>
                <w:sz w:val="24"/>
                <w:szCs w:val="21"/>
                <w14:textFill>
                  <w14:solidFill>
                    <w14:schemeClr w14:val="tx1"/>
                  </w14:solidFill>
                </w14:textFill>
              </w:rPr>
              <w:t>b）符合相关国家污染物排放（控制）标准或技术规范要求，包括该产物生产过程中排放到环境中的有害物质限值和该产物中有害物质的含量限值；</w:t>
            </w:r>
          </w:p>
          <w:p>
            <w:pPr>
              <w:adjustRightInd w:val="0"/>
              <w:snapToGrid w:val="0"/>
              <w:ind w:firstLine="480" w:firstLineChars="200"/>
              <w:rPr>
                <w:bCs/>
                <w:color w:val="000000" w:themeColor="text1"/>
                <w:sz w:val="24"/>
                <w:szCs w:val="21"/>
                <w14:textFill>
                  <w14:solidFill>
                    <w14:schemeClr w14:val="tx1"/>
                  </w14:solidFill>
                </w14:textFill>
              </w:rPr>
            </w:pPr>
            <w:r>
              <w:rPr>
                <w:rFonts w:hint="eastAsia"/>
                <w:bCs/>
                <w:color w:val="000000" w:themeColor="text1"/>
                <w:sz w:val="24"/>
                <w:szCs w:val="21"/>
                <w14:textFill>
                  <w14:solidFill>
                    <w14:schemeClr w14:val="tx1"/>
                  </w14:solidFill>
                </w14:textFill>
              </w:rPr>
              <w:t>当没有国家污染控制标准或技术规范时,该产物中所含有害成分含量不高于利用被替代原料生产的产品中的有害成分含量，并且在该产物生产过程中，排放到环境中的有害物质浓度不高于利用所替代原料生产产品过程中排放到环境中的有害物质浓度，当没有被替代原料时，不考虑该条件；</w:t>
            </w:r>
          </w:p>
          <w:p>
            <w:pPr>
              <w:adjustRightInd w:val="0"/>
              <w:snapToGrid w:val="0"/>
              <w:ind w:firstLine="480" w:firstLineChars="200"/>
              <w:rPr>
                <w:bCs/>
                <w:color w:val="000000" w:themeColor="text1"/>
                <w:sz w:val="24"/>
                <w:szCs w:val="21"/>
                <w14:textFill>
                  <w14:solidFill>
                    <w14:schemeClr w14:val="tx1"/>
                  </w14:solidFill>
                </w14:textFill>
              </w:rPr>
            </w:pPr>
            <w:r>
              <w:rPr>
                <w:rFonts w:hint="eastAsia"/>
                <w:bCs/>
                <w:color w:val="000000" w:themeColor="text1"/>
                <w:sz w:val="24"/>
                <w:szCs w:val="21"/>
                <w14:textFill>
                  <w14:solidFill>
                    <w14:schemeClr w14:val="tx1"/>
                  </w14:solidFill>
                </w14:textFill>
              </w:rPr>
              <w:t>c）有稳定、合理的市场需求。</w:t>
            </w:r>
          </w:p>
          <w:p>
            <w:pPr>
              <w:adjustRightInd w:val="0"/>
              <w:snapToGrid w:val="0"/>
              <w:ind w:firstLine="480" w:firstLineChars="200"/>
              <w:rPr>
                <w:bCs/>
                <w:color w:val="000000" w:themeColor="text1"/>
                <w:sz w:val="24"/>
                <w:szCs w:val="21"/>
                <w14:textFill>
                  <w14:solidFill>
                    <w14:schemeClr w14:val="tx1"/>
                  </w14:solidFill>
                </w14:textFill>
              </w:rPr>
            </w:pPr>
            <w:r>
              <w:rPr>
                <w:rFonts w:hint="eastAsia"/>
                <w:color w:val="000000" w:themeColor="text1"/>
                <w:sz w:val="24"/>
                <w14:textFill>
                  <w14:solidFill>
                    <w14:schemeClr w14:val="tx1"/>
                  </w14:solidFill>
                </w14:textFill>
              </w:rPr>
              <w:t>本项目用固体废物生产的产物裂解油、炭黑符合行业通行的产品质量标准；项目生产过程中的污染物采取污染防治措施后，废水、废气、噪声均可以满足相应行业和国家污染物排放标准。同时，本项目热裂解油可以替代重油作为燃料油直接使用，180#重油中的硫含量不高于3.5%，本项目裂解油硫含量不高于1%，所以裂解油替代重油作为燃料油排放到环境中的有害物质浓度不高于利用所替代的重油中排放到环境中的有害物质浓度。同时，炭黑、裂解油均有稳定、合理的市场需求，裂解油主要市场为沥青搅拌站行业，炭黑主要用于轮胎制造、橡胶制品、塑料色母粒、油墨等行业回收利用，市场广泛。因此，本项目的生产产物可不作为固体废物管理，按照相应的产品管理，满足《固体废物鉴别标准 通则》（GB34330-2017）相关要求。</w:t>
            </w:r>
          </w:p>
          <w:p>
            <w:pPr>
              <w:adjustRightInd w:val="0"/>
              <w:snapToGrid w:val="0"/>
              <w:ind w:firstLine="480" w:firstLineChars="200"/>
              <w:rPr>
                <w:bCs/>
                <w:color w:val="000000" w:themeColor="text1"/>
                <w:sz w:val="24"/>
                <w:szCs w:val="21"/>
                <w14:textFill>
                  <w14:solidFill>
                    <w14:schemeClr w14:val="tx1"/>
                  </w14:solidFill>
                </w14:textFill>
              </w:rPr>
            </w:pPr>
            <w:r>
              <w:rPr>
                <w:rFonts w:hint="eastAsia"/>
                <w:bCs/>
                <w:color w:val="000000" w:themeColor="text1"/>
                <w:sz w:val="24"/>
                <w:szCs w:val="21"/>
                <w14:textFill>
                  <w14:solidFill>
                    <w14:schemeClr w14:val="tx1"/>
                  </w14:solidFill>
                </w14:textFill>
              </w:rPr>
              <w:t>·</w:t>
            </w:r>
            <w:r>
              <w:rPr>
                <w:rFonts w:hint="eastAsia"/>
                <w:b/>
                <w:bCs/>
                <w:color w:val="000000" w:themeColor="text1"/>
                <w:sz w:val="24"/>
                <w:szCs w:val="21"/>
                <w14:textFill>
                  <w14:solidFill>
                    <w14:schemeClr w14:val="tx1"/>
                  </w14:solidFill>
                </w14:textFill>
              </w:rPr>
              <w:t>与</w:t>
            </w:r>
            <w:r>
              <w:rPr>
                <w:rFonts w:hint="eastAsia"/>
                <w:b/>
                <w:color w:val="000000" w:themeColor="text1"/>
                <w:sz w:val="24"/>
                <w14:textFill>
                  <w14:solidFill>
                    <w14:schemeClr w14:val="tx1"/>
                  </w14:solidFill>
                </w14:textFill>
              </w:rPr>
              <w:t>《固体废物再生利用污染防治技术导则》（HJ1091-2020）相关规定分析</w:t>
            </w:r>
          </w:p>
          <w:p>
            <w:pPr>
              <w:adjustRightInd w:val="0"/>
              <w:snapToGrid w:val="0"/>
              <w:ind w:firstLine="480" w:firstLineChars="200"/>
              <w:rPr>
                <w:bCs/>
                <w:color w:val="000000" w:themeColor="text1"/>
                <w:sz w:val="24"/>
                <w:szCs w:val="21"/>
                <w14:textFill>
                  <w14:solidFill>
                    <w14:schemeClr w14:val="tx1"/>
                  </w14:solidFill>
                </w14:textFill>
              </w:rPr>
            </w:pPr>
            <w:r>
              <w:rPr>
                <w:rFonts w:hint="eastAsia"/>
                <w:bCs/>
                <w:color w:val="000000" w:themeColor="text1"/>
                <w:sz w:val="24"/>
                <w:szCs w:val="21"/>
                <w14:textFill>
                  <w14:solidFill>
                    <w14:schemeClr w14:val="tx1"/>
                  </w14:solidFill>
                </w14:textFill>
              </w:rPr>
              <w:t>根据《固体废物再生利用污染防治技术导则》（HJ1091-2020）4.7，固体废物再生利用产物作为产品的，应符合GB 34330中要求的国家、地方制定或行业通行的产品质量标准，与国家相关污染控制标准或技术规范要求，包括该产物生产过程中排放到环境中的特征污染物含量标准和该产物中特征污染物的含量标准。当没有国家污染控制标准或技术规范时,应以再生利用的固体废物中的特征污染物为评价对象，综合考虑其在固体废物再生利用过程中的迁移转化行为以及再生利用产物的用途，进行环境风险定性评价，依据评价结果来识别该产物中的有害成分。</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本项目生产的产品满足《固体废物鉴别标准 通则》（GB34330-2017）相关要求，废气、废水污染物排放满足《石油化学工业污染物排放标准》（GB31571-2015）等国家、地方污染物排放标准。因此，本项目生产的产品符合《固体废物再生利用污染防治技术导则》（HJ1091-2020）相关要求。</w:t>
            </w:r>
          </w:p>
          <w:p>
            <w:pPr>
              <w:adjustRightInd w:val="0"/>
              <w:snapToGrid w:val="0"/>
              <w:ind w:firstLine="482"/>
              <w:rPr>
                <w:b/>
                <w:color w:val="FF0000"/>
                <w:sz w:val="24"/>
              </w:rPr>
            </w:pPr>
            <w:r>
              <w:rPr>
                <w:rFonts w:hint="eastAsia"/>
                <w:b/>
                <w:color w:val="FF0000"/>
                <w:sz w:val="24"/>
              </w:rPr>
              <w:t>本次评价提出：</w:t>
            </w:r>
            <w:r>
              <w:rPr>
                <w:rFonts w:hint="eastAsia"/>
                <w:color w:val="FF0000"/>
                <w:sz w:val="24"/>
              </w:rPr>
              <w:t>建设单位应当对裂解油建立转运、销售等台账，对厂内储油罐区按照重点防渗、防腐管理要求，加强防渗、防腐等风险防范措施。</w:t>
            </w:r>
          </w:p>
          <w:p>
            <w:pPr>
              <w:adjustRightInd w:val="0"/>
              <w:snapToGrid w:val="0"/>
              <w:rPr>
                <w:b/>
                <w:color w:val="FF0000"/>
                <w:sz w:val="24"/>
              </w:rPr>
            </w:pPr>
            <w:r>
              <w:rPr>
                <w:rFonts w:hint="eastAsia"/>
                <w:b/>
                <w:color w:val="FF0000"/>
                <w:sz w:val="24"/>
              </w:rPr>
              <w:t>2</w:t>
            </w:r>
            <w:r>
              <w:rPr>
                <w:b/>
                <w:color w:val="FF0000"/>
                <w:sz w:val="24"/>
              </w:rPr>
              <w:t>.3.4</w:t>
            </w:r>
            <w:r>
              <w:rPr>
                <w:rFonts w:hint="eastAsia"/>
                <w:b/>
                <w:color w:val="FF0000"/>
                <w:sz w:val="24"/>
              </w:rPr>
              <w:t>产品工业元素</w:t>
            </w:r>
          </w:p>
          <w:p>
            <w:pPr>
              <w:adjustRightInd w:val="0"/>
              <w:snapToGrid w:val="0"/>
              <w:ind w:firstLine="482"/>
              <w:rPr>
                <w:b/>
                <w:color w:val="FF0000"/>
                <w:sz w:val="24"/>
              </w:rPr>
            </w:pPr>
            <w:r>
              <w:rPr>
                <w:rFonts w:hint="eastAsia"/>
                <w:b/>
                <w:color w:val="FF0000"/>
                <w:sz w:val="24"/>
              </w:rPr>
              <w:t>（1）硫元素平衡</w:t>
            </w:r>
          </w:p>
          <w:p>
            <w:pPr>
              <w:ind w:firstLine="480" w:firstLineChars="200"/>
              <w:rPr>
                <w:color w:val="FF0000"/>
                <w:sz w:val="24"/>
                <w:szCs w:val="20"/>
              </w:rPr>
            </w:pPr>
            <w:r>
              <w:rPr>
                <w:rFonts w:hint="eastAsia"/>
                <w:color w:val="FF0000"/>
                <w:sz w:val="24"/>
                <w:szCs w:val="20"/>
              </w:rPr>
              <w:t>根据工程分析可知，本项目硫来源为废旧轮胎中硫元素，废旧轮胎经热裂解后，硫元素分别进入裂解油、炭黑和裂解不凝气中。</w:t>
            </w:r>
          </w:p>
          <w:p>
            <w:pPr>
              <w:ind w:firstLine="482" w:firstLineChars="200"/>
              <w:rPr>
                <w:color w:val="FF0000"/>
                <w:sz w:val="24"/>
                <w:szCs w:val="20"/>
              </w:rPr>
            </w:pPr>
            <w:r>
              <w:rPr>
                <w:rFonts w:hint="eastAsia"/>
                <w:b/>
                <w:color w:val="FF0000"/>
                <w:sz w:val="24"/>
                <w:szCs w:val="20"/>
              </w:rPr>
              <w:t>①废轮胎硫含量</w:t>
            </w:r>
            <w:r>
              <w:rPr>
                <w:rFonts w:hint="eastAsia"/>
                <w:color w:val="FF0000"/>
                <w:sz w:val="24"/>
                <w:szCs w:val="20"/>
              </w:rPr>
              <w:t>：本项目主要回收的轮胎为货车、轿车轮胎，根据《废旧轮胎回收利用对策》（广东环境科学学报，广东省废物管理中心、环保部华南环科所，2009年12月）中对卡车、轿车轮胎的硫含量分析，结合本项目回收轮胎的比例，本项目轮胎平均硫含量约1</w:t>
            </w:r>
            <w:r>
              <w:rPr>
                <w:color w:val="FF0000"/>
                <w:sz w:val="24"/>
                <w:szCs w:val="20"/>
              </w:rPr>
              <w:t>.628</w:t>
            </w:r>
            <w:r>
              <w:rPr>
                <w:rFonts w:hint="eastAsia"/>
                <w:color w:val="FF0000"/>
                <w:sz w:val="24"/>
                <w:szCs w:val="20"/>
              </w:rPr>
              <w:t>%（去除钢丝后）。</w:t>
            </w:r>
          </w:p>
          <w:p>
            <w:pPr>
              <w:ind w:firstLine="482" w:firstLineChars="200"/>
              <w:rPr>
                <w:color w:val="FF0000"/>
                <w:sz w:val="24"/>
                <w:szCs w:val="20"/>
              </w:rPr>
            </w:pPr>
            <w:r>
              <w:rPr>
                <w:rFonts w:hint="eastAsia"/>
                <w:b/>
                <w:color w:val="FF0000"/>
                <w:sz w:val="24"/>
                <w:szCs w:val="20"/>
              </w:rPr>
              <w:t>②裂解产物中硫含量</w:t>
            </w:r>
            <w:r>
              <w:rPr>
                <w:rFonts w:hint="eastAsia"/>
                <w:color w:val="FF0000"/>
                <w:sz w:val="24"/>
                <w:szCs w:val="20"/>
              </w:rPr>
              <w:t>：通过查阅相关文献资料，轮胎裂解后硫元素进入各裂解产物中分配比情况见下表。</w:t>
            </w:r>
          </w:p>
          <w:p>
            <w:pPr>
              <w:spacing w:line="240" w:lineRule="auto"/>
              <w:jc w:val="center"/>
              <w:rPr>
                <w:b/>
                <w:color w:val="FF0000"/>
                <w:sz w:val="24"/>
                <w:szCs w:val="20"/>
              </w:rPr>
            </w:pPr>
          </w:p>
          <w:p>
            <w:pPr>
              <w:spacing w:line="240" w:lineRule="auto"/>
              <w:jc w:val="center"/>
              <w:rPr>
                <w:b/>
                <w:color w:val="FF0000"/>
                <w:sz w:val="24"/>
                <w:szCs w:val="20"/>
              </w:rPr>
            </w:pPr>
            <w:r>
              <w:rPr>
                <w:rFonts w:hint="eastAsia"/>
                <w:b/>
                <w:color w:val="FF0000"/>
                <w:sz w:val="24"/>
                <w:szCs w:val="20"/>
              </w:rPr>
              <w:t>表2</w:t>
            </w:r>
            <w:r>
              <w:rPr>
                <w:b/>
                <w:color w:val="FF0000"/>
                <w:sz w:val="24"/>
                <w:szCs w:val="20"/>
              </w:rPr>
              <w:t>.3</w:t>
            </w:r>
            <w:r>
              <w:rPr>
                <w:rFonts w:hint="eastAsia"/>
                <w:b/>
                <w:color w:val="FF0000"/>
                <w:sz w:val="24"/>
                <w:szCs w:val="20"/>
              </w:rPr>
              <w:t>-</w:t>
            </w:r>
            <w:r>
              <w:rPr>
                <w:b/>
                <w:color w:val="FF0000"/>
                <w:sz w:val="24"/>
                <w:szCs w:val="20"/>
              </w:rPr>
              <w:t xml:space="preserve">5  </w:t>
            </w:r>
            <w:r>
              <w:rPr>
                <w:rFonts w:hint="eastAsia"/>
                <w:b/>
                <w:color w:val="FF0000"/>
                <w:sz w:val="24"/>
                <w:szCs w:val="20"/>
              </w:rPr>
              <w:t xml:space="preserve">硫元素进入废旧轮胎裂解产物中分配比 </w:t>
            </w:r>
            <w:r>
              <w:rPr>
                <w:b/>
                <w:color w:val="FF0000"/>
                <w:sz w:val="24"/>
                <w:szCs w:val="20"/>
              </w:rPr>
              <w:t xml:space="preserve"> </w:t>
            </w:r>
            <w:r>
              <w:rPr>
                <w:rFonts w:hint="eastAsia"/>
                <w:b/>
                <w:color w:val="FF0000"/>
                <w:sz w:val="24"/>
                <w:szCs w:val="20"/>
              </w:rPr>
              <w:t>单位：%</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1648"/>
              <w:gridCol w:w="1559"/>
              <w:gridCol w:w="1701"/>
              <w:gridCol w:w="1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spacing w:line="240" w:lineRule="auto"/>
                    <w:jc w:val="center"/>
                    <w:rPr>
                      <w:b/>
                      <w:color w:val="FF0000"/>
                      <w:szCs w:val="21"/>
                    </w:rPr>
                  </w:pPr>
                  <w:r>
                    <w:rPr>
                      <w:rFonts w:hint="eastAsia"/>
                      <w:b/>
                      <w:color w:val="FF0000"/>
                      <w:szCs w:val="21"/>
                    </w:rPr>
                    <w:t>序号</w:t>
                  </w:r>
                </w:p>
              </w:tc>
              <w:tc>
                <w:tcPr>
                  <w:tcW w:w="1648" w:type="dxa"/>
                </w:tcPr>
                <w:p>
                  <w:pPr>
                    <w:spacing w:line="240" w:lineRule="auto"/>
                    <w:jc w:val="center"/>
                    <w:rPr>
                      <w:b/>
                      <w:color w:val="FF0000"/>
                      <w:szCs w:val="21"/>
                    </w:rPr>
                  </w:pPr>
                  <w:r>
                    <w:rPr>
                      <w:rFonts w:hint="eastAsia"/>
                      <w:b/>
                      <w:color w:val="FF0000"/>
                      <w:szCs w:val="21"/>
                    </w:rPr>
                    <w:t>裂解不凝气</w:t>
                  </w:r>
                </w:p>
              </w:tc>
              <w:tc>
                <w:tcPr>
                  <w:tcW w:w="1559" w:type="dxa"/>
                </w:tcPr>
                <w:p>
                  <w:pPr>
                    <w:spacing w:line="240" w:lineRule="auto"/>
                    <w:jc w:val="center"/>
                    <w:rPr>
                      <w:b/>
                      <w:color w:val="FF0000"/>
                      <w:szCs w:val="21"/>
                    </w:rPr>
                  </w:pPr>
                  <w:r>
                    <w:rPr>
                      <w:rFonts w:hint="eastAsia"/>
                      <w:b/>
                      <w:color w:val="FF0000"/>
                      <w:szCs w:val="21"/>
                    </w:rPr>
                    <w:t>裂解油</w:t>
                  </w:r>
                </w:p>
              </w:tc>
              <w:tc>
                <w:tcPr>
                  <w:tcW w:w="1701" w:type="dxa"/>
                </w:tcPr>
                <w:p>
                  <w:pPr>
                    <w:spacing w:line="240" w:lineRule="auto"/>
                    <w:jc w:val="center"/>
                    <w:rPr>
                      <w:b/>
                      <w:color w:val="FF0000"/>
                      <w:szCs w:val="21"/>
                    </w:rPr>
                  </w:pPr>
                  <w:r>
                    <w:rPr>
                      <w:rFonts w:hint="eastAsia"/>
                      <w:b/>
                      <w:color w:val="FF0000"/>
                      <w:szCs w:val="21"/>
                    </w:rPr>
                    <w:t>炭黑</w:t>
                  </w:r>
                </w:p>
              </w:tc>
              <w:tc>
                <w:tcPr>
                  <w:tcW w:w="1918" w:type="dxa"/>
                </w:tcPr>
                <w:p>
                  <w:pPr>
                    <w:spacing w:line="240" w:lineRule="auto"/>
                    <w:jc w:val="center"/>
                    <w:rPr>
                      <w:b/>
                      <w:color w:val="FF0000"/>
                      <w:szCs w:val="21"/>
                    </w:rPr>
                  </w:pPr>
                  <w:r>
                    <w:rPr>
                      <w:rFonts w:hint="eastAsia"/>
                      <w:b/>
                      <w:color w:val="FF0000"/>
                      <w:szCs w:val="21"/>
                    </w:rPr>
                    <w:t>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spacing w:line="240" w:lineRule="auto"/>
                    <w:jc w:val="center"/>
                    <w:rPr>
                      <w:color w:val="FF0000"/>
                      <w:szCs w:val="21"/>
                    </w:rPr>
                  </w:pPr>
                  <w:r>
                    <w:rPr>
                      <w:rFonts w:hint="eastAsia"/>
                      <w:color w:val="FF0000"/>
                      <w:szCs w:val="21"/>
                    </w:rPr>
                    <w:t>1</w:t>
                  </w:r>
                </w:p>
              </w:tc>
              <w:tc>
                <w:tcPr>
                  <w:tcW w:w="1648" w:type="dxa"/>
                </w:tcPr>
                <w:p>
                  <w:pPr>
                    <w:spacing w:line="240" w:lineRule="auto"/>
                    <w:jc w:val="center"/>
                    <w:rPr>
                      <w:color w:val="FF0000"/>
                      <w:szCs w:val="21"/>
                    </w:rPr>
                  </w:pPr>
                  <w:r>
                    <w:rPr>
                      <w:rFonts w:hint="eastAsia"/>
                      <w:color w:val="FF0000"/>
                      <w:szCs w:val="21"/>
                    </w:rPr>
                    <w:t>0</w:t>
                  </w:r>
                </w:p>
              </w:tc>
              <w:tc>
                <w:tcPr>
                  <w:tcW w:w="1559" w:type="dxa"/>
                </w:tcPr>
                <w:p>
                  <w:pPr>
                    <w:spacing w:line="240" w:lineRule="auto"/>
                    <w:jc w:val="center"/>
                    <w:rPr>
                      <w:color w:val="FF0000"/>
                      <w:szCs w:val="21"/>
                    </w:rPr>
                  </w:pPr>
                  <w:r>
                    <w:rPr>
                      <w:color w:val="FF0000"/>
                      <w:szCs w:val="21"/>
                    </w:rPr>
                    <w:t>41.4</w:t>
                  </w:r>
                </w:p>
              </w:tc>
              <w:tc>
                <w:tcPr>
                  <w:tcW w:w="1701" w:type="dxa"/>
                </w:tcPr>
                <w:p>
                  <w:pPr>
                    <w:spacing w:line="240" w:lineRule="auto"/>
                    <w:jc w:val="center"/>
                    <w:rPr>
                      <w:color w:val="FF0000"/>
                      <w:szCs w:val="21"/>
                    </w:rPr>
                  </w:pPr>
                  <w:r>
                    <w:rPr>
                      <w:color w:val="FF0000"/>
                      <w:szCs w:val="21"/>
                    </w:rPr>
                    <w:t>61.5</w:t>
                  </w:r>
                </w:p>
              </w:tc>
              <w:tc>
                <w:tcPr>
                  <w:tcW w:w="1918" w:type="dxa"/>
                </w:tcPr>
                <w:p>
                  <w:pPr>
                    <w:spacing w:line="240" w:lineRule="auto"/>
                    <w:jc w:val="center"/>
                    <w:rPr>
                      <w:color w:val="FF0000"/>
                      <w:szCs w:val="21"/>
                    </w:rPr>
                  </w:pPr>
                  <w:r>
                    <w:rPr>
                      <w:rFonts w:hint="eastAsia"/>
                      <w:color w:val="FF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5" w:type="dxa"/>
                </w:tcPr>
                <w:p>
                  <w:pPr>
                    <w:spacing w:line="240" w:lineRule="auto"/>
                    <w:jc w:val="center"/>
                    <w:rPr>
                      <w:color w:val="FF0000"/>
                      <w:szCs w:val="21"/>
                    </w:rPr>
                  </w:pPr>
                  <w:r>
                    <w:rPr>
                      <w:color w:val="FF0000"/>
                      <w:szCs w:val="21"/>
                    </w:rPr>
                    <w:t>2</w:t>
                  </w:r>
                </w:p>
              </w:tc>
              <w:tc>
                <w:tcPr>
                  <w:tcW w:w="1648" w:type="dxa"/>
                </w:tcPr>
                <w:p>
                  <w:pPr>
                    <w:spacing w:line="240" w:lineRule="auto"/>
                    <w:jc w:val="center"/>
                    <w:rPr>
                      <w:color w:val="FF0000"/>
                      <w:szCs w:val="21"/>
                    </w:rPr>
                  </w:pPr>
                  <w:r>
                    <w:rPr>
                      <w:rFonts w:hint="eastAsia"/>
                      <w:color w:val="FF0000"/>
                      <w:szCs w:val="21"/>
                    </w:rPr>
                    <w:t>2</w:t>
                  </w:r>
                  <w:r>
                    <w:rPr>
                      <w:color w:val="FF0000"/>
                      <w:szCs w:val="21"/>
                    </w:rPr>
                    <w:t>.2</w:t>
                  </w:r>
                </w:p>
              </w:tc>
              <w:tc>
                <w:tcPr>
                  <w:tcW w:w="1559" w:type="dxa"/>
                </w:tcPr>
                <w:p>
                  <w:pPr>
                    <w:spacing w:line="240" w:lineRule="auto"/>
                    <w:jc w:val="center"/>
                    <w:rPr>
                      <w:color w:val="FF0000"/>
                      <w:szCs w:val="21"/>
                    </w:rPr>
                  </w:pPr>
                  <w:r>
                    <w:rPr>
                      <w:rFonts w:hint="eastAsia"/>
                      <w:color w:val="FF0000"/>
                      <w:szCs w:val="21"/>
                    </w:rPr>
                    <w:t>3</w:t>
                  </w:r>
                  <w:r>
                    <w:rPr>
                      <w:color w:val="FF0000"/>
                      <w:szCs w:val="21"/>
                    </w:rPr>
                    <w:t>5</w:t>
                  </w:r>
                </w:p>
              </w:tc>
              <w:tc>
                <w:tcPr>
                  <w:tcW w:w="1701" w:type="dxa"/>
                </w:tcPr>
                <w:p>
                  <w:pPr>
                    <w:spacing w:line="240" w:lineRule="auto"/>
                    <w:jc w:val="center"/>
                    <w:rPr>
                      <w:color w:val="FF0000"/>
                      <w:szCs w:val="21"/>
                    </w:rPr>
                  </w:pPr>
                  <w:r>
                    <w:rPr>
                      <w:rFonts w:hint="eastAsia"/>
                      <w:color w:val="FF0000"/>
                      <w:szCs w:val="21"/>
                    </w:rPr>
                    <w:t>6</w:t>
                  </w:r>
                  <w:r>
                    <w:rPr>
                      <w:color w:val="FF0000"/>
                      <w:szCs w:val="21"/>
                    </w:rPr>
                    <w:t>2.8</w:t>
                  </w:r>
                </w:p>
              </w:tc>
              <w:tc>
                <w:tcPr>
                  <w:tcW w:w="1918" w:type="dxa"/>
                </w:tcPr>
                <w:p>
                  <w:pPr>
                    <w:spacing w:line="240" w:lineRule="auto"/>
                    <w:jc w:val="center"/>
                    <w:rPr>
                      <w:color w:val="FF0000"/>
                      <w:szCs w:val="21"/>
                    </w:rPr>
                  </w:pPr>
                  <w:r>
                    <w:rPr>
                      <w:rFonts w:hint="eastAsia"/>
                      <w:color w:val="FF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spacing w:line="240" w:lineRule="auto"/>
                    <w:jc w:val="center"/>
                    <w:rPr>
                      <w:color w:val="FF0000"/>
                      <w:szCs w:val="21"/>
                    </w:rPr>
                  </w:pPr>
                  <w:r>
                    <w:rPr>
                      <w:color w:val="FF0000"/>
                      <w:szCs w:val="21"/>
                    </w:rPr>
                    <w:t>3</w:t>
                  </w:r>
                </w:p>
              </w:tc>
              <w:tc>
                <w:tcPr>
                  <w:tcW w:w="1648" w:type="dxa"/>
                </w:tcPr>
                <w:p>
                  <w:pPr>
                    <w:spacing w:line="240" w:lineRule="auto"/>
                    <w:jc w:val="center"/>
                    <w:rPr>
                      <w:color w:val="FF0000"/>
                      <w:szCs w:val="21"/>
                    </w:rPr>
                  </w:pPr>
                  <w:r>
                    <w:rPr>
                      <w:rFonts w:hint="eastAsia"/>
                      <w:color w:val="FF0000"/>
                      <w:szCs w:val="21"/>
                    </w:rPr>
                    <w:t>2</w:t>
                  </w:r>
                  <w:r>
                    <w:rPr>
                      <w:color w:val="FF0000"/>
                      <w:szCs w:val="21"/>
                    </w:rPr>
                    <w:t>.2</w:t>
                  </w:r>
                </w:p>
              </w:tc>
              <w:tc>
                <w:tcPr>
                  <w:tcW w:w="1559" w:type="dxa"/>
                </w:tcPr>
                <w:p>
                  <w:pPr>
                    <w:spacing w:line="240" w:lineRule="auto"/>
                    <w:jc w:val="center"/>
                    <w:rPr>
                      <w:color w:val="FF0000"/>
                      <w:szCs w:val="21"/>
                    </w:rPr>
                  </w:pPr>
                  <w:r>
                    <w:rPr>
                      <w:color w:val="FF0000"/>
                      <w:szCs w:val="21"/>
                    </w:rPr>
                    <w:t>27.4</w:t>
                  </w:r>
                </w:p>
              </w:tc>
              <w:tc>
                <w:tcPr>
                  <w:tcW w:w="1701" w:type="dxa"/>
                </w:tcPr>
                <w:p>
                  <w:pPr>
                    <w:spacing w:line="240" w:lineRule="auto"/>
                    <w:jc w:val="center"/>
                    <w:rPr>
                      <w:color w:val="FF0000"/>
                      <w:szCs w:val="21"/>
                    </w:rPr>
                  </w:pPr>
                  <w:r>
                    <w:rPr>
                      <w:color w:val="FF0000"/>
                      <w:szCs w:val="21"/>
                    </w:rPr>
                    <w:t>70.4</w:t>
                  </w:r>
                </w:p>
              </w:tc>
              <w:tc>
                <w:tcPr>
                  <w:tcW w:w="1918" w:type="dxa"/>
                </w:tcPr>
                <w:p>
                  <w:pPr>
                    <w:spacing w:line="240" w:lineRule="auto"/>
                    <w:jc w:val="center"/>
                    <w:rPr>
                      <w:color w:val="FF0000"/>
                      <w:szCs w:val="21"/>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spacing w:line="240" w:lineRule="auto"/>
                    <w:jc w:val="center"/>
                    <w:rPr>
                      <w:color w:val="FF0000"/>
                      <w:szCs w:val="21"/>
                    </w:rPr>
                  </w:pPr>
                  <w:r>
                    <w:rPr>
                      <w:rFonts w:hint="eastAsia"/>
                      <w:color w:val="FF0000"/>
                      <w:szCs w:val="21"/>
                    </w:rPr>
                    <w:t>4</w:t>
                  </w:r>
                </w:p>
              </w:tc>
              <w:tc>
                <w:tcPr>
                  <w:tcW w:w="1648" w:type="dxa"/>
                </w:tcPr>
                <w:p>
                  <w:pPr>
                    <w:spacing w:line="240" w:lineRule="auto"/>
                    <w:jc w:val="center"/>
                    <w:rPr>
                      <w:color w:val="FF0000"/>
                      <w:szCs w:val="21"/>
                    </w:rPr>
                  </w:pPr>
                  <w:r>
                    <w:rPr>
                      <w:rFonts w:hint="eastAsia"/>
                      <w:color w:val="FF0000"/>
                      <w:szCs w:val="21"/>
                    </w:rPr>
                    <w:t>1</w:t>
                  </w:r>
                  <w:r>
                    <w:rPr>
                      <w:color w:val="FF0000"/>
                      <w:szCs w:val="21"/>
                    </w:rPr>
                    <w:t>.7</w:t>
                  </w:r>
                </w:p>
              </w:tc>
              <w:tc>
                <w:tcPr>
                  <w:tcW w:w="1559" w:type="dxa"/>
                </w:tcPr>
                <w:p>
                  <w:pPr>
                    <w:spacing w:line="240" w:lineRule="auto"/>
                    <w:jc w:val="center"/>
                    <w:rPr>
                      <w:color w:val="FF0000"/>
                      <w:szCs w:val="21"/>
                    </w:rPr>
                  </w:pPr>
                  <w:r>
                    <w:rPr>
                      <w:color w:val="FF0000"/>
                      <w:szCs w:val="21"/>
                    </w:rPr>
                    <w:t>30.5</w:t>
                  </w:r>
                </w:p>
              </w:tc>
              <w:tc>
                <w:tcPr>
                  <w:tcW w:w="1701" w:type="dxa"/>
                </w:tcPr>
                <w:p>
                  <w:pPr>
                    <w:spacing w:line="240" w:lineRule="auto"/>
                    <w:jc w:val="center"/>
                    <w:rPr>
                      <w:color w:val="FF0000"/>
                      <w:szCs w:val="21"/>
                    </w:rPr>
                  </w:pPr>
                  <w:r>
                    <w:rPr>
                      <w:rFonts w:hint="eastAsia"/>
                      <w:color w:val="FF0000"/>
                      <w:szCs w:val="21"/>
                    </w:rPr>
                    <w:t>6</w:t>
                  </w:r>
                  <w:r>
                    <w:rPr>
                      <w:color w:val="FF0000"/>
                      <w:szCs w:val="21"/>
                    </w:rPr>
                    <w:t>7.8</w:t>
                  </w:r>
                </w:p>
              </w:tc>
              <w:tc>
                <w:tcPr>
                  <w:tcW w:w="1918" w:type="dxa"/>
                </w:tcPr>
                <w:p>
                  <w:pPr>
                    <w:spacing w:line="240" w:lineRule="auto"/>
                    <w:jc w:val="center"/>
                    <w:rPr>
                      <w:color w:val="FF0000"/>
                      <w:szCs w:val="21"/>
                    </w:rPr>
                  </w:pPr>
                  <w:r>
                    <w:rPr>
                      <w:rFonts w:hint="eastAsia"/>
                      <w:color w:val="FF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91" w:type="dxa"/>
                  <w:gridSpan w:val="5"/>
                </w:tcPr>
                <w:p>
                  <w:pPr>
                    <w:spacing w:line="240" w:lineRule="auto"/>
                    <w:jc w:val="left"/>
                    <w:rPr>
                      <w:color w:val="FF0000"/>
                      <w:szCs w:val="21"/>
                    </w:rPr>
                  </w:pPr>
                  <w:r>
                    <w:rPr>
                      <w:rFonts w:hint="eastAsia"/>
                      <w:color w:val="FF0000"/>
                      <w:szCs w:val="21"/>
                    </w:rPr>
                    <w:t>备注：①《废轮胎回转窑中试热解产物应用及热解机理和动力学模型研究》（闫大海，浙江大学博士学位论文，2</w:t>
                  </w:r>
                  <w:r>
                    <w:rPr>
                      <w:color w:val="FF0000"/>
                      <w:szCs w:val="21"/>
                    </w:rPr>
                    <w:t>006</w:t>
                  </w:r>
                  <w:r>
                    <w:rPr>
                      <w:rFonts w:hint="eastAsia"/>
                      <w:color w:val="FF0000"/>
                      <w:szCs w:val="21"/>
                    </w:rPr>
                    <w:t>年9月）；</w:t>
                  </w:r>
                </w:p>
                <w:p>
                  <w:pPr>
                    <w:pStyle w:val="2"/>
                    <w:spacing w:before="0" w:after="0" w:line="240" w:lineRule="auto"/>
                    <w:ind w:right="0"/>
                    <w:rPr>
                      <w:color w:val="FF0000"/>
                      <w:sz w:val="21"/>
                      <w:szCs w:val="21"/>
                    </w:rPr>
                  </w:pPr>
                  <w:r>
                    <w:rPr>
                      <w:rFonts w:hint="eastAsia"/>
                      <w:color w:val="FF0000"/>
                      <w:sz w:val="21"/>
                      <w:szCs w:val="21"/>
                    </w:rPr>
                    <w:t>②《废轮胎的热裂解处理工艺工程化分析》（康永，测试与分析，2</w:t>
                  </w:r>
                  <w:r>
                    <w:rPr>
                      <w:color w:val="FF0000"/>
                      <w:sz w:val="21"/>
                      <w:szCs w:val="21"/>
                    </w:rPr>
                    <w:t>020</w:t>
                  </w:r>
                  <w:r>
                    <w:rPr>
                      <w:rFonts w:hint="eastAsia"/>
                      <w:color w:val="FF0000"/>
                      <w:sz w:val="21"/>
                      <w:szCs w:val="21"/>
                    </w:rPr>
                    <w:t>年4</w:t>
                  </w:r>
                  <w:r>
                    <w:rPr>
                      <w:color w:val="FF0000"/>
                      <w:sz w:val="21"/>
                      <w:szCs w:val="21"/>
                    </w:rPr>
                    <w:t>6</w:t>
                  </w:r>
                  <w:r>
                    <w:rPr>
                      <w:rFonts w:hint="eastAsia"/>
                      <w:color w:val="FF0000"/>
                      <w:sz w:val="21"/>
                      <w:szCs w:val="21"/>
                    </w:rPr>
                    <w:t>卷）；</w:t>
                  </w:r>
                </w:p>
                <w:p>
                  <w:pPr>
                    <w:pStyle w:val="3"/>
                    <w:numPr>
                      <w:ilvl w:val="0"/>
                      <w:numId w:val="0"/>
                    </w:numPr>
                    <w:spacing w:line="240" w:lineRule="auto"/>
                    <w:rPr>
                      <w:color w:val="FF0000"/>
                    </w:rPr>
                  </w:pPr>
                  <w:r>
                    <w:rPr>
                      <w:rFonts w:hint="eastAsia"/>
                      <w:color w:val="FF0000"/>
                      <w:szCs w:val="21"/>
                    </w:rPr>
                    <w:t>③</w:t>
                  </w:r>
                  <w:r>
                    <w:rPr>
                      <w:color w:val="FF0000"/>
                    </w:rPr>
                    <w:t>RoyC.A.Chaala，and H.Darmstadt.The vacuum pyrolysis of used tires end-uses for oil and carbonblack products[J].Journal ofAnalytical andApplied Pyrolysis，1999</w:t>
                  </w:r>
                  <w:r>
                    <w:rPr>
                      <w:rFonts w:hint="eastAsia"/>
                      <w:color w:val="FF0000"/>
                    </w:rPr>
                    <w:t>；</w:t>
                  </w:r>
                </w:p>
                <w:p>
                  <w:pPr>
                    <w:pStyle w:val="3"/>
                    <w:numPr>
                      <w:ilvl w:val="0"/>
                      <w:numId w:val="0"/>
                    </w:numPr>
                    <w:spacing w:line="240" w:lineRule="auto"/>
                    <w:rPr>
                      <w:color w:val="FF0000"/>
                    </w:rPr>
                  </w:pPr>
                  <w:r>
                    <w:rPr>
                      <w:rFonts w:hint="eastAsia"/>
                      <w:color w:val="FF0000"/>
                    </w:rPr>
                    <w:t>④《青岛新天地静脉产业园管理有限公司“城市矿业”示范基地项目环境影响报告书》（已批复）中废轮胎资源化利用项目情况。</w:t>
                  </w:r>
                </w:p>
              </w:tc>
            </w:tr>
          </w:tbl>
          <w:p>
            <w:pPr>
              <w:ind w:firstLine="480" w:firstLineChars="200"/>
              <w:rPr>
                <w:color w:val="FF0000"/>
                <w:sz w:val="24"/>
                <w:szCs w:val="20"/>
              </w:rPr>
            </w:pPr>
            <w:r>
              <w:rPr>
                <w:rFonts w:hint="eastAsia"/>
                <w:color w:val="FF0000"/>
                <w:sz w:val="24"/>
                <w:szCs w:val="20"/>
              </w:rPr>
              <w:t>由上表可知，由于裂解设备参数不一致，热解方式、热解时间不同、热解工况差异，导致各热解产物中的硫含量存在略微差异。结合本项目轮胎种类、工艺参数以及建设单位提供的同型号设备的实际运行数据等，确定硫元素进入废旧轮胎裂解产物中分配比为：裂解不凝气2</w:t>
            </w:r>
            <w:r>
              <w:rPr>
                <w:color w:val="FF0000"/>
                <w:sz w:val="24"/>
                <w:szCs w:val="20"/>
              </w:rPr>
              <w:t>.2</w:t>
            </w:r>
            <w:r>
              <w:rPr>
                <w:rFonts w:hint="eastAsia"/>
                <w:color w:val="FF0000"/>
                <w:sz w:val="24"/>
                <w:szCs w:val="20"/>
              </w:rPr>
              <w:t>%、裂解油</w:t>
            </w:r>
            <w:r>
              <w:rPr>
                <w:color w:val="FF0000"/>
                <w:sz w:val="24"/>
                <w:szCs w:val="20"/>
              </w:rPr>
              <w:t>30.9</w:t>
            </w:r>
            <w:r>
              <w:rPr>
                <w:rFonts w:hint="eastAsia"/>
                <w:color w:val="FF0000"/>
                <w:sz w:val="24"/>
                <w:szCs w:val="20"/>
              </w:rPr>
              <w:t>%、炭黑</w:t>
            </w:r>
            <w:r>
              <w:rPr>
                <w:color w:val="FF0000"/>
                <w:sz w:val="24"/>
                <w:szCs w:val="20"/>
              </w:rPr>
              <w:t>66.9</w:t>
            </w:r>
            <w:r>
              <w:rPr>
                <w:rFonts w:hint="eastAsia"/>
                <w:color w:val="FF0000"/>
                <w:sz w:val="24"/>
                <w:szCs w:val="20"/>
              </w:rPr>
              <w:t>%。</w:t>
            </w:r>
          </w:p>
          <w:p>
            <w:pPr>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裂解不凝气主要是一些烃类化合物。因裂解在贫氧下进行，热解不凝气中的S主要以H</w:t>
            </w:r>
            <w:r>
              <w:rPr>
                <w:color w:val="000000" w:themeColor="text1"/>
                <w:sz w:val="24"/>
                <w:szCs w:val="20"/>
                <w:vertAlign w:val="subscript"/>
                <w14:textFill>
                  <w14:solidFill>
                    <w14:schemeClr w14:val="tx1"/>
                  </w14:solidFill>
                </w14:textFill>
              </w:rPr>
              <w:t>2</w:t>
            </w:r>
            <w:r>
              <w:rPr>
                <w:color w:val="000000" w:themeColor="text1"/>
                <w:sz w:val="24"/>
                <w:szCs w:val="20"/>
                <w14:textFill>
                  <w14:solidFill>
                    <w14:schemeClr w14:val="tx1"/>
                  </w14:solidFill>
                </w14:textFill>
              </w:rPr>
              <w:t>S</w:t>
            </w:r>
            <w:r>
              <w:rPr>
                <w:rFonts w:hint="eastAsia"/>
                <w:color w:val="000000" w:themeColor="text1"/>
                <w:sz w:val="24"/>
                <w:szCs w:val="20"/>
                <w14:textFill>
                  <w14:solidFill>
                    <w14:schemeClr w14:val="tx1"/>
                  </w14:solidFill>
                </w14:textFill>
              </w:rPr>
              <w:t>的形式存在，仅有极少含量以S</w:t>
            </w:r>
            <w:r>
              <w:rPr>
                <w:color w:val="000000" w:themeColor="text1"/>
                <w:sz w:val="24"/>
                <w:szCs w:val="20"/>
                <w14:textFill>
                  <w14:solidFill>
                    <w14:schemeClr w14:val="tx1"/>
                  </w14:solidFill>
                </w14:textFill>
              </w:rPr>
              <w:t>O</w:t>
            </w:r>
            <w:r>
              <w:rPr>
                <w:color w:val="000000" w:themeColor="text1"/>
                <w:sz w:val="24"/>
                <w:szCs w:val="20"/>
                <w:vertAlign w:val="subscript"/>
                <w14:textFill>
                  <w14:solidFill>
                    <w14:schemeClr w14:val="tx1"/>
                  </w14:solidFill>
                </w14:textFill>
              </w:rPr>
              <w:t>2</w:t>
            </w:r>
            <w:r>
              <w:rPr>
                <w:rFonts w:hint="eastAsia"/>
                <w:color w:val="000000" w:themeColor="text1"/>
                <w:sz w:val="24"/>
                <w:szCs w:val="20"/>
                <w14:textFill>
                  <w14:solidFill>
                    <w14:schemeClr w14:val="tx1"/>
                  </w14:solidFill>
                </w14:textFill>
              </w:rPr>
              <w:t>的形式存在，基本上不存在其他分子量较大的含硫有机化合物。</w:t>
            </w:r>
            <w:r>
              <w:rPr>
                <w:rFonts w:hint="eastAsia"/>
                <w:bCs/>
                <w:color w:val="000000" w:themeColor="text1"/>
                <w:sz w:val="24"/>
                <w:szCs w:val="26"/>
                <w:lang w:val="zh-CN"/>
                <w14:textFill>
                  <w14:solidFill>
                    <w14:schemeClr w14:val="tx1"/>
                  </w14:solidFill>
                </w14:textFill>
              </w:rPr>
              <w:t>裂解不凝气中的</w:t>
            </w:r>
            <w:r>
              <w:rPr>
                <w:rFonts w:hint="eastAsia"/>
                <w:bCs/>
                <w:color w:val="000000" w:themeColor="text1"/>
                <w:sz w:val="24"/>
                <w:szCs w:val="26"/>
                <w14:textFill>
                  <w14:solidFill>
                    <w14:schemeClr w14:val="tx1"/>
                  </w14:solidFill>
                </w14:textFill>
              </w:rPr>
              <w:t>H</w:t>
            </w:r>
            <w:r>
              <w:rPr>
                <w:rFonts w:hint="eastAsia"/>
                <w:bCs/>
                <w:color w:val="000000" w:themeColor="text1"/>
                <w:sz w:val="24"/>
                <w:szCs w:val="26"/>
                <w:vertAlign w:val="subscript"/>
                <w14:textFill>
                  <w14:solidFill>
                    <w14:schemeClr w14:val="tx1"/>
                  </w14:solidFill>
                </w14:textFill>
              </w:rPr>
              <w:t>2</w:t>
            </w:r>
            <w:r>
              <w:rPr>
                <w:rFonts w:hint="eastAsia"/>
                <w:bCs/>
                <w:color w:val="000000" w:themeColor="text1"/>
                <w:sz w:val="24"/>
                <w:szCs w:val="26"/>
                <w14:textFill>
                  <w14:solidFill>
                    <w14:schemeClr w14:val="tx1"/>
                  </w14:solidFill>
                </w14:textFill>
              </w:rPr>
              <w:t>S</w:t>
            </w:r>
            <w:r>
              <w:rPr>
                <w:rFonts w:hint="eastAsia"/>
                <w:bCs/>
                <w:color w:val="000000" w:themeColor="text1"/>
                <w:sz w:val="24"/>
                <w:szCs w:val="26"/>
                <w:lang w:val="zh-CN"/>
                <w14:textFill>
                  <w14:solidFill>
                    <w14:schemeClr w14:val="tx1"/>
                  </w14:solidFill>
                </w14:textFill>
              </w:rPr>
              <w:t>进行</w:t>
            </w:r>
            <w:r>
              <w:rPr>
                <w:bCs/>
                <w:color w:val="000000" w:themeColor="text1"/>
                <w:sz w:val="24"/>
                <w:szCs w:val="26"/>
                <w:lang w:val="zh-CN"/>
                <w14:textFill>
                  <w14:solidFill>
                    <w14:schemeClr w14:val="tx1"/>
                  </w14:solidFill>
                </w14:textFill>
              </w:rPr>
              <w:t>二次</w:t>
            </w:r>
            <w:r>
              <w:rPr>
                <w:rFonts w:hint="eastAsia"/>
                <w:bCs/>
                <w:color w:val="000000" w:themeColor="text1"/>
                <w:sz w:val="24"/>
                <w:szCs w:val="26"/>
                <w:lang w:val="zh-CN"/>
                <w14:textFill>
                  <w14:solidFill>
                    <w14:schemeClr w14:val="tx1"/>
                  </w14:solidFill>
                </w14:textFill>
              </w:rPr>
              <w:t>燃烧</w:t>
            </w:r>
            <w:r>
              <w:rPr>
                <w:rFonts w:hint="eastAsia"/>
                <w:bCs/>
                <w:color w:val="000000" w:themeColor="text1"/>
                <w:sz w:val="24"/>
                <w:szCs w:val="26"/>
                <w14:textFill>
                  <w14:solidFill>
                    <w14:schemeClr w14:val="tx1"/>
                  </w14:solidFill>
                </w14:textFill>
              </w:rPr>
              <w:t>，</w:t>
            </w:r>
            <w:r>
              <w:rPr>
                <w:rFonts w:hint="eastAsia"/>
                <w:bCs/>
                <w:color w:val="000000" w:themeColor="text1"/>
                <w:sz w:val="24"/>
                <w:szCs w:val="26"/>
                <w:lang w:val="zh-CN"/>
                <w14:textFill>
                  <w14:solidFill>
                    <w14:schemeClr w14:val="tx1"/>
                  </w14:solidFill>
                </w14:textFill>
              </w:rPr>
              <w:t>完全燃烧方程式如下</w:t>
            </w:r>
            <w:r>
              <w:rPr>
                <w:rFonts w:hint="eastAsia"/>
                <w:bCs/>
                <w:color w:val="000000" w:themeColor="text1"/>
                <w:sz w:val="24"/>
                <w:szCs w:val="26"/>
                <w14:textFill>
                  <w14:solidFill>
                    <w14:schemeClr w14:val="tx1"/>
                  </w14:solidFill>
                </w14:textFill>
              </w:rPr>
              <w:t>：2H</w:t>
            </w:r>
            <w:r>
              <w:rPr>
                <w:rFonts w:hint="eastAsia"/>
                <w:bCs/>
                <w:color w:val="000000" w:themeColor="text1"/>
                <w:sz w:val="24"/>
                <w:szCs w:val="26"/>
                <w:vertAlign w:val="subscript"/>
                <w14:textFill>
                  <w14:solidFill>
                    <w14:schemeClr w14:val="tx1"/>
                  </w14:solidFill>
                </w14:textFill>
              </w:rPr>
              <w:t>2</w:t>
            </w:r>
            <w:r>
              <w:rPr>
                <w:rFonts w:hint="eastAsia"/>
                <w:bCs/>
                <w:color w:val="000000" w:themeColor="text1"/>
                <w:sz w:val="24"/>
                <w:szCs w:val="26"/>
                <w14:textFill>
                  <w14:solidFill>
                    <w14:schemeClr w14:val="tx1"/>
                  </w14:solidFill>
                </w14:textFill>
              </w:rPr>
              <w:t>S+3O</w:t>
            </w:r>
            <w:r>
              <w:rPr>
                <w:rFonts w:hint="eastAsia"/>
                <w:bCs/>
                <w:color w:val="000000" w:themeColor="text1"/>
                <w:sz w:val="24"/>
                <w:szCs w:val="26"/>
                <w:vertAlign w:val="subscript"/>
                <w14:textFill>
                  <w14:solidFill>
                    <w14:schemeClr w14:val="tx1"/>
                  </w14:solidFill>
                </w14:textFill>
              </w:rPr>
              <w:t>2</w:t>
            </w:r>
            <w:r>
              <w:rPr>
                <w:rFonts w:hint="eastAsia"/>
                <w:bCs/>
                <w:color w:val="000000" w:themeColor="text1"/>
                <w:sz w:val="24"/>
                <w:szCs w:val="26"/>
                <w14:textFill>
                  <w14:solidFill>
                    <w14:schemeClr w14:val="tx1"/>
                  </w14:solidFill>
                </w14:textFill>
              </w:rPr>
              <w:t>=2SO</w:t>
            </w:r>
            <w:r>
              <w:rPr>
                <w:rFonts w:hint="eastAsia"/>
                <w:bCs/>
                <w:color w:val="000000" w:themeColor="text1"/>
                <w:sz w:val="24"/>
                <w:szCs w:val="26"/>
                <w:vertAlign w:val="subscript"/>
                <w14:textFill>
                  <w14:solidFill>
                    <w14:schemeClr w14:val="tx1"/>
                  </w14:solidFill>
                </w14:textFill>
              </w:rPr>
              <w:t>2</w:t>
            </w:r>
            <w:r>
              <w:rPr>
                <w:rFonts w:hint="eastAsia"/>
                <w:bCs/>
                <w:color w:val="000000" w:themeColor="text1"/>
                <w:sz w:val="24"/>
                <w:szCs w:val="26"/>
                <w14:textFill>
                  <w14:solidFill>
                    <w14:schemeClr w14:val="tx1"/>
                  </w14:solidFill>
                </w14:textFill>
              </w:rPr>
              <w:t>+2H</w:t>
            </w:r>
            <w:r>
              <w:rPr>
                <w:rFonts w:hint="eastAsia"/>
                <w:bCs/>
                <w:color w:val="000000" w:themeColor="text1"/>
                <w:sz w:val="24"/>
                <w:szCs w:val="26"/>
                <w:vertAlign w:val="subscript"/>
                <w14:textFill>
                  <w14:solidFill>
                    <w14:schemeClr w14:val="tx1"/>
                  </w14:solidFill>
                </w14:textFill>
              </w:rPr>
              <w:t>2</w:t>
            </w:r>
            <w:r>
              <w:rPr>
                <w:rFonts w:hint="eastAsia"/>
                <w:bCs/>
                <w:color w:val="000000" w:themeColor="text1"/>
                <w:sz w:val="24"/>
                <w:szCs w:val="26"/>
                <w14:textFill>
                  <w14:solidFill>
                    <w14:schemeClr w14:val="tx1"/>
                  </w14:solidFill>
                </w14:textFill>
              </w:rPr>
              <w:t>O，</w:t>
            </w:r>
            <w:r>
              <w:rPr>
                <w:rFonts w:hint="eastAsia"/>
                <w:bCs/>
                <w:color w:val="000000" w:themeColor="text1"/>
                <w:sz w:val="24"/>
                <w:szCs w:val="26"/>
                <w:lang w:val="zh-CN"/>
                <w14:textFill>
                  <w14:solidFill>
                    <w14:schemeClr w14:val="tx1"/>
                  </w14:solidFill>
                </w14:textFill>
              </w:rPr>
              <w:t>另外存在有少量</w:t>
            </w:r>
            <w:r>
              <w:rPr>
                <w:rFonts w:hint="eastAsia"/>
                <w:bCs/>
                <w:color w:val="000000" w:themeColor="text1"/>
                <w:sz w:val="24"/>
                <w:szCs w:val="26"/>
                <w14:textFill>
                  <w14:solidFill>
                    <w14:schemeClr w14:val="tx1"/>
                  </w14:solidFill>
                </w14:textFill>
              </w:rPr>
              <w:t>H</w:t>
            </w:r>
            <w:r>
              <w:rPr>
                <w:rFonts w:hint="eastAsia"/>
                <w:bCs/>
                <w:color w:val="000000" w:themeColor="text1"/>
                <w:sz w:val="24"/>
                <w:szCs w:val="26"/>
                <w:vertAlign w:val="subscript"/>
                <w14:textFill>
                  <w14:solidFill>
                    <w14:schemeClr w14:val="tx1"/>
                  </w14:solidFill>
                </w14:textFill>
              </w:rPr>
              <w:t>2</w:t>
            </w:r>
            <w:r>
              <w:rPr>
                <w:rFonts w:hint="eastAsia"/>
                <w:bCs/>
                <w:color w:val="000000" w:themeColor="text1"/>
                <w:sz w:val="24"/>
                <w:szCs w:val="26"/>
                <w14:textFill>
                  <w14:solidFill>
                    <w14:schemeClr w14:val="tx1"/>
                  </w14:solidFill>
                </w14:textFill>
              </w:rPr>
              <w:t>S</w:t>
            </w:r>
            <w:r>
              <w:rPr>
                <w:rFonts w:hint="eastAsia"/>
                <w:bCs/>
                <w:color w:val="000000" w:themeColor="text1"/>
                <w:sz w:val="24"/>
                <w:szCs w:val="26"/>
                <w:lang w:val="zh-CN"/>
                <w14:textFill>
                  <w14:solidFill>
                    <w14:schemeClr w14:val="tx1"/>
                  </w14:solidFill>
                </w14:textFill>
              </w:rPr>
              <w:t>未发生反应</w:t>
            </w:r>
            <w:r>
              <w:rPr>
                <w:rFonts w:hint="eastAsia"/>
                <w:bCs/>
                <w:color w:val="000000" w:themeColor="text1"/>
                <w:sz w:val="24"/>
                <w:szCs w:val="26"/>
                <w14:textFill>
                  <w14:solidFill>
                    <w14:schemeClr w14:val="tx1"/>
                  </w14:solidFill>
                </w14:textFill>
              </w:rPr>
              <w:t>，</w:t>
            </w:r>
            <w:r>
              <w:rPr>
                <w:rFonts w:hint="eastAsia"/>
                <w:bCs/>
                <w:color w:val="000000" w:themeColor="text1"/>
                <w:sz w:val="24"/>
                <w:szCs w:val="26"/>
                <w:lang w:val="zh-CN"/>
                <w14:textFill>
                  <w14:solidFill>
                    <w14:schemeClr w14:val="tx1"/>
                  </w14:solidFill>
                </w14:textFill>
              </w:rPr>
              <w:t>直接排放</w:t>
            </w:r>
            <w:r>
              <w:rPr>
                <w:rFonts w:hint="eastAsia"/>
                <w:bCs/>
                <w:color w:val="000000" w:themeColor="text1"/>
                <w:sz w:val="24"/>
                <w:szCs w:val="26"/>
                <w14:textFill>
                  <w14:solidFill>
                    <w14:schemeClr w14:val="tx1"/>
                  </w14:solidFill>
                </w14:textFill>
              </w:rPr>
              <w:t>（</w:t>
            </w:r>
            <w:r>
              <w:rPr>
                <w:rFonts w:hint="eastAsia"/>
                <w:bCs/>
                <w:color w:val="000000" w:themeColor="text1"/>
                <w:sz w:val="24"/>
                <w:szCs w:val="26"/>
                <w:lang w:val="zh-CN"/>
                <w14:textFill>
                  <w14:solidFill>
                    <w14:schemeClr w14:val="tx1"/>
                  </w14:solidFill>
                </w14:textFill>
              </w:rPr>
              <w:t>焚烧效率按</w:t>
            </w:r>
            <w:r>
              <w:rPr>
                <w:rFonts w:hint="eastAsia"/>
                <w:bCs/>
                <w:color w:val="000000" w:themeColor="text1"/>
                <w:sz w:val="24"/>
                <w:szCs w:val="26"/>
                <w14:textFill>
                  <w14:solidFill>
                    <w14:schemeClr w14:val="tx1"/>
                  </w14:solidFill>
                </w14:textFill>
              </w:rPr>
              <w:t>98%</w:t>
            </w:r>
            <w:r>
              <w:rPr>
                <w:rFonts w:hint="eastAsia"/>
                <w:bCs/>
                <w:color w:val="000000" w:themeColor="text1"/>
                <w:sz w:val="24"/>
                <w:szCs w:val="26"/>
                <w:lang w:val="zh-CN"/>
                <w14:textFill>
                  <w14:solidFill>
                    <w14:schemeClr w14:val="tx1"/>
                  </w14:solidFill>
                </w14:textFill>
              </w:rPr>
              <w:t>计算</w:t>
            </w:r>
            <w:r>
              <w:rPr>
                <w:rFonts w:hint="eastAsia"/>
                <w:bCs/>
                <w:color w:val="000000" w:themeColor="text1"/>
                <w:sz w:val="24"/>
                <w:szCs w:val="26"/>
                <w14:textFill>
                  <w14:solidFill>
                    <w14:schemeClr w14:val="tx1"/>
                  </w14:solidFill>
                </w14:textFill>
              </w:rPr>
              <w:t>）。</w:t>
            </w:r>
          </w:p>
          <w:p>
            <w:pPr>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硫元素平衡情况见表2</w:t>
            </w:r>
            <w:r>
              <w:rPr>
                <w:color w:val="000000" w:themeColor="text1"/>
                <w:sz w:val="24"/>
                <w:szCs w:val="20"/>
                <w14:textFill>
                  <w14:solidFill>
                    <w14:schemeClr w14:val="tx1"/>
                  </w14:solidFill>
                </w14:textFill>
              </w:rPr>
              <w:t>.3</w:t>
            </w: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6</w:t>
            </w:r>
            <w:r>
              <w:rPr>
                <w:rFonts w:hint="eastAsia"/>
                <w:color w:val="000000" w:themeColor="text1"/>
                <w:sz w:val="24"/>
                <w:szCs w:val="20"/>
                <w14:textFill>
                  <w14:solidFill>
                    <w14:schemeClr w14:val="tx1"/>
                  </w14:solidFill>
                </w14:textFill>
              </w:rPr>
              <w:t>和图2</w:t>
            </w:r>
            <w:r>
              <w:rPr>
                <w:color w:val="000000" w:themeColor="text1"/>
                <w:sz w:val="24"/>
                <w:szCs w:val="20"/>
                <w14:textFill>
                  <w14:solidFill>
                    <w14:schemeClr w14:val="tx1"/>
                  </w14:solidFill>
                </w14:textFill>
              </w:rPr>
              <w:t>.3</w:t>
            </w: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1</w:t>
            </w:r>
            <w:r>
              <w:rPr>
                <w:rFonts w:hint="eastAsia"/>
                <w:color w:val="000000" w:themeColor="text1"/>
                <w:sz w:val="24"/>
                <w:szCs w:val="20"/>
                <w14:textFill>
                  <w14:solidFill>
                    <w14:schemeClr w14:val="tx1"/>
                  </w14:solidFill>
                </w14:textFill>
              </w:rPr>
              <w:t>~图2</w:t>
            </w:r>
            <w:r>
              <w:rPr>
                <w:color w:val="000000" w:themeColor="text1"/>
                <w:sz w:val="24"/>
                <w:szCs w:val="20"/>
                <w14:textFill>
                  <w14:solidFill>
                    <w14:schemeClr w14:val="tx1"/>
                  </w14:solidFill>
                </w14:textFill>
              </w:rPr>
              <w:t>.3</w:t>
            </w: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3</w:t>
            </w:r>
            <w:r>
              <w:rPr>
                <w:rFonts w:hint="eastAsia"/>
                <w:color w:val="000000" w:themeColor="text1"/>
                <w:sz w:val="24"/>
                <w:szCs w:val="20"/>
                <w14:textFill>
                  <w14:solidFill>
                    <w14:schemeClr w14:val="tx1"/>
                  </w14:solidFill>
                </w14:textFill>
              </w:rPr>
              <w:t>。</w:t>
            </w:r>
          </w:p>
          <w:p>
            <w:pPr>
              <w:pStyle w:val="2"/>
              <w:spacing w:before="0" w:after="0" w:line="240" w:lineRule="auto"/>
              <w:ind w:right="0"/>
              <w:jc w:val="center"/>
              <w:rPr>
                <w:b/>
                <w:color w:val="FF0000"/>
                <w:sz w:val="24"/>
                <w:szCs w:val="24"/>
              </w:rPr>
            </w:pPr>
            <w:r>
              <w:rPr>
                <w:rFonts w:hint="eastAsia"/>
                <w:b/>
                <w:color w:val="FF0000"/>
                <w:sz w:val="24"/>
                <w:szCs w:val="24"/>
              </w:rPr>
              <w:t>表2</w:t>
            </w:r>
            <w:r>
              <w:rPr>
                <w:b/>
                <w:color w:val="FF0000"/>
                <w:sz w:val="24"/>
                <w:szCs w:val="24"/>
              </w:rPr>
              <w:t>.3</w:t>
            </w:r>
            <w:r>
              <w:rPr>
                <w:rFonts w:hint="eastAsia"/>
                <w:b/>
                <w:color w:val="FF0000"/>
                <w:sz w:val="24"/>
                <w:szCs w:val="24"/>
              </w:rPr>
              <w:t>-</w:t>
            </w:r>
            <w:r>
              <w:rPr>
                <w:b/>
                <w:color w:val="FF0000"/>
                <w:sz w:val="24"/>
                <w:szCs w:val="24"/>
              </w:rPr>
              <w:t xml:space="preserve">6  </w:t>
            </w:r>
            <w:r>
              <w:rPr>
                <w:rFonts w:hint="eastAsia"/>
                <w:b/>
                <w:color w:val="FF0000"/>
                <w:sz w:val="24"/>
                <w:szCs w:val="24"/>
              </w:rPr>
              <w:t xml:space="preserve">本项目硫元素平衡表 </w:t>
            </w:r>
            <w:r>
              <w:rPr>
                <w:b/>
                <w:color w:val="FF0000"/>
                <w:sz w:val="24"/>
                <w:szCs w:val="24"/>
              </w:rPr>
              <w:t xml:space="preserve"> </w:t>
            </w:r>
            <w:r>
              <w:rPr>
                <w:rFonts w:hint="eastAsia"/>
                <w:b/>
                <w:color w:val="FF0000"/>
                <w:sz w:val="24"/>
                <w:szCs w:val="24"/>
              </w:rPr>
              <w:t>单位：t</w:t>
            </w:r>
            <w:r>
              <w:rPr>
                <w:b/>
                <w:color w:val="FF0000"/>
                <w:sz w:val="24"/>
                <w:szCs w:val="24"/>
              </w:rPr>
              <w:t>/</w:t>
            </w:r>
            <w:r>
              <w:rPr>
                <w:rFonts w:hint="eastAsia"/>
                <w:b/>
                <w:color w:val="FF0000"/>
                <w:sz w:val="24"/>
                <w:szCs w:val="24"/>
              </w:rPr>
              <w:t>a</w:t>
            </w:r>
          </w:p>
          <w:tbl>
            <w:tblPr>
              <w:tblStyle w:val="36"/>
              <w:tblW w:w="81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674"/>
              <w:gridCol w:w="674"/>
              <w:gridCol w:w="759"/>
              <w:gridCol w:w="753"/>
              <w:gridCol w:w="1984"/>
              <w:gridCol w:w="851"/>
              <w:gridCol w:w="891"/>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53" w:type="dxa"/>
                  <w:gridSpan w:val="4"/>
                  <w:shd w:val="clear" w:color="auto" w:fill="auto"/>
                  <w:noWrap/>
                  <w:vAlign w:val="center"/>
                </w:tcPr>
                <w:p>
                  <w:pPr>
                    <w:spacing w:line="240" w:lineRule="auto"/>
                    <w:jc w:val="center"/>
                    <w:rPr>
                      <w:b/>
                      <w:color w:val="FF0000"/>
                      <w:kern w:val="0"/>
                      <w:szCs w:val="21"/>
                    </w:rPr>
                  </w:pPr>
                  <w:r>
                    <w:rPr>
                      <w:b/>
                      <w:color w:val="FF0000"/>
                      <w:kern w:val="0"/>
                      <w:szCs w:val="21"/>
                    </w:rPr>
                    <w:t>入方</w:t>
                  </w:r>
                </w:p>
              </w:tc>
              <w:tc>
                <w:tcPr>
                  <w:tcW w:w="5238" w:type="dxa"/>
                  <w:gridSpan w:val="5"/>
                  <w:shd w:val="clear" w:color="auto" w:fill="auto"/>
                  <w:noWrap/>
                  <w:vAlign w:val="center"/>
                </w:tcPr>
                <w:p>
                  <w:pPr>
                    <w:spacing w:line="240" w:lineRule="auto"/>
                    <w:jc w:val="center"/>
                    <w:rPr>
                      <w:b/>
                      <w:color w:val="FF0000"/>
                      <w:kern w:val="0"/>
                      <w:szCs w:val="21"/>
                    </w:rPr>
                  </w:pPr>
                  <w:r>
                    <w:rPr>
                      <w:b/>
                      <w:color w:val="FF0000"/>
                      <w:kern w:val="0"/>
                      <w:szCs w:val="21"/>
                    </w:rPr>
                    <w:t>出方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6" w:type="dxa"/>
                  <w:vMerge w:val="restart"/>
                  <w:shd w:val="clear" w:color="auto" w:fill="auto"/>
                  <w:vAlign w:val="center"/>
                </w:tcPr>
                <w:p>
                  <w:pPr>
                    <w:spacing w:line="240" w:lineRule="auto"/>
                    <w:jc w:val="center"/>
                    <w:rPr>
                      <w:b/>
                      <w:color w:val="FF0000"/>
                      <w:kern w:val="0"/>
                      <w:szCs w:val="21"/>
                    </w:rPr>
                  </w:pPr>
                  <w:r>
                    <w:rPr>
                      <w:b/>
                      <w:color w:val="FF0000"/>
                      <w:kern w:val="0"/>
                      <w:szCs w:val="21"/>
                    </w:rPr>
                    <w:t>名称</w:t>
                  </w:r>
                </w:p>
              </w:tc>
              <w:tc>
                <w:tcPr>
                  <w:tcW w:w="2107" w:type="dxa"/>
                  <w:gridSpan w:val="3"/>
                  <w:shd w:val="clear" w:color="auto" w:fill="auto"/>
                  <w:noWrap/>
                  <w:vAlign w:val="center"/>
                </w:tcPr>
                <w:p>
                  <w:pPr>
                    <w:spacing w:line="240" w:lineRule="auto"/>
                    <w:jc w:val="center"/>
                    <w:rPr>
                      <w:b/>
                      <w:color w:val="FF0000"/>
                      <w:kern w:val="0"/>
                      <w:szCs w:val="21"/>
                    </w:rPr>
                  </w:pPr>
                  <w:r>
                    <w:rPr>
                      <w:b/>
                      <w:color w:val="FF0000"/>
                      <w:kern w:val="0"/>
                      <w:szCs w:val="21"/>
                    </w:rPr>
                    <w:t>硫元素数量</w:t>
                  </w:r>
                  <w:r>
                    <w:rPr>
                      <w:rFonts w:hint="eastAsia"/>
                      <w:b/>
                      <w:color w:val="FF0000"/>
                      <w:kern w:val="0"/>
                      <w:szCs w:val="21"/>
                    </w:rPr>
                    <w:t>（t</w:t>
                  </w:r>
                  <w:r>
                    <w:rPr>
                      <w:b/>
                      <w:color w:val="FF0000"/>
                      <w:kern w:val="0"/>
                      <w:szCs w:val="21"/>
                    </w:rPr>
                    <w:t>/</w:t>
                  </w:r>
                  <w:r>
                    <w:rPr>
                      <w:rFonts w:hint="eastAsia"/>
                      <w:b/>
                      <w:color w:val="FF0000"/>
                      <w:kern w:val="0"/>
                      <w:szCs w:val="21"/>
                    </w:rPr>
                    <w:t>a）</w:t>
                  </w:r>
                </w:p>
              </w:tc>
              <w:tc>
                <w:tcPr>
                  <w:tcW w:w="2737" w:type="dxa"/>
                  <w:gridSpan w:val="2"/>
                  <w:vMerge w:val="restart"/>
                  <w:shd w:val="clear" w:color="auto" w:fill="auto"/>
                  <w:noWrap/>
                  <w:vAlign w:val="center"/>
                </w:tcPr>
                <w:p>
                  <w:pPr>
                    <w:spacing w:line="240" w:lineRule="auto"/>
                    <w:jc w:val="center"/>
                    <w:rPr>
                      <w:b/>
                      <w:color w:val="FF0000"/>
                      <w:kern w:val="0"/>
                      <w:szCs w:val="21"/>
                    </w:rPr>
                  </w:pPr>
                  <w:r>
                    <w:rPr>
                      <w:b/>
                      <w:color w:val="FF0000"/>
                      <w:kern w:val="0"/>
                      <w:szCs w:val="21"/>
                    </w:rPr>
                    <w:t>名称</w:t>
                  </w:r>
                </w:p>
              </w:tc>
              <w:tc>
                <w:tcPr>
                  <w:tcW w:w="2501" w:type="dxa"/>
                  <w:gridSpan w:val="3"/>
                  <w:shd w:val="clear" w:color="auto" w:fill="auto"/>
                  <w:noWrap/>
                  <w:vAlign w:val="center"/>
                </w:tcPr>
                <w:p>
                  <w:pPr>
                    <w:spacing w:line="240" w:lineRule="auto"/>
                    <w:jc w:val="center"/>
                    <w:rPr>
                      <w:b/>
                      <w:color w:val="FF0000"/>
                      <w:kern w:val="0"/>
                      <w:szCs w:val="21"/>
                    </w:rPr>
                  </w:pPr>
                  <w:r>
                    <w:rPr>
                      <w:b/>
                      <w:color w:val="FF0000"/>
                      <w:kern w:val="0"/>
                      <w:szCs w:val="21"/>
                    </w:rPr>
                    <w:t>硫元素</w:t>
                  </w:r>
                  <w:r>
                    <w:rPr>
                      <w:rFonts w:hint="eastAsia"/>
                      <w:b/>
                      <w:color w:val="FF0000"/>
                      <w:kern w:val="0"/>
                      <w:szCs w:val="21"/>
                    </w:rPr>
                    <w:t>数量（t</w:t>
                  </w:r>
                  <w:r>
                    <w:rPr>
                      <w:b/>
                      <w:color w:val="FF0000"/>
                      <w:kern w:val="0"/>
                      <w:szCs w:val="21"/>
                    </w:rPr>
                    <w:t>/</w:t>
                  </w:r>
                  <w:r>
                    <w:rPr>
                      <w:rFonts w:hint="eastAsia"/>
                      <w:b/>
                      <w:color w:val="FF0000"/>
                      <w:kern w:val="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6" w:type="dxa"/>
                  <w:vMerge w:val="continue"/>
                  <w:shd w:val="clear" w:color="auto" w:fill="auto"/>
                  <w:vAlign w:val="center"/>
                </w:tcPr>
                <w:p>
                  <w:pPr>
                    <w:spacing w:line="240" w:lineRule="auto"/>
                    <w:jc w:val="center"/>
                    <w:rPr>
                      <w:b/>
                      <w:color w:val="FF0000"/>
                      <w:kern w:val="0"/>
                      <w:szCs w:val="21"/>
                    </w:rPr>
                  </w:pPr>
                </w:p>
              </w:tc>
              <w:tc>
                <w:tcPr>
                  <w:tcW w:w="674" w:type="dxa"/>
                  <w:shd w:val="clear" w:color="auto" w:fill="auto"/>
                  <w:vAlign w:val="center"/>
                </w:tcPr>
                <w:p>
                  <w:pPr>
                    <w:spacing w:line="240" w:lineRule="auto"/>
                    <w:jc w:val="center"/>
                    <w:rPr>
                      <w:b/>
                      <w:color w:val="FF0000"/>
                      <w:kern w:val="0"/>
                      <w:szCs w:val="21"/>
                    </w:rPr>
                  </w:pPr>
                  <w:r>
                    <w:rPr>
                      <w:b/>
                      <w:color w:val="FF0000"/>
                      <w:kern w:val="0"/>
                      <w:szCs w:val="21"/>
                    </w:rPr>
                    <w:t>一期</w:t>
                  </w:r>
                </w:p>
              </w:tc>
              <w:tc>
                <w:tcPr>
                  <w:tcW w:w="674" w:type="dxa"/>
                  <w:shd w:val="clear" w:color="auto" w:fill="auto"/>
                  <w:noWrap/>
                  <w:vAlign w:val="center"/>
                </w:tcPr>
                <w:p>
                  <w:pPr>
                    <w:spacing w:line="240" w:lineRule="auto"/>
                    <w:jc w:val="center"/>
                    <w:rPr>
                      <w:b/>
                      <w:color w:val="FF0000"/>
                      <w:kern w:val="0"/>
                      <w:szCs w:val="21"/>
                    </w:rPr>
                  </w:pPr>
                  <w:r>
                    <w:rPr>
                      <w:b/>
                      <w:color w:val="FF0000"/>
                      <w:kern w:val="0"/>
                      <w:szCs w:val="21"/>
                    </w:rPr>
                    <w:t>二期</w:t>
                  </w:r>
                </w:p>
              </w:tc>
              <w:tc>
                <w:tcPr>
                  <w:tcW w:w="759" w:type="dxa"/>
                  <w:shd w:val="clear" w:color="auto" w:fill="auto"/>
                  <w:noWrap/>
                  <w:vAlign w:val="center"/>
                </w:tcPr>
                <w:p>
                  <w:pPr>
                    <w:spacing w:line="240" w:lineRule="auto"/>
                    <w:jc w:val="center"/>
                    <w:rPr>
                      <w:b/>
                      <w:color w:val="FF0000"/>
                      <w:kern w:val="0"/>
                      <w:szCs w:val="21"/>
                    </w:rPr>
                  </w:pPr>
                  <w:r>
                    <w:rPr>
                      <w:b/>
                      <w:color w:val="FF0000"/>
                      <w:kern w:val="0"/>
                      <w:szCs w:val="21"/>
                    </w:rPr>
                    <w:t>总体</w:t>
                  </w:r>
                </w:p>
              </w:tc>
              <w:tc>
                <w:tcPr>
                  <w:tcW w:w="2737" w:type="dxa"/>
                  <w:gridSpan w:val="2"/>
                  <w:vMerge w:val="continue"/>
                  <w:vAlign w:val="center"/>
                </w:tcPr>
                <w:p>
                  <w:pPr>
                    <w:spacing w:line="240" w:lineRule="auto"/>
                    <w:jc w:val="center"/>
                    <w:rPr>
                      <w:b/>
                      <w:color w:val="FF0000"/>
                      <w:kern w:val="0"/>
                      <w:szCs w:val="21"/>
                    </w:rPr>
                  </w:pPr>
                </w:p>
              </w:tc>
              <w:tc>
                <w:tcPr>
                  <w:tcW w:w="851" w:type="dxa"/>
                  <w:shd w:val="clear" w:color="auto" w:fill="auto"/>
                  <w:noWrap/>
                  <w:vAlign w:val="center"/>
                </w:tcPr>
                <w:p>
                  <w:pPr>
                    <w:spacing w:line="240" w:lineRule="auto"/>
                    <w:jc w:val="center"/>
                    <w:rPr>
                      <w:b/>
                      <w:color w:val="FF0000"/>
                      <w:kern w:val="0"/>
                      <w:szCs w:val="21"/>
                    </w:rPr>
                  </w:pPr>
                  <w:r>
                    <w:rPr>
                      <w:b/>
                      <w:color w:val="FF0000"/>
                      <w:kern w:val="0"/>
                      <w:szCs w:val="21"/>
                    </w:rPr>
                    <w:t>一期</w:t>
                  </w:r>
                </w:p>
              </w:tc>
              <w:tc>
                <w:tcPr>
                  <w:tcW w:w="891" w:type="dxa"/>
                  <w:shd w:val="clear" w:color="auto" w:fill="auto"/>
                  <w:noWrap/>
                  <w:vAlign w:val="center"/>
                </w:tcPr>
                <w:p>
                  <w:pPr>
                    <w:spacing w:line="240" w:lineRule="auto"/>
                    <w:jc w:val="center"/>
                    <w:rPr>
                      <w:b/>
                      <w:color w:val="FF0000"/>
                      <w:kern w:val="0"/>
                      <w:szCs w:val="21"/>
                    </w:rPr>
                  </w:pPr>
                  <w:r>
                    <w:rPr>
                      <w:b/>
                      <w:color w:val="FF0000"/>
                      <w:kern w:val="0"/>
                      <w:szCs w:val="21"/>
                    </w:rPr>
                    <w:t>二期</w:t>
                  </w:r>
                </w:p>
              </w:tc>
              <w:tc>
                <w:tcPr>
                  <w:tcW w:w="759" w:type="dxa"/>
                  <w:shd w:val="clear" w:color="auto" w:fill="auto"/>
                  <w:noWrap/>
                  <w:vAlign w:val="center"/>
                </w:tcPr>
                <w:p>
                  <w:pPr>
                    <w:spacing w:line="240" w:lineRule="auto"/>
                    <w:jc w:val="center"/>
                    <w:rPr>
                      <w:b/>
                      <w:color w:val="FF0000"/>
                      <w:kern w:val="0"/>
                      <w:szCs w:val="21"/>
                    </w:rPr>
                  </w:pPr>
                  <w:r>
                    <w:rPr>
                      <w:b/>
                      <w:color w:val="FF0000"/>
                      <w:kern w:val="0"/>
                      <w:szCs w:val="21"/>
                    </w:rPr>
                    <w:t>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6" w:type="dxa"/>
                  <w:shd w:val="clear" w:color="auto" w:fill="auto"/>
                  <w:noWrap/>
                  <w:vAlign w:val="center"/>
                </w:tcPr>
                <w:p>
                  <w:pPr>
                    <w:spacing w:line="240" w:lineRule="auto"/>
                    <w:jc w:val="center"/>
                    <w:rPr>
                      <w:color w:val="FF0000"/>
                      <w:kern w:val="0"/>
                      <w:szCs w:val="21"/>
                    </w:rPr>
                  </w:pPr>
                  <w:r>
                    <w:rPr>
                      <w:color w:val="FF0000"/>
                      <w:kern w:val="0"/>
                      <w:szCs w:val="21"/>
                    </w:rPr>
                    <w:t>废轮胎</w:t>
                  </w:r>
                </w:p>
              </w:tc>
              <w:tc>
                <w:tcPr>
                  <w:tcW w:w="674" w:type="dxa"/>
                  <w:shd w:val="clear" w:color="auto" w:fill="auto"/>
                  <w:noWrap/>
                  <w:vAlign w:val="center"/>
                </w:tcPr>
                <w:p>
                  <w:pPr>
                    <w:spacing w:line="240" w:lineRule="auto"/>
                    <w:jc w:val="center"/>
                    <w:rPr>
                      <w:color w:val="FF0000"/>
                      <w:spacing w:val="-20"/>
                      <w:kern w:val="0"/>
                      <w:szCs w:val="21"/>
                    </w:rPr>
                  </w:pPr>
                  <w:r>
                    <w:rPr>
                      <w:color w:val="FF0000"/>
                      <w:spacing w:val="-20"/>
                      <w:kern w:val="0"/>
                      <w:szCs w:val="21"/>
                    </w:rPr>
                    <w:t>410.25</w:t>
                  </w:r>
                </w:p>
              </w:tc>
              <w:tc>
                <w:tcPr>
                  <w:tcW w:w="674" w:type="dxa"/>
                  <w:shd w:val="clear" w:color="auto" w:fill="auto"/>
                  <w:noWrap/>
                  <w:vAlign w:val="center"/>
                </w:tcPr>
                <w:p>
                  <w:pPr>
                    <w:spacing w:line="240" w:lineRule="auto"/>
                    <w:jc w:val="center"/>
                    <w:rPr>
                      <w:color w:val="FF0000"/>
                      <w:spacing w:val="-20"/>
                      <w:kern w:val="0"/>
                      <w:szCs w:val="21"/>
                    </w:rPr>
                  </w:pPr>
                  <w:r>
                    <w:rPr>
                      <w:color w:val="FF0000"/>
                      <w:spacing w:val="-20"/>
                      <w:kern w:val="0"/>
                      <w:szCs w:val="21"/>
                    </w:rPr>
                    <w:t>820.52</w:t>
                  </w:r>
                </w:p>
              </w:tc>
              <w:tc>
                <w:tcPr>
                  <w:tcW w:w="759"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1</w:t>
                  </w:r>
                  <w:r>
                    <w:rPr>
                      <w:color w:val="FF0000"/>
                      <w:spacing w:val="-20"/>
                      <w:kern w:val="0"/>
                      <w:szCs w:val="21"/>
                    </w:rPr>
                    <w:t>230.77</w:t>
                  </w:r>
                </w:p>
              </w:tc>
              <w:tc>
                <w:tcPr>
                  <w:tcW w:w="2737" w:type="dxa"/>
                  <w:gridSpan w:val="2"/>
                  <w:shd w:val="clear" w:color="auto" w:fill="auto"/>
                  <w:noWrap/>
                  <w:vAlign w:val="center"/>
                </w:tcPr>
                <w:p>
                  <w:pPr>
                    <w:spacing w:line="240" w:lineRule="auto"/>
                    <w:jc w:val="center"/>
                    <w:rPr>
                      <w:color w:val="FF0000"/>
                      <w:kern w:val="0"/>
                      <w:szCs w:val="21"/>
                    </w:rPr>
                  </w:pPr>
                  <w:r>
                    <w:rPr>
                      <w:color w:val="FF0000"/>
                      <w:kern w:val="0"/>
                      <w:szCs w:val="21"/>
                    </w:rPr>
                    <w:t>裂解油</w:t>
                  </w:r>
                </w:p>
              </w:tc>
              <w:tc>
                <w:tcPr>
                  <w:tcW w:w="851"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1</w:t>
                  </w:r>
                  <w:r>
                    <w:rPr>
                      <w:color w:val="FF0000"/>
                      <w:spacing w:val="-20"/>
                      <w:kern w:val="0"/>
                      <w:szCs w:val="21"/>
                    </w:rPr>
                    <w:t>26.77</w:t>
                  </w:r>
                </w:p>
              </w:tc>
              <w:tc>
                <w:tcPr>
                  <w:tcW w:w="891"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2</w:t>
                  </w:r>
                  <w:r>
                    <w:rPr>
                      <w:color w:val="FF0000"/>
                      <w:spacing w:val="-20"/>
                      <w:kern w:val="0"/>
                      <w:szCs w:val="21"/>
                    </w:rPr>
                    <w:t>53.54</w:t>
                  </w:r>
                </w:p>
              </w:tc>
              <w:tc>
                <w:tcPr>
                  <w:tcW w:w="759"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3</w:t>
                  </w:r>
                  <w:r>
                    <w:rPr>
                      <w:color w:val="FF0000"/>
                      <w:spacing w:val="-20"/>
                      <w:kern w:val="0"/>
                      <w:szCs w:val="21"/>
                    </w:rPr>
                    <w:t>80.31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6" w:type="dxa"/>
                  <w:shd w:val="clear" w:color="auto" w:fill="auto"/>
                  <w:noWrap/>
                  <w:vAlign w:val="center"/>
                </w:tcPr>
                <w:p>
                  <w:pPr>
                    <w:spacing w:line="240" w:lineRule="auto"/>
                    <w:jc w:val="center"/>
                    <w:rPr>
                      <w:color w:val="FF0000"/>
                      <w:kern w:val="0"/>
                      <w:szCs w:val="21"/>
                    </w:rPr>
                  </w:pPr>
                  <w:r>
                    <w:rPr>
                      <w:rFonts w:hint="eastAsia"/>
                      <w:color w:val="FF0000"/>
                      <w:kern w:val="0"/>
                      <w:szCs w:val="21"/>
                    </w:rPr>
                    <w:t>/</w:t>
                  </w:r>
                </w:p>
              </w:tc>
              <w:tc>
                <w:tcPr>
                  <w:tcW w:w="674" w:type="dxa"/>
                  <w:shd w:val="clear" w:color="auto" w:fill="auto"/>
                  <w:noWrap/>
                  <w:vAlign w:val="center"/>
                </w:tcPr>
                <w:p>
                  <w:pPr>
                    <w:spacing w:line="240" w:lineRule="auto"/>
                    <w:jc w:val="center"/>
                    <w:rPr>
                      <w:color w:val="FF0000"/>
                      <w:kern w:val="0"/>
                      <w:szCs w:val="21"/>
                    </w:rPr>
                  </w:pPr>
                  <w:r>
                    <w:rPr>
                      <w:rFonts w:hint="eastAsia"/>
                      <w:color w:val="FF0000"/>
                      <w:kern w:val="0"/>
                      <w:szCs w:val="21"/>
                    </w:rPr>
                    <w:t>/</w:t>
                  </w:r>
                </w:p>
              </w:tc>
              <w:tc>
                <w:tcPr>
                  <w:tcW w:w="674" w:type="dxa"/>
                  <w:shd w:val="clear" w:color="auto" w:fill="auto"/>
                  <w:noWrap/>
                  <w:vAlign w:val="center"/>
                </w:tcPr>
                <w:p>
                  <w:pPr>
                    <w:spacing w:line="240" w:lineRule="auto"/>
                    <w:jc w:val="center"/>
                    <w:rPr>
                      <w:color w:val="FF0000"/>
                      <w:kern w:val="0"/>
                      <w:szCs w:val="21"/>
                    </w:rPr>
                  </w:pPr>
                  <w:r>
                    <w:rPr>
                      <w:rFonts w:hint="eastAsia"/>
                      <w:color w:val="FF0000"/>
                      <w:kern w:val="0"/>
                      <w:szCs w:val="21"/>
                    </w:rPr>
                    <w:t>/</w:t>
                  </w:r>
                </w:p>
              </w:tc>
              <w:tc>
                <w:tcPr>
                  <w:tcW w:w="759" w:type="dxa"/>
                  <w:shd w:val="clear" w:color="auto" w:fill="auto"/>
                  <w:noWrap/>
                  <w:vAlign w:val="center"/>
                </w:tcPr>
                <w:p>
                  <w:pPr>
                    <w:spacing w:line="240" w:lineRule="auto"/>
                    <w:jc w:val="center"/>
                    <w:rPr>
                      <w:color w:val="FF0000"/>
                      <w:kern w:val="0"/>
                      <w:szCs w:val="21"/>
                    </w:rPr>
                  </w:pPr>
                  <w:r>
                    <w:rPr>
                      <w:rFonts w:hint="eastAsia"/>
                      <w:color w:val="FF0000"/>
                      <w:kern w:val="0"/>
                      <w:szCs w:val="21"/>
                    </w:rPr>
                    <w:t>/</w:t>
                  </w:r>
                </w:p>
              </w:tc>
              <w:tc>
                <w:tcPr>
                  <w:tcW w:w="2737" w:type="dxa"/>
                  <w:gridSpan w:val="2"/>
                  <w:shd w:val="clear" w:color="auto" w:fill="auto"/>
                  <w:noWrap/>
                  <w:vAlign w:val="center"/>
                </w:tcPr>
                <w:p>
                  <w:pPr>
                    <w:spacing w:line="240" w:lineRule="auto"/>
                    <w:jc w:val="center"/>
                    <w:rPr>
                      <w:color w:val="FF0000"/>
                      <w:kern w:val="0"/>
                      <w:szCs w:val="21"/>
                    </w:rPr>
                  </w:pPr>
                  <w:r>
                    <w:rPr>
                      <w:color w:val="FF0000"/>
                      <w:kern w:val="0"/>
                      <w:szCs w:val="21"/>
                    </w:rPr>
                    <w:t>炭黑</w:t>
                  </w:r>
                </w:p>
              </w:tc>
              <w:tc>
                <w:tcPr>
                  <w:tcW w:w="851"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2</w:t>
                  </w:r>
                  <w:r>
                    <w:rPr>
                      <w:color w:val="FF0000"/>
                      <w:spacing w:val="-20"/>
                      <w:kern w:val="0"/>
                      <w:szCs w:val="21"/>
                    </w:rPr>
                    <w:t>74.46</w:t>
                  </w:r>
                </w:p>
              </w:tc>
              <w:tc>
                <w:tcPr>
                  <w:tcW w:w="891"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5</w:t>
                  </w:r>
                  <w:r>
                    <w:rPr>
                      <w:color w:val="FF0000"/>
                      <w:spacing w:val="-20"/>
                      <w:kern w:val="0"/>
                      <w:szCs w:val="21"/>
                    </w:rPr>
                    <w:t>48.92</w:t>
                  </w:r>
                </w:p>
              </w:tc>
              <w:tc>
                <w:tcPr>
                  <w:tcW w:w="759"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8</w:t>
                  </w:r>
                  <w:r>
                    <w:rPr>
                      <w:color w:val="FF0000"/>
                      <w:spacing w:val="-20"/>
                      <w:kern w:val="0"/>
                      <w:szCs w:val="21"/>
                    </w:rPr>
                    <w:t>23.38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6" w:type="dxa"/>
                  <w:shd w:val="clear" w:color="auto" w:fill="auto"/>
                  <w:noWrap/>
                  <w:vAlign w:val="center"/>
                </w:tcPr>
                <w:p>
                  <w:pPr>
                    <w:spacing w:line="240" w:lineRule="auto"/>
                    <w:jc w:val="center"/>
                    <w:rPr>
                      <w:color w:val="FF0000"/>
                      <w:kern w:val="0"/>
                      <w:szCs w:val="21"/>
                    </w:rPr>
                  </w:pPr>
                  <w:r>
                    <w:rPr>
                      <w:rFonts w:hint="eastAsia"/>
                      <w:color w:val="FF0000"/>
                      <w:kern w:val="0"/>
                      <w:szCs w:val="21"/>
                    </w:rPr>
                    <w:t>/</w:t>
                  </w:r>
                </w:p>
              </w:tc>
              <w:tc>
                <w:tcPr>
                  <w:tcW w:w="674" w:type="dxa"/>
                  <w:shd w:val="clear" w:color="auto" w:fill="auto"/>
                  <w:noWrap/>
                  <w:vAlign w:val="center"/>
                </w:tcPr>
                <w:p>
                  <w:pPr>
                    <w:spacing w:line="240" w:lineRule="auto"/>
                    <w:jc w:val="center"/>
                    <w:rPr>
                      <w:color w:val="FF0000"/>
                      <w:kern w:val="0"/>
                      <w:szCs w:val="21"/>
                    </w:rPr>
                  </w:pPr>
                  <w:r>
                    <w:rPr>
                      <w:rFonts w:hint="eastAsia"/>
                      <w:color w:val="FF0000"/>
                      <w:kern w:val="0"/>
                      <w:szCs w:val="21"/>
                    </w:rPr>
                    <w:t>/</w:t>
                  </w:r>
                </w:p>
              </w:tc>
              <w:tc>
                <w:tcPr>
                  <w:tcW w:w="674" w:type="dxa"/>
                  <w:shd w:val="clear" w:color="auto" w:fill="auto"/>
                  <w:noWrap/>
                  <w:vAlign w:val="center"/>
                </w:tcPr>
                <w:p>
                  <w:pPr>
                    <w:spacing w:line="240" w:lineRule="auto"/>
                    <w:jc w:val="center"/>
                    <w:rPr>
                      <w:color w:val="FF0000"/>
                      <w:kern w:val="0"/>
                      <w:szCs w:val="21"/>
                    </w:rPr>
                  </w:pPr>
                  <w:r>
                    <w:rPr>
                      <w:rFonts w:hint="eastAsia"/>
                      <w:color w:val="FF0000"/>
                      <w:kern w:val="0"/>
                      <w:szCs w:val="21"/>
                    </w:rPr>
                    <w:t>/</w:t>
                  </w:r>
                </w:p>
              </w:tc>
              <w:tc>
                <w:tcPr>
                  <w:tcW w:w="759" w:type="dxa"/>
                  <w:shd w:val="clear" w:color="auto" w:fill="auto"/>
                  <w:noWrap/>
                  <w:vAlign w:val="center"/>
                </w:tcPr>
                <w:p>
                  <w:pPr>
                    <w:spacing w:line="240" w:lineRule="auto"/>
                    <w:jc w:val="center"/>
                    <w:rPr>
                      <w:color w:val="FF0000"/>
                      <w:kern w:val="0"/>
                      <w:szCs w:val="21"/>
                    </w:rPr>
                  </w:pPr>
                  <w:r>
                    <w:rPr>
                      <w:rFonts w:hint="eastAsia"/>
                      <w:color w:val="FF0000"/>
                      <w:kern w:val="0"/>
                      <w:szCs w:val="21"/>
                    </w:rPr>
                    <w:t>/</w:t>
                  </w:r>
                </w:p>
              </w:tc>
              <w:tc>
                <w:tcPr>
                  <w:tcW w:w="753" w:type="dxa"/>
                  <w:vMerge w:val="restart"/>
                  <w:shd w:val="clear" w:color="auto" w:fill="auto"/>
                  <w:noWrap/>
                  <w:vAlign w:val="center"/>
                </w:tcPr>
                <w:p>
                  <w:pPr>
                    <w:spacing w:line="240" w:lineRule="auto"/>
                    <w:jc w:val="center"/>
                    <w:rPr>
                      <w:color w:val="FF0000"/>
                      <w:kern w:val="0"/>
                      <w:szCs w:val="21"/>
                    </w:rPr>
                  </w:pPr>
                  <w:r>
                    <w:rPr>
                      <w:color w:val="FF0000"/>
                      <w:kern w:val="0"/>
                      <w:szCs w:val="21"/>
                    </w:rPr>
                    <w:t>裂解不凝气</w:t>
                  </w:r>
                </w:p>
              </w:tc>
              <w:tc>
                <w:tcPr>
                  <w:tcW w:w="1984" w:type="dxa"/>
                  <w:shd w:val="clear" w:color="auto" w:fill="auto"/>
                  <w:vAlign w:val="center"/>
                </w:tcPr>
                <w:p>
                  <w:pPr>
                    <w:spacing w:line="240" w:lineRule="auto"/>
                    <w:jc w:val="center"/>
                    <w:rPr>
                      <w:color w:val="FF0000"/>
                      <w:kern w:val="0"/>
                      <w:szCs w:val="21"/>
                    </w:rPr>
                  </w:pPr>
                  <w:r>
                    <w:rPr>
                      <w:color w:val="FF0000"/>
                      <w:kern w:val="0"/>
                      <w:szCs w:val="21"/>
                    </w:rPr>
                    <w:t>进入脱硫</w:t>
                  </w:r>
                  <w:r>
                    <w:rPr>
                      <w:rFonts w:hint="eastAsia"/>
                      <w:color w:val="FF0000"/>
                      <w:kern w:val="0"/>
                      <w:szCs w:val="21"/>
                    </w:rPr>
                    <w:t>系统</w:t>
                  </w:r>
                </w:p>
              </w:tc>
              <w:tc>
                <w:tcPr>
                  <w:tcW w:w="851"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7</w:t>
                  </w:r>
                  <w:r>
                    <w:rPr>
                      <w:color w:val="FF0000"/>
                      <w:spacing w:val="-20"/>
                      <w:kern w:val="0"/>
                      <w:szCs w:val="21"/>
                    </w:rPr>
                    <w:t>.96</w:t>
                  </w:r>
                </w:p>
              </w:tc>
              <w:tc>
                <w:tcPr>
                  <w:tcW w:w="891"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1</w:t>
                  </w:r>
                  <w:r>
                    <w:rPr>
                      <w:color w:val="FF0000"/>
                      <w:spacing w:val="-20"/>
                      <w:kern w:val="0"/>
                      <w:szCs w:val="21"/>
                    </w:rPr>
                    <w:t>5.93</w:t>
                  </w:r>
                </w:p>
              </w:tc>
              <w:tc>
                <w:tcPr>
                  <w:tcW w:w="759"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2</w:t>
                  </w:r>
                  <w:r>
                    <w:rPr>
                      <w:color w:val="FF0000"/>
                      <w:spacing w:val="-20"/>
                      <w:kern w:val="0"/>
                      <w:szCs w:val="21"/>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6" w:type="dxa"/>
                  <w:shd w:val="clear" w:color="auto" w:fill="auto"/>
                  <w:noWrap/>
                  <w:vAlign w:val="center"/>
                </w:tcPr>
                <w:p>
                  <w:pPr>
                    <w:spacing w:line="240" w:lineRule="auto"/>
                    <w:jc w:val="center"/>
                    <w:rPr>
                      <w:color w:val="FF0000"/>
                      <w:kern w:val="0"/>
                      <w:szCs w:val="21"/>
                    </w:rPr>
                  </w:pPr>
                  <w:r>
                    <w:rPr>
                      <w:rFonts w:hint="eastAsia"/>
                      <w:color w:val="FF0000"/>
                      <w:kern w:val="0"/>
                      <w:szCs w:val="21"/>
                    </w:rPr>
                    <w:t>/</w:t>
                  </w:r>
                </w:p>
              </w:tc>
              <w:tc>
                <w:tcPr>
                  <w:tcW w:w="674" w:type="dxa"/>
                  <w:shd w:val="clear" w:color="auto" w:fill="auto"/>
                  <w:noWrap/>
                  <w:vAlign w:val="center"/>
                </w:tcPr>
                <w:p>
                  <w:pPr>
                    <w:spacing w:line="240" w:lineRule="auto"/>
                    <w:jc w:val="center"/>
                    <w:rPr>
                      <w:color w:val="FF0000"/>
                      <w:kern w:val="0"/>
                      <w:szCs w:val="21"/>
                    </w:rPr>
                  </w:pPr>
                  <w:r>
                    <w:rPr>
                      <w:rFonts w:hint="eastAsia"/>
                      <w:color w:val="FF0000"/>
                      <w:kern w:val="0"/>
                      <w:szCs w:val="21"/>
                    </w:rPr>
                    <w:t>/</w:t>
                  </w:r>
                </w:p>
              </w:tc>
              <w:tc>
                <w:tcPr>
                  <w:tcW w:w="674" w:type="dxa"/>
                  <w:shd w:val="clear" w:color="auto" w:fill="auto"/>
                  <w:noWrap/>
                  <w:vAlign w:val="center"/>
                </w:tcPr>
                <w:p>
                  <w:pPr>
                    <w:spacing w:line="240" w:lineRule="auto"/>
                    <w:jc w:val="center"/>
                    <w:rPr>
                      <w:color w:val="FF0000"/>
                      <w:kern w:val="0"/>
                      <w:szCs w:val="21"/>
                    </w:rPr>
                  </w:pPr>
                  <w:r>
                    <w:rPr>
                      <w:rFonts w:hint="eastAsia"/>
                      <w:color w:val="FF0000"/>
                      <w:kern w:val="0"/>
                      <w:szCs w:val="21"/>
                    </w:rPr>
                    <w:t>/</w:t>
                  </w:r>
                </w:p>
              </w:tc>
              <w:tc>
                <w:tcPr>
                  <w:tcW w:w="759" w:type="dxa"/>
                  <w:shd w:val="clear" w:color="auto" w:fill="auto"/>
                  <w:noWrap/>
                  <w:vAlign w:val="center"/>
                </w:tcPr>
                <w:p>
                  <w:pPr>
                    <w:spacing w:line="240" w:lineRule="auto"/>
                    <w:jc w:val="center"/>
                    <w:rPr>
                      <w:color w:val="FF0000"/>
                      <w:kern w:val="0"/>
                      <w:szCs w:val="21"/>
                    </w:rPr>
                  </w:pPr>
                  <w:r>
                    <w:rPr>
                      <w:rFonts w:hint="eastAsia"/>
                      <w:color w:val="FF0000"/>
                      <w:kern w:val="0"/>
                      <w:szCs w:val="21"/>
                    </w:rPr>
                    <w:t>/</w:t>
                  </w:r>
                </w:p>
              </w:tc>
              <w:tc>
                <w:tcPr>
                  <w:tcW w:w="753" w:type="dxa"/>
                  <w:vMerge w:val="continue"/>
                  <w:vAlign w:val="center"/>
                </w:tcPr>
                <w:p>
                  <w:pPr>
                    <w:spacing w:line="240" w:lineRule="auto"/>
                    <w:jc w:val="center"/>
                    <w:rPr>
                      <w:color w:val="FF0000"/>
                      <w:kern w:val="0"/>
                      <w:szCs w:val="21"/>
                    </w:rPr>
                  </w:pPr>
                </w:p>
              </w:tc>
              <w:tc>
                <w:tcPr>
                  <w:tcW w:w="1984" w:type="dxa"/>
                  <w:shd w:val="clear" w:color="auto" w:fill="auto"/>
                  <w:vAlign w:val="center"/>
                </w:tcPr>
                <w:p>
                  <w:pPr>
                    <w:spacing w:line="240" w:lineRule="auto"/>
                    <w:jc w:val="center"/>
                    <w:rPr>
                      <w:color w:val="FF0000"/>
                      <w:kern w:val="0"/>
                      <w:szCs w:val="21"/>
                    </w:rPr>
                  </w:pPr>
                  <w:r>
                    <w:rPr>
                      <w:rFonts w:hint="eastAsia"/>
                      <w:color w:val="FF0000"/>
                      <w:kern w:val="0"/>
                      <w:szCs w:val="21"/>
                    </w:rPr>
                    <w:t>排放的</w:t>
                  </w:r>
                  <w:r>
                    <w:rPr>
                      <w:color w:val="FF0000"/>
                      <w:kern w:val="0"/>
                      <w:szCs w:val="21"/>
                    </w:rPr>
                    <w:t>SO</w:t>
                  </w:r>
                  <w:r>
                    <w:rPr>
                      <w:color w:val="FF0000"/>
                      <w:kern w:val="0"/>
                      <w:szCs w:val="21"/>
                      <w:vertAlign w:val="subscript"/>
                    </w:rPr>
                    <w:t>2</w:t>
                  </w:r>
                  <w:r>
                    <w:rPr>
                      <w:color w:val="FF0000"/>
                      <w:kern w:val="0"/>
                      <w:szCs w:val="21"/>
                    </w:rPr>
                    <w:t>的S</w:t>
                  </w:r>
                </w:p>
              </w:tc>
              <w:tc>
                <w:tcPr>
                  <w:tcW w:w="851"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0</w:t>
                  </w:r>
                  <w:r>
                    <w:rPr>
                      <w:color w:val="FF0000"/>
                      <w:spacing w:val="-20"/>
                      <w:kern w:val="0"/>
                      <w:szCs w:val="21"/>
                    </w:rPr>
                    <w:t>.88</w:t>
                  </w:r>
                </w:p>
              </w:tc>
              <w:tc>
                <w:tcPr>
                  <w:tcW w:w="891"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1</w:t>
                  </w:r>
                  <w:r>
                    <w:rPr>
                      <w:color w:val="FF0000"/>
                      <w:spacing w:val="-20"/>
                      <w:kern w:val="0"/>
                      <w:szCs w:val="21"/>
                    </w:rPr>
                    <w:t>.77</w:t>
                  </w:r>
                </w:p>
              </w:tc>
              <w:tc>
                <w:tcPr>
                  <w:tcW w:w="759"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2</w:t>
                  </w:r>
                  <w:r>
                    <w:rPr>
                      <w:color w:val="FF0000"/>
                      <w:spacing w:val="-20"/>
                      <w:kern w:val="0"/>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6" w:type="dxa"/>
                  <w:shd w:val="clear" w:color="auto" w:fill="auto"/>
                  <w:noWrap/>
                  <w:vAlign w:val="center"/>
                </w:tcPr>
                <w:p>
                  <w:pPr>
                    <w:spacing w:line="240" w:lineRule="auto"/>
                    <w:jc w:val="center"/>
                    <w:rPr>
                      <w:color w:val="FF0000"/>
                      <w:kern w:val="0"/>
                      <w:szCs w:val="21"/>
                    </w:rPr>
                  </w:pPr>
                  <w:r>
                    <w:rPr>
                      <w:rFonts w:hint="eastAsia"/>
                      <w:color w:val="FF0000"/>
                      <w:kern w:val="0"/>
                      <w:szCs w:val="21"/>
                    </w:rPr>
                    <w:t>/</w:t>
                  </w:r>
                </w:p>
              </w:tc>
              <w:tc>
                <w:tcPr>
                  <w:tcW w:w="674" w:type="dxa"/>
                  <w:shd w:val="clear" w:color="auto" w:fill="auto"/>
                  <w:noWrap/>
                  <w:vAlign w:val="center"/>
                </w:tcPr>
                <w:p>
                  <w:pPr>
                    <w:spacing w:line="240" w:lineRule="auto"/>
                    <w:jc w:val="center"/>
                    <w:rPr>
                      <w:color w:val="FF0000"/>
                      <w:kern w:val="0"/>
                      <w:szCs w:val="21"/>
                    </w:rPr>
                  </w:pPr>
                  <w:r>
                    <w:rPr>
                      <w:rFonts w:hint="eastAsia"/>
                      <w:color w:val="FF0000"/>
                      <w:kern w:val="0"/>
                      <w:szCs w:val="21"/>
                    </w:rPr>
                    <w:t>/</w:t>
                  </w:r>
                </w:p>
              </w:tc>
              <w:tc>
                <w:tcPr>
                  <w:tcW w:w="674" w:type="dxa"/>
                  <w:shd w:val="clear" w:color="auto" w:fill="auto"/>
                  <w:noWrap/>
                  <w:vAlign w:val="center"/>
                </w:tcPr>
                <w:p>
                  <w:pPr>
                    <w:spacing w:line="240" w:lineRule="auto"/>
                    <w:jc w:val="center"/>
                    <w:rPr>
                      <w:color w:val="FF0000"/>
                      <w:kern w:val="0"/>
                      <w:szCs w:val="21"/>
                    </w:rPr>
                  </w:pPr>
                  <w:r>
                    <w:rPr>
                      <w:rFonts w:hint="eastAsia"/>
                      <w:color w:val="FF0000"/>
                      <w:kern w:val="0"/>
                      <w:szCs w:val="21"/>
                    </w:rPr>
                    <w:t>/</w:t>
                  </w:r>
                </w:p>
              </w:tc>
              <w:tc>
                <w:tcPr>
                  <w:tcW w:w="759" w:type="dxa"/>
                  <w:shd w:val="clear" w:color="auto" w:fill="auto"/>
                  <w:noWrap/>
                  <w:vAlign w:val="center"/>
                </w:tcPr>
                <w:p>
                  <w:pPr>
                    <w:spacing w:line="240" w:lineRule="auto"/>
                    <w:jc w:val="center"/>
                    <w:rPr>
                      <w:color w:val="FF0000"/>
                      <w:kern w:val="0"/>
                      <w:szCs w:val="21"/>
                    </w:rPr>
                  </w:pPr>
                  <w:r>
                    <w:rPr>
                      <w:rFonts w:hint="eastAsia"/>
                      <w:color w:val="FF0000"/>
                      <w:kern w:val="0"/>
                      <w:szCs w:val="21"/>
                    </w:rPr>
                    <w:t>/</w:t>
                  </w:r>
                </w:p>
              </w:tc>
              <w:tc>
                <w:tcPr>
                  <w:tcW w:w="753" w:type="dxa"/>
                  <w:vMerge w:val="continue"/>
                  <w:vAlign w:val="center"/>
                </w:tcPr>
                <w:p>
                  <w:pPr>
                    <w:spacing w:line="240" w:lineRule="auto"/>
                    <w:jc w:val="center"/>
                    <w:rPr>
                      <w:color w:val="FF0000"/>
                      <w:kern w:val="0"/>
                      <w:szCs w:val="21"/>
                    </w:rPr>
                  </w:pPr>
                </w:p>
              </w:tc>
              <w:tc>
                <w:tcPr>
                  <w:tcW w:w="1984" w:type="dxa"/>
                  <w:shd w:val="clear" w:color="auto" w:fill="auto"/>
                  <w:vAlign w:val="center"/>
                </w:tcPr>
                <w:p>
                  <w:pPr>
                    <w:spacing w:line="240" w:lineRule="auto"/>
                    <w:jc w:val="center"/>
                    <w:rPr>
                      <w:color w:val="FF0000"/>
                      <w:kern w:val="0"/>
                      <w:szCs w:val="21"/>
                    </w:rPr>
                  </w:pPr>
                  <w:r>
                    <w:rPr>
                      <w:rFonts w:hint="eastAsia"/>
                      <w:color w:val="FF0000"/>
                      <w:kern w:val="0"/>
                      <w:szCs w:val="21"/>
                    </w:rPr>
                    <w:t>未燃烧的</w:t>
                  </w:r>
                  <w:r>
                    <w:rPr>
                      <w:color w:val="FF0000"/>
                      <w:kern w:val="0"/>
                      <w:szCs w:val="21"/>
                    </w:rPr>
                    <w:t>H</w:t>
                  </w:r>
                  <w:r>
                    <w:rPr>
                      <w:color w:val="FF0000"/>
                      <w:kern w:val="0"/>
                      <w:szCs w:val="21"/>
                      <w:vertAlign w:val="subscript"/>
                    </w:rPr>
                    <w:t>2</w:t>
                  </w:r>
                  <w:r>
                    <w:rPr>
                      <w:color w:val="FF0000"/>
                      <w:kern w:val="0"/>
                      <w:szCs w:val="21"/>
                    </w:rPr>
                    <w:t>S的S</w:t>
                  </w:r>
                </w:p>
              </w:tc>
              <w:tc>
                <w:tcPr>
                  <w:tcW w:w="851"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0</w:t>
                  </w:r>
                  <w:r>
                    <w:rPr>
                      <w:color w:val="FF0000"/>
                      <w:spacing w:val="-20"/>
                      <w:kern w:val="0"/>
                      <w:szCs w:val="21"/>
                    </w:rPr>
                    <w:t>.18</w:t>
                  </w:r>
                </w:p>
              </w:tc>
              <w:tc>
                <w:tcPr>
                  <w:tcW w:w="891"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0</w:t>
                  </w:r>
                  <w:r>
                    <w:rPr>
                      <w:color w:val="FF0000"/>
                      <w:spacing w:val="-20"/>
                      <w:kern w:val="0"/>
                      <w:szCs w:val="21"/>
                    </w:rPr>
                    <w:t>.36</w:t>
                  </w:r>
                </w:p>
              </w:tc>
              <w:tc>
                <w:tcPr>
                  <w:tcW w:w="759"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0</w:t>
                  </w:r>
                  <w:r>
                    <w:rPr>
                      <w:color w:val="FF0000"/>
                      <w:spacing w:val="-20"/>
                      <w:kern w:val="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6" w:type="dxa"/>
                  <w:shd w:val="clear" w:color="auto" w:fill="auto"/>
                  <w:noWrap/>
                  <w:vAlign w:val="center"/>
                </w:tcPr>
                <w:p>
                  <w:pPr>
                    <w:spacing w:line="240" w:lineRule="auto"/>
                    <w:jc w:val="center"/>
                    <w:rPr>
                      <w:color w:val="FF0000"/>
                      <w:kern w:val="0"/>
                      <w:szCs w:val="21"/>
                    </w:rPr>
                  </w:pPr>
                  <w:r>
                    <w:rPr>
                      <w:rFonts w:hint="eastAsia"/>
                      <w:color w:val="FF0000"/>
                      <w:kern w:val="0"/>
                      <w:szCs w:val="21"/>
                    </w:rPr>
                    <w:t>合计</w:t>
                  </w:r>
                </w:p>
              </w:tc>
              <w:tc>
                <w:tcPr>
                  <w:tcW w:w="674"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4</w:t>
                  </w:r>
                  <w:r>
                    <w:rPr>
                      <w:color w:val="FF0000"/>
                      <w:spacing w:val="-20"/>
                      <w:kern w:val="0"/>
                      <w:szCs w:val="21"/>
                    </w:rPr>
                    <w:t>10.25</w:t>
                  </w:r>
                </w:p>
              </w:tc>
              <w:tc>
                <w:tcPr>
                  <w:tcW w:w="674"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8</w:t>
                  </w:r>
                  <w:r>
                    <w:rPr>
                      <w:color w:val="FF0000"/>
                      <w:spacing w:val="-20"/>
                      <w:kern w:val="0"/>
                      <w:szCs w:val="21"/>
                    </w:rPr>
                    <w:t>20.52</w:t>
                  </w:r>
                </w:p>
              </w:tc>
              <w:tc>
                <w:tcPr>
                  <w:tcW w:w="759"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1</w:t>
                  </w:r>
                  <w:r>
                    <w:rPr>
                      <w:color w:val="FF0000"/>
                      <w:spacing w:val="-20"/>
                      <w:kern w:val="0"/>
                      <w:szCs w:val="21"/>
                    </w:rPr>
                    <w:t>230.77</w:t>
                  </w:r>
                </w:p>
              </w:tc>
              <w:tc>
                <w:tcPr>
                  <w:tcW w:w="2737" w:type="dxa"/>
                  <w:gridSpan w:val="2"/>
                  <w:vAlign w:val="center"/>
                </w:tcPr>
                <w:p>
                  <w:pPr>
                    <w:spacing w:line="240" w:lineRule="auto"/>
                    <w:jc w:val="center"/>
                    <w:rPr>
                      <w:color w:val="FF0000"/>
                      <w:kern w:val="0"/>
                      <w:szCs w:val="21"/>
                    </w:rPr>
                  </w:pPr>
                  <w:r>
                    <w:rPr>
                      <w:rFonts w:hint="eastAsia"/>
                      <w:color w:val="FF0000"/>
                      <w:kern w:val="0"/>
                      <w:szCs w:val="21"/>
                    </w:rPr>
                    <w:t>合计</w:t>
                  </w:r>
                </w:p>
              </w:tc>
              <w:tc>
                <w:tcPr>
                  <w:tcW w:w="851"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4</w:t>
                  </w:r>
                  <w:r>
                    <w:rPr>
                      <w:color w:val="FF0000"/>
                      <w:spacing w:val="-20"/>
                      <w:kern w:val="0"/>
                      <w:szCs w:val="21"/>
                    </w:rPr>
                    <w:t>10.25</w:t>
                  </w:r>
                </w:p>
              </w:tc>
              <w:tc>
                <w:tcPr>
                  <w:tcW w:w="891"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8</w:t>
                  </w:r>
                  <w:r>
                    <w:rPr>
                      <w:color w:val="FF0000"/>
                      <w:spacing w:val="-20"/>
                      <w:kern w:val="0"/>
                      <w:szCs w:val="21"/>
                    </w:rPr>
                    <w:t>20.52</w:t>
                  </w:r>
                </w:p>
              </w:tc>
              <w:tc>
                <w:tcPr>
                  <w:tcW w:w="759" w:type="dxa"/>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1</w:t>
                  </w:r>
                  <w:r>
                    <w:rPr>
                      <w:color w:val="FF0000"/>
                      <w:spacing w:val="-20"/>
                      <w:kern w:val="0"/>
                      <w:szCs w:val="21"/>
                    </w:rPr>
                    <w:t>230.77</w:t>
                  </w:r>
                </w:p>
              </w:tc>
            </w:tr>
          </w:tbl>
          <w:p>
            <w:pPr>
              <w:pStyle w:val="3"/>
              <w:numPr>
                <w:ilvl w:val="0"/>
                <w:numId w:val="0"/>
              </w:numPr>
              <w:spacing w:line="240" w:lineRule="auto"/>
              <w:jc w:val="center"/>
              <w:rPr>
                <w:color w:val="000000" w:themeColor="text1"/>
                <w14:textFill>
                  <w14:solidFill>
                    <w14:schemeClr w14:val="tx1"/>
                  </w14:solidFill>
                </w14:textFill>
              </w:rPr>
            </w:pPr>
          </w:p>
          <w:p>
            <w:pPr>
              <w:pStyle w:val="3"/>
              <w:numPr>
                <w:ilvl w:val="0"/>
                <w:numId w:val="0"/>
              </w:numPr>
              <w:spacing w:line="240" w:lineRule="auto"/>
              <w:jc w:val="center"/>
              <w:rPr>
                <w:color w:val="000000" w:themeColor="text1"/>
                <w14:textFill>
                  <w14:solidFill>
                    <w14:schemeClr w14:val="tx1"/>
                  </w14:solidFill>
                </w14:textFill>
              </w:rPr>
            </w:pPr>
          </w:p>
          <w:p>
            <w:pPr>
              <w:pStyle w:val="3"/>
              <w:numPr>
                <w:ilvl w:val="0"/>
                <w:numId w:val="0"/>
              </w:numPr>
              <w:spacing w:line="240" w:lineRule="auto"/>
              <w:jc w:val="center"/>
              <w:rPr>
                <w:color w:val="000000" w:themeColor="text1"/>
                <w14:textFill>
                  <w14:solidFill>
                    <w14:schemeClr w14:val="tx1"/>
                  </w14:solidFill>
                </w14:textFill>
              </w:rPr>
            </w:pPr>
          </w:p>
          <w:p>
            <w:pPr>
              <w:pStyle w:val="3"/>
              <w:numPr>
                <w:ilvl w:val="0"/>
                <w:numId w:val="0"/>
              </w:numPr>
              <w:spacing w:line="240" w:lineRule="auto"/>
              <w:jc w:val="center"/>
              <w:rPr>
                <w:color w:val="000000" w:themeColor="text1"/>
                <w14:textFill>
                  <w14:solidFill>
                    <w14:schemeClr w14:val="tx1"/>
                  </w14:solidFill>
                </w14:textFill>
              </w:rPr>
            </w:pPr>
          </w:p>
          <w:p>
            <w:pPr>
              <w:pStyle w:val="3"/>
              <w:numPr>
                <w:ilvl w:val="0"/>
                <w:numId w:val="0"/>
              </w:numPr>
              <w:spacing w:line="240" w:lineRule="auto"/>
              <w:jc w:val="center"/>
              <w:rPr>
                <w:color w:val="000000" w:themeColor="text1"/>
                <w14:textFill>
                  <w14:solidFill>
                    <w14:schemeClr w14:val="tx1"/>
                  </w14:solidFill>
                </w14:textFill>
              </w:rPr>
            </w:pPr>
          </w:p>
          <w:p>
            <w:pPr>
              <w:pStyle w:val="3"/>
              <w:numPr>
                <w:ilvl w:val="0"/>
                <w:numId w:val="0"/>
              </w:numPr>
              <w:spacing w:line="240" w:lineRule="auto"/>
              <w:jc w:val="center"/>
              <w:rPr>
                <w:color w:val="000000" w:themeColor="text1"/>
                <w14:textFill>
                  <w14:solidFill>
                    <w14:schemeClr w14:val="tx1"/>
                  </w14:solidFill>
                </w14:textFill>
              </w:rPr>
            </w:pPr>
          </w:p>
          <w:p>
            <w:pPr>
              <w:pStyle w:val="3"/>
              <w:numPr>
                <w:ilvl w:val="0"/>
                <w:numId w:val="0"/>
              </w:numPr>
              <w:spacing w:line="240" w:lineRule="auto"/>
              <w:jc w:val="center"/>
              <w:rPr>
                <w:color w:val="000000" w:themeColor="text1"/>
                <w14:textFill>
                  <w14:solidFill>
                    <w14:schemeClr w14:val="tx1"/>
                  </w14:solidFill>
                </w14:textFill>
              </w:rPr>
            </w:pPr>
          </w:p>
          <w:p>
            <w:pPr>
              <w:pStyle w:val="3"/>
              <w:numPr>
                <w:ilvl w:val="0"/>
                <w:numId w:val="0"/>
              </w:numPr>
              <w:spacing w:line="240" w:lineRule="auto"/>
              <w:jc w:val="center"/>
              <w:rPr>
                <w:color w:val="000000" w:themeColor="text1"/>
                <w14:textFill>
                  <w14:solidFill>
                    <w14:schemeClr w14:val="tx1"/>
                  </w14:solidFill>
                </w14:textFill>
              </w:rPr>
            </w:pPr>
          </w:p>
          <w:p>
            <w:pPr>
              <w:pStyle w:val="3"/>
              <w:numPr>
                <w:ilvl w:val="0"/>
                <w:numId w:val="0"/>
              </w:numPr>
              <w:spacing w:line="240" w:lineRule="auto"/>
              <w:jc w:val="center"/>
              <w:rPr>
                <w:color w:val="000000" w:themeColor="text1"/>
                <w14:textFill>
                  <w14:solidFill>
                    <w14:schemeClr w14:val="tx1"/>
                  </w14:solidFill>
                </w14:textFill>
              </w:rPr>
            </w:pPr>
          </w:p>
          <w:p>
            <w:pPr>
              <w:pStyle w:val="3"/>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124.5pt;width:319.65pt;" o:ole="t" filled="f" o:preferrelative="t" stroked="f" coordsize="21600,21600">
                  <v:path/>
                  <v:fill on="f" focussize="0,0"/>
                  <v:stroke on="f" joinstyle="miter"/>
                  <v:imagedata r:id="rId10" o:title=""/>
                  <o:lock v:ext="edit" aspectratio="t"/>
                  <w10:wrap type="none"/>
                  <w10:anchorlock/>
                </v:shape>
                <o:OLEObject Type="Embed" ProgID="Visio.Drawing.15" ShapeID="_x0000_i1025" DrawAspect="Content" ObjectID="_1468075725" r:id="rId9">
                  <o:LockedField>false</o:LockedField>
                </o:OLEObject>
              </w:object>
            </w:r>
          </w:p>
          <w:p>
            <w:pPr>
              <w:pStyle w:val="3"/>
              <w:numPr>
                <w:ilvl w:val="0"/>
                <w:numId w:val="0"/>
              </w:numPr>
              <w:spacing w:line="24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图2</w:t>
            </w: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 xml:space="preserve">1  </w:t>
            </w:r>
            <w:r>
              <w:rPr>
                <w:rFonts w:hint="eastAsia"/>
                <w:b/>
                <w:color w:val="000000" w:themeColor="text1"/>
                <w:sz w:val="24"/>
                <w14:textFill>
                  <w14:solidFill>
                    <w14:schemeClr w14:val="tx1"/>
                  </w14:solidFill>
                </w14:textFill>
              </w:rPr>
              <w:t xml:space="preserve">项目一期工程硫元素平衡图 </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单位：t</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a</w:t>
            </w:r>
          </w:p>
          <w:p>
            <w:pPr>
              <w:pStyle w:val="3"/>
              <w:numPr>
                <w:ilvl w:val="0"/>
                <w:numId w:val="0"/>
              </w:numPr>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123.15pt;width:322.3pt;" o:ole="t" filled="f" o:preferrelative="t" stroked="f" coordsize="21600,21600">
                  <v:path/>
                  <v:fill on="f" focussize="0,0"/>
                  <v:stroke on="f" joinstyle="miter"/>
                  <v:imagedata r:id="rId12" o:title=""/>
                  <o:lock v:ext="edit" aspectratio="t"/>
                  <w10:wrap type="none"/>
                  <w10:anchorlock/>
                </v:shape>
                <o:OLEObject Type="Embed" ProgID="Visio.Drawing.15" ShapeID="_x0000_i1026" DrawAspect="Content" ObjectID="_1468075726" r:id="rId11">
                  <o:LockedField>false</o:LockedField>
                </o:OLEObject>
              </w:object>
            </w:r>
          </w:p>
          <w:p>
            <w:pPr>
              <w:pStyle w:val="2"/>
              <w:spacing w:before="0" w:after="0" w:line="240" w:lineRule="auto"/>
              <w:ind w:right="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图2</w:t>
            </w:r>
            <w:r>
              <w:rPr>
                <w:b/>
                <w:color w:val="000000" w:themeColor="text1"/>
                <w:sz w:val="24"/>
                <w:szCs w:val="24"/>
                <w14:textFill>
                  <w14:solidFill>
                    <w14:schemeClr w14:val="tx1"/>
                  </w14:solidFill>
                </w14:textFill>
              </w:rPr>
              <w:t>.3</w:t>
            </w:r>
            <w:r>
              <w:rPr>
                <w:rFonts w:hint="eastAsia"/>
                <w:b/>
                <w:color w:val="000000" w:themeColor="text1"/>
                <w:sz w:val="24"/>
                <w:szCs w:val="24"/>
                <w14:textFill>
                  <w14:solidFill>
                    <w14:schemeClr w14:val="tx1"/>
                  </w14:solidFill>
                </w14:textFill>
              </w:rPr>
              <w:t>-</w:t>
            </w:r>
            <w:r>
              <w:rPr>
                <w:b/>
                <w:color w:val="000000" w:themeColor="text1"/>
                <w:sz w:val="24"/>
                <w:szCs w:val="24"/>
                <w14:textFill>
                  <w14:solidFill>
                    <w14:schemeClr w14:val="tx1"/>
                  </w14:solidFill>
                </w14:textFill>
              </w:rPr>
              <w:t xml:space="preserve">2  </w:t>
            </w:r>
            <w:r>
              <w:rPr>
                <w:rFonts w:hint="eastAsia"/>
                <w:b/>
                <w:color w:val="000000" w:themeColor="text1"/>
                <w:sz w:val="24"/>
                <w:szCs w:val="24"/>
                <w14:textFill>
                  <w14:solidFill>
                    <w14:schemeClr w14:val="tx1"/>
                  </w14:solidFill>
                </w14:textFill>
              </w:rPr>
              <w:t xml:space="preserve">项目二期工程硫元素平衡图 </w:t>
            </w:r>
            <w:r>
              <w:rPr>
                <w:b/>
                <w:color w:val="000000" w:themeColor="text1"/>
                <w:sz w:val="24"/>
                <w:szCs w:val="24"/>
                <w14:textFill>
                  <w14:solidFill>
                    <w14:schemeClr w14:val="tx1"/>
                  </w14:solidFill>
                </w14:textFill>
              </w:rPr>
              <w:t xml:space="preserve"> </w:t>
            </w:r>
            <w:r>
              <w:rPr>
                <w:rFonts w:hint="eastAsia"/>
                <w:b/>
                <w:color w:val="000000" w:themeColor="text1"/>
                <w:sz w:val="24"/>
                <w:szCs w:val="24"/>
                <w14:textFill>
                  <w14:solidFill>
                    <w14:schemeClr w14:val="tx1"/>
                  </w14:solidFill>
                </w14:textFill>
              </w:rPr>
              <w:t>单位：t</w:t>
            </w:r>
            <w:r>
              <w:rPr>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a</w:t>
            </w:r>
          </w:p>
          <w:p>
            <w:pPr>
              <w:pStyle w:val="3"/>
              <w:numPr>
                <w:ilvl w:val="0"/>
                <w:numId w:val="0"/>
              </w:numPr>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7" o:spt="75" type="#_x0000_t75" style="height:124.5pt;width:326.35pt;" o:ole="t" filled="f" o:preferrelative="t" stroked="f" coordsize="21600,21600">
                  <v:path/>
                  <v:fill on="f" focussize="0,0"/>
                  <v:stroke on="f" joinstyle="miter"/>
                  <v:imagedata r:id="rId14" o:title=""/>
                  <o:lock v:ext="edit" aspectratio="t"/>
                  <w10:wrap type="none"/>
                  <w10:anchorlock/>
                </v:shape>
                <o:OLEObject Type="Embed" ProgID="Visio.Drawing.15" ShapeID="_x0000_i1027" DrawAspect="Content" ObjectID="_1468075727" r:id="rId13">
                  <o:LockedField>false</o:LockedField>
                </o:OLEObject>
              </w:object>
            </w:r>
          </w:p>
          <w:p>
            <w:pPr>
              <w:pStyle w:val="2"/>
              <w:spacing w:before="0" w:after="0" w:line="240" w:lineRule="auto"/>
              <w:ind w:right="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图2</w:t>
            </w:r>
            <w:r>
              <w:rPr>
                <w:b/>
                <w:color w:val="000000" w:themeColor="text1"/>
                <w:sz w:val="24"/>
                <w:szCs w:val="24"/>
                <w14:textFill>
                  <w14:solidFill>
                    <w14:schemeClr w14:val="tx1"/>
                  </w14:solidFill>
                </w14:textFill>
              </w:rPr>
              <w:t>.3</w:t>
            </w:r>
            <w:r>
              <w:rPr>
                <w:rFonts w:hint="eastAsia"/>
                <w:b/>
                <w:color w:val="000000" w:themeColor="text1"/>
                <w:sz w:val="24"/>
                <w:szCs w:val="24"/>
                <w14:textFill>
                  <w14:solidFill>
                    <w14:schemeClr w14:val="tx1"/>
                  </w14:solidFill>
                </w14:textFill>
              </w:rPr>
              <w:t>-</w:t>
            </w:r>
            <w:r>
              <w:rPr>
                <w:b/>
                <w:color w:val="000000" w:themeColor="text1"/>
                <w:sz w:val="24"/>
                <w:szCs w:val="24"/>
                <w14:textFill>
                  <w14:solidFill>
                    <w14:schemeClr w14:val="tx1"/>
                  </w14:solidFill>
                </w14:textFill>
              </w:rPr>
              <w:t xml:space="preserve">3  </w:t>
            </w:r>
            <w:r>
              <w:rPr>
                <w:rFonts w:hint="eastAsia"/>
                <w:b/>
                <w:color w:val="000000" w:themeColor="text1"/>
                <w:sz w:val="24"/>
                <w:szCs w:val="24"/>
                <w14:textFill>
                  <w14:solidFill>
                    <w14:schemeClr w14:val="tx1"/>
                  </w14:solidFill>
                </w14:textFill>
              </w:rPr>
              <w:t xml:space="preserve">项目总体工程硫元素平衡图 </w:t>
            </w:r>
            <w:r>
              <w:rPr>
                <w:b/>
                <w:color w:val="000000" w:themeColor="text1"/>
                <w:sz w:val="24"/>
                <w:szCs w:val="24"/>
                <w14:textFill>
                  <w14:solidFill>
                    <w14:schemeClr w14:val="tx1"/>
                  </w14:solidFill>
                </w14:textFill>
              </w:rPr>
              <w:t xml:space="preserve"> </w:t>
            </w:r>
            <w:r>
              <w:rPr>
                <w:rFonts w:hint="eastAsia"/>
                <w:b/>
                <w:color w:val="000000" w:themeColor="text1"/>
                <w:sz w:val="24"/>
                <w:szCs w:val="24"/>
                <w14:textFill>
                  <w14:solidFill>
                    <w14:schemeClr w14:val="tx1"/>
                  </w14:solidFill>
                </w14:textFill>
              </w:rPr>
              <w:t>单位：t</w:t>
            </w:r>
            <w:r>
              <w:rPr>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a</w:t>
            </w:r>
          </w:p>
          <w:p>
            <w:pPr>
              <w:adjustRightInd w:val="0"/>
              <w:snapToGrid w:val="0"/>
              <w:ind w:firstLine="482"/>
              <w:rPr>
                <w:b/>
                <w:color w:val="FF0000"/>
                <w:sz w:val="24"/>
              </w:rPr>
            </w:pPr>
            <w:r>
              <w:rPr>
                <w:rFonts w:hint="eastAsia"/>
                <w:b/>
                <w:color w:val="FF0000"/>
                <w:sz w:val="24"/>
              </w:rPr>
              <w:t>（2）产品其他工业元素</w:t>
            </w:r>
          </w:p>
          <w:p>
            <w:pPr>
              <w:adjustRightInd w:val="0"/>
              <w:snapToGrid w:val="0"/>
              <w:ind w:firstLine="482"/>
              <w:rPr>
                <w:color w:val="FF0000"/>
                <w:sz w:val="24"/>
              </w:rPr>
            </w:pPr>
            <w:r>
              <w:rPr>
                <w:rFonts w:hint="eastAsia"/>
                <w:color w:val="FF0000"/>
                <w:sz w:val="24"/>
              </w:rPr>
              <w:t>本次评价结合项目处理的轮胎种类，查阅相关资料确定轮胎中各工业元素的成分。其中，硫元素以物料平衡核算数据。根据《废轮胎热解过程及产物特性试验研究》（华中科技大学，戴贤明，2009年）的主要元素分析，论文中给出了不同温度下的热裂解油、热解炭黑中各元素以及温度变化下各元素含量的变化趋势。同时，类比重庆市同类型项目：《重庆市荣昌区荣祥佳环保科技有限公司废旧轮胎综合利用项目环境影响报告书》（2018年1月）、《重庆市荣昌区金曼环保科技有限公司废轮胎综合利用项目环境影响报告书》（2020年12月），其轮胎热解工艺与本项目类似，同为低温裂解工艺，但热解温度（380℃）比本项目（4</w:t>
            </w:r>
            <w:r>
              <w:rPr>
                <w:color w:val="FF0000"/>
                <w:sz w:val="24"/>
              </w:rPr>
              <w:t>20</w:t>
            </w:r>
            <w:r>
              <w:rPr>
                <w:rFonts w:hint="eastAsia"/>
                <w:color w:val="FF0000"/>
                <w:sz w:val="24"/>
              </w:rPr>
              <w:t>℃）略低。因此，本次评价产品中元素综合以上报告及文献取值，具有可靠性。</w:t>
            </w:r>
          </w:p>
          <w:p>
            <w:pPr>
              <w:pStyle w:val="2"/>
              <w:spacing w:before="0" w:after="0" w:line="360" w:lineRule="auto"/>
              <w:ind w:right="0" w:firstLine="480" w:firstLineChars="200"/>
              <w:rPr>
                <w:sz w:val="24"/>
                <w:szCs w:val="24"/>
              </w:rPr>
            </w:pPr>
            <w:r>
              <w:rPr>
                <w:rFonts w:hint="eastAsia"/>
                <w:sz w:val="24"/>
                <w:szCs w:val="24"/>
              </w:rPr>
              <w:t>根据类比资料及相关文献，本项目产品的主要元素分析见表2</w:t>
            </w:r>
            <w:r>
              <w:rPr>
                <w:sz w:val="24"/>
                <w:szCs w:val="24"/>
              </w:rPr>
              <w:t>.3</w:t>
            </w:r>
            <w:r>
              <w:rPr>
                <w:rFonts w:hint="eastAsia"/>
                <w:sz w:val="24"/>
                <w:szCs w:val="24"/>
              </w:rPr>
              <w:t>-</w:t>
            </w:r>
            <w:r>
              <w:rPr>
                <w:sz w:val="24"/>
                <w:szCs w:val="24"/>
              </w:rPr>
              <w:t>4</w:t>
            </w:r>
            <w:r>
              <w:rPr>
                <w:rFonts w:hint="eastAsia"/>
                <w:sz w:val="24"/>
                <w:szCs w:val="24"/>
              </w:rPr>
              <w:t>所示。</w:t>
            </w:r>
          </w:p>
          <w:p>
            <w:pPr>
              <w:spacing w:line="240" w:lineRule="auto"/>
              <w:jc w:val="center"/>
              <w:rPr>
                <w:b/>
                <w:sz w:val="24"/>
              </w:rPr>
            </w:pPr>
            <w:r>
              <w:rPr>
                <w:b/>
                <w:sz w:val="24"/>
              </w:rPr>
              <w:t>表2.3-4 项目产品主要</w:t>
            </w:r>
            <w:r>
              <w:rPr>
                <w:rFonts w:hint="eastAsia"/>
                <w:b/>
                <w:sz w:val="24"/>
              </w:rPr>
              <w:t>工业</w:t>
            </w:r>
            <w:r>
              <w:rPr>
                <w:b/>
                <w:sz w:val="24"/>
              </w:rPr>
              <w:t>元素分析表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853"/>
              <w:gridCol w:w="850"/>
              <w:gridCol w:w="1277"/>
              <w:gridCol w:w="992"/>
              <w:gridCol w:w="992"/>
              <w:gridCol w:w="2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restart"/>
                  <w:vAlign w:val="center"/>
                </w:tcPr>
                <w:p>
                  <w:pPr>
                    <w:spacing w:line="240" w:lineRule="auto"/>
                    <w:jc w:val="center"/>
                    <w:rPr>
                      <w:b/>
                      <w:color w:val="FF0000"/>
                    </w:rPr>
                  </w:pPr>
                  <w:r>
                    <w:rPr>
                      <w:rFonts w:hint="eastAsia"/>
                      <w:b/>
                      <w:color w:val="FF0000"/>
                    </w:rPr>
                    <w:t>产品名称</w:t>
                  </w:r>
                </w:p>
              </w:tc>
              <w:tc>
                <w:tcPr>
                  <w:tcW w:w="2951" w:type="pct"/>
                  <w:gridSpan w:val="5"/>
                  <w:vAlign w:val="center"/>
                </w:tcPr>
                <w:p>
                  <w:pPr>
                    <w:spacing w:line="240" w:lineRule="auto"/>
                    <w:jc w:val="center"/>
                    <w:rPr>
                      <w:b/>
                      <w:color w:val="FF0000"/>
                    </w:rPr>
                  </w:pPr>
                  <w:r>
                    <w:rPr>
                      <w:rFonts w:hint="eastAsia"/>
                      <w:b/>
                      <w:color w:val="FF0000"/>
                    </w:rPr>
                    <w:t>主要</w:t>
                  </w:r>
                  <w:r>
                    <w:rPr>
                      <w:b/>
                      <w:color w:val="FF0000"/>
                    </w:rPr>
                    <w:t>工业</w:t>
                  </w:r>
                  <w:r>
                    <w:rPr>
                      <w:rFonts w:hint="eastAsia"/>
                      <w:b/>
                      <w:color w:val="FF0000"/>
                    </w:rPr>
                    <w:t>元素分析（%）</w:t>
                  </w:r>
                </w:p>
              </w:tc>
              <w:tc>
                <w:tcPr>
                  <w:tcW w:w="1255" w:type="pct"/>
                </w:tcPr>
                <w:p>
                  <w:pPr>
                    <w:spacing w:line="240" w:lineRule="auto"/>
                    <w:jc w:val="center"/>
                    <w:rPr>
                      <w:b/>
                      <w:color w:val="FF0000"/>
                    </w:rPr>
                  </w:pPr>
                  <w:r>
                    <w:rPr>
                      <w:rFonts w:hint="eastAsia"/>
                      <w:b/>
                      <w:color w:val="FF0000"/>
                    </w:rPr>
                    <w:t>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spacing w:line="240" w:lineRule="auto"/>
                    <w:jc w:val="center"/>
                    <w:rPr>
                      <w:b/>
                      <w:color w:val="FF0000"/>
                    </w:rPr>
                  </w:pPr>
                </w:p>
              </w:tc>
              <w:tc>
                <w:tcPr>
                  <w:tcW w:w="507" w:type="pct"/>
                  <w:vAlign w:val="center"/>
                </w:tcPr>
                <w:p>
                  <w:pPr>
                    <w:spacing w:line="240" w:lineRule="auto"/>
                    <w:jc w:val="center"/>
                    <w:rPr>
                      <w:b/>
                      <w:color w:val="FF0000"/>
                      <w:szCs w:val="21"/>
                    </w:rPr>
                  </w:pPr>
                  <w:r>
                    <w:rPr>
                      <w:b/>
                      <w:color w:val="FF0000"/>
                      <w:szCs w:val="21"/>
                    </w:rPr>
                    <w:t>C</w:t>
                  </w:r>
                </w:p>
              </w:tc>
              <w:tc>
                <w:tcPr>
                  <w:tcW w:w="505" w:type="pct"/>
                  <w:vAlign w:val="center"/>
                </w:tcPr>
                <w:p>
                  <w:pPr>
                    <w:spacing w:line="240" w:lineRule="auto"/>
                    <w:jc w:val="center"/>
                    <w:rPr>
                      <w:b/>
                      <w:color w:val="FF0000"/>
                      <w:szCs w:val="21"/>
                    </w:rPr>
                  </w:pPr>
                  <w:r>
                    <w:rPr>
                      <w:b/>
                      <w:color w:val="FF0000"/>
                      <w:szCs w:val="21"/>
                    </w:rPr>
                    <w:t>H</w:t>
                  </w:r>
                </w:p>
              </w:tc>
              <w:tc>
                <w:tcPr>
                  <w:tcW w:w="759" w:type="pct"/>
                  <w:vAlign w:val="center"/>
                </w:tcPr>
                <w:p>
                  <w:pPr>
                    <w:spacing w:line="240" w:lineRule="auto"/>
                    <w:jc w:val="center"/>
                    <w:rPr>
                      <w:b/>
                      <w:color w:val="FF0000"/>
                      <w:szCs w:val="21"/>
                    </w:rPr>
                  </w:pPr>
                  <w:r>
                    <w:rPr>
                      <w:rFonts w:hint="eastAsia"/>
                      <w:b/>
                      <w:color w:val="FF0000"/>
                      <w:szCs w:val="21"/>
                    </w:rPr>
                    <w:t>O</w:t>
                  </w:r>
                </w:p>
              </w:tc>
              <w:tc>
                <w:tcPr>
                  <w:tcW w:w="590" w:type="pct"/>
                  <w:vAlign w:val="center"/>
                </w:tcPr>
                <w:p>
                  <w:pPr>
                    <w:spacing w:line="240" w:lineRule="auto"/>
                    <w:jc w:val="center"/>
                    <w:rPr>
                      <w:b/>
                      <w:color w:val="FF0000"/>
                      <w:szCs w:val="21"/>
                    </w:rPr>
                  </w:pPr>
                  <w:r>
                    <w:rPr>
                      <w:rFonts w:hint="eastAsia"/>
                      <w:b/>
                      <w:color w:val="FF0000"/>
                      <w:szCs w:val="21"/>
                    </w:rPr>
                    <w:t>N</w:t>
                  </w:r>
                </w:p>
              </w:tc>
              <w:tc>
                <w:tcPr>
                  <w:tcW w:w="590" w:type="pct"/>
                  <w:vAlign w:val="center"/>
                </w:tcPr>
                <w:p>
                  <w:pPr>
                    <w:spacing w:line="240" w:lineRule="auto"/>
                    <w:jc w:val="center"/>
                    <w:rPr>
                      <w:b/>
                      <w:color w:val="FF0000"/>
                      <w:szCs w:val="21"/>
                    </w:rPr>
                  </w:pPr>
                  <w:r>
                    <w:rPr>
                      <w:rFonts w:hint="eastAsia"/>
                      <w:b/>
                      <w:color w:val="FF0000"/>
                      <w:szCs w:val="21"/>
                    </w:rPr>
                    <w:t>S</w:t>
                  </w:r>
                </w:p>
              </w:tc>
              <w:tc>
                <w:tcPr>
                  <w:tcW w:w="1255" w:type="pct"/>
                  <w:vAlign w:val="center"/>
                </w:tcPr>
                <w:p>
                  <w:pPr>
                    <w:spacing w:line="240" w:lineRule="auto"/>
                    <w:jc w:val="center"/>
                    <w:rPr>
                      <w:b/>
                      <w:color w:val="FF0000"/>
                      <w:szCs w:val="21"/>
                    </w:rPr>
                  </w:pPr>
                  <w:r>
                    <w:rPr>
                      <w:b/>
                      <w:color w:val="FF0000"/>
                      <w:szCs w:val="21"/>
                    </w:rPr>
                    <w:t>Ash</w:t>
                  </w:r>
                  <w:r>
                    <w:rPr>
                      <w:rFonts w:hint="eastAsia"/>
                      <w:b/>
                      <w:color w:val="FF0000"/>
                      <w:szCs w:val="21"/>
                    </w:rPr>
                    <w:t>（灰分）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Align w:val="center"/>
                </w:tcPr>
                <w:p>
                  <w:pPr>
                    <w:spacing w:line="240" w:lineRule="auto"/>
                    <w:jc w:val="center"/>
                    <w:rPr>
                      <w:color w:val="FF0000"/>
                      <w:szCs w:val="21"/>
                    </w:rPr>
                  </w:pPr>
                  <w:r>
                    <w:rPr>
                      <w:color w:val="FF0000"/>
                      <w:szCs w:val="21"/>
                    </w:rPr>
                    <w:t>炭黑</w:t>
                  </w:r>
                </w:p>
              </w:tc>
              <w:tc>
                <w:tcPr>
                  <w:tcW w:w="507" w:type="pct"/>
                  <w:vAlign w:val="center"/>
                </w:tcPr>
                <w:p>
                  <w:pPr>
                    <w:spacing w:line="240" w:lineRule="auto"/>
                    <w:jc w:val="center"/>
                    <w:rPr>
                      <w:rFonts w:eastAsia="等线"/>
                      <w:color w:val="FF0000"/>
                      <w:kern w:val="0"/>
                      <w:szCs w:val="21"/>
                    </w:rPr>
                  </w:pPr>
                  <w:r>
                    <w:rPr>
                      <w:rFonts w:eastAsia="等线"/>
                      <w:color w:val="FF0000"/>
                      <w:szCs w:val="21"/>
                    </w:rPr>
                    <w:t xml:space="preserve">84.34 </w:t>
                  </w:r>
                </w:p>
              </w:tc>
              <w:tc>
                <w:tcPr>
                  <w:tcW w:w="505" w:type="pct"/>
                  <w:vAlign w:val="center"/>
                </w:tcPr>
                <w:p>
                  <w:pPr>
                    <w:spacing w:line="240" w:lineRule="auto"/>
                    <w:jc w:val="center"/>
                    <w:rPr>
                      <w:rFonts w:eastAsia="等线"/>
                      <w:color w:val="FF0000"/>
                      <w:szCs w:val="21"/>
                    </w:rPr>
                  </w:pPr>
                  <w:r>
                    <w:rPr>
                      <w:rFonts w:eastAsia="等线"/>
                      <w:color w:val="FF0000"/>
                      <w:szCs w:val="21"/>
                    </w:rPr>
                    <w:t xml:space="preserve">1.66 </w:t>
                  </w:r>
                </w:p>
              </w:tc>
              <w:tc>
                <w:tcPr>
                  <w:tcW w:w="759" w:type="pct"/>
                  <w:vAlign w:val="center"/>
                </w:tcPr>
                <w:p>
                  <w:pPr>
                    <w:spacing w:line="240" w:lineRule="auto"/>
                    <w:jc w:val="center"/>
                    <w:rPr>
                      <w:rFonts w:eastAsia="等线"/>
                      <w:color w:val="FF0000"/>
                      <w:szCs w:val="21"/>
                    </w:rPr>
                  </w:pPr>
                  <w:r>
                    <w:rPr>
                      <w:rFonts w:eastAsia="等线"/>
                      <w:color w:val="FF0000"/>
                      <w:szCs w:val="21"/>
                    </w:rPr>
                    <w:t xml:space="preserve">0.42 </w:t>
                  </w:r>
                </w:p>
              </w:tc>
              <w:tc>
                <w:tcPr>
                  <w:tcW w:w="590" w:type="pct"/>
                  <w:vAlign w:val="center"/>
                </w:tcPr>
                <w:p>
                  <w:pPr>
                    <w:spacing w:line="240" w:lineRule="auto"/>
                    <w:jc w:val="center"/>
                    <w:rPr>
                      <w:rFonts w:eastAsia="等线"/>
                      <w:color w:val="FF0000"/>
                      <w:szCs w:val="21"/>
                    </w:rPr>
                  </w:pPr>
                  <w:r>
                    <w:rPr>
                      <w:rFonts w:eastAsia="等线"/>
                      <w:color w:val="FF0000"/>
                      <w:szCs w:val="21"/>
                    </w:rPr>
                    <w:t xml:space="preserve">0.37 </w:t>
                  </w:r>
                </w:p>
              </w:tc>
              <w:tc>
                <w:tcPr>
                  <w:tcW w:w="590" w:type="pct"/>
                  <w:vAlign w:val="center"/>
                </w:tcPr>
                <w:p>
                  <w:pPr>
                    <w:spacing w:line="240" w:lineRule="auto"/>
                    <w:jc w:val="center"/>
                    <w:rPr>
                      <w:rFonts w:eastAsia="等线"/>
                      <w:color w:val="FF0000"/>
                      <w:szCs w:val="21"/>
                    </w:rPr>
                  </w:pPr>
                  <w:r>
                    <w:rPr>
                      <w:rFonts w:eastAsia="等线"/>
                      <w:color w:val="FF0000"/>
                      <w:szCs w:val="21"/>
                    </w:rPr>
                    <w:t>2.61</w:t>
                  </w:r>
                </w:p>
              </w:tc>
              <w:tc>
                <w:tcPr>
                  <w:tcW w:w="1255" w:type="pct"/>
                  <w:vAlign w:val="center"/>
                </w:tcPr>
                <w:p>
                  <w:pPr>
                    <w:spacing w:line="240" w:lineRule="auto"/>
                    <w:jc w:val="center"/>
                    <w:rPr>
                      <w:color w:val="FF0000"/>
                      <w:szCs w:val="21"/>
                    </w:rPr>
                  </w:pPr>
                  <w:r>
                    <w:rPr>
                      <w:color w:val="FF0000"/>
                      <w:szCs w:val="21"/>
                    </w:rPr>
                    <w:t>10.61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Align w:val="center"/>
                </w:tcPr>
                <w:p>
                  <w:pPr>
                    <w:spacing w:line="240" w:lineRule="auto"/>
                    <w:jc w:val="center"/>
                    <w:rPr>
                      <w:color w:val="FF0000"/>
                      <w:szCs w:val="21"/>
                    </w:rPr>
                  </w:pPr>
                  <w:r>
                    <w:rPr>
                      <w:color w:val="FF0000"/>
                      <w:szCs w:val="21"/>
                    </w:rPr>
                    <w:t>热裂解油</w:t>
                  </w:r>
                </w:p>
              </w:tc>
              <w:tc>
                <w:tcPr>
                  <w:tcW w:w="507" w:type="pct"/>
                  <w:vAlign w:val="center"/>
                </w:tcPr>
                <w:p>
                  <w:pPr>
                    <w:spacing w:line="240" w:lineRule="auto"/>
                    <w:jc w:val="center"/>
                    <w:rPr>
                      <w:rFonts w:eastAsia="等线"/>
                      <w:color w:val="FF0000"/>
                      <w:kern w:val="0"/>
                      <w:szCs w:val="21"/>
                    </w:rPr>
                  </w:pPr>
                  <w:r>
                    <w:rPr>
                      <w:rFonts w:eastAsia="等线"/>
                      <w:color w:val="FF0000"/>
                      <w:szCs w:val="21"/>
                    </w:rPr>
                    <w:t xml:space="preserve">83.08 </w:t>
                  </w:r>
                </w:p>
              </w:tc>
              <w:tc>
                <w:tcPr>
                  <w:tcW w:w="505" w:type="pct"/>
                  <w:vAlign w:val="center"/>
                </w:tcPr>
                <w:p>
                  <w:pPr>
                    <w:spacing w:line="240" w:lineRule="auto"/>
                    <w:jc w:val="center"/>
                    <w:rPr>
                      <w:rFonts w:eastAsia="等线"/>
                      <w:color w:val="FF0000"/>
                      <w:szCs w:val="21"/>
                    </w:rPr>
                  </w:pPr>
                  <w:r>
                    <w:rPr>
                      <w:rFonts w:eastAsia="等线"/>
                      <w:color w:val="FF0000"/>
                      <w:szCs w:val="21"/>
                    </w:rPr>
                    <w:t xml:space="preserve">11.19 </w:t>
                  </w:r>
                </w:p>
              </w:tc>
              <w:tc>
                <w:tcPr>
                  <w:tcW w:w="759" w:type="pct"/>
                  <w:vAlign w:val="center"/>
                </w:tcPr>
                <w:p>
                  <w:pPr>
                    <w:spacing w:line="240" w:lineRule="auto"/>
                    <w:jc w:val="center"/>
                    <w:rPr>
                      <w:rFonts w:eastAsia="等线"/>
                      <w:color w:val="FF0000"/>
                      <w:szCs w:val="21"/>
                    </w:rPr>
                  </w:pPr>
                  <w:r>
                    <w:rPr>
                      <w:rFonts w:eastAsia="等线"/>
                      <w:color w:val="FF0000"/>
                      <w:szCs w:val="21"/>
                    </w:rPr>
                    <w:t xml:space="preserve">3.18 </w:t>
                  </w:r>
                </w:p>
              </w:tc>
              <w:tc>
                <w:tcPr>
                  <w:tcW w:w="590" w:type="pct"/>
                  <w:vAlign w:val="center"/>
                </w:tcPr>
                <w:p>
                  <w:pPr>
                    <w:spacing w:line="240" w:lineRule="auto"/>
                    <w:jc w:val="center"/>
                    <w:rPr>
                      <w:rFonts w:eastAsia="等线"/>
                      <w:color w:val="FF0000"/>
                      <w:szCs w:val="21"/>
                    </w:rPr>
                  </w:pPr>
                  <w:r>
                    <w:rPr>
                      <w:rFonts w:eastAsia="等线"/>
                      <w:color w:val="FF0000"/>
                      <w:szCs w:val="21"/>
                    </w:rPr>
                    <w:t xml:space="preserve">1.36 </w:t>
                  </w:r>
                </w:p>
              </w:tc>
              <w:tc>
                <w:tcPr>
                  <w:tcW w:w="590" w:type="pct"/>
                  <w:vAlign w:val="center"/>
                </w:tcPr>
                <w:p>
                  <w:pPr>
                    <w:spacing w:line="240" w:lineRule="auto"/>
                    <w:jc w:val="center"/>
                    <w:rPr>
                      <w:rFonts w:eastAsia="等线"/>
                      <w:color w:val="FF0000"/>
                      <w:szCs w:val="21"/>
                    </w:rPr>
                  </w:pPr>
                  <w:r>
                    <w:rPr>
                      <w:rFonts w:eastAsia="等线"/>
                      <w:color w:val="FF0000"/>
                      <w:szCs w:val="21"/>
                    </w:rPr>
                    <w:t>1.06</w:t>
                  </w:r>
                </w:p>
              </w:tc>
              <w:tc>
                <w:tcPr>
                  <w:tcW w:w="1255" w:type="pct"/>
                  <w:vAlign w:val="center"/>
                </w:tcPr>
                <w:p>
                  <w:pPr>
                    <w:spacing w:line="240" w:lineRule="auto"/>
                    <w:jc w:val="center"/>
                    <w:rPr>
                      <w:color w:val="FF0000"/>
                      <w:szCs w:val="21"/>
                    </w:rPr>
                  </w:pPr>
                  <w:r>
                    <w:rPr>
                      <w:rFonts w:hint="eastAsia"/>
                      <w:color w:val="FF0000"/>
                      <w:szCs w:val="21"/>
                    </w:rPr>
                    <w:t>/</w:t>
                  </w:r>
                </w:p>
              </w:tc>
            </w:tr>
          </w:tbl>
          <w:p>
            <w:pPr>
              <w:adjustRightInd w:val="0"/>
              <w:snapToGrid w:val="0"/>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2.4主要生产单元、生产工艺、生产设施及参数</w:t>
            </w:r>
          </w:p>
          <w:p>
            <w:pPr>
              <w:pStyle w:val="75"/>
              <w:ind w:firstLine="48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FF0000"/>
              </w:rPr>
              <w:t>项目热裂解工艺采用自动化程度较高的连续式成套卧式旋转裂解设备</w:t>
            </w:r>
            <w:r>
              <w:rPr>
                <w:rFonts w:hint="eastAsia" w:ascii="Times New Roman" w:hAnsi="Times New Roman" w:cs="Times New Roman"/>
                <w:color w:val="000000" w:themeColor="text1"/>
                <w14:textFill>
                  <w14:solidFill>
                    <w14:schemeClr w14:val="tx1"/>
                  </w14:solidFill>
                </w14:textFill>
              </w:rPr>
              <w:t>。项目</w:t>
            </w:r>
            <w:r>
              <w:rPr>
                <w:rFonts w:ascii="Times New Roman" w:hAnsi="Times New Roman" w:cs="Times New Roman"/>
                <w:color w:val="000000" w:themeColor="text1"/>
                <w14:textFill>
                  <w14:solidFill>
                    <w14:schemeClr w14:val="tx1"/>
                  </w14:solidFill>
                </w14:textFill>
              </w:rPr>
              <w:t>主要生产单元、生产工艺、生产设施、设施参数见表2.4</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w:t>
            </w:r>
          </w:p>
          <w:p>
            <w:pPr>
              <w:pStyle w:val="23"/>
              <w:tabs>
                <w:tab w:val="right" w:pos="8641"/>
              </w:tabs>
              <w:spacing w:line="24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表2.4</w:t>
            </w:r>
            <w:r>
              <w:rPr>
                <w:rFonts w:hint="eastAsia"/>
                <w:b/>
                <w:bCs/>
                <w:color w:val="000000" w:themeColor="text1"/>
                <w:sz w:val="24"/>
                <w:szCs w:val="24"/>
                <w14:textFill>
                  <w14:solidFill>
                    <w14:schemeClr w14:val="tx1"/>
                  </w14:solidFill>
                </w14:textFill>
              </w:rPr>
              <w:t>-</w:t>
            </w:r>
            <w:r>
              <w:rPr>
                <w:b/>
                <w:bCs/>
                <w:color w:val="000000" w:themeColor="text1"/>
                <w:sz w:val="24"/>
                <w:szCs w:val="24"/>
                <w14:textFill>
                  <w14:solidFill>
                    <w14:schemeClr w14:val="tx1"/>
                  </w14:solidFill>
                </w14:textFill>
              </w:rPr>
              <w:t>1  项目主要生产单元、生产工艺、生产设施及设施参数一览表</w:t>
            </w:r>
          </w:p>
          <w:tbl>
            <w:tblPr>
              <w:tblStyle w:val="36"/>
              <w:tblW w:w="8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733"/>
              <w:gridCol w:w="861"/>
              <w:gridCol w:w="426"/>
              <w:gridCol w:w="8"/>
              <w:gridCol w:w="20"/>
              <w:gridCol w:w="1681"/>
              <w:gridCol w:w="21"/>
              <w:gridCol w:w="2049"/>
              <w:gridCol w:w="18"/>
              <w:gridCol w:w="559"/>
              <w:gridCol w:w="20"/>
              <w:gridCol w:w="508"/>
              <w:gridCol w:w="18"/>
              <w:gridCol w:w="645"/>
              <w:gridCol w:w="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
                      <w:color w:val="000000" w:themeColor="text1"/>
                      <w:sz w:val="21"/>
                      <w14:textFill>
                        <w14:solidFill>
                          <w14:schemeClr w14:val="tx1"/>
                        </w14:solidFill>
                      </w14:textFill>
                    </w:rPr>
                  </w:pPr>
                  <w:r>
                    <w:rPr>
                      <w:rFonts w:hint="eastAsia" w:ascii="Times New Roman" w:hAnsi="Times New Roman" w:cs="Times New Roman"/>
                      <w:b/>
                      <w:color w:val="000000" w:themeColor="text1"/>
                      <w:sz w:val="21"/>
                      <w14:textFill>
                        <w14:solidFill>
                          <w14:schemeClr w14:val="tx1"/>
                        </w14:solidFill>
                      </w14:textFill>
                    </w:rPr>
                    <w:t>序号</w:t>
                  </w:r>
                </w:p>
              </w:tc>
              <w:tc>
                <w:tcPr>
                  <w:tcW w:w="449" w:type="pct"/>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主要生产单元</w:t>
                  </w:r>
                </w:p>
              </w:tc>
              <w:tc>
                <w:tcPr>
                  <w:tcW w:w="527" w:type="pct"/>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主要工艺</w:t>
                  </w:r>
                </w:p>
              </w:tc>
              <w:tc>
                <w:tcPr>
                  <w:tcW w:w="1307" w:type="pct"/>
                  <w:gridSpan w:val="4"/>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设备名称</w:t>
                  </w:r>
                </w:p>
              </w:tc>
              <w:tc>
                <w:tcPr>
                  <w:tcW w:w="1267" w:type="pct"/>
                  <w:gridSpan w:val="2"/>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设施参数</w:t>
                  </w:r>
                </w:p>
              </w:tc>
              <w:tc>
                <w:tcPr>
                  <w:tcW w:w="1082" w:type="pct"/>
                  <w:gridSpan w:val="6"/>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数量（台/套</w:t>
                  </w:r>
                  <w:r>
                    <w:rPr>
                      <w:rFonts w:hint="eastAsia" w:ascii="Times New Roman" w:hAnsi="Times New Roman" w:cs="Times New Roman"/>
                      <w:b/>
                      <w:color w:val="000000" w:themeColor="text1"/>
                      <w:sz w:val="21"/>
                      <w14:textFill>
                        <w14:solidFill>
                          <w14:schemeClr w14:val="tx1"/>
                        </w14:solidFill>
                      </w14:textFill>
                    </w:rPr>
                    <w:t>/个</w:t>
                  </w:r>
                  <w:r>
                    <w:rPr>
                      <w:rFonts w:ascii="Times New Roman" w:hAnsi="Times New Roman" w:cs="Times New Roman"/>
                      <w:b/>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
                      <w:color w:val="000000" w:themeColor="text1"/>
                      <w:sz w:val="21"/>
                      <w14:textFill>
                        <w14:solidFill>
                          <w14:schemeClr w14:val="tx1"/>
                        </w14:solidFill>
                      </w14:textFill>
                    </w:rPr>
                  </w:pP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
                      <w:color w:val="000000" w:themeColor="text1"/>
                      <w:sz w:val="21"/>
                      <w14:textFill>
                        <w14:solidFill>
                          <w14:schemeClr w14:val="tx1"/>
                        </w14:solidFill>
                      </w14:textFill>
                    </w:rPr>
                  </w:pPr>
                </w:p>
              </w:tc>
              <w:tc>
                <w:tcPr>
                  <w:tcW w:w="1307" w:type="pct"/>
                  <w:gridSpan w:val="4"/>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
                      <w:color w:val="000000" w:themeColor="text1"/>
                      <w:sz w:val="21"/>
                      <w14:textFill>
                        <w14:solidFill>
                          <w14:schemeClr w14:val="tx1"/>
                        </w14:solidFill>
                      </w14:textFill>
                    </w:rPr>
                  </w:pPr>
                </w:p>
              </w:tc>
              <w:tc>
                <w:tcPr>
                  <w:tcW w:w="1267" w:type="pct"/>
                  <w:gridSpan w:val="2"/>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
                      <w:color w:val="000000" w:themeColor="text1"/>
                      <w:sz w:val="21"/>
                      <w14:textFill>
                        <w14:solidFill>
                          <w14:schemeClr w14:val="tx1"/>
                        </w14:solidFill>
                      </w14:textFill>
                    </w:rPr>
                  </w:pPr>
                </w:p>
              </w:tc>
              <w:tc>
                <w:tcPr>
                  <w:tcW w:w="353" w:type="pct"/>
                  <w:gridSpan w:val="2"/>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
                      <w:color w:val="000000" w:themeColor="text1"/>
                      <w:sz w:val="21"/>
                      <w14:textFill>
                        <w14:solidFill>
                          <w14:schemeClr w14:val="tx1"/>
                        </w14:solidFill>
                      </w14:textFill>
                    </w:rPr>
                  </w:pPr>
                  <w:r>
                    <w:rPr>
                      <w:rFonts w:hint="eastAsia" w:ascii="Times New Roman" w:hAnsi="Times New Roman" w:cs="Times New Roman"/>
                      <w:b/>
                      <w:color w:val="000000" w:themeColor="text1"/>
                      <w:sz w:val="21"/>
                      <w14:textFill>
                        <w14:solidFill>
                          <w14:schemeClr w14:val="tx1"/>
                        </w14:solidFill>
                      </w14:textFill>
                    </w:rPr>
                    <w:t>一期</w:t>
                  </w:r>
                </w:p>
              </w:tc>
              <w:tc>
                <w:tcPr>
                  <w:tcW w:w="323" w:type="pct"/>
                  <w:gridSpan w:val="2"/>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
                      <w:color w:val="000000" w:themeColor="text1"/>
                      <w:sz w:val="21"/>
                      <w14:textFill>
                        <w14:solidFill>
                          <w14:schemeClr w14:val="tx1"/>
                        </w14:solidFill>
                      </w14:textFill>
                    </w:rPr>
                  </w:pPr>
                  <w:r>
                    <w:rPr>
                      <w:rFonts w:hint="eastAsia" w:ascii="Times New Roman" w:hAnsi="Times New Roman" w:cs="Times New Roman"/>
                      <w:b/>
                      <w:color w:val="000000" w:themeColor="text1"/>
                      <w:sz w:val="21"/>
                      <w14:textFill>
                        <w14:solidFill>
                          <w14:schemeClr w14:val="tx1"/>
                        </w14:solidFill>
                      </w14:textFill>
                    </w:rPr>
                    <w:t>二期</w:t>
                  </w:r>
                </w:p>
              </w:tc>
              <w:tc>
                <w:tcPr>
                  <w:tcW w:w="406" w:type="pct"/>
                  <w:gridSpan w:val="2"/>
                  <w:vAlign w:val="center"/>
                </w:tcPr>
                <w:p>
                  <w:pPr>
                    <w:pStyle w:val="75"/>
                    <w:tabs>
                      <w:tab w:val="left" w:pos="540"/>
                      <w:tab w:val="left" w:pos="1080"/>
                      <w:tab w:val="left" w:pos="1800"/>
                    </w:tabs>
                    <w:spacing w:line="240" w:lineRule="auto"/>
                    <w:ind w:firstLine="0"/>
                    <w:jc w:val="center"/>
                    <w:rPr>
                      <w:rFonts w:ascii="Times New Roman" w:hAnsi="Times New Roman" w:cs="Times New Roman"/>
                      <w:b/>
                      <w:color w:val="000000" w:themeColor="text1"/>
                      <w:sz w:val="21"/>
                      <w14:textFill>
                        <w14:solidFill>
                          <w14:schemeClr w14:val="tx1"/>
                        </w14:solidFill>
                      </w14:textFill>
                    </w:rPr>
                  </w:pPr>
                  <w:r>
                    <w:rPr>
                      <w:rFonts w:hint="eastAsia" w:ascii="Times New Roman" w:hAnsi="Times New Roman" w:cs="Times New Roman"/>
                      <w:b/>
                      <w:color w:val="000000" w:themeColor="text1"/>
                      <w:sz w:val="21"/>
                      <w14:textFill>
                        <w14:solidFill>
                          <w14:schemeClr w14:val="tx1"/>
                        </w14:solidFill>
                      </w14:textFill>
                    </w:rPr>
                    <w:t>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1</w:t>
                  </w:r>
                </w:p>
              </w:tc>
              <w:tc>
                <w:tcPr>
                  <w:tcW w:w="449" w:type="pct"/>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钢丝加工</w:t>
                  </w:r>
                </w:p>
              </w:tc>
              <w:tc>
                <w:tcPr>
                  <w:tcW w:w="527" w:type="pct"/>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预处理、钢丝加工</w:t>
                  </w:r>
                </w:p>
              </w:tc>
              <w:tc>
                <w:tcPr>
                  <w:tcW w:w="1307" w:type="pct"/>
                  <w:gridSpan w:val="4"/>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钢丝加工生产线</w:t>
                  </w:r>
                </w:p>
              </w:tc>
              <w:tc>
                <w:tcPr>
                  <w:tcW w:w="1267" w:type="pct"/>
                  <w:gridSpan w:val="2"/>
                  <w:shd w:val="clear" w:color="auto" w:fill="auto"/>
                  <w:vAlign w:val="center"/>
                </w:tcPr>
                <w:p>
                  <w:pPr>
                    <w:spacing w:line="240" w:lineRule="auto"/>
                    <w:jc w:val="center"/>
                    <w:textAlignment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1</w:t>
                  </w:r>
                  <w:r>
                    <w:rPr>
                      <w:rFonts w:ascii="Times New Roman" w:hAnsi="Times New Roman" w:cs="Times New Roman"/>
                      <w:color w:val="000000" w:themeColor="text1"/>
                      <w:sz w:val="21"/>
                      <w14:textFill>
                        <w14:solidFill>
                          <w14:schemeClr w14:val="tx1"/>
                        </w14:solidFill>
                      </w14:textFill>
                    </w:rPr>
                    <w:t>.1</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61" w:type="pct"/>
                  <w:vMerge w:val="restart"/>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其中</w:t>
                  </w:r>
                </w:p>
              </w:tc>
              <w:tc>
                <w:tcPr>
                  <w:tcW w:w="1059"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钢圈分离器（大</w:t>
                  </w:r>
                </w:p>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胎）</w:t>
                  </w:r>
                </w:p>
              </w:tc>
              <w:tc>
                <w:tcPr>
                  <w:tcW w:w="1265" w:type="pct"/>
                  <w:gridSpan w:val="2"/>
                  <w:shd w:val="clear" w:color="auto" w:fill="auto"/>
                  <w:vAlign w:val="center"/>
                </w:tcPr>
                <w:p>
                  <w:pPr>
                    <w:spacing w:line="240" w:lineRule="auto"/>
                    <w:jc w:val="center"/>
                    <w:textAlignment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c>
                <w:tcPr>
                  <w:tcW w:w="354"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2"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1</w:t>
                  </w:r>
                  <w:r>
                    <w:rPr>
                      <w:rFonts w:ascii="Times New Roman" w:hAnsi="Times New Roman" w:cs="Times New Roman"/>
                      <w:color w:val="000000" w:themeColor="text1"/>
                      <w:sz w:val="21"/>
                      <w14:textFill>
                        <w14:solidFill>
                          <w14:schemeClr w14:val="tx1"/>
                        </w14:solidFill>
                      </w14:textFill>
                    </w:rPr>
                    <w:t>.2</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61" w:type="pct"/>
                  <w:vMerge w:val="continue"/>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p>
              </w:tc>
              <w:tc>
                <w:tcPr>
                  <w:tcW w:w="1059"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钢圈分离器（小</w:t>
                  </w:r>
                </w:p>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胎）</w:t>
                  </w:r>
                </w:p>
              </w:tc>
              <w:tc>
                <w:tcPr>
                  <w:tcW w:w="1265" w:type="pct"/>
                  <w:gridSpan w:val="2"/>
                  <w:shd w:val="clear" w:color="auto" w:fill="auto"/>
                  <w:vAlign w:val="center"/>
                </w:tcPr>
                <w:p>
                  <w:pPr>
                    <w:spacing w:line="240" w:lineRule="auto"/>
                    <w:jc w:val="center"/>
                    <w:textAlignment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c>
                <w:tcPr>
                  <w:tcW w:w="354"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2"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1</w:t>
                  </w:r>
                  <w:r>
                    <w:rPr>
                      <w:rFonts w:ascii="Times New Roman" w:hAnsi="Times New Roman" w:cs="Times New Roman"/>
                      <w:color w:val="000000" w:themeColor="text1"/>
                      <w:sz w:val="21"/>
                      <w14:textFill>
                        <w14:solidFill>
                          <w14:schemeClr w14:val="tx1"/>
                        </w14:solidFill>
                      </w14:textFill>
                    </w:rPr>
                    <w:t>.3</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61" w:type="pct"/>
                  <w:vMerge w:val="continue"/>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p>
              </w:tc>
              <w:tc>
                <w:tcPr>
                  <w:tcW w:w="1059"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圈口钢丝分离器</w:t>
                  </w:r>
                </w:p>
              </w:tc>
              <w:tc>
                <w:tcPr>
                  <w:tcW w:w="1265" w:type="pct"/>
                  <w:gridSpan w:val="2"/>
                  <w:shd w:val="clear" w:color="auto" w:fill="auto"/>
                  <w:vAlign w:val="center"/>
                </w:tcPr>
                <w:p>
                  <w:pPr>
                    <w:spacing w:line="240" w:lineRule="auto"/>
                    <w:jc w:val="center"/>
                    <w:textAlignment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c>
                <w:tcPr>
                  <w:tcW w:w="354"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2"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1</w:t>
                  </w:r>
                  <w:r>
                    <w:rPr>
                      <w:rFonts w:ascii="Times New Roman" w:hAnsi="Times New Roman" w:cs="Times New Roman"/>
                      <w:color w:val="000000" w:themeColor="text1"/>
                      <w:sz w:val="21"/>
                      <w14:textFill>
                        <w14:solidFill>
                          <w14:schemeClr w14:val="tx1"/>
                        </w14:solidFill>
                      </w14:textFill>
                    </w:rPr>
                    <w:t>.4</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61" w:type="pct"/>
                  <w:vMerge w:val="continue"/>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p>
              </w:tc>
              <w:tc>
                <w:tcPr>
                  <w:tcW w:w="1059"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钢丝切丸机</w:t>
                  </w:r>
                </w:p>
              </w:tc>
              <w:tc>
                <w:tcPr>
                  <w:tcW w:w="1265" w:type="pct"/>
                  <w:gridSpan w:val="2"/>
                  <w:shd w:val="clear" w:color="auto" w:fill="auto"/>
                  <w:vAlign w:val="center"/>
                </w:tcPr>
                <w:p>
                  <w:pPr>
                    <w:spacing w:line="240" w:lineRule="auto"/>
                    <w:jc w:val="center"/>
                    <w:textAlignment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c>
                <w:tcPr>
                  <w:tcW w:w="354"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2"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2</w:t>
                  </w:r>
                </w:p>
              </w:tc>
              <w:tc>
                <w:tcPr>
                  <w:tcW w:w="449" w:type="pct"/>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破碎</w:t>
                  </w:r>
                </w:p>
              </w:tc>
              <w:tc>
                <w:tcPr>
                  <w:tcW w:w="527" w:type="pct"/>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破碎</w:t>
                  </w:r>
                </w:p>
              </w:tc>
              <w:tc>
                <w:tcPr>
                  <w:tcW w:w="1307" w:type="pct"/>
                  <w:gridSpan w:val="4"/>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轮胎破碎生产线</w:t>
                  </w:r>
                </w:p>
              </w:tc>
              <w:tc>
                <w:tcPr>
                  <w:tcW w:w="1267" w:type="pct"/>
                  <w:gridSpan w:val="2"/>
                  <w:shd w:val="clear" w:color="auto" w:fill="auto"/>
                  <w:vAlign w:val="center"/>
                </w:tcPr>
                <w:p>
                  <w:pPr>
                    <w:spacing w:line="240" w:lineRule="auto"/>
                    <w:jc w:val="center"/>
                    <w:textAlignment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处理能力：</w:t>
                  </w:r>
                  <w:r>
                    <w:rPr>
                      <w:color w:val="000000" w:themeColor="text1"/>
                      <w:spacing w:val="-20"/>
                      <w:szCs w:val="21"/>
                      <w14:textFill>
                        <w14:solidFill>
                          <w14:schemeClr w14:val="tx1"/>
                        </w14:solidFill>
                      </w14:textFill>
                    </w:rPr>
                    <w:t>2.0</w:t>
                  </w:r>
                  <w:r>
                    <w:rPr>
                      <w:rFonts w:hint="eastAsia"/>
                      <w:color w:val="000000" w:themeColor="text1"/>
                      <w:spacing w:val="-20"/>
                      <w:szCs w:val="21"/>
                      <w14:textFill>
                        <w14:solidFill>
                          <w14:schemeClr w14:val="tx1"/>
                        </w14:solidFill>
                      </w14:textFill>
                    </w:rPr>
                    <w:t>t</w:t>
                  </w:r>
                  <w:r>
                    <w:rPr>
                      <w:color w:val="000000" w:themeColor="text1"/>
                      <w:spacing w:val="-20"/>
                      <w:szCs w:val="21"/>
                      <w14:textFill>
                        <w14:solidFill>
                          <w14:schemeClr w14:val="tx1"/>
                        </w14:solidFill>
                      </w14:textFill>
                    </w:rPr>
                    <w:t>/</w:t>
                  </w:r>
                  <w:r>
                    <w:rPr>
                      <w:rFonts w:hint="eastAsia"/>
                      <w:color w:val="000000" w:themeColor="text1"/>
                      <w:spacing w:val="-20"/>
                      <w:szCs w:val="21"/>
                      <w14:textFill>
                        <w14:solidFill>
                          <w14:schemeClr w14:val="tx1"/>
                        </w14:solidFill>
                      </w14:textFill>
                    </w:rPr>
                    <w:t>h</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2</w:t>
                  </w:r>
                  <w:r>
                    <w:rPr>
                      <w:rFonts w:ascii="Times New Roman" w:hAnsi="Times New Roman" w:cs="Times New Roman"/>
                      <w:color w:val="000000" w:themeColor="text1"/>
                      <w:sz w:val="21"/>
                      <w14:textFill>
                        <w14:solidFill>
                          <w14:schemeClr w14:val="tx1"/>
                        </w14:solidFill>
                      </w14:textFill>
                    </w:rPr>
                    <w:t>.1</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61" w:type="pct"/>
                  <w:vMerge w:val="restart"/>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其中</w:t>
                  </w:r>
                </w:p>
              </w:tc>
              <w:tc>
                <w:tcPr>
                  <w:tcW w:w="1046" w:type="pct"/>
                  <w:gridSpan w:val="3"/>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破碎机（粗碎）</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处理能力：</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2</w:t>
                  </w:r>
                  <w:r>
                    <w:rPr>
                      <w:rFonts w:ascii="Times New Roman" w:hAnsi="Times New Roman" w:cs="Times New Roman"/>
                      <w:color w:val="000000" w:themeColor="text1"/>
                      <w:sz w:val="21"/>
                      <w14:textFill>
                        <w14:solidFill>
                          <w14:schemeClr w14:val="tx1"/>
                        </w14:solidFill>
                      </w14:textFill>
                    </w:rPr>
                    <w:t>.2</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61" w:type="pct"/>
                  <w:vMerge w:val="continue"/>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p>
              </w:tc>
              <w:tc>
                <w:tcPr>
                  <w:tcW w:w="1046" w:type="pct"/>
                  <w:gridSpan w:val="3"/>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破胶机（细碎）</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处理能力：</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2</w:t>
                  </w:r>
                  <w:r>
                    <w:rPr>
                      <w:rFonts w:ascii="Times New Roman" w:hAnsi="Times New Roman" w:cs="Times New Roman"/>
                      <w:color w:val="000000" w:themeColor="text1"/>
                      <w:sz w:val="21"/>
                      <w14:textFill>
                        <w14:solidFill>
                          <w14:schemeClr w14:val="tx1"/>
                        </w14:solidFill>
                      </w14:textFill>
                    </w:rPr>
                    <w:t>.3</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61" w:type="pct"/>
                  <w:vMerge w:val="continue"/>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p>
              </w:tc>
              <w:tc>
                <w:tcPr>
                  <w:tcW w:w="1046" w:type="pct"/>
                  <w:gridSpan w:val="3"/>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磁选机</w:t>
                  </w:r>
                </w:p>
              </w:tc>
              <w:tc>
                <w:tcPr>
                  <w:tcW w:w="1267" w:type="pct"/>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处理能力2</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2</w:t>
                  </w:r>
                  <w:r>
                    <w:rPr>
                      <w:rFonts w:ascii="Times New Roman" w:hAnsi="Times New Roman" w:cs="Times New Roman"/>
                      <w:color w:val="000000" w:themeColor="text1"/>
                      <w:sz w:val="21"/>
                      <w14:textFill>
                        <w14:solidFill>
                          <w14:schemeClr w14:val="tx1"/>
                        </w14:solidFill>
                      </w14:textFill>
                    </w:rPr>
                    <w:t>.4</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61" w:type="pct"/>
                  <w:vMerge w:val="continue"/>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p>
              </w:tc>
              <w:tc>
                <w:tcPr>
                  <w:tcW w:w="1046" w:type="pct"/>
                  <w:gridSpan w:val="3"/>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筛分机</w:t>
                  </w:r>
                </w:p>
              </w:tc>
              <w:tc>
                <w:tcPr>
                  <w:tcW w:w="1267" w:type="pct"/>
                  <w:gridSpan w:val="2"/>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处理能力：2</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2</w:t>
                  </w:r>
                  <w:r>
                    <w:rPr>
                      <w:rFonts w:ascii="Times New Roman" w:hAnsi="Times New Roman" w:cs="Times New Roman"/>
                      <w:color w:val="000000" w:themeColor="text1"/>
                      <w:sz w:val="21"/>
                      <w14:textFill>
                        <w14:solidFill>
                          <w14:schemeClr w14:val="tx1"/>
                        </w14:solidFill>
                      </w14:textFill>
                    </w:rPr>
                    <w:t>.5</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61" w:type="pct"/>
                  <w:vMerge w:val="continue"/>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p>
              </w:tc>
              <w:tc>
                <w:tcPr>
                  <w:tcW w:w="1046" w:type="pct"/>
                  <w:gridSpan w:val="3"/>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输送设备</w:t>
                  </w:r>
                </w:p>
              </w:tc>
              <w:tc>
                <w:tcPr>
                  <w:tcW w:w="1267" w:type="pct"/>
                  <w:gridSpan w:val="2"/>
                  <w:shd w:val="clear" w:color="auto" w:fill="auto"/>
                  <w:vAlign w:val="center"/>
                </w:tcPr>
                <w:p>
                  <w:pPr>
                    <w:spacing w:line="240" w:lineRule="auto"/>
                    <w:jc w:val="center"/>
                    <w:textAlignment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3</w:t>
                  </w:r>
                </w:p>
              </w:tc>
              <w:tc>
                <w:tcPr>
                  <w:tcW w:w="449" w:type="pct"/>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热裂解</w:t>
                  </w:r>
                </w:p>
              </w:tc>
              <w:tc>
                <w:tcPr>
                  <w:tcW w:w="527" w:type="pct"/>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热裂解</w:t>
                  </w:r>
                </w:p>
              </w:tc>
              <w:tc>
                <w:tcPr>
                  <w:tcW w:w="1307" w:type="pct"/>
                  <w:gridSpan w:val="4"/>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连续干馏裂解生产线</w:t>
                  </w:r>
                </w:p>
              </w:tc>
              <w:tc>
                <w:tcPr>
                  <w:tcW w:w="1267" w:type="pct"/>
                  <w:gridSpan w:val="2"/>
                  <w:shd w:val="clear" w:color="auto" w:fill="auto"/>
                  <w:vAlign w:val="center"/>
                </w:tcPr>
                <w:p>
                  <w:pPr>
                    <w:spacing w:line="240" w:lineRule="auto"/>
                    <w:jc w:val="center"/>
                    <w:textAlignment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型号：X</w:t>
                  </w:r>
                  <w:r>
                    <w:rPr>
                      <w:color w:val="000000" w:themeColor="text1"/>
                      <w:spacing w:val="-20"/>
                      <w:szCs w:val="21"/>
                      <w14:textFill>
                        <w14:solidFill>
                          <w14:schemeClr w14:val="tx1"/>
                        </w14:solidFill>
                      </w14:textFill>
                    </w:rPr>
                    <w:t>Y-9-P</w:t>
                  </w:r>
                  <w:r>
                    <w:rPr>
                      <w:rFonts w:hint="eastAsia"/>
                      <w:color w:val="000000" w:themeColor="text1"/>
                      <w:spacing w:val="-20"/>
                      <w:szCs w:val="21"/>
                      <w14:textFill>
                        <w14:solidFill>
                          <w14:schemeClr w14:val="tx1"/>
                        </w14:solidFill>
                      </w14:textFill>
                    </w:rPr>
                    <w:t>，热裂解能力</w:t>
                  </w:r>
                  <w:r>
                    <w:rPr>
                      <w:color w:val="000000" w:themeColor="text1"/>
                      <w:spacing w:val="-20"/>
                      <w:szCs w:val="21"/>
                      <w14:textFill>
                        <w14:solidFill>
                          <w14:schemeClr w14:val="tx1"/>
                        </w14:solidFill>
                      </w14:textFill>
                    </w:rPr>
                    <w:t>2.0</w:t>
                  </w:r>
                  <w:r>
                    <w:rPr>
                      <w:rFonts w:hint="eastAsia"/>
                      <w:color w:val="000000" w:themeColor="text1"/>
                      <w:spacing w:val="-20"/>
                      <w:szCs w:val="21"/>
                      <w14:textFill>
                        <w14:solidFill>
                          <w14:schemeClr w14:val="tx1"/>
                        </w14:solidFill>
                      </w14:textFill>
                    </w:rPr>
                    <w:t>t</w:t>
                  </w:r>
                  <w:r>
                    <w:rPr>
                      <w:color w:val="000000" w:themeColor="text1"/>
                      <w:spacing w:val="-20"/>
                      <w:szCs w:val="21"/>
                      <w14:textFill>
                        <w14:solidFill>
                          <w14:schemeClr w14:val="tx1"/>
                        </w14:solidFill>
                      </w14:textFill>
                    </w:rPr>
                    <w:t>/</w:t>
                  </w:r>
                  <w:r>
                    <w:rPr>
                      <w:rFonts w:hint="eastAsia"/>
                      <w:color w:val="000000" w:themeColor="text1"/>
                      <w:spacing w:val="-20"/>
                      <w:szCs w:val="21"/>
                      <w14:textFill>
                        <w14:solidFill>
                          <w14:schemeClr w14:val="tx1"/>
                        </w14:solidFill>
                      </w14:textFill>
                    </w:rPr>
                    <w:t>h</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3</w:t>
                  </w:r>
                  <w:r>
                    <w:rPr>
                      <w:rFonts w:ascii="Times New Roman" w:hAnsi="Times New Roman" w:cs="Times New Roman"/>
                      <w:color w:val="000000" w:themeColor="text1"/>
                      <w:sz w:val="21"/>
                      <w14:textFill>
                        <w14:solidFill>
                          <w14:schemeClr w14:val="tx1"/>
                        </w14:solidFill>
                      </w14:textFill>
                    </w:rPr>
                    <w:t>.1</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66" w:type="pct"/>
                  <w:gridSpan w:val="2"/>
                  <w:vMerge w:val="restart"/>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其中</w:t>
                  </w:r>
                </w:p>
              </w:tc>
              <w:tc>
                <w:tcPr>
                  <w:tcW w:w="1041" w:type="pct"/>
                  <w:gridSpan w:val="2"/>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连续干馏主机</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Φ2500*12500mm</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3</w:t>
                  </w:r>
                  <w:r>
                    <w:rPr>
                      <w:rFonts w:ascii="Times New Roman" w:hAnsi="Times New Roman" w:cs="Times New Roman"/>
                      <w:color w:val="000000" w:themeColor="text1"/>
                      <w:sz w:val="21"/>
                      <w14:textFill>
                        <w14:solidFill>
                          <w14:schemeClr w14:val="tx1"/>
                        </w14:solidFill>
                      </w14:textFill>
                    </w:rPr>
                    <w:t>.2</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66" w:type="pct"/>
                  <w:gridSpan w:val="2"/>
                  <w:vMerge w:val="continue"/>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p>
              </w:tc>
              <w:tc>
                <w:tcPr>
                  <w:tcW w:w="1041" w:type="pct"/>
                  <w:gridSpan w:val="2"/>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裂解炉</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卧式旋转，机组压力-</w:t>
                  </w:r>
                  <w:r>
                    <w:rPr>
                      <w:color w:val="000000" w:themeColor="text1"/>
                      <w:szCs w:val="21"/>
                      <w14:textFill>
                        <w14:solidFill>
                          <w14:schemeClr w14:val="tx1"/>
                        </w14:solidFill>
                      </w14:textFill>
                    </w:rPr>
                    <w:t>0.005MP</w:t>
                  </w:r>
                  <w:r>
                    <w:rPr>
                      <w:rFonts w:hint="eastAsia"/>
                      <w:color w:val="000000" w:themeColor="text1"/>
                      <w:szCs w:val="21"/>
                      <w14:textFill>
                        <w14:solidFill>
                          <w14:schemeClr w14:val="tx1"/>
                        </w14:solidFill>
                      </w14:textFill>
                    </w:rPr>
                    <w:t>a，裂解温度4</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3.3</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66" w:type="pct"/>
                  <w:gridSpan w:val="2"/>
                  <w:vMerge w:val="continue"/>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p>
              </w:tc>
              <w:tc>
                <w:tcPr>
                  <w:tcW w:w="1041" w:type="pct"/>
                  <w:gridSpan w:val="2"/>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裂解油暂存罐</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拱顶罐，</w:t>
                  </w:r>
                  <w:r>
                    <w:rPr>
                      <w:color w:val="000000" w:themeColor="text1"/>
                      <w:szCs w:val="21"/>
                      <w14:textFill>
                        <w14:solidFill>
                          <w14:schemeClr w14:val="tx1"/>
                        </w14:solidFill>
                      </w14:textFill>
                    </w:rPr>
                    <w:t>Φ1200*2500mm</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.8</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个</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3</w:t>
                  </w:r>
                  <w:r>
                    <w:rPr>
                      <w:rFonts w:ascii="Times New Roman" w:hAnsi="Times New Roman" w:cs="Times New Roman"/>
                      <w:color w:val="000000" w:themeColor="text1"/>
                      <w:sz w:val="21"/>
                      <w14:textFill>
                        <w14:solidFill>
                          <w14:schemeClr w14:val="tx1"/>
                        </w14:solidFill>
                      </w14:textFill>
                    </w:rPr>
                    <w:t>.4</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66" w:type="pct"/>
                  <w:gridSpan w:val="2"/>
                  <w:vMerge w:val="continue"/>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p>
              </w:tc>
              <w:tc>
                <w:tcPr>
                  <w:tcW w:w="1041" w:type="pct"/>
                  <w:gridSpan w:val="2"/>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分汽包</w:t>
                  </w:r>
                </w:p>
              </w:tc>
              <w:tc>
                <w:tcPr>
                  <w:tcW w:w="1267" w:type="pct"/>
                  <w:gridSpan w:val="2"/>
                  <w:shd w:val="clear" w:color="auto" w:fill="auto"/>
                  <w:vAlign w:val="center"/>
                </w:tcPr>
                <w:p>
                  <w:pPr>
                    <w:pStyle w:val="198"/>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Φ1200*3200mm</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3</w:t>
                  </w:r>
                  <w:r>
                    <w:rPr>
                      <w:rFonts w:ascii="Times New Roman" w:hAnsi="Times New Roman" w:cs="Times New Roman"/>
                      <w:color w:val="000000" w:themeColor="text1"/>
                      <w:sz w:val="21"/>
                      <w14:textFill>
                        <w14:solidFill>
                          <w14:schemeClr w14:val="tx1"/>
                        </w14:solidFill>
                      </w14:textFill>
                    </w:rPr>
                    <w:t>.5</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66" w:type="pct"/>
                  <w:gridSpan w:val="2"/>
                  <w:vMerge w:val="continue"/>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p>
              </w:tc>
              <w:tc>
                <w:tcPr>
                  <w:tcW w:w="1041" w:type="pct"/>
                  <w:gridSpan w:val="2"/>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油泵</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k</w:t>
                  </w:r>
                  <w:r>
                    <w:rPr>
                      <w:color w:val="000000" w:themeColor="text1"/>
                      <w:szCs w:val="21"/>
                      <w14:textFill>
                        <w14:solidFill>
                          <w14:schemeClr w14:val="tx1"/>
                        </w14:solidFill>
                      </w14:textFill>
                    </w:rPr>
                    <w:t>W</w:t>
                  </w:r>
                  <w:r>
                    <w:rPr>
                      <w:rFonts w:hint="eastAsia"/>
                      <w:color w:val="000000" w:themeColor="text1"/>
                      <w:szCs w:val="21"/>
                      <w14:textFill>
                        <w14:solidFill>
                          <w14:schemeClr w14:val="tx1"/>
                        </w14:solidFill>
                      </w14:textFill>
                    </w:rPr>
                    <w:t>，5m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台</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3</w:t>
                  </w:r>
                  <w:r>
                    <w:rPr>
                      <w:rFonts w:ascii="Times New Roman" w:hAnsi="Times New Roman" w:cs="Times New Roman"/>
                      <w:color w:val="000000" w:themeColor="text1"/>
                      <w:sz w:val="21"/>
                      <w14:textFill>
                        <w14:solidFill>
                          <w14:schemeClr w14:val="tx1"/>
                        </w14:solidFill>
                      </w14:textFill>
                    </w:rPr>
                    <w:t>.6</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66" w:type="pct"/>
                  <w:gridSpan w:val="2"/>
                  <w:vMerge w:val="continue"/>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p>
              </w:tc>
              <w:tc>
                <w:tcPr>
                  <w:tcW w:w="1041" w:type="pct"/>
                  <w:gridSpan w:val="2"/>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水泵</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Kw</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台</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3</w:t>
                  </w:r>
                  <w:r>
                    <w:rPr>
                      <w:rFonts w:ascii="Times New Roman" w:hAnsi="Times New Roman" w:cs="Times New Roman"/>
                      <w:color w:val="000000" w:themeColor="text1"/>
                      <w:sz w:val="21"/>
                      <w14:textFill>
                        <w14:solidFill>
                          <w14:schemeClr w14:val="tx1"/>
                        </w14:solidFill>
                      </w14:textFill>
                    </w:rPr>
                    <w:t>.7</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66" w:type="pct"/>
                  <w:gridSpan w:val="2"/>
                  <w:vMerge w:val="continue"/>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p>
              </w:tc>
              <w:tc>
                <w:tcPr>
                  <w:tcW w:w="1041" w:type="pct"/>
                  <w:gridSpan w:val="2"/>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自动进料机</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Φ325*3500mm</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3</w:t>
                  </w:r>
                  <w:r>
                    <w:rPr>
                      <w:rFonts w:ascii="Times New Roman" w:hAnsi="Times New Roman" w:cs="Times New Roman"/>
                      <w:color w:val="000000" w:themeColor="text1"/>
                      <w:sz w:val="21"/>
                      <w14:textFill>
                        <w14:solidFill>
                          <w14:schemeClr w14:val="tx1"/>
                        </w14:solidFill>
                      </w14:textFill>
                    </w:rPr>
                    <w:t>.8</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输送</w:t>
                  </w:r>
                </w:p>
              </w:tc>
              <w:tc>
                <w:tcPr>
                  <w:tcW w:w="1307"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输送设备</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3</w:t>
                  </w:r>
                  <w:r>
                    <w:rPr>
                      <w:rFonts w:ascii="Times New Roman" w:hAnsi="Times New Roman" w:cs="Times New Roman"/>
                      <w:color w:val="000000" w:themeColor="text1"/>
                      <w:sz w:val="21"/>
                      <w14:textFill>
                        <w14:solidFill>
                          <w14:schemeClr w14:val="tx1"/>
                        </w14:solidFill>
                      </w14:textFill>
                    </w:rPr>
                    <w:t>.9</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冷却</w:t>
                  </w:r>
                </w:p>
              </w:tc>
              <w:tc>
                <w:tcPr>
                  <w:tcW w:w="1307"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冷凝器</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每套裂解设备用水量3</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h，配套6个冷凝器</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4</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97" w:hRule="atLeas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3</w:t>
                  </w:r>
                  <w:r>
                    <w:rPr>
                      <w:rFonts w:ascii="Times New Roman" w:hAnsi="Times New Roman" w:cs="Times New Roman"/>
                      <w:color w:val="000000" w:themeColor="text1"/>
                      <w:sz w:val="21"/>
                      <w14:textFill>
                        <w14:solidFill>
                          <w14:schemeClr w14:val="tx1"/>
                        </w14:solidFill>
                      </w14:textFill>
                    </w:rPr>
                    <w:t>.10</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油气分离</w:t>
                  </w:r>
                </w:p>
              </w:tc>
              <w:tc>
                <w:tcPr>
                  <w:tcW w:w="1307"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热裂解油换热器</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每套裂解设备换热面积1</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套，配套6个</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4</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4</w:t>
                  </w:r>
                </w:p>
              </w:tc>
              <w:tc>
                <w:tcPr>
                  <w:tcW w:w="449" w:type="pct"/>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r>
                    <w:rPr>
                      <w:rFonts w:hint="eastAsia" w:ascii="Times New Roman" w:hAnsi="Times New Roman" w:cs="Times New Roman"/>
                      <w:bCs/>
                      <w:color w:val="000000" w:themeColor="text1"/>
                      <w:sz w:val="21"/>
                      <w14:textFill>
                        <w14:solidFill>
                          <w14:schemeClr w14:val="tx1"/>
                        </w14:solidFill>
                      </w14:textFill>
                    </w:rPr>
                    <w:t>炭黑加工</w:t>
                  </w:r>
                </w:p>
              </w:tc>
              <w:tc>
                <w:tcPr>
                  <w:tcW w:w="527" w:type="pct"/>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炭黑加工</w:t>
                  </w:r>
                </w:p>
              </w:tc>
              <w:tc>
                <w:tcPr>
                  <w:tcW w:w="1307"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炭黑加工生产线</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pacing w:val="-20"/>
                      <w:szCs w:val="21"/>
                      <w14:textFill>
                        <w14:solidFill>
                          <w14:schemeClr w14:val="tx1"/>
                        </w14:solidFill>
                      </w14:textFill>
                    </w:rPr>
                    <w:t>处理能力：</w:t>
                  </w:r>
                  <w:r>
                    <w:rPr>
                      <w:color w:val="000000" w:themeColor="text1"/>
                      <w:spacing w:val="-20"/>
                      <w:szCs w:val="21"/>
                      <w14:textFill>
                        <w14:solidFill>
                          <w14:schemeClr w14:val="tx1"/>
                        </w14:solidFill>
                      </w14:textFill>
                    </w:rPr>
                    <w:t>2.5</w:t>
                  </w:r>
                  <w:r>
                    <w:rPr>
                      <w:rFonts w:hint="eastAsia"/>
                      <w:color w:val="000000" w:themeColor="text1"/>
                      <w:spacing w:val="-20"/>
                      <w:szCs w:val="21"/>
                      <w14:textFill>
                        <w14:solidFill>
                          <w14:schemeClr w14:val="tx1"/>
                        </w14:solidFill>
                      </w14:textFill>
                    </w:rPr>
                    <w:t>t</w:t>
                  </w:r>
                  <w:r>
                    <w:rPr>
                      <w:color w:val="000000" w:themeColor="text1"/>
                      <w:spacing w:val="-20"/>
                      <w:szCs w:val="21"/>
                      <w14:textFill>
                        <w14:solidFill>
                          <w14:schemeClr w14:val="tx1"/>
                        </w14:solidFill>
                      </w14:textFill>
                    </w:rPr>
                    <w:t>/</w:t>
                  </w:r>
                  <w:r>
                    <w:rPr>
                      <w:rFonts w:hint="eastAsia"/>
                      <w:color w:val="000000" w:themeColor="text1"/>
                      <w:spacing w:val="-20"/>
                      <w:szCs w:val="21"/>
                      <w14:textFill>
                        <w14:solidFill>
                          <w14:schemeClr w14:val="tx1"/>
                        </w14:solidFill>
                      </w14:textFill>
                    </w:rPr>
                    <w:t>h</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4.1</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78" w:type="pct"/>
                  <w:gridSpan w:val="3"/>
                  <w:vMerge w:val="restart"/>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其中</w:t>
                  </w:r>
                </w:p>
              </w:tc>
              <w:tc>
                <w:tcPr>
                  <w:tcW w:w="1029" w:type="pct"/>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磁选机</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pacing w:val="-20"/>
                      <w:szCs w:val="21"/>
                      <w14:textFill>
                        <w14:solidFill>
                          <w14:schemeClr w14:val="tx1"/>
                        </w14:solidFill>
                      </w14:textFill>
                    </w:rPr>
                    <w:t>处理能力：</w:t>
                  </w:r>
                  <w:r>
                    <w:rPr>
                      <w:color w:val="000000" w:themeColor="text1"/>
                      <w:spacing w:val="-20"/>
                      <w:szCs w:val="21"/>
                      <w14:textFill>
                        <w14:solidFill>
                          <w14:schemeClr w14:val="tx1"/>
                        </w14:solidFill>
                      </w14:textFill>
                    </w:rPr>
                    <w:t>2.5</w:t>
                  </w:r>
                  <w:r>
                    <w:rPr>
                      <w:rFonts w:hint="eastAsia"/>
                      <w:color w:val="000000" w:themeColor="text1"/>
                      <w:spacing w:val="-20"/>
                      <w:szCs w:val="21"/>
                      <w14:textFill>
                        <w14:solidFill>
                          <w14:schemeClr w14:val="tx1"/>
                        </w14:solidFill>
                      </w14:textFill>
                    </w:rPr>
                    <w:t>t</w:t>
                  </w:r>
                  <w:r>
                    <w:rPr>
                      <w:color w:val="000000" w:themeColor="text1"/>
                      <w:spacing w:val="-20"/>
                      <w:szCs w:val="21"/>
                      <w14:textFill>
                        <w14:solidFill>
                          <w14:schemeClr w14:val="tx1"/>
                        </w14:solidFill>
                      </w14:textFill>
                    </w:rPr>
                    <w:t>/</w:t>
                  </w:r>
                  <w:r>
                    <w:rPr>
                      <w:rFonts w:hint="eastAsia"/>
                      <w:color w:val="000000" w:themeColor="text1"/>
                      <w:spacing w:val="-20"/>
                      <w:szCs w:val="21"/>
                      <w14:textFill>
                        <w14:solidFill>
                          <w14:schemeClr w14:val="tx1"/>
                        </w14:solidFill>
                      </w14:textFill>
                    </w:rPr>
                    <w:t>h</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4.2</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78" w:type="pct"/>
                  <w:gridSpan w:val="3"/>
                  <w:vMerge w:val="continue"/>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p>
              </w:tc>
              <w:tc>
                <w:tcPr>
                  <w:tcW w:w="1029" w:type="pct"/>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磨粉机</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pacing w:val="-20"/>
                      <w:szCs w:val="21"/>
                      <w14:textFill>
                        <w14:solidFill>
                          <w14:schemeClr w14:val="tx1"/>
                        </w14:solidFill>
                      </w14:textFill>
                    </w:rPr>
                    <w:t>处理能力：</w:t>
                  </w:r>
                  <w:r>
                    <w:rPr>
                      <w:color w:val="000000" w:themeColor="text1"/>
                      <w:spacing w:val="-20"/>
                      <w:szCs w:val="21"/>
                      <w14:textFill>
                        <w14:solidFill>
                          <w14:schemeClr w14:val="tx1"/>
                        </w14:solidFill>
                      </w14:textFill>
                    </w:rPr>
                    <w:t>2.5</w:t>
                  </w:r>
                  <w:r>
                    <w:rPr>
                      <w:rFonts w:hint="eastAsia"/>
                      <w:color w:val="000000" w:themeColor="text1"/>
                      <w:spacing w:val="-20"/>
                      <w:szCs w:val="21"/>
                      <w14:textFill>
                        <w14:solidFill>
                          <w14:schemeClr w14:val="tx1"/>
                        </w14:solidFill>
                      </w14:textFill>
                    </w:rPr>
                    <w:t>t</w:t>
                  </w:r>
                  <w:r>
                    <w:rPr>
                      <w:color w:val="000000" w:themeColor="text1"/>
                      <w:spacing w:val="-20"/>
                      <w:szCs w:val="21"/>
                      <w14:textFill>
                        <w14:solidFill>
                          <w14:schemeClr w14:val="tx1"/>
                        </w14:solidFill>
                      </w14:textFill>
                    </w:rPr>
                    <w:t>/</w:t>
                  </w:r>
                  <w:r>
                    <w:rPr>
                      <w:rFonts w:hint="eastAsia"/>
                      <w:color w:val="000000" w:themeColor="text1"/>
                      <w:spacing w:val="-20"/>
                      <w:szCs w:val="21"/>
                      <w14:textFill>
                        <w14:solidFill>
                          <w14:schemeClr w14:val="tx1"/>
                        </w14:solidFill>
                      </w14:textFill>
                    </w:rPr>
                    <w:t>h</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4.3</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278" w:type="pct"/>
                  <w:gridSpan w:val="3"/>
                  <w:vMerge w:val="continue"/>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p>
              </w:tc>
              <w:tc>
                <w:tcPr>
                  <w:tcW w:w="1029" w:type="pct"/>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包装机</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pacing w:val="-20"/>
                      <w:szCs w:val="21"/>
                      <w14:textFill>
                        <w14:solidFill>
                          <w14:schemeClr w14:val="tx1"/>
                        </w14:solidFill>
                      </w14:textFill>
                    </w:rPr>
                    <w:t>处理能力：</w:t>
                  </w:r>
                  <w:r>
                    <w:rPr>
                      <w:color w:val="000000" w:themeColor="text1"/>
                      <w:spacing w:val="-20"/>
                      <w:szCs w:val="21"/>
                      <w14:textFill>
                        <w14:solidFill>
                          <w14:schemeClr w14:val="tx1"/>
                        </w14:solidFill>
                      </w14:textFill>
                    </w:rPr>
                    <w:t>2.5</w:t>
                  </w:r>
                  <w:r>
                    <w:rPr>
                      <w:rFonts w:hint="eastAsia"/>
                      <w:color w:val="000000" w:themeColor="text1"/>
                      <w:spacing w:val="-20"/>
                      <w:szCs w:val="21"/>
                      <w14:textFill>
                        <w14:solidFill>
                          <w14:schemeClr w14:val="tx1"/>
                        </w14:solidFill>
                      </w14:textFill>
                    </w:rPr>
                    <w:t>t</w:t>
                  </w:r>
                  <w:r>
                    <w:rPr>
                      <w:color w:val="000000" w:themeColor="text1"/>
                      <w:spacing w:val="-20"/>
                      <w:szCs w:val="21"/>
                      <w14:textFill>
                        <w14:solidFill>
                          <w14:schemeClr w14:val="tx1"/>
                        </w14:solidFill>
                      </w14:textFill>
                    </w:rPr>
                    <w:t>/</w:t>
                  </w:r>
                  <w:r>
                    <w:rPr>
                      <w:rFonts w:hint="eastAsia"/>
                      <w:color w:val="000000" w:themeColor="text1"/>
                      <w:spacing w:val="-20"/>
                      <w:szCs w:val="21"/>
                      <w14:textFill>
                        <w14:solidFill>
                          <w14:schemeClr w14:val="tx1"/>
                        </w14:solidFill>
                      </w14:textFill>
                    </w:rPr>
                    <w:t>h</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5</w:t>
                  </w:r>
                </w:p>
              </w:tc>
              <w:tc>
                <w:tcPr>
                  <w:tcW w:w="449" w:type="pct"/>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highlight w:val="yellow"/>
                      <w14:textFill>
                        <w14:solidFill>
                          <w14:schemeClr w14:val="tx1"/>
                        </w14:solidFill>
                      </w14:textFill>
                    </w:rPr>
                  </w:pPr>
                  <w:r>
                    <w:rPr>
                      <w:rFonts w:hint="eastAsia" w:ascii="Times New Roman" w:hAnsi="Times New Roman" w:cs="Times New Roman"/>
                      <w:bCs/>
                      <w:color w:val="000000" w:themeColor="text1"/>
                      <w:sz w:val="21"/>
                      <w14:textFill>
                        <w14:solidFill>
                          <w14:schemeClr w14:val="tx1"/>
                        </w14:solidFill>
                      </w14:textFill>
                    </w:rPr>
                    <w:t>公用单元</w:t>
                  </w:r>
                </w:p>
              </w:tc>
              <w:tc>
                <w:tcPr>
                  <w:tcW w:w="52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highlight w:val="yellow"/>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冷却</w:t>
                  </w:r>
                </w:p>
              </w:tc>
              <w:tc>
                <w:tcPr>
                  <w:tcW w:w="1307"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循环冷却塔</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规模</w:t>
                  </w:r>
                  <w:r>
                    <w:rPr>
                      <w:color w:val="000000" w:themeColor="text1"/>
                      <w:szCs w:val="21"/>
                      <w14:textFill>
                        <w14:solidFill>
                          <w14:schemeClr w14:val="tx1"/>
                        </w14:solidFill>
                      </w14:textFill>
                    </w:rPr>
                    <w:t>180</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h，配套循环水池2</w:t>
                  </w:r>
                  <w:r>
                    <w:rPr>
                      <w:color w:val="000000" w:themeColor="text1"/>
                      <w:szCs w:val="21"/>
                      <w14:textFill>
                        <w14:solidFill>
                          <w14:schemeClr w14:val="tx1"/>
                        </w14:solidFill>
                      </w14:textFill>
                    </w:rPr>
                    <w:t>000</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6</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储油</w:t>
                  </w:r>
                </w:p>
              </w:tc>
              <w:tc>
                <w:tcPr>
                  <w:tcW w:w="1307"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储油罐</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固定立式储罐（拱顶罐），直径9m，高</w:t>
                  </w:r>
                  <w:r>
                    <w:rPr>
                      <w:color w:val="000000" w:themeColor="text1"/>
                      <w:szCs w:val="21"/>
                      <w14:textFill>
                        <w14:solidFill>
                          <w14:schemeClr w14:val="tx1"/>
                        </w14:solidFill>
                      </w14:textFill>
                    </w:rPr>
                    <w:t>6.3</w:t>
                  </w:r>
                  <w:r>
                    <w:rPr>
                      <w:rFonts w:hint="eastAsia"/>
                      <w:color w:val="000000" w:themeColor="text1"/>
                      <w:szCs w:val="21"/>
                      <w14:textFill>
                        <w14:solidFill>
                          <w14:schemeClr w14:val="tx1"/>
                        </w14:solidFill>
                      </w14:textFill>
                    </w:rPr>
                    <w:t>m，体积</w:t>
                  </w:r>
                  <w:r>
                    <w:rPr>
                      <w:color w:val="000000" w:themeColor="text1"/>
                      <w:szCs w:val="21"/>
                      <w14:textFill>
                        <w14:solidFill>
                          <w14:schemeClr w14:val="tx1"/>
                        </w14:solidFill>
                      </w14:textFill>
                    </w:rPr>
                    <w:t>400</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个</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7</w:t>
                  </w:r>
                </w:p>
              </w:tc>
              <w:tc>
                <w:tcPr>
                  <w:tcW w:w="449" w:type="pct"/>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r>
                    <w:rPr>
                      <w:rFonts w:hint="eastAsia" w:ascii="Times New Roman" w:hAnsi="Times New Roman" w:cs="Times New Roman"/>
                      <w:bCs/>
                      <w:color w:val="000000" w:themeColor="text1"/>
                      <w:sz w:val="21"/>
                      <w14:textFill>
                        <w14:solidFill>
                          <w14:schemeClr w14:val="tx1"/>
                        </w14:solidFill>
                      </w14:textFill>
                    </w:rPr>
                    <w:t>环保单元</w:t>
                  </w:r>
                </w:p>
              </w:tc>
              <w:tc>
                <w:tcPr>
                  <w:tcW w:w="527" w:type="pct"/>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废水处理</w:t>
                  </w:r>
                </w:p>
              </w:tc>
              <w:tc>
                <w:tcPr>
                  <w:tcW w:w="1307"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生产废水预处理设施</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隔油+厌氧反应器+好氧活性污泥法（A/O法），处理能力</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d</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8</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1307"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食堂废水隔油池</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处理能力</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d</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9</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1307"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生化池</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处理能力</w:t>
                  </w:r>
                  <w:r>
                    <w:rPr>
                      <w:color w:val="000000" w:themeColor="text1"/>
                      <w:szCs w:val="21"/>
                      <w14:textFill>
                        <w14:solidFill>
                          <w14:schemeClr w14:val="tx1"/>
                        </w14:solidFill>
                      </w14:textFill>
                    </w:rPr>
                    <w:t>50</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d</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1</w:t>
                  </w:r>
                  <w:r>
                    <w:rPr>
                      <w:rFonts w:ascii="Times New Roman" w:hAnsi="Times New Roman" w:cs="Times New Roman"/>
                      <w:color w:val="000000" w:themeColor="text1"/>
                      <w:sz w:val="21"/>
                      <w14:textFill>
                        <w14:solidFill>
                          <w14:schemeClr w14:val="tx1"/>
                        </w14:solidFill>
                      </w14:textFill>
                    </w:rPr>
                    <w:t>0</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restar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废气处理</w:t>
                  </w:r>
                </w:p>
              </w:tc>
              <w:tc>
                <w:tcPr>
                  <w:tcW w:w="1307"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破碎粉尘处理设施</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布袋除尘器</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1</w:t>
                  </w:r>
                  <w:r>
                    <w:rPr>
                      <w:rFonts w:ascii="Times New Roman" w:hAnsi="Times New Roman" w:cs="Times New Roman"/>
                      <w:color w:val="000000" w:themeColor="text1"/>
                      <w:sz w:val="21"/>
                      <w14:textFill>
                        <w14:solidFill>
                          <w14:schemeClr w14:val="tx1"/>
                        </w14:solidFill>
                      </w14:textFill>
                    </w:rPr>
                    <w:t>1</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1307"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炭黑粉尘处理设施</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布袋除尘器</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1</w:t>
                  </w:r>
                  <w:r>
                    <w:rPr>
                      <w:rFonts w:ascii="Times New Roman" w:hAnsi="Times New Roman" w:cs="Times New Roman"/>
                      <w:color w:val="000000" w:themeColor="text1"/>
                      <w:sz w:val="21"/>
                      <w14:textFill>
                        <w14:solidFill>
                          <w14:schemeClr w14:val="tx1"/>
                        </w14:solidFill>
                      </w14:textFill>
                    </w:rPr>
                    <w:t>2</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1307"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裂解不凝气燃烧烟气处理设施</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二次燃烧+烟气骤冷+SCR脱硝+钠碱法脱硫+湿电除尘+气液分离+二级活性炭吸附</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jc w:val="center"/>
              </w:trPr>
              <w:tc>
                <w:tcPr>
                  <w:tcW w:w="357" w:type="pct"/>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1</w:t>
                  </w:r>
                  <w:r>
                    <w:rPr>
                      <w:rFonts w:ascii="Times New Roman" w:hAnsi="Times New Roman" w:cs="Times New Roman"/>
                      <w:color w:val="000000" w:themeColor="text1"/>
                      <w:sz w:val="21"/>
                      <w14:textFill>
                        <w14:solidFill>
                          <w14:schemeClr w14:val="tx1"/>
                        </w14:solidFill>
                      </w14:textFill>
                    </w:rPr>
                    <w:t>4</w:t>
                  </w:r>
                </w:p>
              </w:tc>
              <w:tc>
                <w:tcPr>
                  <w:tcW w:w="449"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bCs/>
                      <w:color w:val="000000" w:themeColor="text1"/>
                      <w:sz w:val="21"/>
                      <w14:textFill>
                        <w14:solidFill>
                          <w14:schemeClr w14:val="tx1"/>
                        </w14:solidFill>
                      </w14:textFill>
                    </w:rPr>
                  </w:pPr>
                </w:p>
              </w:tc>
              <w:tc>
                <w:tcPr>
                  <w:tcW w:w="527" w:type="pct"/>
                  <w:vMerge w:val="continue"/>
                  <w:shd w:val="clear" w:color="auto" w:fill="auto"/>
                  <w:vAlign w:val="center"/>
                </w:tcPr>
                <w:p>
                  <w:pPr>
                    <w:pStyle w:val="75"/>
                    <w:tabs>
                      <w:tab w:val="left" w:pos="540"/>
                      <w:tab w:val="left" w:pos="1080"/>
                      <w:tab w:val="left" w:pos="1800"/>
                    </w:tabs>
                    <w:spacing w:line="240" w:lineRule="auto"/>
                    <w:ind w:firstLine="0"/>
                    <w:jc w:val="center"/>
                    <w:rPr>
                      <w:rFonts w:ascii="Times New Roman" w:hAnsi="Times New Roman" w:cs="Times New Roman"/>
                      <w:color w:val="000000" w:themeColor="text1"/>
                      <w:sz w:val="21"/>
                      <w14:textFill>
                        <w14:solidFill>
                          <w14:schemeClr w14:val="tx1"/>
                        </w14:solidFill>
                      </w14:textFill>
                    </w:rPr>
                  </w:pPr>
                </w:p>
              </w:tc>
              <w:tc>
                <w:tcPr>
                  <w:tcW w:w="1307" w:type="pct"/>
                  <w:gridSpan w:val="4"/>
                  <w:shd w:val="clear" w:color="auto" w:fill="auto"/>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食堂油烟处理设施</w:t>
                  </w:r>
                </w:p>
              </w:tc>
              <w:tc>
                <w:tcPr>
                  <w:tcW w:w="1267"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油烟净化器</w:t>
                  </w:r>
                </w:p>
              </w:tc>
              <w:tc>
                <w:tcPr>
                  <w:tcW w:w="35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323" w:type="pct"/>
                  <w:gridSpan w:val="2"/>
                  <w:shd w:val="clear" w:color="auto" w:fill="auto"/>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06" w:type="pct"/>
                  <w:gridSpan w:val="2"/>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 w:type="pct"/>
                <w:jc w:val="center"/>
              </w:trPr>
              <w:tc>
                <w:tcPr>
                  <w:tcW w:w="4989" w:type="pct"/>
                  <w:gridSpan w:val="15"/>
                  <w:shd w:val="clear" w:color="auto" w:fill="auto"/>
                  <w:vAlign w:val="center"/>
                </w:tcPr>
                <w:p>
                  <w:pPr>
                    <w:spacing w:line="240" w:lineRule="auto"/>
                    <w:jc w:val="left"/>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备注：项目设备供应商为商丘金蓬实业股份有限公司，设备参数均由供应商提供。</w:t>
                  </w:r>
                </w:p>
              </w:tc>
            </w:tr>
          </w:tbl>
          <w:p>
            <w:pPr>
              <w:pStyle w:val="23"/>
              <w:tabs>
                <w:tab w:val="right" w:pos="8641"/>
              </w:tabs>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通过核查《产业结构调整指导目录（2019年本）》</w:t>
            </w:r>
            <w:r>
              <w:rPr>
                <w:rFonts w:hint="eastAsia"/>
                <w:color w:val="000000" w:themeColor="text1"/>
                <w:sz w:val="24"/>
                <w14:textFill>
                  <w14:solidFill>
                    <w14:schemeClr w14:val="tx1"/>
                  </w14:solidFill>
                </w14:textFill>
              </w:rPr>
              <w:t>（20</w:t>
            </w:r>
            <w:r>
              <w:rPr>
                <w:color w:val="000000" w:themeColor="text1"/>
                <w:sz w:val="24"/>
                <w14:textFill>
                  <w14:solidFill>
                    <w14:schemeClr w14:val="tx1"/>
                  </w14:solidFill>
                </w14:textFill>
              </w:rPr>
              <w:t>21</w:t>
            </w:r>
            <w:r>
              <w:rPr>
                <w:rFonts w:hint="eastAsia"/>
                <w:color w:val="000000" w:themeColor="text1"/>
                <w:sz w:val="24"/>
                <w14:textFill>
                  <w14:solidFill>
                    <w14:schemeClr w14:val="tx1"/>
                  </w14:solidFill>
                </w14:textFill>
              </w:rPr>
              <w:t>年修订版）</w:t>
            </w:r>
            <w:r>
              <w:rPr>
                <w:color w:val="000000" w:themeColor="text1"/>
                <w:sz w:val="24"/>
                <w14:textFill>
                  <w14:solidFill>
                    <w14:schemeClr w14:val="tx1"/>
                  </w14:solidFill>
                </w14:textFill>
              </w:rPr>
              <w:t>可知，</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所用设备均不属于国家禁止或明令淘汰的设备</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同时</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对照工信部发布第一、二、三批《高耗能落后机电设备(产品)淘汰目录》，</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所用设备不属于落后机电设备。</w:t>
            </w:r>
          </w:p>
          <w:p>
            <w:pPr>
              <w:pStyle w:val="23"/>
              <w:tabs>
                <w:tab w:val="right" w:pos="8641"/>
              </w:tabs>
              <w:ind w:firstLine="482" w:firstLineChars="200"/>
              <w:jc w:val="both"/>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产能与设备的匹配性分析</w:t>
            </w:r>
            <w:r>
              <w:rPr>
                <w:rFonts w:hint="eastAsia"/>
                <w:color w:val="000000" w:themeColor="text1"/>
                <w:sz w:val="24"/>
                <w14:textFill>
                  <w14:solidFill>
                    <w14:schemeClr w14:val="tx1"/>
                  </w14:solidFill>
                </w14:textFill>
              </w:rPr>
              <w:t>：</w:t>
            </w:r>
          </w:p>
          <w:p>
            <w:pPr>
              <w:pStyle w:val="23"/>
              <w:tabs>
                <w:tab w:val="right" w:pos="8641"/>
              </w:tabs>
              <w:ind w:firstLine="480" w:firstLineChars="200"/>
              <w:jc w:val="both"/>
              <w:rPr>
                <w:color w:val="FF0000"/>
                <w:sz w:val="24"/>
              </w:rPr>
            </w:pPr>
            <w:r>
              <w:rPr>
                <w:rFonts w:hint="eastAsia"/>
                <w:color w:val="FF0000"/>
                <w:sz w:val="24"/>
              </w:rPr>
              <w:t>项目轮胎破碎生产线共</w:t>
            </w:r>
            <w:r>
              <w:rPr>
                <w:color w:val="FF0000"/>
                <w:sz w:val="24"/>
              </w:rPr>
              <w:t>6</w:t>
            </w:r>
            <w:r>
              <w:rPr>
                <w:rFonts w:hint="eastAsia"/>
                <w:color w:val="FF0000"/>
                <w:sz w:val="24"/>
              </w:rPr>
              <w:t>条。其中，一期2条，二期</w:t>
            </w:r>
            <w:r>
              <w:rPr>
                <w:color w:val="FF0000"/>
                <w:sz w:val="24"/>
              </w:rPr>
              <w:t>4</w:t>
            </w:r>
            <w:r>
              <w:rPr>
                <w:rFonts w:hint="eastAsia"/>
                <w:color w:val="FF0000"/>
                <w:sz w:val="24"/>
              </w:rPr>
              <w:t>条，每条生产线的处理能力为</w:t>
            </w:r>
            <w:r>
              <w:rPr>
                <w:color w:val="FF0000"/>
                <w:sz w:val="24"/>
              </w:rPr>
              <w:t>2.0</w:t>
            </w:r>
            <w:r>
              <w:rPr>
                <w:rFonts w:hint="eastAsia"/>
                <w:color w:val="FF0000"/>
                <w:sz w:val="24"/>
              </w:rPr>
              <w:t>t</w:t>
            </w:r>
            <w:r>
              <w:rPr>
                <w:color w:val="FF0000"/>
                <w:sz w:val="24"/>
              </w:rPr>
              <w:t>/</w:t>
            </w:r>
            <w:r>
              <w:rPr>
                <w:rFonts w:hint="eastAsia"/>
                <w:color w:val="FF0000"/>
                <w:sz w:val="24"/>
              </w:rPr>
              <w:t>h，则年最大轮胎处理能力为</w:t>
            </w:r>
            <w:r>
              <w:rPr>
                <w:color w:val="FF0000"/>
                <w:sz w:val="24"/>
              </w:rPr>
              <w:t>86400</w:t>
            </w:r>
            <w:r>
              <w:rPr>
                <w:rFonts w:hint="eastAsia"/>
                <w:color w:val="FF0000"/>
                <w:sz w:val="24"/>
              </w:rPr>
              <w:t>t。项目年加工处理9万吨废旧轮胎，预处理去除钢丝后的轮胎为7</w:t>
            </w:r>
            <w:r>
              <w:rPr>
                <w:color w:val="FF0000"/>
                <w:sz w:val="24"/>
              </w:rPr>
              <w:t>5900</w:t>
            </w:r>
            <w:r>
              <w:rPr>
                <w:rFonts w:hint="eastAsia"/>
                <w:color w:val="FF0000"/>
                <w:sz w:val="24"/>
              </w:rPr>
              <w:t>t。因此，全厂轮胎破碎生产线可满足设计处理能力。</w:t>
            </w:r>
          </w:p>
          <w:p>
            <w:pPr>
              <w:pStyle w:val="23"/>
              <w:tabs>
                <w:tab w:val="right" w:pos="8641"/>
              </w:tabs>
              <w:ind w:firstLine="480" w:firstLineChars="200"/>
              <w:jc w:val="both"/>
              <w:rPr>
                <w:color w:val="FF0000"/>
                <w:sz w:val="24"/>
              </w:rPr>
            </w:pPr>
            <w:r>
              <w:rPr>
                <w:rFonts w:hint="eastAsia"/>
                <w:color w:val="FF0000"/>
                <w:sz w:val="24"/>
              </w:rPr>
              <w:t>项目连续干馏裂解生产线共6条。其中，一期2条，二期</w:t>
            </w:r>
            <w:r>
              <w:rPr>
                <w:color w:val="FF0000"/>
                <w:sz w:val="24"/>
              </w:rPr>
              <w:t>4</w:t>
            </w:r>
            <w:r>
              <w:rPr>
                <w:rFonts w:hint="eastAsia"/>
                <w:color w:val="FF0000"/>
                <w:sz w:val="24"/>
              </w:rPr>
              <w:t>条，每条生产线的热裂解能力</w:t>
            </w:r>
            <w:r>
              <w:rPr>
                <w:color w:val="FF0000"/>
                <w:sz w:val="24"/>
              </w:rPr>
              <w:t>2.0</w:t>
            </w:r>
            <w:r>
              <w:rPr>
                <w:rFonts w:hint="eastAsia"/>
                <w:color w:val="FF0000"/>
                <w:sz w:val="24"/>
              </w:rPr>
              <w:t>t</w:t>
            </w:r>
            <w:r>
              <w:rPr>
                <w:color w:val="FF0000"/>
                <w:sz w:val="24"/>
              </w:rPr>
              <w:t>/</w:t>
            </w:r>
            <w:r>
              <w:rPr>
                <w:rFonts w:hint="eastAsia"/>
                <w:color w:val="FF0000"/>
                <w:sz w:val="24"/>
              </w:rPr>
              <w:t>h，则年最大裂解胶粉生产能力</w:t>
            </w:r>
            <w:r>
              <w:rPr>
                <w:color w:val="FF0000"/>
                <w:sz w:val="24"/>
              </w:rPr>
              <w:t>86400</w:t>
            </w:r>
            <w:r>
              <w:rPr>
                <w:rFonts w:hint="eastAsia"/>
                <w:color w:val="FF0000"/>
                <w:sz w:val="24"/>
              </w:rPr>
              <w:t>t。根据物料平衡可知，进入热解工序的胶粉约75</w:t>
            </w:r>
            <w:r>
              <w:rPr>
                <w:color w:val="FF0000"/>
                <w:sz w:val="24"/>
              </w:rPr>
              <w:t>882.54</w:t>
            </w:r>
            <w:r>
              <w:rPr>
                <w:rFonts w:hint="eastAsia"/>
                <w:color w:val="FF0000"/>
                <w:sz w:val="24"/>
              </w:rPr>
              <w:t>t</w:t>
            </w:r>
            <w:r>
              <w:rPr>
                <w:color w:val="FF0000"/>
                <w:sz w:val="24"/>
              </w:rPr>
              <w:t>/</w:t>
            </w:r>
            <w:r>
              <w:rPr>
                <w:rFonts w:hint="eastAsia"/>
                <w:color w:val="FF0000"/>
                <w:sz w:val="24"/>
              </w:rPr>
              <w:t>a。因此，项目全厂连续干馏裂解生产线可满足设计处理能力。</w:t>
            </w:r>
          </w:p>
          <w:p>
            <w:pPr>
              <w:adjustRightInd w:val="0"/>
              <w:snapToGrid w:val="0"/>
              <w:ind w:firstLine="482"/>
              <w:rPr>
                <w:color w:val="FF0000"/>
                <w:sz w:val="24"/>
              </w:rPr>
            </w:pPr>
            <w:r>
              <w:rPr>
                <w:rFonts w:hint="eastAsia"/>
                <w:color w:val="FF0000"/>
                <w:sz w:val="24"/>
              </w:rPr>
              <w:t>项目炭黑加工生产线共2条。其中，一期1条，二期1条，每条生产线处理能力2</w:t>
            </w:r>
            <w:r>
              <w:rPr>
                <w:color w:val="FF0000"/>
                <w:sz w:val="24"/>
              </w:rPr>
              <w:t>.5</w:t>
            </w:r>
            <w:r>
              <w:rPr>
                <w:rFonts w:hint="eastAsia"/>
                <w:color w:val="FF0000"/>
                <w:sz w:val="24"/>
              </w:rPr>
              <w:t>t</w:t>
            </w:r>
            <w:r>
              <w:rPr>
                <w:color w:val="FF0000"/>
                <w:sz w:val="24"/>
              </w:rPr>
              <w:t>/</w:t>
            </w:r>
            <w:r>
              <w:rPr>
                <w:rFonts w:hint="eastAsia"/>
                <w:color w:val="FF0000"/>
                <w:sz w:val="24"/>
              </w:rPr>
              <w:t>h，则年最大炭黑加工能力</w:t>
            </w:r>
            <w:r>
              <w:rPr>
                <w:color w:val="FF0000"/>
                <w:sz w:val="24"/>
              </w:rPr>
              <w:t>36000</w:t>
            </w:r>
            <w:r>
              <w:rPr>
                <w:rFonts w:hint="eastAsia"/>
                <w:color w:val="FF0000"/>
                <w:sz w:val="24"/>
              </w:rPr>
              <w:t>t，其中一期最大炭黑加工能力</w:t>
            </w:r>
            <w:r>
              <w:rPr>
                <w:color w:val="FF0000"/>
                <w:sz w:val="24"/>
              </w:rPr>
              <w:t>18000</w:t>
            </w:r>
            <w:r>
              <w:rPr>
                <w:rFonts w:hint="eastAsia"/>
                <w:color w:val="FF0000"/>
                <w:sz w:val="24"/>
              </w:rPr>
              <w:t>t。根据物料平衡可知，项目一期进入炭黑加工生产线的炭黑为1</w:t>
            </w:r>
            <w:r>
              <w:rPr>
                <w:color w:val="FF0000"/>
                <w:sz w:val="24"/>
              </w:rPr>
              <w:t>0600</w:t>
            </w:r>
            <w:r>
              <w:rPr>
                <w:rFonts w:hint="eastAsia"/>
                <w:color w:val="FF0000"/>
                <w:sz w:val="24"/>
              </w:rPr>
              <w:t>t</w:t>
            </w:r>
            <w:r>
              <w:rPr>
                <w:color w:val="FF0000"/>
                <w:sz w:val="24"/>
              </w:rPr>
              <w:t>/</w:t>
            </w:r>
            <w:r>
              <w:rPr>
                <w:rFonts w:hint="eastAsia"/>
                <w:color w:val="FF0000"/>
                <w:sz w:val="24"/>
              </w:rPr>
              <w:t>a；二期建成后进入炭黑加工生产线的炭黑为3</w:t>
            </w:r>
            <w:r>
              <w:rPr>
                <w:color w:val="FF0000"/>
                <w:sz w:val="24"/>
              </w:rPr>
              <w:t>1800</w:t>
            </w:r>
            <w:r>
              <w:rPr>
                <w:rFonts w:hint="eastAsia"/>
                <w:color w:val="FF0000"/>
                <w:sz w:val="24"/>
              </w:rPr>
              <w:t>t</w:t>
            </w:r>
            <w:r>
              <w:rPr>
                <w:color w:val="FF0000"/>
                <w:sz w:val="24"/>
              </w:rPr>
              <w:t>/</w:t>
            </w:r>
            <w:r>
              <w:rPr>
                <w:rFonts w:hint="eastAsia"/>
                <w:color w:val="FF0000"/>
                <w:sz w:val="24"/>
              </w:rPr>
              <w:t>a。因此，项目全厂</w:t>
            </w:r>
            <w:r>
              <w:rPr>
                <w:color w:val="FF0000"/>
                <w:sz w:val="24"/>
              </w:rPr>
              <w:t>2</w:t>
            </w:r>
            <w:r>
              <w:rPr>
                <w:rFonts w:hint="eastAsia"/>
                <w:color w:val="FF0000"/>
                <w:sz w:val="24"/>
              </w:rPr>
              <w:t>条炭黑加工生产线可满足设计处理能力。</w:t>
            </w:r>
          </w:p>
          <w:p>
            <w:pPr>
              <w:adjustRightInd w:val="0"/>
              <w:snapToGrid w:val="0"/>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2.5主要原辅材料及燃料</w:t>
            </w:r>
          </w:p>
          <w:p>
            <w:pPr>
              <w:adjustRightInd w:val="0"/>
              <w:snapToGrid w:val="0"/>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w:t>
            </w:r>
            <w:r>
              <w:rPr>
                <w:bCs/>
                <w:color w:val="000000" w:themeColor="text1"/>
                <w:sz w:val="24"/>
                <w14:textFill>
                  <w14:solidFill>
                    <w14:schemeClr w14:val="tx1"/>
                  </w14:solidFill>
                </w14:textFill>
              </w:rPr>
              <w:t>项目主要原辅料及燃料见表2.5</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1。</w:t>
            </w:r>
          </w:p>
          <w:p>
            <w:pPr>
              <w:pStyle w:val="221"/>
              <w:spacing w:line="240" w:lineRule="auto"/>
              <w:rPr>
                <w:color w:val="000000" w:themeColor="text1"/>
                <w:szCs w:val="24"/>
                <w14:textFill>
                  <w14:solidFill>
                    <w14:schemeClr w14:val="tx1"/>
                  </w14:solidFill>
                </w14:textFill>
              </w:rPr>
            </w:pPr>
            <w:r>
              <w:rPr>
                <w:color w:val="000000" w:themeColor="text1"/>
                <w:szCs w:val="24"/>
                <w14:textFill>
                  <w14:solidFill>
                    <w14:schemeClr w14:val="tx1"/>
                  </w14:solidFill>
                </w14:textFill>
              </w:rPr>
              <w:t>表2.5</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 xml:space="preserve">1  </w:t>
            </w:r>
            <w:r>
              <w:rPr>
                <w:rFonts w:hint="eastAsia"/>
                <w:color w:val="000000" w:themeColor="text1"/>
                <w14:textFill>
                  <w14:solidFill>
                    <w14:schemeClr w14:val="tx1"/>
                  </w14:solidFill>
                </w14:textFill>
              </w:rPr>
              <w:t>本项目</w:t>
            </w:r>
            <w:r>
              <w:rPr>
                <w:color w:val="000000" w:themeColor="text1"/>
                <w:szCs w:val="24"/>
                <w14:textFill>
                  <w14:solidFill>
                    <w14:schemeClr w14:val="tx1"/>
                  </w14:solidFill>
                </w14:textFill>
              </w:rPr>
              <w:t>主要原辅材料及能源年消耗量统计表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48"/>
              <w:gridCol w:w="688"/>
              <w:gridCol w:w="1253"/>
              <w:gridCol w:w="1122"/>
              <w:gridCol w:w="1122"/>
              <w:gridCol w:w="2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shd w:val="clear" w:color="auto" w:fill="auto"/>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948" w:type="dxa"/>
                  <w:vMerge w:val="restart"/>
                  <w:shd w:val="clear" w:color="auto" w:fill="auto"/>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原辅料名称</w:t>
                  </w:r>
                </w:p>
              </w:tc>
              <w:tc>
                <w:tcPr>
                  <w:tcW w:w="688" w:type="dxa"/>
                  <w:vMerge w:val="restart"/>
                  <w:shd w:val="clear" w:color="auto" w:fill="auto"/>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物料形态</w:t>
                  </w:r>
                </w:p>
              </w:tc>
              <w:tc>
                <w:tcPr>
                  <w:tcW w:w="3497" w:type="dxa"/>
                  <w:gridSpan w:val="3"/>
                  <w:shd w:val="clear" w:color="auto" w:fill="auto"/>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年用量</w:t>
                  </w:r>
                </w:p>
              </w:tc>
              <w:tc>
                <w:tcPr>
                  <w:tcW w:w="2582" w:type="dxa"/>
                  <w:vMerge w:val="restart"/>
                  <w:shd w:val="clear" w:color="auto" w:fill="auto"/>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94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68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253" w:type="dxa"/>
                  <w:shd w:val="clear" w:color="auto" w:fill="auto"/>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一期</w:t>
                  </w:r>
                </w:p>
              </w:tc>
              <w:tc>
                <w:tcPr>
                  <w:tcW w:w="1122" w:type="dxa"/>
                  <w:shd w:val="clear" w:color="auto" w:fill="auto"/>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二期</w:t>
                  </w:r>
                </w:p>
              </w:tc>
              <w:tc>
                <w:tcPr>
                  <w:tcW w:w="1122" w:type="dxa"/>
                  <w:shd w:val="clear" w:color="auto" w:fill="auto"/>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总体</w:t>
                  </w:r>
                </w:p>
              </w:tc>
              <w:tc>
                <w:tcPr>
                  <w:tcW w:w="2582" w:type="dxa"/>
                  <w:vMerge w:val="continue"/>
                  <w:shd w:val="clear" w:color="auto" w:fill="auto"/>
                  <w:vAlign w:val="center"/>
                </w:tcPr>
                <w:p>
                  <w:pPr>
                    <w:spacing w:line="240" w:lineRule="auto"/>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94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废轮胎</w:t>
                  </w:r>
                </w:p>
              </w:tc>
              <w:tc>
                <w:tcPr>
                  <w:tcW w:w="68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1253"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30000</w:t>
                  </w:r>
                  <w:r>
                    <w:rPr>
                      <w:rFonts w:hint="eastAsia"/>
                      <w:color w:val="000000" w:themeColor="text1"/>
                      <w14:textFill>
                        <w14:solidFill>
                          <w14:schemeClr w14:val="tx1"/>
                        </w14:solidFill>
                      </w14:textFill>
                    </w:rPr>
                    <w:t>t</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60000</w:t>
                  </w:r>
                  <w:r>
                    <w:rPr>
                      <w:rFonts w:hint="eastAsia"/>
                      <w:color w:val="000000" w:themeColor="text1"/>
                      <w14:textFill>
                        <w14:solidFill>
                          <w14:schemeClr w14:val="tx1"/>
                        </w14:solidFill>
                      </w14:textFill>
                    </w:rPr>
                    <w:t>t</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90000</w:t>
                  </w:r>
                  <w:r>
                    <w:rPr>
                      <w:rFonts w:hint="eastAsia"/>
                      <w:color w:val="000000" w:themeColor="text1"/>
                      <w14:textFill>
                        <w14:solidFill>
                          <w14:schemeClr w14:val="tx1"/>
                        </w14:solidFill>
                      </w14:textFill>
                    </w:rPr>
                    <w:t>t</w:t>
                  </w:r>
                </w:p>
              </w:tc>
              <w:tc>
                <w:tcPr>
                  <w:tcW w:w="2582"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外购于轮胎回收公司，清理干净的轮胎，散装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7"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94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润滑油</w:t>
                  </w:r>
                </w:p>
              </w:tc>
              <w:tc>
                <w:tcPr>
                  <w:tcW w:w="68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c>
                <w:tcPr>
                  <w:tcW w:w="1253"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t</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t</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t</w:t>
                  </w:r>
                </w:p>
              </w:tc>
              <w:tc>
                <w:tcPr>
                  <w:tcW w:w="2582"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kg</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桶，最大储存量0</w:t>
                  </w:r>
                  <w:r>
                    <w:rPr>
                      <w:color w:val="000000" w:themeColor="text1"/>
                      <w14:textFill>
                        <w14:solidFill>
                          <w14:schemeClr w14:val="tx1"/>
                        </w14:solidFill>
                      </w14:textFill>
                    </w:rPr>
                    <w:t>.045</w:t>
                  </w:r>
                  <w:r>
                    <w:rPr>
                      <w:rFonts w:hint="eastAsia"/>
                      <w:color w:val="000000" w:themeColor="text1"/>
                      <w14:textFill>
                        <w14:solidFill>
                          <w14:schemeClr w14:val="tx1"/>
                        </w14:solidFill>
                      </w14:textFill>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94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片碱</w:t>
                  </w:r>
                </w:p>
              </w:tc>
              <w:tc>
                <w:tcPr>
                  <w:tcW w:w="68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1253"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9.41</w:t>
                  </w:r>
                  <w:r>
                    <w:rPr>
                      <w:rFonts w:hint="eastAsia"/>
                      <w:color w:val="000000" w:themeColor="text1"/>
                      <w14:textFill>
                        <w14:solidFill>
                          <w14:schemeClr w14:val="tx1"/>
                        </w14:solidFill>
                      </w14:textFill>
                    </w:rPr>
                    <w:t>t</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18.83</w:t>
                  </w:r>
                  <w:r>
                    <w:rPr>
                      <w:rFonts w:hint="eastAsia"/>
                      <w:color w:val="000000" w:themeColor="text1"/>
                      <w14:textFill>
                        <w14:solidFill>
                          <w14:schemeClr w14:val="tx1"/>
                        </w14:solidFill>
                      </w14:textFill>
                    </w:rPr>
                    <w:t>t</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28.24</w:t>
                  </w:r>
                  <w:r>
                    <w:rPr>
                      <w:rFonts w:hint="eastAsia"/>
                      <w:color w:val="000000" w:themeColor="text1"/>
                      <w14:textFill>
                        <w14:solidFill>
                          <w14:schemeClr w14:val="tx1"/>
                        </w14:solidFill>
                      </w14:textFill>
                    </w:rPr>
                    <w:t>t</w:t>
                  </w:r>
                </w:p>
              </w:tc>
              <w:tc>
                <w:tcPr>
                  <w:tcW w:w="2582"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外购，2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kg</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94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氨水</w:t>
                  </w:r>
                </w:p>
              </w:tc>
              <w:tc>
                <w:tcPr>
                  <w:tcW w:w="68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c>
                <w:tcPr>
                  <w:tcW w:w="1253"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8.2</w:t>
                  </w:r>
                  <w:r>
                    <w:rPr>
                      <w:rFonts w:hint="eastAsia"/>
                      <w:color w:val="000000" w:themeColor="text1"/>
                      <w14:textFill>
                        <w14:solidFill>
                          <w14:schemeClr w14:val="tx1"/>
                        </w14:solidFill>
                      </w14:textFill>
                    </w:rPr>
                    <w:t>t</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16.3</w:t>
                  </w:r>
                  <w:r>
                    <w:rPr>
                      <w:rFonts w:hint="eastAsia"/>
                      <w:color w:val="000000" w:themeColor="text1"/>
                      <w14:textFill>
                        <w14:solidFill>
                          <w14:schemeClr w14:val="tx1"/>
                        </w14:solidFill>
                      </w14:textFill>
                    </w:rPr>
                    <w:t>t</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24.5</w:t>
                  </w:r>
                  <w:r>
                    <w:rPr>
                      <w:rFonts w:hint="eastAsia"/>
                      <w:color w:val="000000" w:themeColor="text1"/>
                      <w14:textFill>
                        <w14:solidFill>
                          <w14:schemeClr w14:val="tx1"/>
                        </w14:solidFill>
                      </w14:textFill>
                    </w:rPr>
                    <w:t>t</w:t>
                  </w:r>
                </w:p>
              </w:tc>
              <w:tc>
                <w:tcPr>
                  <w:tcW w:w="2582"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外购，</w:t>
                  </w:r>
                  <w:r>
                    <w:rPr>
                      <w:color w:val="000000" w:themeColor="text1"/>
                      <w14:textFill>
                        <w14:solidFill>
                          <w14:schemeClr w14:val="tx1"/>
                        </w14:solidFill>
                      </w14:textFill>
                    </w:rPr>
                    <w:t>18</w:t>
                  </w:r>
                  <w:r>
                    <w:rPr>
                      <w:rFonts w:hint="eastAsia"/>
                      <w:color w:val="000000" w:themeColor="text1"/>
                      <w14:textFill>
                        <w14:solidFill>
                          <w14:schemeClr w14:val="tx1"/>
                        </w14:solidFill>
                      </w14:textFill>
                    </w:rPr>
                    <w:t>%浓度，储罐最大储存量0</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0.4645</w:t>
                  </w:r>
                  <w:r>
                    <w:rPr>
                      <w:rFonts w:hint="eastAsia"/>
                      <w:color w:val="000000" w:themeColor="text1"/>
                      <w14:textFill>
                        <w14:solidFill>
                          <w14:schemeClr w14:val="tx1"/>
                        </w14:solidFill>
                      </w14:textFill>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94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不凝气</w:t>
                  </w:r>
                </w:p>
              </w:tc>
              <w:tc>
                <w:tcPr>
                  <w:tcW w:w="68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气态</w:t>
                  </w:r>
                </w:p>
              </w:tc>
              <w:tc>
                <w:tcPr>
                  <w:tcW w:w="1253"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400</w:t>
                  </w:r>
                  <w:r>
                    <w:rPr>
                      <w:rFonts w:hint="eastAsia"/>
                      <w:color w:val="000000" w:themeColor="text1"/>
                      <w14:textFill>
                        <w14:solidFill>
                          <w14:schemeClr w14:val="tx1"/>
                        </w14:solidFill>
                      </w14:textFill>
                    </w:rPr>
                    <w:t>t</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800</w:t>
                  </w:r>
                  <w:r>
                    <w:rPr>
                      <w:rFonts w:hint="eastAsia"/>
                      <w:color w:val="000000" w:themeColor="text1"/>
                      <w14:textFill>
                        <w14:solidFill>
                          <w14:schemeClr w14:val="tx1"/>
                        </w14:solidFill>
                      </w14:textFill>
                    </w:rPr>
                    <w:t>t</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200</w:t>
                  </w:r>
                  <w:r>
                    <w:rPr>
                      <w:rFonts w:hint="eastAsia"/>
                      <w:color w:val="000000" w:themeColor="text1"/>
                      <w14:textFill>
                        <w14:solidFill>
                          <w14:schemeClr w14:val="tx1"/>
                        </w14:solidFill>
                      </w14:textFill>
                    </w:rPr>
                    <w:t>t</w:t>
                  </w:r>
                </w:p>
              </w:tc>
              <w:tc>
                <w:tcPr>
                  <w:tcW w:w="2582"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裂解不凝气回收供热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4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氮气</w:t>
                  </w:r>
                </w:p>
              </w:tc>
              <w:tc>
                <w:tcPr>
                  <w:tcW w:w="68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气态</w:t>
                  </w:r>
                </w:p>
              </w:tc>
              <w:tc>
                <w:tcPr>
                  <w:tcW w:w="1253"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472</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416</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888</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c>
                <w:tcPr>
                  <w:tcW w:w="2582"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外购，工作压力0</w:t>
                  </w:r>
                  <w:r>
                    <w:rPr>
                      <w:color w:val="000000" w:themeColor="text1"/>
                      <w14:textFill>
                        <w14:solidFill>
                          <w14:schemeClr w14:val="tx1"/>
                        </w14:solidFill>
                      </w14:textFill>
                    </w:rPr>
                    <w:t>.8MP</w:t>
                  </w:r>
                  <w:r>
                    <w:rPr>
                      <w:rFonts w:hint="eastAsia"/>
                      <w:color w:val="000000" w:themeColor="text1"/>
                      <w14:textFill>
                        <w14:solidFill>
                          <w14:schemeClr w14:val="tx1"/>
                        </w14:solidFill>
                      </w14:textFill>
                    </w:rPr>
                    <w:t>a，</w:t>
                  </w:r>
                  <w:r>
                    <w:rPr>
                      <w:color w:val="000000" w:themeColor="text1"/>
                      <w14:textFill>
                        <w14:solidFill>
                          <w14:schemeClr w14:val="tx1"/>
                        </w14:solidFill>
                      </w14:textFill>
                    </w:rPr>
                    <w:t>0.5</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7</w:t>
                  </w:r>
                </w:p>
              </w:tc>
              <w:tc>
                <w:tcPr>
                  <w:tcW w:w="94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tc>
              <w:tc>
                <w:tcPr>
                  <w:tcW w:w="68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53"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15578</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25216</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40794</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c>
                <w:tcPr>
                  <w:tcW w:w="2582"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8</w:t>
                  </w:r>
                </w:p>
              </w:tc>
              <w:tc>
                <w:tcPr>
                  <w:tcW w:w="94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电</w:t>
                  </w:r>
                </w:p>
              </w:tc>
              <w:tc>
                <w:tcPr>
                  <w:tcW w:w="68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53"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1457.48</w:t>
                  </w:r>
                  <w:r>
                    <w:rPr>
                      <w:rFonts w:hint="eastAsia"/>
                      <w:color w:val="000000" w:themeColor="text1"/>
                      <w14:textFill>
                        <w14:solidFill>
                          <w14:schemeClr w14:val="tx1"/>
                        </w14:solidFill>
                      </w14:textFill>
                    </w:rPr>
                    <w:t>万度</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728.75</w:t>
                  </w:r>
                  <w:r>
                    <w:rPr>
                      <w:rFonts w:hint="eastAsia"/>
                      <w:color w:val="000000" w:themeColor="text1"/>
                      <w14:textFill>
                        <w14:solidFill>
                          <w14:schemeClr w14:val="tx1"/>
                        </w14:solidFill>
                      </w14:textFill>
                    </w:rPr>
                    <w:t>万度</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2186.23</w:t>
                  </w:r>
                  <w:r>
                    <w:rPr>
                      <w:rFonts w:hint="eastAsia"/>
                      <w:color w:val="000000" w:themeColor="text1"/>
                      <w14:textFill>
                        <w14:solidFill>
                          <w14:schemeClr w14:val="tx1"/>
                        </w14:solidFill>
                      </w14:textFill>
                    </w:rPr>
                    <w:t>万度</w:t>
                  </w:r>
                </w:p>
              </w:tc>
              <w:tc>
                <w:tcPr>
                  <w:tcW w:w="2582"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双桥经开区供电所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94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天然气</w:t>
                  </w:r>
                </w:p>
              </w:tc>
              <w:tc>
                <w:tcPr>
                  <w:tcW w:w="688"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53"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2万m</w:t>
                  </w:r>
                  <w:r>
                    <w:rPr>
                      <w:color w:val="000000" w:themeColor="text1"/>
                      <w:vertAlign w:val="superscript"/>
                      <w14:textFill>
                        <w14:solidFill>
                          <w14:schemeClr w14:val="tx1"/>
                        </w14:solidFill>
                      </w14:textFill>
                    </w:rPr>
                    <w:t>3</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万m</w:t>
                  </w:r>
                  <w:r>
                    <w:rPr>
                      <w:color w:val="000000" w:themeColor="text1"/>
                      <w:vertAlign w:val="superscript"/>
                      <w14:textFill>
                        <w14:solidFill>
                          <w14:schemeClr w14:val="tx1"/>
                        </w14:solidFill>
                      </w14:textFill>
                    </w:rPr>
                    <w:t>3</w:t>
                  </w:r>
                </w:p>
              </w:tc>
              <w:tc>
                <w:tcPr>
                  <w:tcW w:w="1122" w:type="dxa"/>
                  <w:shd w:val="clear" w:color="auto" w:fill="auto"/>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万m</w:t>
                  </w:r>
                  <w:r>
                    <w:rPr>
                      <w:color w:val="000000" w:themeColor="text1"/>
                      <w:vertAlign w:val="superscript"/>
                      <w14:textFill>
                        <w14:solidFill>
                          <w14:schemeClr w14:val="tx1"/>
                        </w14:solidFill>
                      </w14:textFill>
                    </w:rPr>
                    <w:t>3</w:t>
                  </w:r>
                </w:p>
              </w:tc>
              <w:tc>
                <w:tcPr>
                  <w:tcW w:w="2582" w:type="dxa"/>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市政天然气管网</w:t>
                  </w:r>
                </w:p>
              </w:tc>
            </w:tr>
          </w:tbl>
          <w:p>
            <w:pPr>
              <w:adjustRightInd w:val="0"/>
              <w:snapToGrid w:val="0"/>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（1）轮胎组成介绍：</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一般汽车轮胎结构包括：胎体、带束层、胎面、冠带层、气密层、三角胶条和胎圈。废轮胎的主要化学成分为天然橡胶（</w:t>
            </w: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H</w:t>
            </w:r>
            <w:r>
              <w:rPr>
                <w:color w:val="000000" w:themeColor="text1"/>
                <w:sz w:val="24"/>
                <w:vertAlign w:val="subscript"/>
                <w14:textFill>
                  <w14:solidFill>
                    <w14:schemeClr w14:val="tx1"/>
                  </w14:solidFill>
                </w14:textFill>
              </w:rPr>
              <w:t>8</w:t>
            </w:r>
            <w:r>
              <w:rPr>
                <w:rFonts w:hint="eastAsia"/>
                <w:color w:val="000000" w:themeColor="text1"/>
                <w:sz w:val="24"/>
                <w14:textFill>
                  <w14:solidFill>
                    <w14:schemeClr w14:val="tx1"/>
                  </w14:solidFill>
                </w14:textFill>
              </w:rPr>
              <w:t>）n、丁苯橡胶（</w:t>
            </w: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12</w:t>
            </w:r>
            <w:r>
              <w:rPr>
                <w:color w:val="000000" w:themeColor="text1"/>
                <w:sz w:val="24"/>
                <w14:textFill>
                  <w14:solidFill>
                    <w14:schemeClr w14:val="tx1"/>
                  </w14:solidFill>
                </w14:textFill>
              </w:rPr>
              <w:t>H</w:t>
            </w:r>
            <w:r>
              <w:rPr>
                <w:color w:val="000000" w:themeColor="text1"/>
                <w:sz w:val="24"/>
                <w:vertAlign w:val="subscript"/>
                <w14:textFill>
                  <w14:solidFill>
                    <w14:schemeClr w14:val="tx1"/>
                  </w14:solidFill>
                </w14:textFill>
              </w:rPr>
              <w:t>14</w:t>
            </w:r>
            <w:r>
              <w:rPr>
                <w:rFonts w:hint="eastAsia"/>
                <w:color w:val="000000" w:themeColor="text1"/>
                <w:sz w:val="24"/>
                <w14:textFill>
                  <w14:solidFill>
                    <w14:schemeClr w14:val="tx1"/>
                  </w14:solidFill>
                </w14:textFill>
              </w:rPr>
              <w:t>）、顺丁橡胶（低分子聚丁二烯）、丁基橡胶以及炭黑，除此之外，还含有硫磺、石蜡、玻璃纤维、尼龙、人造纤维、锌氧化物、钢丝、硬脂酸以及各种硫化剂、促进剂、防老剂和增塑剂等添加剂。</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轮胎各组成结构及组成成分见表2</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w:t>
            </w:r>
          </w:p>
          <w:p>
            <w:pPr>
              <w:pStyle w:val="221"/>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轮胎各组成结构及组成成分一览表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4117"/>
              <w:gridCol w:w="2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shd w:val="clear" w:color="auto" w:fill="auto"/>
                  <w:vAlign w:val="center"/>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轮胎组成结构</w:t>
                  </w:r>
                </w:p>
              </w:tc>
              <w:tc>
                <w:tcPr>
                  <w:tcW w:w="4117" w:type="dxa"/>
                  <w:shd w:val="clear" w:color="auto" w:fill="auto"/>
                  <w:vAlign w:val="center"/>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功能</w:t>
                  </w:r>
                </w:p>
              </w:tc>
              <w:tc>
                <w:tcPr>
                  <w:tcW w:w="2733" w:type="dxa"/>
                  <w:shd w:val="clear" w:color="auto" w:fill="auto"/>
                  <w:vAlign w:val="center"/>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组成成分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胎体</w:t>
                  </w:r>
                </w:p>
              </w:tc>
              <w:tc>
                <w:tcPr>
                  <w:tcW w:w="4117"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轮胎的主要受力部件，耐冲击并且行驶中具有良好的耐屈绕性。</w:t>
                  </w:r>
                </w:p>
              </w:tc>
              <w:tc>
                <w:tcPr>
                  <w:tcW w:w="2733"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天然橡胶、丁苯橡胶、顺丁橡胶、炭黑等（部分轮胎中顺丁橡胶与氯丁橡胶并用，用于提高耐低温性能）。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带束层（覆盖层、缓冲胶带）</w:t>
                  </w:r>
                </w:p>
              </w:tc>
              <w:tc>
                <w:tcPr>
                  <w:tcW w:w="4117"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胎面与胎体之间的钢丝帘布，保护胎体，抑制胎面变形，维持胎面的接地面，提高耐磨性及行驶稳定性。</w:t>
                  </w:r>
                </w:p>
              </w:tc>
              <w:tc>
                <w:tcPr>
                  <w:tcW w:w="2733"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钢丝、纤维等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胎面</w:t>
                  </w:r>
                </w:p>
              </w:tc>
              <w:tc>
                <w:tcPr>
                  <w:tcW w:w="4117"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轮胎与路面接触的部分，通过摩擦使汽车具有驱动、制动等性能。</w:t>
                  </w:r>
                </w:p>
              </w:tc>
              <w:tc>
                <w:tcPr>
                  <w:tcW w:w="2733"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天然橡胶、丁苯橡胶、顺丁橡胶、炭黑等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冠带层</w:t>
                  </w:r>
                </w:p>
              </w:tc>
              <w:tc>
                <w:tcPr>
                  <w:tcW w:w="4117"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带束层上方的特殊帘布层，轮胎行驶中，抑制带束层移动，防止高速行驶时带束层的脱离，保持高速状态下轮胎尺寸的稳定性。</w:t>
                  </w:r>
                </w:p>
              </w:tc>
              <w:tc>
                <w:tcPr>
                  <w:tcW w:w="2733"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天然橡胶、丁苯橡胶、顺丁橡胶、纤维等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气密层</w:t>
                  </w:r>
                </w:p>
              </w:tc>
              <w:tc>
                <w:tcPr>
                  <w:tcW w:w="4117"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无内胎轮胎为了保证密封性，在轮胎内壁附加上一层约为2~</w:t>
                  </w: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mm的橡胶密封层，在密封层正对着胎面下面还贴有一层自粘层，在轮胎空气压力的作用下，保证轮胎与轮辋之间的气密性。</w:t>
                  </w:r>
                </w:p>
              </w:tc>
              <w:tc>
                <w:tcPr>
                  <w:tcW w:w="2733"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通常用氯化丁基橡胶或淳化丁基橡胶制成。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三角胶条</w:t>
                  </w:r>
                </w:p>
              </w:tc>
              <w:tc>
                <w:tcPr>
                  <w:tcW w:w="4117"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轮胎中钢丝圈上面的填充材料，防止胎圈分离，减缓胎圈冲击，保护胎圈，防止成形时空气进入。</w:t>
                  </w:r>
                </w:p>
              </w:tc>
              <w:tc>
                <w:tcPr>
                  <w:tcW w:w="2733"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天然橡胶、丁苯橡胶、顺丁橡胶等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胎圈</w:t>
                  </w:r>
                </w:p>
              </w:tc>
              <w:tc>
                <w:tcPr>
                  <w:tcW w:w="4117" w:type="dxa"/>
                  <w:shd w:val="clear" w:color="auto" w:fill="auto"/>
                  <w:vAlign w:val="center"/>
                </w:tcPr>
                <w:p>
                  <w:pPr>
                    <w:pStyle w:val="2"/>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挂胶钢丝按照一定形状缠绕而成，起到将轮胎装上轮辋固定轮胎的作用。</w:t>
                  </w:r>
                </w:p>
              </w:tc>
              <w:tc>
                <w:tcPr>
                  <w:tcW w:w="2733" w:type="dxa"/>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天然橡胶、丁苯橡胶、顺丁</w:t>
                  </w:r>
                  <w:r>
                    <w:rPr>
                      <w:rFonts w:hint="eastAsia"/>
                      <w:color w:val="000000" w:themeColor="text1"/>
                      <w:sz w:val="21"/>
                      <w:szCs w:val="21"/>
                      <w:lang w:eastAsia="zh-CN"/>
                      <w14:textFill>
                        <w14:solidFill>
                          <w14:schemeClr w14:val="tx1"/>
                        </w14:solidFill>
                      </w14:textFill>
                    </w:rPr>
                    <w:t>橡胶</w:t>
                  </w:r>
                  <w:r>
                    <w:rPr>
                      <w:rFonts w:hint="eastAsia"/>
                      <w:color w:val="000000" w:themeColor="text1"/>
                      <w:sz w:val="21"/>
                      <w:szCs w:val="21"/>
                      <w14:textFill>
                        <w14:solidFill>
                          <w14:schemeClr w14:val="tx1"/>
                        </w14:solidFill>
                      </w14:textFill>
                    </w:rPr>
                    <w:t>、钢丝等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9" w:type="dxa"/>
                  <w:gridSpan w:val="3"/>
                  <w:shd w:val="clear" w:color="auto" w:fill="auto"/>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0" distR="0">
                        <wp:extent cx="3959860" cy="2200275"/>
                        <wp:effectExtent l="0" t="0" r="2540" b="0"/>
                        <wp:docPr id="1" name="图片 1" descr="23391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339109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70673" cy="2206038"/>
                                </a:xfrm>
                                <a:prstGeom prst="rect">
                                  <a:avLst/>
                                </a:prstGeom>
                                <a:noFill/>
                                <a:ln>
                                  <a:noFill/>
                                </a:ln>
                              </pic:spPr>
                            </pic:pic>
                          </a:graphicData>
                        </a:graphic>
                      </wp:inline>
                    </w:drawing>
                  </w:r>
                </w:p>
                <w:p>
                  <w:pPr>
                    <w:pStyle w:val="3"/>
                    <w:numPr>
                      <w:ilvl w:val="0"/>
                      <w:numId w:val="0"/>
                    </w:numPr>
                    <w:spacing w:line="240" w:lineRule="auto"/>
                    <w:jc w:val="center"/>
                    <w:rPr>
                      <w:b/>
                      <w:color w:val="000000" w:themeColor="text1"/>
                      <w14:textFill>
                        <w14:solidFill>
                          <w14:schemeClr w14:val="tx1"/>
                        </w14:solidFill>
                      </w14:textFill>
                    </w:rPr>
                  </w:pPr>
                  <w:r>
                    <w:rPr>
                      <w:rFonts w:hint="eastAsia"/>
                      <w:b/>
                      <w:color w:val="000000" w:themeColor="text1"/>
                      <w:szCs w:val="21"/>
                      <w14:textFill>
                        <w14:solidFill>
                          <w14:schemeClr w14:val="tx1"/>
                        </w14:solidFill>
                      </w14:textFill>
                    </w:rPr>
                    <w:t>轮胎结构图</w:t>
                  </w:r>
                </w:p>
              </w:tc>
            </w:tr>
          </w:tbl>
          <w:p>
            <w:pPr>
              <w:adjustRightInd w:val="0"/>
              <w:snapToGrid w:val="0"/>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（2）轮胎原料成分：</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FF0000"/>
                <w:sz w:val="24"/>
              </w:rPr>
              <w:t>本项目所回收的废旧轮胎，主要以货车（卡车）轮胎为主，预计占比</w:t>
            </w:r>
            <w:r>
              <w:rPr>
                <w:color w:val="FF0000"/>
                <w:sz w:val="24"/>
              </w:rPr>
              <w:t>40</w:t>
            </w:r>
            <w:r>
              <w:rPr>
                <w:rFonts w:hint="eastAsia"/>
                <w:color w:val="FF0000"/>
                <w:sz w:val="24"/>
              </w:rPr>
              <w:t>%；其他为轿车轮胎，占比</w:t>
            </w:r>
            <w:r>
              <w:rPr>
                <w:color w:val="FF0000"/>
                <w:sz w:val="24"/>
              </w:rPr>
              <w:t>60</w:t>
            </w:r>
            <w:r>
              <w:rPr>
                <w:rFonts w:hint="eastAsia"/>
                <w:color w:val="FF0000"/>
                <w:sz w:val="24"/>
              </w:rPr>
              <w:t>%</w:t>
            </w:r>
            <w:r>
              <w:rPr>
                <w:rFonts w:hint="eastAsia"/>
                <w:color w:val="000000" w:themeColor="text1"/>
                <w:sz w:val="24"/>
                <w14:textFill>
                  <w14:solidFill>
                    <w14:schemeClr w14:val="tx1"/>
                  </w14:solidFill>
                </w14:textFill>
              </w:rPr>
              <w:t>。废旧轮胎主要来源于以大足区及重庆其他区县。</w:t>
            </w:r>
          </w:p>
          <w:p>
            <w:pPr>
              <w:pStyle w:val="223"/>
              <w:autoSpaceDE w:val="0"/>
              <w:autoSpaceDN w:val="0"/>
              <w:spacing w:line="360" w:lineRule="auto"/>
              <w:ind w:firstLine="496" w:firstLineChars="200"/>
              <w:textAlignment w:val="baseline"/>
              <w:rPr>
                <w:color w:val="FF0000"/>
                <w:sz w:val="24"/>
              </w:rPr>
            </w:pPr>
            <w:r>
              <w:rPr>
                <w:rFonts w:hint="eastAsia"/>
                <w:color w:val="FF0000"/>
                <w:sz w:val="24"/>
              </w:rPr>
              <w:t>根据《废旧轮胎回收利用对策》（广东环境科学学报，广东省废物管理中心、环保部华南环科所，2</w:t>
            </w:r>
            <w:r>
              <w:rPr>
                <w:color w:val="FF0000"/>
                <w:sz w:val="24"/>
              </w:rPr>
              <w:t>009</w:t>
            </w:r>
            <w:r>
              <w:rPr>
                <w:rFonts w:hint="eastAsia"/>
                <w:color w:val="FF0000"/>
                <w:sz w:val="24"/>
              </w:rPr>
              <w:t>年1</w:t>
            </w:r>
            <w:r>
              <w:rPr>
                <w:color w:val="FF0000"/>
                <w:sz w:val="24"/>
              </w:rPr>
              <w:t>2</w:t>
            </w:r>
            <w:r>
              <w:rPr>
                <w:rFonts w:hint="eastAsia"/>
                <w:color w:val="FF0000"/>
                <w:sz w:val="24"/>
              </w:rPr>
              <w:t>月），去除钢丝后，轮胎的发热值可达3</w:t>
            </w:r>
            <w:r>
              <w:rPr>
                <w:color w:val="FF0000"/>
                <w:sz w:val="24"/>
              </w:rPr>
              <w:t>1.6kJ/</w:t>
            </w:r>
            <w:r>
              <w:rPr>
                <w:rFonts w:hint="eastAsia"/>
                <w:color w:val="FF0000"/>
                <w:sz w:val="24"/>
              </w:rPr>
              <w:t>g以上（其中轿车3</w:t>
            </w:r>
            <w:r>
              <w:rPr>
                <w:color w:val="FF0000"/>
                <w:sz w:val="24"/>
              </w:rPr>
              <w:t>2.8kJ/g</w:t>
            </w:r>
            <w:r>
              <w:rPr>
                <w:rFonts w:hint="eastAsia"/>
                <w:color w:val="FF0000"/>
                <w:sz w:val="24"/>
              </w:rPr>
              <w:t>，卡车3</w:t>
            </w:r>
            <w:r>
              <w:rPr>
                <w:color w:val="FF0000"/>
                <w:sz w:val="24"/>
              </w:rPr>
              <w:t>1.6kJ/</w:t>
            </w:r>
            <w:r>
              <w:rPr>
                <w:rFonts w:hint="eastAsia"/>
                <w:color w:val="FF0000"/>
                <w:sz w:val="24"/>
              </w:rPr>
              <w:t>g）。轿车和卡车轮胎的化学元素组成及组分构成见下表。</w:t>
            </w:r>
          </w:p>
          <w:p>
            <w:pPr>
              <w:pStyle w:val="223"/>
              <w:autoSpaceDE w:val="0"/>
              <w:autoSpaceDN w:val="0"/>
              <w:spacing w:line="240" w:lineRule="auto"/>
              <w:ind w:firstLine="0"/>
              <w:jc w:val="center"/>
              <w:textAlignment w:val="baseline"/>
              <w:rPr>
                <w:b/>
                <w:color w:val="FF0000"/>
                <w:sz w:val="24"/>
              </w:rPr>
            </w:pPr>
            <w:r>
              <w:rPr>
                <w:rFonts w:hint="eastAsia"/>
                <w:b/>
                <w:color w:val="FF0000"/>
                <w:sz w:val="24"/>
              </w:rPr>
              <w:t>表2</w:t>
            </w:r>
            <w:r>
              <w:rPr>
                <w:b/>
                <w:color w:val="FF0000"/>
                <w:sz w:val="24"/>
              </w:rPr>
              <w:t>.5</w:t>
            </w:r>
            <w:r>
              <w:rPr>
                <w:rFonts w:hint="eastAsia"/>
                <w:b/>
                <w:color w:val="FF0000"/>
                <w:sz w:val="24"/>
              </w:rPr>
              <w:t>-</w:t>
            </w:r>
            <w:r>
              <w:rPr>
                <w:b/>
                <w:color w:val="FF0000"/>
                <w:sz w:val="24"/>
              </w:rPr>
              <w:t xml:space="preserve">3  </w:t>
            </w:r>
            <w:r>
              <w:rPr>
                <w:rFonts w:hint="eastAsia"/>
                <w:b/>
                <w:color w:val="FF0000"/>
                <w:sz w:val="24"/>
              </w:rPr>
              <w:t>废轮胎橡胶的化学元素组成及组成构成表</w:t>
            </w:r>
          </w:p>
          <w:p>
            <w:pPr>
              <w:pStyle w:val="72"/>
              <w:spacing w:line="240" w:lineRule="auto"/>
              <w:ind w:firstLine="0" w:firstLineChars="0"/>
              <w:jc w:val="center"/>
              <w:rPr>
                <w:color w:val="000000" w:themeColor="text1"/>
                <w14:textFill>
                  <w14:solidFill>
                    <w14:schemeClr w14:val="tx1"/>
                  </w14:solidFill>
                </w14:textFill>
              </w:rPr>
            </w:pPr>
            <w:r>
              <w:drawing>
                <wp:inline distT="0" distB="0" distL="0" distR="0">
                  <wp:extent cx="5012055" cy="1206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rcRect t="11971"/>
                          <a:stretch>
                            <a:fillRect/>
                          </a:stretch>
                        </pic:blipFill>
                        <pic:spPr>
                          <a:xfrm>
                            <a:off x="0" y="0"/>
                            <a:ext cx="5028989" cy="1210854"/>
                          </a:xfrm>
                          <a:prstGeom prst="rect">
                            <a:avLst/>
                          </a:prstGeom>
                          <a:ln>
                            <a:noFill/>
                          </a:ln>
                        </pic:spPr>
                      </pic:pic>
                    </a:graphicData>
                  </a:graphic>
                </wp:inline>
              </w:drawing>
            </w:r>
          </w:p>
          <w:p>
            <w:pPr>
              <w:pStyle w:val="72"/>
              <w:ind w:firstLine="480"/>
              <w:rPr>
                <w:color w:val="FF0000"/>
              </w:rPr>
            </w:pPr>
            <w:r>
              <w:rPr>
                <w:rFonts w:hint="eastAsia"/>
                <w:color w:val="FF0000"/>
              </w:rPr>
              <w:t>由此可知，轿车、卡车轮胎中的元素大体一致，轿车轮胎硫含量在1</w:t>
            </w:r>
            <w:r>
              <w:rPr>
                <w:color w:val="FF0000"/>
              </w:rPr>
              <w:t>.64</w:t>
            </w:r>
            <w:r>
              <w:rPr>
                <w:rFonts w:hint="eastAsia"/>
                <w:color w:val="FF0000"/>
              </w:rPr>
              <w:t>~</w:t>
            </w:r>
            <w:r>
              <w:rPr>
                <w:color w:val="FF0000"/>
              </w:rPr>
              <w:t>1.7</w:t>
            </w:r>
            <w:r>
              <w:rPr>
                <w:rFonts w:hint="eastAsia"/>
                <w:color w:val="FF0000"/>
              </w:rPr>
              <w:t>%（本次评价取保守取较大值1</w:t>
            </w:r>
            <w:r>
              <w:rPr>
                <w:color w:val="FF0000"/>
              </w:rPr>
              <w:t>.7</w:t>
            </w:r>
            <w:r>
              <w:rPr>
                <w:rFonts w:hint="eastAsia"/>
                <w:color w:val="FF0000"/>
              </w:rPr>
              <w:t>%），卡车轮胎硫含量1</w:t>
            </w:r>
            <w:r>
              <w:rPr>
                <w:color w:val="FF0000"/>
              </w:rPr>
              <w:t>.52</w:t>
            </w:r>
            <w:r>
              <w:rPr>
                <w:rFonts w:hint="eastAsia"/>
                <w:color w:val="FF0000"/>
              </w:rPr>
              <w:t>%。本项目回收的轮胎中卡车轮胎占比</w:t>
            </w:r>
            <w:r>
              <w:rPr>
                <w:color w:val="FF0000"/>
              </w:rPr>
              <w:t>40</w:t>
            </w:r>
            <w:r>
              <w:rPr>
                <w:rFonts w:hint="eastAsia"/>
                <w:color w:val="FF0000"/>
              </w:rPr>
              <w:t>%，轿车轮胎占比</w:t>
            </w:r>
            <w:r>
              <w:rPr>
                <w:color w:val="FF0000"/>
              </w:rPr>
              <w:t>60</w:t>
            </w:r>
            <w:r>
              <w:rPr>
                <w:rFonts w:hint="eastAsia"/>
                <w:color w:val="FF0000"/>
              </w:rPr>
              <w:t>%。因此，本项目回收的轮胎中硫含量在1</w:t>
            </w:r>
            <w:r>
              <w:rPr>
                <w:color w:val="FF0000"/>
              </w:rPr>
              <w:t>.628</w:t>
            </w:r>
            <w:r>
              <w:rPr>
                <w:rFonts w:hint="eastAsia"/>
                <w:color w:val="FF0000"/>
              </w:rPr>
              <w:t>%左右。</w:t>
            </w:r>
          </w:p>
          <w:p>
            <w:pPr>
              <w:pStyle w:val="7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（3）区域废轮胎资源现状及产能与区域资源的适应性分析</w:t>
            </w:r>
          </w:p>
          <w:p>
            <w:pPr>
              <w:pStyle w:val="72"/>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根据</w:t>
            </w:r>
            <w:r>
              <w:rPr>
                <w:rFonts w:hint="eastAsia"/>
                <w:color w:val="000000" w:themeColor="text1"/>
                <w14:textFill>
                  <w14:solidFill>
                    <w14:schemeClr w14:val="tx1"/>
                  </w14:solidFill>
                </w14:textFill>
              </w:rPr>
              <w:t>《重庆市废旧轮胎回收利用现状》（吴强，重庆节能手机报、2022年8月22日），重庆市2020年汽车保有量504.4万辆，载客汽车超过450万辆，载货汽车超过50万辆。按照货车轮胎寿命3~6万公里、客车轮胎寿命6~10万公里计算，重庆市2020年产生超过40万吨废旧轮胎。预计到2030年，重庆市将产生超过60万吨废旧轮胎。目前，</w:t>
            </w:r>
            <w:r>
              <w:rPr>
                <w:rFonts w:hint="eastAsia"/>
                <w:color w:val="000000" w:themeColor="text1"/>
                <w:lang w:eastAsia="zh-CN"/>
                <w14:textFill>
                  <w14:solidFill>
                    <w14:schemeClr w14:val="tx1"/>
                  </w14:solidFill>
                </w14:textFill>
              </w:rPr>
              <w:t>全市</w:t>
            </w:r>
            <w:r>
              <w:rPr>
                <w:rFonts w:hint="eastAsia"/>
                <w:color w:val="000000" w:themeColor="text1"/>
                <w14:textFill>
                  <w14:solidFill>
                    <w14:schemeClr w14:val="tx1"/>
                  </w14:solidFill>
                </w14:textFill>
              </w:rPr>
              <w:t>废轮胎回收综合利用企业主要有：</w:t>
            </w:r>
          </w:p>
          <w:p>
            <w:pPr>
              <w:adjustRightInd w:val="0"/>
              <w:snapToGrid w:val="0"/>
              <w:ind w:firstLine="482"/>
              <w:rPr>
                <w:bCs/>
                <w:color w:val="000000" w:themeColor="text1"/>
                <w:sz w:val="24"/>
                <w:szCs w:val="21"/>
                <w14:textFill>
                  <w14:solidFill>
                    <w14:schemeClr w14:val="tx1"/>
                  </w14:solidFill>
                </w14:textFill>
              </w:rPr>
            </w:pPr>
            <w:r>
              <w:rPr>
                <w:rFonts w:hint="eastAsia"/>
                <w:bCs/>
                <w:color w:val="000000" w:themeColor="text1"/>
                <w:sz w:val="24"/>
                <w:szCs w:val="21"/>
                <w14:textFill>
                  <w14:solidFill>
                    <w14:schemeClr w14:val="tx1"/>
                  </w14:solidFill>
                </w14:textFill>
              </w:rPr>
              <w:t>①位于重庆潼南工业园区北区的重庆市潼南区九橡化大环保科技有限公司主要利用废旧轮胎制胶粉，年处理废轮胎规模为5万吨。</w:t>
            </w:r>
          </w:p>
          <w:p>
            <w:pPr>
              <w:adjustRightInd w:val="0"/>
              <w:snapToGrid w:val="0"/>
              <w:ind w:firstLine="482"/>
              <w:rPr>
                <w:bCs/>
                <w:color w:val="000000" w:themeColor="text1"/>
                <w:sz w:val="24"/>
                <w:szCs w:val="21"/>
                <w14:textFill>
                  <w14:solidFill>
                    <w14:schemeClr w14:val="tx1"/>
                  </w14:solidFill>
                </w14:textFill>
              </w:rPr>
            </w:pPr>
            <w:r>
              <w:rPr>
                <w:rFonts w:hint="eastAsia"/>
                <w:bCs/>
                <w:color w:val="000000" w:themeColor="text1"/>
                <w:sz w:val="24"/>
                <w:szCs w:val="21"/>
                <w14:textFill>
                  <w14:solidFill>
                    <w14:schemeClr w14:val="tx1"/>
                  </w14:solidFill>
                </w14:textFill>
              </w:rPr>
              <w:t>②位于长寿区的重庆九橡化橡胶科技有限责任公司，主要利用废旧轮胎制胶粉，年处理废轮胎规模为</w:t>
            </w:r>
            <w:r>
              <w:rPr>
                <w:bCs/>
                <w:color w:val="000000" w:themeColor="text1"/>
                <w:sz w:val="24"/>
                <w:szCs w:val="21"/>
                <w14:textFill>
                  <w14:solidFill>
                    <w14:schemeClr w14:val="tx1"/>
                  </w14:solidFill>
                </w14:textFill>
              </w:rPr>
              <w:t>5</w:t>
            </w:r>
            <w:r>
              <w:rPr>
                <w:rFonts w:hint="eastAsia"/>
                <w:bCs/>
                <w:color w:val="000000" w:themeColor="text1"/>
                <w:sz w:val="24"/>
                <w:szCs w:val="21"/>
                <w14:textFill>
                  <w14:solidFill>
                    <w14:schemeClr w14:val="tx1"/>
                  </w14:solidFill>
                </w14:textFill>
              </w:rPr>
              <w:t>万吨。</w:t>
            </w:r>
          </w:p>
          <w:p>
            <w:pPr>
              <w:adjustRightInd w:val="0"/>
              <w:snapToGrid w:val="0"/>
              <w:ind w:firstLine="482"/>
              <w:rPr>
                <w:bCs/>
                <w:color w:val="000000" w:themeColor="text1"/>
                <w:sz w:val="24"/>
                <w:szCs w:val="21"/>
                <w14:textFill>
                  <w14:solidFill>
                    <w14:schemeClr w14:val="tx1"/>
                  </w14:solidFill>
                </w14:textFill>
              </w:rPr>
            </w:pPr>
            <w:r>
              <w:rPr>
                <w:rFonts w:hint="eastAsia"/>
                <w:bCs/>
                <w:color w:val="000000" w:themeColor="text1"/>
                <w:sz w:val="24"/>
                <w:szCs w:val="21"/>
                <w14:textFill>
                  <w14:solidFill>
                    <w14:schemeClr w14:val="tx1"/>
                  </w14:solidFill>
                </w14:textFill>
              </w:rPr>
              <w:t>③位于璧山区的重庆市聚益橡胶制品有限公司，主要利用废旧轮胎制胶粉，年处理规模为</w:t>
            </w:r>
            <w:r>
              <w:rPr>
                <w:bCs/>
                <w:color w:val="000000" w:themeColor="text1"/>
                <w:sz w:val="24"/>
                <w:szCs w:val="21"/>
                <w14:textFill>
                  <w14:solidFill>
                    <w14:schemeClr w14:val="tx1"/>
                  </w14:solidFill>
                </w14:textFill>
              </w:rPr>
              <w:t>3</w:t>
            </w:r>
            <w:r>
              <w:rPr>
                <w:rFonts w:hint="eastAsia"/>
                <w:bCs/>
                <w:color w:val="000000" w:themeColor="text1"/>
                <w:sz w:val="24"/>
                <w:szCs w:val="21"/>
                <w14:textFill>
                  <w14:solidFill>
                    <w14:schemeClr w14:val="tx1"/>
                  </w14:solidFill>
                </w14:textFill>
              </w:rPr>
              <w:t>万吨。</w:t>
            </w:r>
          </w:p>
          <w:p>
            <w:pPr>
              <w:adjustRightInd w:val="0"/>
              <w:snapToGrid w:val="0"/>
              <w:ind w:firstLine="482"/>
              <w:rPr>
                <w:bCs/>
                <w:color w:val="000000" w:themeColor="text1"/>
                <w:sz w:val="24"/>
                <w:szCs w:val="21"/>
                <w14:textFill>
                  <w14:solidFill>
                    <w14:schemeClr w14:val="tx1"/>
                  </w14:solidFill>
                </w14:textFill>
              </w:rPr>
            </w:pPr>
            <w:r>
              <w:rPr>
                <w:rFonts w:hint="eastAsia"/>
                <w:bCs/>
                <w:color w:val="000000" w:themeColor="text1"/>
                <w:sz w:val="24"/>
                <w:szCs w:val="21"/>
                <w14:textFill>
                  <w14:solidFill>
                    <w14:schemeClr w14:val="tx1"/>
                  </w14:solidFill>
                </w14:textFill>
              </w:rPr>
              <w:t>④位于大足区的重庆新霆易环保科技有限公司，采用热裂解工艺处理废轮胎，年设计处理规模为1</w:t>
            </w:r>
            <w:r>
              <w:rPr>
                <w:bCs/>
                <w:color w:val="000000" w:themeColor="text1"/>
                <w:sz w:val="24"/>
                <w:szCs w:val="21"/>
                <w14:textFill>
                  <w14:solidFill>
                    <w14:schemeClr w14:val="tx1"/>
                  </w14:solidFill>
                </w14:textFill>
              </w:rPr>
              <w:t>0</w:t>
            </w:r>
            <w:r>
              <w:rPr>
                <w:rFonts w:hint="eastAsia"/>
                <w:bCs/>
                <w:color w:val="000000" w:themeColor="text1"/>
                <w:sz w:val="24"/>
                <w:szCs w:val="21"/>
                <w14:textFill>
                  <w14:solidFill>
                    <w14:schemeClr w14:val="tx1"/>
                  </w14:solidFill>
                </w14:textFill>
              </w:rPr>
              <w:t>万吨（实际处理规模</w:t>
            </w:r>
            <w:r>
              <w:rPr>
                <w:bCs/>
                <w:color w:val="000000" w:themeColor="text1"/>
                <w:sz w:val="24"/>
                <w:szCs w:val="21"/>
                <w14:textFill>
                  <w14:solidFill>
                    <w14:schemeClr w14:val="tx1"/>
                  </w14:solidFill>
                </w14:textFill>
              </w:rPr>
              <w:t>4</w:t>
            </w:r>
            <w:r>
              <w:rPr>
                <w:rFonts w:hint="eastAsia"/>
                <w:bCs/>
                <w:color w:val="000000" w:themeColor="text1"/>
                <w:sz w:val="24"/>
                <w:szCs w:val="21"/>
                <w14:textFill>
                  <w14:solidFill>
                    <w14:schemeClr w14:val="tx1"/>
                  </w14:solidFill>
                </w14:textFill>
              </w:rPr>
              <w:t>万吨（一期））。</w:t>
            </w:r>
          </w:p>
          <w:p>
            <w:pPr>
              <w:adjustRightInd w:val="0"/>
              <w:snapToGrid w:val="0"/>
              <w:ind w:firstLine="482"/>
              <w:rPr>
                <w:bCs/>
                <w:color w:val="000000" w:themeColor="text1"/>
                <w:sz w:val="24"/>
                <w:szCs w:val="21"/>
                <w14:textFill>
                  <w14:solidFill>
                    <w14:schemeClr w14:val="tx1"/>
                  </w14:solidFill>
                </w14:textFill>
              </w:rPr>
            </w:pPr>
            <w:r>
              <w:rPr>
                <w:rFonts w:hint="eastAsia"/>
                <w:bCs/>
                <w:color w:val="000000" w:themeColor="text1"/>
                <w:sz w:val="24"/>
                <w:szCs w:val="21"/>
                <w14:textFill>
                  <w14:solidFill>
                    <w14:schemeClr w14:val="tx1"/>
                  </w14:solidFill>
                </w14:textFill>
              </w:rPr>
              <w:t>⑤位于荣昌区的重庆市荣昌区荣祥佳环保科技有限公司，采用热裂解工艺处理废轮胎，年处理规模为</w:t>
            </w:r>
            <w:r>
              <w:rPr>
                <w:bCs/>
                <w:color w:val="000000" w:themeColor="text1"/>
                <w:sz w:val="24"/>
                <w:szCs w:val="21"/>
                <w14:textFill>
                  <w14:solidFill>
                    <w14:schemeClr w14:val="tx1"/>
                  </w14:solidFill>
                </w14:textFill>
              </w:rPr>
              <w:t>3</w:t>
            </w:r>
            <w:r>
              <w:rPr>
                <w:rFonts w:hint="eastAsia"/>
                <w:bCs/>
                <w:color w:val="000000" w:themeColor="text1"/>
                <w:sz w:val="24"/>
                <w:szCs w:val="21"/>
                <w14:textFill>
                  <w14:solidFill>
                    <w14:schemeClr w14:val="tx1"/>
                  </w14:solidFill>
                </w14:textFill>
              </w:rPr>
              <w:t>万吨。</w:t>
            </w:r>
          </w:p>
          <w:p>
            <w:pPr>
              <w:adjustRightInd w:val="0"/>
              <w:snapToGrid w:val="0"/>
              <w:ind w:firstLine="482"/>
              <w:rPr>
                <w:bCs/>
                <w:sz w:val="24"/>
                <w:szCs w:val="21"/>
              </w:rPr>
            </w:pPr>
            <w:r>
              <w:rPr>
                <w:rFonts w:hint="eastAsia"/>
                <w:bCs/>
                <w:sz w:val="24"/>
                <w:szCs w:val="21"/>
              </w:rPr>
              <w:t>⑥位于荣昌区板桥工业园区的重庆市荣昌区聚洪环保科技有限公司采用热裂解工艺处理废轮胎，年处理规模为2万吨。</w:t>
            </w:r>
          </w:p>
          <w:p>
            <w:pPr>
              <w:pStyle w:val="72"/>
              <w:ind w:firstLine="48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⑦位于荣昌区的重庆金曼环保科技有限公司，采用热裂解工艺处理废轮胎，年处理规模为2万吨。</w:t>
            </w:r>
          </w:p>
          <w:p>
            <w:pPr>
              <w:pStyle w:val="72"/>
              <w:ind w:firstLine="480"/>
              <w:rPr>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⑧</w:t>
            </w:r>
            <w:r>
              <w:rPr>
                <w:rFonts w:hint="eastAsia"/>
                <w:bCs/>
                <w:color w:val="000000" w:themeColor="text1"/>
                <w:szCs w:val="21"/>
                <w14:textFill>
                  <w14:solidFill>
                    <w14:schemeClr w14:val="tx1"/>
                  </w14:solidFill>
                </w14:textFill>
              </w:rPr>
              <w:t>位于忠县新生街道果梁村的忠县再生资源集散利用中心项目，主要利用废旧轮胎制胶粉，年处理废轮胎规模为1.5万吨。</w:t>
            </w:r>
          </w:p>
          <w:p>
            <w:pPr>
              <w:pStyle w:val="7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因此，全市已建设的规模化处理废旧轮胎企业总体较少，全市废旧轮胎总处理规模目前共计约</w:t>
            </w:r>
            <w:r>
              <w:rPr>
                <w:color w:val="000000" w:themeColor="text1"/>
                <w14:textFill>
                  <w14:solidFill>
                    <w14:schemeClr w14:val="tx1"/>
                  </w14:solidFill>
                </w14:textFill>
              </w:rPr>
              <w:t>31.5</w:t>
            </w:r>
            <w:r>
              <w:rPr>
                <w:rFonts w:hint="eastAsia"/>
                <w:color w:val="000000" w:themeColor="text1"/>
                <w14:textFill>
                  <w14:solidFill>
                    <w14:schemeClr w14:val="tx1"/>
                  </w14:solidFill>
                </w14:textFill>
              </w:rPr>
              <w:t>万吨，处理率仅达</w:t>
            </w:r>
            <w:r>
              <w:rPr>
                <w:color w:val="000000" w:themeColor="text1"/>
                <w14:textFill>
                  <w14:solidFill>
                    <w14:schemeClr w14:val="tx1"/>
                  </w14:solidFill>
                </w14:textFill>
              </w:rPr>
              <w:t>52.5</w:t>
            </w:r>
            <w:r>
              <w:rPr>
                <w:rFonts w:hint="eastAsia"/>
                <w:color w:val="000000" w:themeColor="text1"/>
                <w14:textFill>
                  <w14:solidFill>
                    <w14:schemeClr w14:val="tx1"/>
                  </w14:solidFill>
                </w14:textFill>
              </w:rPr>
              <w:t>%，处置率不高。</w:t>
            </w:r>
          </w:p>
          <w:p>
            <w:pPr>
              <w:pStyle w:val="7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本项目建设总规模为年加工处理</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万吨废旧轮胎。项目废旧轮胎来源自大足区及重庆其他区县。因此，区域尚有足够的市场资源可满足本项目设计的建设总规模。</w:t>
            </w:r>
          </w:p>
          <w:p>
            <w:pPr>
              <w:pStyle w:val="7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因此，企业的产能设计与区域废轮胎可回收量相适应。同时，故本项目按照总规模9万吨/年的处理能力进行总体设计，并分期建设，总体较合理。</w:t>
            </w:r>
          </w:p>
          <w:p>
            <w:pPr>
              <w:pStyle w:val="72"/>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4</w:t>
            </w:r>
            <w:r>
              <w:rPr>
                <w:rFonts w:hint="eastAsia"/>
                <w:b/>
                <w:color w:val="000000" w:themeColor="text1"/>
                <w14:textFill>
                  <w14:solidFill>
                    <w14:schemeClr w14:val="tx1"/>
                  </w14:solidFill>
                </w14:textFill>
              </w:rPr>
              <w:t>）不凝气成分分析</w:t>
            </w:r>
          </w:p>
          <w:p>
            <w:pPr>
              <w:pStyle w:val="7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本次评价不凝气的主要烃类物质含量通过查阅相关资料确定。其中，H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根据物料平衡核算。根据</w:t>
            </w:r>
            <w:r>
              <w:rPr>
                <w:rFonts w:hint="eastAsia"/>
              </w:rPr>
              <w:t>《</w:t>
            </w:r>
            <w:r>
              <w:rPr>
                <w:rFonts w:hint="eastAsia"/>
                <w:color w:val="000000" w:themeColor="text1"/>
                <w14:textFill>
                  <w14:solidFill>
                    <w14:schemeClr w14:val="tx1"/>
                  </w14:solidFill>
                </w14:textFill>
              </w:rPr>
              <w:t>废轮胎热解过程及产物特性试验研究》（华中科技大学，戴贤明，2</w:t>
            </w:r>
            <w:r>
              <w:rPr>
                <w:color w:val="000000" w:themeColor="text1"/>
                <w14:textFill>
                  <w14:solidFill>
                    <w14:schemeClr w14:val="tx1"/>
                  </w14:solidFill>
                </w14:textFill>
              </w:rPr>
              <w:t>009</w:t>
            </w:r>
            <w:r>
              <w:rPr>
                <w:rFonts w:hint="eastAsia"/>
                <w:color w:val="000000" w:themeColor="text1"/>
                <w14:textFill>
                  <w14:solidFill>
                    <w14:schemeClr w14:val="tx1"/>
                  </w14:solidFill>
                </w14:textFill>
              </w:rPr>
              <w:t>年）中不凝气的主要烃类物质含量，论文</w:t>
            </w:r>
            <w:r>
              <w:rPr>
                <w:rFonts w:hint="eastAsia"/>
                <w:color w:val="FF0000"/>
              </w:rPr>
              <w:t>中给出了不同温度下不凝气的主要烃类物质含量以及温度变化下各类烃类物质含量的变化趋势。同时，</w:t>
            </w:r>
            <w:r>
              <w:rPr>
                <w:rFonts w:hint="eastAsia"/>
                <w:color w:val="000000" w:themeColor="text1"/>
                <w14:textFill>
                  <w14:solidFill>
                    <w14:schemeClr w14:val="tx1"/>
                  </w14:solidFill>
                </w14:textFill>
              </w:rPr>
              <w:t>类比重庆市同类型项目：</w:t>
            </w:r>
            <w:r>
              <w:rPr>
                <w:rFonts w:hint="eastAsia"/>
                <w:color w:val="FF0000"/>
              </w:rPr>
              <w:t>《重庆市荣昌区荣祥佳环保科技有限公司废旧轮胎综合利用项目环境影响报告书》（2018年1月）、《重庆市荣昌区金曼环保科技有限公司废轮胎综合利用项目环境影响报告书》（2020年12月），其轮胎热解工艺与本项目类似，同为低温裂解工艺，但热解温度（380℃）比本项目（4</w:t>
            </w:r>
            <w:r>
              <w:rPr>
                <w:color w:val="FF0000"/>
              </w:rPr>
              <w:t>20</w:t>
            </w:r>
            <w:r>
              <w:rPr>
                <w:rFonts w:hint="eastAsia"/>
                <w:color w:val="FF0000"/>
              </w:rPr>
              <w:t>℃）低。因此，本次评价不凝气的主要组成成分综合以上报告及文献取值，具有可靠性。不凝气的主要组成成分见表2</w:t>
            </w:r>
            <w:r>
              <w:rPr>
                <w:color w:val="FF0000"/>
              </w:rPr>
              <w:t>.5</w:t>
            </w:r>
            <w:r>
              <w:rPr>
                <w:rFonts w:hint="eastAsia"/>
                <w:color w:val="FF0000"/>
              </w:rPr>
              <w:t>-</w:t>
            </w:r>
            <w:r>
              <w:rPr>
                <w:color w:val="FF0000"/>
              </w:rPr>
              <w:t>3</w:t>
            </w:r>
            <w:r>
              <w:rPr>
                <w:rFonts w:hint="eastAsia"/>
                <w:color w:val="FF0000"/>
              </w:rPr>
              <w:t>。</w:t>
            </w:r>
          </w:p>
          <w:p>
            <w:pPr>
              <w:pStyle w:val="72"/>
              <w:spacing w:line="240" w:lineRule="auto"/>
              <w:ind w:firstLine="0" w:firstLineChars="0"/>
              <w:jc w:val="center"/>
              <w:rPr>
                <w:rFonts w:cs="Times New Roman"/>
                <w:b/>
                <w:color w:val="FF0000"/>
              </w:rPr>
            </w:pPr>
            <w:r>
              <w:rPr>
                <w:rFonts w:cs="Times New Roman"/>
                <w:b/>
                <w:color w:val="FF0000"/>
              </w:rPr>
              <w:t>表2.5</w:t>
            </w:r>
            <w:r>
              <w:rPr>
                <w:rFonts w:hint="eastAsia" w:cs="Times New Roman"/>
                <w:b/>
                <w:color w:val="FF0000"/>
              </w:rPr>
              <w:t>-</w:t>
            </w:r>
            <w:r>
              <w:rPr>
                <w:rFonts w:cs="Times New Roman"/>
                <w:b/>
                <w:color w:val="FF0000"/>
              </w:rPr>
              <w:t>3  不凝气</w:t>
            </w:r>
            <w:r>
              <w:rPr>
                <w:rFonts w:hint="eastAsia" w:cs="Times New Roman"/>
                <w:b/>
                <w:color w:val="FF0000"/>
              </w:rPr>
              <w:t>组成表（体积百分比）</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1228"/>
              <w:gridCol w:w="1033"/>
              <w:gridCol w:w="1021"/>
              <w:gridCol w:w="1039"/>
              <w:gridCol w:w="1054"/>
              <w:gridCol w:w="1054"/>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组分</w:t>
                  </w:r>
                </w:p>
              </w:tc>
              <w:tc>
                <w:tcPr>
                  <w:tcW w:w="730"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CH</w:t>
                  </w:r>
                  <w:r>
                    <w:rPr>
                      <w:rFonts w:cs="Times New Roman"/>
                      <w:color w:val="FF0000"/>
                      <w:sz w:val="21"/>
                      <w:szCs w:val="21"/>
                      <w:vertAlign w:val="subscript"/>
                    </w:rPr>
                    <w:t>4</w:t>
                  </w:r>
                </w:p>
              </w:tc>
              <w:tc>
                <w:tcPr>
                  <w:tcW w:w="614"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H</w:t>
                  </w:r>
                  <w:r>
                    <w:rPr>
                      <w:rFonts w:cs="Times New Roman"/>
                      <w:color w:val="FF0000"/>
                      <w:sz w:val="21"/>
                      <w:szCs w:val="21"/>
                      <w:vertAlign w:val="subscript"/>
                    </w:rPr>
                    <w:t>2</w:t>
                  </w:r>
                </w:p>
              </w:tc>
              <w:tc>
                <w:tcPr>
                  <w:tcW w:w="607"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CO</w:t>
                  </w:r>
                </w:p>
              </w:tc>
              <w:tc>
                <w:tcPr>
                  <w:tcW w:w="618"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CO</w:t>
                  </w:r>
                  <w:r>
                    <w:rPr>
                      <w:rFonts w:cs="Times New Roman"/>
                      <w:color w:val="FF0000"/>
                      <w:sz w:val="21"/>
                      <w:szCs w:val="21"/>
                      <w:vertAlign w:val="subscript"/>
                    </w:rPr>
                    <w:t>2</w:t>
                  </w:r>
                </w:p>
              </w:tc>
              <w:tc>
                <w:tcPr>
                  <w:tcW w:w="627"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C</w:t>
                  </w:r>
                  <w:r>
                    <w:rPr>
                      <w:rFonts w:cs="Times New Roman"/>
                      <w:color w:val="FF0000"/>
                      <w:sz w:val="21"/>
                      <w:szCs w:val="21"/>
                      <w:vertAlign w:val="subscript"/>
                    </w:rPr>
                    <w:t>2</w:t>
                  </w:r>
                  <w:r>
                    <w:rPr>
                      <w:rFonts w:cs="Times New Roman"/>
                      <w:color w:val="FF0000"/>
                      <w:sz w:val="21"/>
                      <w:szCs w:val="21"/>
                    </w:rPr>
                    <w:t>H</w:t>
                  </w:r>
                  <w:r>
                    <w:rPr>
                      <w:rFonts w:cs="Times New Roman"/>
                      <w:color w:val="FF0000"/>
                      <w:sz w:val="21"/>
                      <w:szCs w:val="21"/>
                      <w:vertAlign w:val="subscript"/>
                    </w:rPr>
                    <w:t>4</w:t>
                  </w:r>
                </w:p>
              </w:tc>
              <w:tc>
                <w:tcPr>
                  <w:tcW w:w="627"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C</w:t>
                  </w:r>
                  <w:r>
                    <w:rPr>
                      <w:rFonts w:cs="Times New Roman"/>
                      <w:color w:val="FF0000"/>
                      <w:sz w:val="21"/>
                      <w:szCs w:val="21"/>
                      <w:vertAlign w:val="subscript"/>
                    </w:rPr>
                    <w:t>2</w:t>
                  </w:r>
                  <w:r>
                    <w:rPr>
                      <w:rFonts w:cs="Times New Roman"/>
                      <w:color w:val="FF0000"/>
                      <w:sz w:val="21"/>
                      <w:szCs w:val="21"/>
                    </w:rPr>
                    <w:t>H</w:t>
                  </w:r>
                  <w:r>
                    <w:rPr>
                      <w:rFonts w:cs="Times New Roman"/>
                      <w:color w:val="FF0000"/>
                      <w:sz w:val="21"/>
                      <w:szCs w:val="21"/>
                      <w:vertAlign w:val="subscript"/>
                    </w:rPr>
                    <w:t>6</w:t>
                  </w:r>
                </w:p>
              </w:tc>
              <w:tc>
                <w:tcPr>
                  <w:tcW w:w="598"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C</w:t>
                  </w:r>
                  <w:r>
                    <w:rPr>
                      <w:rFonts w:cs="Times New Roman"/>
                      <w:color w:val="FF0000"/>
                      <w:sz w:val="21"/>
                      <w:szCs w:val="21"/>
                      <w:vertAlign w:val="subscript"/>
                    </w:rPr>
                    <w:t>3</w:t>
                  </w:r>
                  <w:r>
                    <w:rPr>
                      <w:rFonts w:cs="Times New Roman"/>
                      <w:color w:val="FF0000"/>
                      <w:sz w:val="21"/>
                      <w:szCs w:val="21"/>
                    </w:rPr>
                    <w:t>H</w:t>
                  </w:r>
                  <w:r>
                    <w:rPr>
                      <w:rFonts w:cs="Times New Roman"/>
                      <w:color w:val="FF0000"/>
                      <w:sz w:val="21"/>
                      <w:szCs w:val="21"/>
                      <w:vertAlign w:val="sub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百分比</w:t>
                  </w:r>
                </w:p>
              </w:tc>
              <w:tc>
                <w:tcPr>
                  <w:tcW w:w="730"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26.49</w:t>
                  </w:r>
                </w:p>
              </w:tc>
              <w:tc>
                <w:tcPr>
                  <w:tcW w:w="614" w:type="pct"/>
                  <w:shd w:val="clear" w:color="auto" w:fill="auto"/>
                </w:tcPr>
                <w:p>
                  <w:pPr>
                    <w:pStyle w:val="72"/>
                    <w:spacing w:line="240" w:lineRule="auto"/>
                    <w:ind w:firstLine="0" w:firstLineChars="0"/>
                    <w:jc w:val="center"/>
                    <w:rPr>
                      <w:rFonts w:cs="Times New Roman"/>
                      <w:color w:val="FF0000"/>
                      <w:sz w:val="21"/>
                      <w:szCs w:val="21"/>
                    </w:rPr>
                  </w:pPr>
                  <w:r>
                    <w:rPr>
                      <w:rFonts w:hint="eastAsia" w:cs="Times New Roman"/>
                      <w:color w:val="FF0000"/>
                      <w:sz w:val="21"/>
                      <w:szCs w:val="21"/>
                    </w:rPr>
                    <w:t>1</w:t>
                  </w:r>
                  <w:r>
                    <w:rPr>
                      <w:rFonts w:cs="Times New Roman"/>
                      <w:color w:val="FF0000"/>
                      <w:sz w:val="21"/>
                      <w:szCs w:val="21"/>
                    </w:rPr>
                    <w:t>2.73</w:t>
                  </w:r>
                </w:p>
              </w:tc>
              <w:tc>
                <w:tcPr>
                  <w:tcW w:w="607" w:type="pct"/>
                  <w:shd w:val="clear" w:color="auto" w:fill="auto"/>
                </w:tcPr>
                <w:p>
                  <w:pPr>
                    <w:pStyle w:val="72"/>
                    <w:spacing w:line="240" w:lineRule="auto"/>
                    <w:ind w:firstLine="0" w:firstLineChars="0"/>
                    <w:jc w:val="center"/>
                    <w:rPr>
                      <w:rFonts w:cs="Times New Roman"/>
                      <w:color w:val="FF0000"/>
                      <w:sz w:val="21"/>
                      <w:szCs w:val="21"/>
                    </w:rPr>
                  </w:pPr>
                  <w:r>
                    <w:rPr>
                      <w:rFonts w:hint="eastAsia" w:cs="Times New Roman"/>
                      <w:color w:val="FF0000"/>
                      <w:sz w:val="21"/>
                      <w:szCs w:val="21"/>
                    </w:rPr>
                    <w:t>1</w:t>
                  </w:r>
                  <w:r>
                    <w:rPr>
                      <w:rFonts w:cs="Times New Roman"/>
                      <w:color w:val="FF0000"/>
                      <w:sz w:val="21"/>
                      <w:szCs w:val="21"/>
                    </w:rPr>
                    <w:t>2.38</w:t>
                  </w:r>
                </w:p>
              </w:tc>
              <w:tc>
                <w:tcPr>
                  <w:tcW w:w="618" w:type="pct"/>
                  <w:shd w:val="clear" w:color="auto" w:fill="auto"/>
                </w:tcPr>
                <w:p>
                  <w:pPr>
                    <w:pStyle w:val="72"/>
                    <w:spacing w:line="240" w:lineRule="auto"/>
                    <w:ind w:firstLine="0" w:firstLineChars="0"/>
                    <w:jc w:val="center"/>
                    <w:rPr>
                      <w:rFonts w:cs="Times New Roman"/>
                      <w:color w:val="FF0000"/>
                      <w:sz w:val="21"/>
                      <w:szCs w:val="21"/>
                    </w:rPr>
                  </w:pPr>
                  <w:r>
                    <w:rPr>
                      <w:rFonts w:hint="eastAsia" w:cs="Times New Roman"/>
                      <w:color w:val="FF0000"/>
                      <w:sz w:val="21"/>
                      <w:szCs w:val="21"/>
                    </w:rPr>
                    <w:t>1</w:t>
                  </w:r>
                  <w:r>
                    <w:rPr>
                      <w:rFonts w:cs="Times New Roman"/>
                      <w:color w:val="FF0000"/>
                      <w:sz w:val="21"/>
                      <w:szCs w:val="21"/>
                    </w:rPr>
                    <w:t>5.34</w:t>
                  </w:r>
                </w:p>
              </w:tc>
              <w:tc>
                <w:tcPr>
                  <w:tcW w:w="627" w:type="pct"/>
                  <w:shd w:val="clear" w:color="auto" w:fill="auto"/>
                </w:tcPr>
                <w:p>
                  <w:pPr>
                    <w:pStyle w:val="72"/>
                    <w:spacing w:line="240" w:lineRule="auto"/>
                    <w:ind w:firstLine="0" w:firstLineChars="0"/>
                    <w:jc w:val="center"/>
                    <w:rPr>
                      <w:rFonts w:cs="Times New Roman"/>
                      <w:color w:val="FF0000"/>
                      <w:sz w:val="21"/>
                      <w:szCs w:val="21"/>
                    </w:rPr>
                  </w:pPr>
                  <w:r>
                    <w:rPr>
                      <w:rFonts w:hint="eastAsia" w:cs="Times New Roman"/>
                      <w:color w:val="FF0000"/>
                      <w:sz w:val="21"/>
                      <w:szCs w:val="21"/>
                    </w:rPr>
                    <w:t>5</w:t>
                  </w:r>
                  <w:r>
                    <w:rPr>
                      <w:rFonts w:cs="Times New Roman"/>
                      <w:color w:val="FF0000"/>
                      <w:sz w:val="21"/>
                      <w:szCs w:val="21"/>
                    </w:rPr>
                    <w:t>.14</w:t>
                  </w:r>
                </w:p>
              </w:tc>
              <w:tc>
                <w:tcPr>
                  <w:tcW w:w="627"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3.45</w:t>
                  </w:r>
                </w:p>
              </w:tc>
              <w:tc>
                <w:tcPr>
                  <w:tcW w:w="598" w:type="pct"/>
                  <w:shd w:val="clear" w:color="auto" w:fill="auto"/>
                </w:tcPr>
                <w:p>
                  <w:pPr>
                    <w:pStyle w:val="72"/>
                    <w:spacing w:line="240" w:lineRule="auto"/>
                    <w:ind w:firstLine="0" w:firstLineChars="0"/>
                    <w:jc w:val="center"/>
                    <w:rPr>
                      <w:rFonts w:cs="Times New Roman"/>
                      <w:color w:val="FF0000"/>
                      <w:sz w:val="21"/>
                      <w:szCs w:val="21"/>
                    </w:rPr>
                  </w:pPr>
                  <w:r>
                    <w:rPr>
                      <w:rFonts w:hint="eastAsia" w:cs="Times New Roman"/>
                      <w:color w:val="FF0000"/>
                      <w:sz w:val="21"/>
                      <w:szCs w:val="21"/>
                    </w:rPr>
                    <w:t>8</w:t>
                  </w:r>
                  <w:r>
                    <w:rPr>
                      <w:rFonts w:cs="Times New Roman"/>
                      <w:color w:val="FF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组分</w:t>
                  </w:r>
                </w:p>
              </w:tc>
              <w:tc>
                <w:tcPr>
                  <w:tcW w:w="730"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C</w:t>
                  </w:r>
                  <w:r>
                    <w:rPr>
                      <w:rFonts w:cs="Times New Roman"/>
                      <w:color w:val="FF0000"/>
                      <w:sz w:val="21"/>
                      <w:szCs w:val="21"/>
                      <w:vertAlign w:val="subscript"/>
                    </w:rPr>
                    <w:t>3</w:t>
                  </w:r>
                  <w:r>
                    <w:rPr>
                      <w:rFonts w:cs="Times New Roman"/>
                      <w:color w:val="FF0000"/>
                      <w:sz w:val="21"/>
                      <w:szCs w:val="21"/>
                    </w:rPr>
                    <w:t>H</w:t>
                  </w:r>
                  <w:r>
                    <w:rPr>
                      <w:rFonts w:cs="Times New Roman"/>
                      <w:color w:val="FF0000"/>
                      <w:sz w:val="21"/>
                      <w:szCs w:val="21"/>
                      <w:vertAlign w:val="subscript"/>
                    </w:rPr>
                    <w:t>8</w:t>
                  </w:r>
                </w:p>
              </w:tc>
              <w:tc>
                <w:tcPr>
                  <w:tcW w:w="1221" w:type="pct"/>
                  <w:gridSpan w:val="2"/>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H</w:t>
                  </w:r>
                  <w:r>
                    <w:rPr>
                      <w:rFonts w:cs="Times New Roman"/>
                      <w:color w:val="FF0000"/>
                      <w:sz w:val="21"/>
                      <w:szCs w:val="21"/>
                      <w:vertAlign w:val="subscript"/>
                    </w:rPr>
                    <w:t>2</w:t>
                  </w:r>
                  <w:r>
                    <w:rPr>
                      <w:rFonts w:cs="Times New Roman"/>
                      <w:color w:val="FF0000"/>
                      <w:sz w:val="21"/>
                      <w:szCs w:val="21"/>
                    </w:rPr>
                    <w:t>S</w:t>
                  </w:r>
                  <w:r>
                    <w:rPr>
                      <w:rFonts w:hint="eastAsia" w:cs="Times New Roman"/>
                      <w:color w:val="FF0000"/>
                      <w:sz w:val="21"/>
                      <w:szCs w:val="21"/>
                    </w:rPr>
                    <w:t>、</w:t>
                  </w:r>
                  <w:r>
                    <w:rPr>
                      <w:rFonts w:cs="Times New Roman"/>
                      <w:color w:val="FF0000"/>
                      <w:sz w:val="21"/>
                      <w:szCs w:val="21"/>
                    </w:rPr>
                    <w:t>SO</w:t>
                  </w:r>
                  <w:r>
                    <w:rPr>
                      <w:rFonts w:cs="Times New Roman"/>
                      <w:color w:val="FF0000"/>
                      <w:sz w:val="21"/>
                      <w:szCs w:val="21"/>
                      <w:vertAlign w:val="subscript"/>
                    </w:rPr>
                    <w:t>2</w:t>
                  </w:r>
                  <w:r>
                    <w:rPr>
                      <w:rFonts w:hint="eastAsia" w:cs="Times New Roman"/>
                      <w:color w:val="FF0000"/>
                      <w:sz w:val="21"/>
                      <w:szCs w:val="21"/>
                    </w:rPr>
                    <w:t>*</w:t>
                  </w:r>
                </w:p>
              </w:tc>
              <w:tc>
                <w:tcPr>
                  <w:tcW w:w="618"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NO/ppm</w:t>
                  </w:r>
                </w:p>
              </w:tc>
              <w:tc>
                <w:tcPr>
                  <w:tcW w:w="627"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NO</w:t>
                  </w:r>
                  <w:r>
                    <w:rPr>
                      <w:rFonts w:cs="Times New Roman"/>
                      <w:color w:val="FF0000"/>
                      <w:sz w:val="21"/>
                      <w:szCs w:val="21"/>
                      <w:vertAlign w:val="subscript"/>
                    </w:rPr>
                    <w:t>2</w:t>
                  </w:r>
                  <w:r>
                    <w:rPr>
                      <w:rFonts w:cs="Times New Roman"/>
                      <w:color w:val="FF0000"/>
                      <w:sz w:val="21"/>
                      <w:szCs w:val="21"/>
                    </w:rPr>
                    <w:t>/ppm</w:t>
                  </w:r>
                </w:p>
              </w:tc>
              <w:tc>
                <w:tcPr>
                  <w:tcW w:w="627"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N</w:t>
                  </w:r>
                  <w:r>
                    <w:rPr>
                      <w:rFonts w:cs="Times New Roman"/>
                      <w:color w:val="FF0000"/>
                      <w:sz w:val="21"/>
                      <w:szCs w:val="21"/>
                      <w:vertAlign w:val="subscript"/>
                    </w:rPr>
                    <w:t>2</w:t>
                  </w:r>
                  <w:r>
                    <w:rPr>
                      <w:rFonts w:cs="Times New Roman"/>
                      <w:color w:val="FF0000"/>
                      <w:sz w:val="21"/>
                      <w:szCs w:val="21"/>
                    </w:rPr>
                    <w:t>O/ppm</w:t>
                  </w:r>
                </w:p>
              </w:tc>
              <w:tc>
                <w:tcPr>
                  <w:tcW w:w="598"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9"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百分比</w:t>
                  </w:r>
                </w:p>
              </w:tc>
              <w:tc>
                <w:tcPr>
                  <w:tcW w:w="730" w:type="pct"/>
                  <w:shd w:val="clear" w:color="auto" w:fill="auto"/>
                </w:tcPr>
                <w:p>
                  <w:pPr>
                    <w:pStyle w:val="72"/>
                    <w:spacing w:line="240" w:lineRule="auto"/>
                    <w:ind w:firstLine="0" w:firstLineChars="0"/>
                    <w:jc w:val="center"/>
                    <w:rPr>
                      <w:rFonts w:cs="Times New Roman"/>
                      <w:color w:val="FF0000"/>
                      <w:sz w:val="21"/>
                      <w:szCs w:val="21"/>
                    </w:rPr>
                  </w:pPr>
                  <w:r>
                    <w:rPr>
                      <w:rFonts w:hint="eastAsia" w:cs="Times New Roman"/>
                      <w:color w:val="FF0000"/>
                      <w:sz w:val="21"/>
                      <w:szCs w:val="21"/>
                    </w:rPr>
                    <w:t>6</w:t>
                  </w:r>
                  <w:r>
                    <w:rPr>
                      <w:rFonts w:cs="Times New Roman"/>
                      <w:color w:val="FF0000"/>
                      <w:sz w:val="21"/>
                      <w:szCs w:val="21"/>
                    </w:rPr>
                    <w:t>.23</w:t>
                  </w:r>
                </w:p>
              </w:tc>
              <w:tc>
                <w:tcPr>
                  <w:tcW w:w="1221" w:type="pct"/>
                  <w:gridSpan w:val="2"/>
                  <w:shd w:val="clear" w:color="auto" w:fill="auto"/>
                </w:tcPr>
                <w:p>
                  <w:pPr>
                    <w:pStyle w:val="72"/>
                    <w:spacing w:line="240" w:lineRule="auto"/>
                    <w:ind w:firstLine="0" w:firstLineChars="0"/>
                    <w:jc w:val="center"/>
                    <w:rPr>
                      <w:rFonts w:cs="Times New Roman"/>
                      <w:color w:val="FF0000"/>
                      <w:sz w:val="21"/>
                      <w:szCs w:val="21"/>
                    </w:rPr>
                  </w:pPr>
                  <w:r>
                    <w:rPr>
                      <w:rFonts w:hint="eastAsia" w:cs="Times New Roman"/>
                      <w:color w:val="FF0000"/>
                      <w:sz w:val="21"/>
                      <w:szCs w:val="21"/>
                    </w:rPr>
                    <w:t>0</w:t>
                  </w:r>
                  <w:r>
                    <w:rPr>
                      <w:rFonts w:cs="Times New Roman"/>
                      <w:color w:val="FF0000"/>
                      <w:sz w:val="21"/>
                      <w:szCs w:val="21"/>
                    </w:rPr>
                    <w:t>.40</w:t>
                  </w:r>
                </w:p>
              </w:tc>
              <w:tc>
                <w:tcPr>
                  <w:tcW w:w="618" w:type="pct"/>
                  <w:shd w:val="clear" w:color="auto" w:fill="auto"/>
                </w:tcPr>
                <w:p>
                  <w:pPr>
                    <w:pStyle w:val="72"/>
                    <w:spacing w:line="240" w:lineRule="auto"/>
                    <w:ind w:firstLine="0" w:firstLineChars="0"/>
                    <w:jc w:val="center"/>
                    <w:rPr>
                      <w:rFonts w:cs="Times New Roman"/>
                      <w:color w:val="FF0000"/>
                      <w:sz w:val="21"/>
                      <w:szCs w:val="21"/>
                    </w:rPr>
                  </w:pPr>
                  <w:r>
                    <w:rPr>
                      <w:rFonts w:hint="eastAsia" w:cs="Times New Roman"/>
                      <w:color w:val="FF0000"/>
                      <w:sz w:val="21"/>
                      <w:szCs w:val="21"/>
                    </w:rPr>
                    <w:t>8</w:t>
                  </w:r>
                  <w:r>
                    <w:rPr>
                      <w:rFonts w:cs="Times New Roman"/>
                      <w:color w:val="FF0000"/>
                      <w:sz w:val="21"/>
                      <w:szCs w:val="21"/>
                    </w:rPr>
                    <w:t>74</w:t>
                  </w:r>
                </w:p>
              </w:tc>
              <w:tc>
                <w:tcPr>
                  <w:tcW w:w="627" w:type="pct"/>
                  <w:shd w:val="clear" w:color="auto" w:fill="auto"/>
                </w:tcPr>
                <w:p>
                  <w:pPr>
                    <w:pStyle w:val="72"/>
                    <w:spacing w:line="240" w:lineRule="auto"/>
                    <w:ind w:firstLine="0" w:firstLineChars="0"/>
                    <w:jc w:val="center"/>
                    <w:rPr>
                      <w:rFonts w:cs="Times New Roman"/>
                      <w:color w:val="FF0000"/>
                      <w:sz w:val="21"/>
                      <w:szCs w:val="21"/>
                    </w:rPr>
                  </w:pPr>
                  <w:r>
                    <w:rPr>
                      <w:rFonts w:hint="eastAsia" w:cs="Times New Roman"/>
                      <w:color w:val="FF0000"/>
                      <w:sz w:val="21"/>
                      <w:szCs w:val="21"/>
                    </w:rPr>
                    <w:t>1</w:t>
                  </w:r>
                  <w:r>
                    <w:rPr>
                      <w:rFonts w:cs="Times New Roman"/>
                      <w:color w:val="FF0000"/>
                      <w:sz w:val="21"/>
                      <w:szCs w:val="21"/>
                    </w:rPr>
                    <w:t>24</w:t>
                  </w:r>
                </w:p>
              </w:tc>
              <w:tc>
                <w:tcPr>
                  <w:tcW w:w="627" w:type="pct"/>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0</w:t>
                  </w:r>
                </w:p>
              </w:tc>
              <w:tc>
                <w:tcPr>
                  <w:tcW w:w="598" w:type="pct"/>
                  <w:shd w:val="clear" w:color="auto" w:fill="auto"/>
                </w:tcPr>
                <w:p>
                  <w:pPr>
                    <w:pStyle w:val="72"/>
                    <w:spacing w:line="240" w:lineRule="auto"/>
                    <w:ind w:firstLine="0" w:firstLineChars="0"/>
                    <w:jc w:val="center"/>
                    <w:rPr>
                      <w:rFonts w:cs="Times New Roman"/>
                      <w:color w:val="FF0000"/>
                      <w:sz w:val="21"/>
                      <w:szCs w:val="21"/>
                    </w:rPr>
                  </w:pPr>
                  <w:r>
                    <w:rPr>
                      <w:rFonts w:hint="eastAsia" w:cs="Times New Roman"/>
                      <w:color w:val="FF0000"/>
                      <w:sz w:val="21"/>
                      <w:szCs w:val="21"/>
                    </w:rPr>
                    <w:t>9</w:t>
                  </w:r>
                  <w:r>
                    <w:rPr>
                      <w:rFonts w:cs="Times New Roman"/>
                      <w:color w:val="FF0000"/>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 w:type="pct"/>
                  <w:gridSpan w:val="5"/>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热值：32040</w:t>
                  </w:r>
                  <w:r>
                    <w:rPr>
                      <w:rFonts w:hint="eastAsia" w:cs="Times New Roman"/>
                      <w:color w:val="FF0000"/>
                      <w:sz w:val="21"/>
                      <w:szCs w:val="21"/>
                    </w:rPr>
                    <w:t>k</w:t>
                  </w:r>
                  <w:r>
                    <w:rPr>
                      <w:rFonts w:cs="Times New Roman"/>
                      <w:color w:val="FF0000"/>
                      <w:sz w:val="21"/>
                      <w:szCs w:val="21"/>
                    </w:rPr>
                    <w:t>J/m</w:t>
                  </w:r>
                  <w:r>
                    <w:rPr>
                      <w:rFonts w:cs="Times New Roman"/>
                      <w:color w:val="FF0000"/>
                      <w:sz w:val="21"/>
                      <w:szCs w:val="21"/>
                      <w:vertAlign w:val="superscript"/>
                    </w:rPr>
                    <w:t>3</w:t>
                  </w:r>
                </w:p>
              </w:tc>
              <w:tc>
                <w:tcPr>
                  <w:tcW w:w="1852" w:type="pct"/>
                  <w:gridSpan w:val="3"/>
                  <w:shd w:val="clear" w:color="auto" w:fill="auto"/>
                </w:tcPr>
                <w:p>
                  <w:pPr>
                    <w:pStyle w:val="72"/>
                    <w:spacing w:line="240" w:lineRule="auto"/>
                    <w:ind w:firstLine="0" w:firstLineChars="0"/>
                    <w:jc w:val="center"/>
                    <w:rPr>
                      <w:rFonts w:cs="Times New Roman"/>
                      <w:color w:val="FF0000"/>
                      <w:sz w:val="21"/>
                      <w:szCs w:val="21"/>
                    </w:rPr>
                  </w:pPr>
                  <w:r>
                    <w:rPr>
                      <w:rFonts w:cs="Times New Roman"/>
                      <w:color w:val="FF0000"/>
                      <w:sz w:val="21"/>
                      <w:szCs w:val="21"/>
                    </w:rPr>
                    <w:t>密度：0.7174kg/m</w:t>
                  </w:r>
                  <w:r>
                    <w:rPr>
                      <w:rFonts w:cs="Times New Roman"/>
                      <w:color w:val="FF0000"/>
                      <w:sz w:val="21"/>
                      <w:szCs w:val="21"/>
                      <w:vertAlign w:val="superscript"/>
                    </w:rPr>
                    <w:t>3</w:t>
                  </w:r>
                  <w:r>
                    <w:rPr>
                      <w:rFonts w:cs="Times New Roman"/>
                      <w:color w:val="FF0000"/>
                      <w:sz w:val="21"/>
                      <w:szCs w:val="21"/>
                    </w:rPr>
                    <w:t>（标况）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shd w:val="clear" w:color="auto" w:fill="auto"/>
                </w:tcPr>
                <w:p>
                  <w:pPr>
                    <w:pStyle w:val="72"/>
                    <w:spacing w:line="240" w:lineRule="auto"/>
                    <w:ind w:firstLine="0" w:firstLineChars="0"/>
                    <w:jc w:val="left"/>
                    <w:rPr>
                      <w:rFonts w:cs="Times New Roman"/>
                      <w:color w:val="FF0000"/>
                      <w:sz w:val="21"/>
                      <w:szCs w:val="21"/>
                    </w:rPr>
                  </w:pPr>
                  <w:r>
                    <w:rPr>
                      <w:rFonts w:hint="eastAsia" w:cs="Times New Roman"/>
                      <w:color w:val="FF0000"/>
                      <w:sz w:val="21"/>
                      <w:szCs w:val="21"/>
                    </w:rPr>
                    <w:t>注：由于在贫氧状态下进行裂解，裂解不凝气中的S主要以H</w:t>
                  </w:r>
                  <w:r>
                    <w:rPr>
                      <w:rFonts w:cs="Times New Roman"/>
                      <w:color w:val="FF0000"/>
                      <w:sz w:val="21"/>
                      <w:szCs w:val="21"/>
                      <w:vertAlign w:val="subscript"/>
                    </w:rPr>
                    <w:t>2</w:t>
                  </w:r>
                  <w:r>
                    <w:rPr>
                      <w:rFonts w:cs="Times New Roman"/>
                      <w:color w:val="FF0000"/>
                      <w:sz w:val="21"/>
                      <w:szCs w:val="21"/>
                    </w:rPr>
                    <w:t>S</w:t>
                  </w:r>
                  <w:r>
                    <w:rPr>
                      <w:rFonts w:hint="eastAsia" w:cs="Times New Roman"/>
                      <w:color w:val="FF0000"/>
                      <w:sz w:val="21"/>
                      <w:szCs w:val="21"/>
                    </w:rPr>
                    <w:t>的形式存在，仅有极少含量以</w:t>
                  </w:r>
                  <w:r>
                    <w:rPr>
                      <w:rFonts w:cs="Times New Roman"/>
                      <w:color w:val="FF0000"/>
                      <w:sz w:val="21"/>
                      <w:szCs w:val="21"/>
                    </w:rPr>
                    <w:t>SO</w:t>
                  </w:r>
                  <w:r>
                    <w:rPr>
                      <w:rFonts w:cs="Times New Roman"/>
                      <w:color w:val="FF0000"/>
                      <w:sz w:val="21"/>
                      <w:szCs w:val="21"/>
                      <w:vertAlign w:val="subscript"/>
                    </w:rPr>
                    <w:t>2</w:t>
                  </w:r>
                  <w:r>
                    <w:rPr>
                      <w:rFonts w:hint="eastAsia" w:cs="Times New Roman"/>
                      <w:color w:val="FF0000"/>
                      <w:sz w:val="21"/>
                      <w:szCs w:val="21"/>
                    </w:rPr>
                    <w:t>的形式存在，因此比例中主要考虑H</w:t>
                  </w:r>
                  <w:r>
                    <w:rPr>
                      <w:rFonts w:cs="Times New Roman"/>
                      <w:color w:val="FF0000"/>
                      <w:sz w:val="21"/>
                      <w:szCs w:val="21"/>
                      <w:vertAlign w:val="subscript"/>
                    </w:rPr>
                    <w:t>2</w:t>
                  </w:r>
                  <w:r>
                    <w:rPr>
                      <w:rFonts w:cs="Times New Roman"/>
                      <w:color w:val="FF0000"/>
                      <w:sz w:val="21"/>
                      <w:szCs w:val="21"/>
                    </w:rPr>
                    <w:t>S</w:t>
                  </w:r>
                  <w:r>
                    <w:rPr>
                      <w:rFonts w:hint="eastAsia" w:cs="Times New Roman"/>
                      <w:color w:val="FF0000"/>
                      <w:sz w:val="21"/>
                      <w:szCs w:val="21"/>
                    </w:rPr>
                    <w:t>的含量进行折算。</w:t>
                  </w:r>
                </w:p>
              </w:tc>
            </w:tr>
          </w:tbl>
          <w:p>
            <w:pPr>
              <w:adjustRightInd w:val="0"/>
              <w:snapToGrid w:val="0"/>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2.6</w:t>
            </w:r>
            <w:r>
              <w:rPr>
                <w:rFonts w:hint="eastAsia"/>
                <w:b/>
                <w:color w:val="000000" w:themeColor="text1"/>
                <w:sz w:val="24"/>
                <w14:textFill>
                  <w14:solidFill>
                    <w14:schemeClr w14:val="tx1"/>
                  </w14:solidFill>
                </w14:textFill>
              </w:rPr>
              <w:t>物料平衡</w:t>
            </w:r>
          </w:p>
          <w:p>
            <w:pPr>
              <w:pStyle w:val="72"/>
              <w:ind w:firstLine="48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根据建设单位提供的相关设计资料，该工艺正常情况下1t废旧轮胎平均产生钢丝</w:t>
            </w:r>
            <w:r>
              <w:rPr>
                <w:rFonts w:cs="Times New Roman"/>
                <w:color w:val="000000" w:themeColor="text1"/>
                <w:szCs w:val="24"/>
                <w14:textFill>
                  <w14:solidFill>
                    <w14:schemeClr w14:val="tx1"/>
                  </w14:solidFill>
                </w14:textFill>
              </w:rPr>
              <w:t>16</w:t>
            </w:r>
            <w:r>
              <w:rPr>
                <w:rFonts w:hint="eastAsia" w:cs="Times New Roman"/>
                <w:color w:val="000000" w:themeColor="text1"/>
                <w:szCs w:val="24"/>
                <w14:textFill>
                  <w14:solidFill>
                    <w14:schemeClr w14:val="tx1"/>
                  </w14:solidFill>
                </w14:textFill>
              </w:rPr>
              <w:t>%、炭黑3</w:t>
            </w:r>
            <w:r>
              <w:rPr>
                <w:rFonts w:cs="Times New Roman"/>
                <w:color w:val="000000" w:themeColor="text1"/>
                <w:szCs w:val="24"/>
                <w14:textFill>
                  <w14:solidFill>
                    <w14:schemeClr w14:val="tx1"/>
                  </w14:solidFill>
                </w14:textFill>
              </w:rPr>
              <w:t>5</w:t>
            </w:r>
            <w:r>
              <w:rPr>
                <w:rFonts w:hint="eastAsia" w:cs="Times New Roman"/>
                <w:color w:val="000000" w:themeColor="text1"/>
                <w:szCs w:val="24"/>
                <w14:textFill>
                  <w14:solidFill>
                    <w14:schemeClr w14:val="tx1"/>
                  </w14:solidFill>
                </w14:textFill>
              </w:rPr>
              <w:t>%、裂解油4</w:t>
            </w:r>
            <w:r>
              <w:rPr>
                <w:rFonts w:cs="Times New Roman"/>
                <w:color w:val="000000" w:themeColor="text1"/>
                <w:szCs w:val="24"/>
                <w14:textFill>
                  <w14:solidFill>
                    <w14:schemeClr w14:val="tx1"/>
                  </w14:solidFill>
                </w14:textFill>
              </w:rPr>
              <w:t>0</w:t>
            </w:r>
            <w:r>
              <w:rPr>
                <w:rFonts w:hint="eastAsia" w:cs="Times New Roman"/>
                <w:color w:val="000000" w:themeColor="text1"/>
                <w:szCs w:val="24"/>
                <w14:textFill>
                  <w14:solidFill>
                    <w14:schemeClr w14:val="tx1"/>
                  </w14:solidFill>
                </w14:textFill>
              </w:rPr>
              <w:t>%、不凝气</w:t>
            </w:r>
            <w:r>
              <w:rPr>
                <w:rFonts w:cs="Times New Roman"/>
                <w:color w:val="000000" w:themeColor="text1"/>
                <w:szCs w:val="24"/>
                <w14:textFill>
                  <w14:solidFill>
                    <w14:schemeClr w14:val="tx1"/>
                  </w14:solidFill>
                </w14:textFill>
              </w:rPr>
              <w:t>8</w:t>
            </w:r>
            <w:r>
              <w:rPr>
                <w:rFonts w:hint="eastAsia" w:cs="Times New Roman"/>
                <w:color w:val="000000" w:themeColor="text1"/>
                <w:szCs w:val="24"/>
                <w14:textFill>
                  <w14:solidFill>
                    <w14:schemeClr w14:val="tx1"/>
                  </w14:solidFill>
                </w14:textFill>
              </w:rPr>
              <w:t>%。本次评价按建设单位提供的设计参数进行核算，该工艺无需添加催化剂。废旧轮胎综合处理物料平衡见表2</w:t>
            </w:r>
            <w:r>
              <w:rPr>
                <w:rFonts w:cs="Times New Roman"/>
                <w:color w:val="000000" w:themeColor="text1"/>
                <w:szCs w:val="24"/>
                <w14:textFill>
                  <w14:solidFill>
                    <w14:schemeClr w14:val="tx1"/>
                  </w14:solidFill>
                </w14:textFill>
              </w:rPr>
              <w:t>.6</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1</w:t>
            </w:r>
            <w:r>
              <w:rPr>
                <w:rFonts w:hint="eastAsia" w:cs="Times New Roman"/>
                <w:color w:val="000000" w:themeColor="text1"/>
                <w:szCs w:val="24"/>
                <w14:textFill>
                  <w14:solidFill>
                    <w14:schemeClr w14:val="tx1"/>
                  </w14:solidFill>
                </w14:textFill>
              </w:rPr>
              <w:t>。项目物料平衡图见图2</w:t>
            </w:r>
            <w:r>
              <w:rPr>
                <w:rFonts w:cs="Times New Roman"/>
                <w:color w:val="000000" w:themeColor="text1"/>
                <w:szCs w:val="24"/>
                <w14:textFill>
                  <w14:solidFill>
                    <w14:schemeClr w14:val="tx1"/>
                  </w14:solidFill>
                </w14:textFill>
              </w:rPr>
              <w:t>.6</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1</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2.6</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3</w:t>
            </w:r>
            <w:r>
              <w:rPr>
                <w:rFonts w:hint="eastAsia" w:cs="Times New Roman"/>
                <w:color w:val="000000" w:themeColor="text1"/>
                <w:szCs w:val="24"/>
                <w14:textFill>
                  <w14:solidFill>
                    <w14:schemeClr w14:val="tx1"/>
                  </w14:solidFill>
                </w14:textFill>
              </w:rPr>
              <w:t>。</w:t>
            </w:r>
          </w:p>
          <w:p>
            <w:pPr>
              <w:pStyle w:val="72"/>
              <w:spacing w:line="240" w:lineRule="auto"/>
              <w:ind w:firstLine="0" w:firstLineChars="0"/>
              <w:jc w:val="center"/>
              <w:rPr>
                <w:rFonts w:cs="Times New Roman"/>
                <w:b/>
                <w:color w:val="000000" w:themeColor="text1"/>
                <w:szCs w:val="24"/>
                <w14:textFill>
                  <w14:solidFill>
                    <w14:schemeClr w14:val="tx1"/>
                  </w14:solidFill>
                </w14:textFill>
              </w:rPr>
            </w:pPr>
            <w:r>
              <w:rPr>
                <w:rFonts w:hint="eastAsia" w:cs="Times New Roman"/>
                <w:b/>
                <w:color w:val="000000" w:themeColor="text1"/>
                <w:szCs w:val="24"/>
                <w14:textFill>
                  <w14:solidFill>
                    <w14:schemeClr w14:val="tx1"/>
                  </w14:solidFill>
                </w14:textFill>
              </w:rPr>
              <w:t>表2</w:t>
            </w:r>
            <w:r>
              <w:rPr>
                <w:rFonts w:cs="Times New Roman"/>
                <w:b/>
                <w:color w:val="000000" w:themeColor="text1"/>
                <w:szCs w:val="24"/>
                <w14:textFill>
                  <w14:solidFill>
                    <w14:schemeClr w14:val="tx1"/>
                  </w14:solidFill>
                </w14:textFill>
              </w:rPr>
              <w:t>.6</w:t>
            </w:r>
            <w:r>
              <w:rPr>
                <w:rFonts w:hint="eastAsia" w:cs="Times New Roman"/>
                <w:b/>
                <w:color w:val="000000" w:themeColor="text1"/>
                <w:szCs w:val="24"/>
                <w14:textFill>
                  <w14:solidFill>
                    <w14:schemeClr w14:val="tx1"/>
                  </w14:solidFill>
                </w14:textFill>
              </w:rPr>
              <w:t>-</w:t>
            </w:r>
            <w:r>
              <w:rPr>
                <w:rFonts w:cs="Times New Roman"/>
                <w:b/>
                <w:color w:val="000000" w:themeColor="text1"/>
                <w:szCs w:val="24"/>
                <w14:textFill>
                  <w14:solidFill>
                    <w14:schemeClr w14:val="tx1"/>
                  </w14:solidFill>
                </w14:textFill>
              </w:rPr>
              <w:t xml:space="preserve">1  </w:t>
            </w:r>
            <w:r>
              <w:rPr>
                <w:rFonts w:hint="eastAsia" w:cs="Times New Roman"/>
                <w:b/>
                <w:color w:val="000000" w:themeColor="text1"/>
                <w:szCs w:val="24"/>
                <w14:textFill>
                  <w14:solidFill>
                    <w14:schemeClr w14:val="tx1"/>
                  </w14:solidFill>
                </w14:textFill>
              </w:rPr>
              <w:t>物料平衡表</w:t>
            </w:r>
          </w:p>
          <w:tbl>
            <w:tblPr>
              <w:tblStyle w:val="36"/>
              <w:tblW w:w="5000" w:type="pct"/>
              <w:tblInd w:w="0" w:type="dxa"/>
              <w:tblLayout w:type="autofit"/>
              <w:tblCellMar>
                <w:top w:w="0" w:type="dxa"/>
                <w:left w:w="108" w:type="dxa"/>
                <w:bottom w:w="0" w:type="dxa"/>
                <w:right w:w="108" w:type="dxa"/>
              </w:tblCellMar>
            </w:tblPr>
            <w:tblGrid>
              <w:gridCol w:w="503"/>
              <w:gridCol w:w="787"/>
              <w:gridCol w:w="573"/>
              <w:gridCol w:w="577"/>
              <w:gridCol w:w="577"/>
              <w:gridCol w:w="3024"/>
              <w:gridCol w:w="815"/>
              <w:gridCol w:w="815"/>
              <w:gridCol w:w="743"/>
            </w:tblGrid>
            <w:tr>
              <w:tblPrEx>
                <w:tblCellMar>
                  <w:top w:w="0" w:type="dxa"/>
                  <w:left w:w="108" w:type="dxa"/>
                  <w:bottom w:w="0" w:type="dxa"/>
                  <w:right w:w="108" w:type="dxa"/>
                </w:tblCellMar>
              </w:tblPrEx>
              <w:trPr>
                <w:trHeight w:val="285" w:hRule="atLeast"/>
              </w:trPr>
              <w:tc>
                <w:tcPr>
                  <w:tcW w:w="28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序号</w:t>
                  </w:r>
                </w:p>
              </w:tc>
              <w:tc>
                <w:tcPr>
                  <w:tcW w:w="1984" w:type="pct"/>
                  <w:gridSpan w:val="4"/>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入方</w:t>
                  </w:r>
                </w:p>
              </w:tc>
              <w:tc>
                <w:tcPr>
                  <w:tcW w:w="2730" w:type="pct"/>
                  <w:gridSpan w:val="4"/>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出方</w:t>
                  </w:r>
                </w:p>
              </w:tc>
            </w:tr>
            <w:tr>
              <w:tblPrEx>
                <w:tblCellMar>
                  <w:top w:w="0" w:type="dxa"/>
                  <w:left w:w="108" w:type="dxa"/>
                  <w:bottom w:w="0" w:type="dxa"/>
                  <w:right w:w="108" w:type="dxa"/>
                </w:tblCellMar>
              </w:tblPrEx>
              <w:trPr>
                <w:trHeight w:val="285" w:hRule="atLeast"/>
              </w:trPr>
              <w:tc>
                <w:tcPr>
                  <w:tcW w:w="286"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b/>
                      <w:color w:val="FF0000"/>
                      <w:spacing w:val="-20"/>
                      <w:kern w:val="0"/>
                      <w:szCs w:val="21"/>
                    </w:rPr>
                  </w:pPr>
                </w:p>
              </w:tc>
              <w:tc>
                <w:tcPr>
                  <w:tcW w:w="406"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名称</w:t>
                  </w:r>
                </w:p>
              </w:tc>
              <w:tc>
                <w:tcPr>
                  <w:tcW w:w="502" w:type="pct"/>
                  <w:tcBorders>
                    <w:top w:val="nil"/>
                    <w:left w:val="nil"/>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一期</w:t>
                  </w:r>
                </w:p>
              </w:tc>
              <w:tc>
                <w:tcPr>
                  <w:tcW w:w="589" w:type="pct"/>
                  <w:tcBorders>
                    <w:top w:val="nil"/>
                    <w:left w:val="nil"/>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二期</w:t>
                  </w:r>
                </w:p>
              </w:tc>
              <w:tc>
                <w:tcPr>
                  <w:tcW w:w="487" w:type="pct"/>
                  <w:tcBorders>
                    <w:top w:val="nil"/>
                    <w:left w:val="nil"/>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总体</w:t>
                  </w:r>
                </w:p>
              </w:tc>
              <w:tc>
                <w:tcPr>
                  <w:tcW w:w="1022"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名称</w:t>
                  </w:r>
                </w:p>
              </w:tc>
              <w:tc>
                <w:tcPr>
                  <w:tcW w:w="583" w:type="pct"/>
                  <w:tcBorders>
                    <w:top w:val="nil"/>
                    <w:left w:val="nil"/>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一期</w:t>
                  </w:r>
                </w:p>
              </w:tc>
              <w:tc>
                <w:tcPr>
                  <w:tcW w:w="591" w:type="pct"/>
                  <w:tcBorders>
                    <w:top w:val="nil"/>
                    <w:left w:val="nil"/>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二期</w:t>
                  </w:r>
                </w:p>
              </w:tc>
              <w:tc>
                <w:tcPr>
                  <w:tcW w:w="534" w:type="pct"/>
                  <w:tcBorders>
                    <w:top w:val="nil"/>
                    <w:left w:val="nil"/>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总体</w:t>
                  </w:r>
                </w:p>
              </w:tc>
            </w:tr>
            <w:tr>
              <w:tblPrEx>
                <w:tblCellMar>
                  <w:top w:w="0" w:type="dxa"/>
                  <w:left w:w="108" w:type="dxa"/>
                  <w:bottom w:w="0" w:type="dxa"/>
                  <w:right w:w="108" w:type="dxa"/>
                </w:tblCellMar>
              </w:tblPrEx>
              <w:trPr>
                <w:trHeight w:val="285" w:hRule="atLeast"/>
              </w:trPr>
              <w:tc>
                <w:tcPr>
                  <w:tcW w:w="286"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FF0000"/>
                      <w:spacing w:val="-20"/>
                      <w:kern w:val="0"/>
                      <w:szCs w:val="21"/>
                    </w:rPr>
                  </w:pPr>
                </w:p>
              </w:tc>
              <w:tc>
                <w:tcPr>
                  <w:tcW w:w="406" w:type="pct"/>
                  <w:vMerge w:val="continue"/>
                  <w:tcBorders>
                    <w:top w:val="nil"/>
                    <w:left w:val="single" w:color="auto" w:sz="4" w:space="0"/>
                    <w:bottom w:val="single" w:color="auto" w:sz="4" w:space="0"/>
                    <w:right w:val="single" w:color="auto" w:sz="4" w:space="0"/>
                  </w:tcBorders>
                  <w:vAlign w:val="center"/>
                </w:tcPr>
                <w:p>
                  <w:pPr>
                    <w:spacing w:line="240" w:lineRule="auto"/>
                    <w:jc w:val="center"/>
                    <w:rPr>
                      <w:color w:val="FF0000"/>
                      <w:spacing w:val="-20"/>
                      <w:kern w:val="0"/>
                      <w:szCs w:val="21"/>
                    </w:rPr>
                  </w:pPr>
                </w:p>
              </w:tc>
              <w:tc>
                <w:tcPr>
                  <w:tcW w:w="502" w:type="pct"/>
                  <w:tcBorders>
                    <w:top w:val="nil"/>
                    <w:left w:val="nil"/>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质量</w:t>
                  </w:r>
                </w:p>
              </w:tc>
              <w:tc>
                <w:tcPr>
                  <w:tcW w:w="589" w:type="pct"/>
                  <w:tcBorders>
                    <w:top w:val="nil"/>
                    <w:left w:val="nil"/>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质量/t</w:t>
                  </w:r>
                </w:p>
              </w:tc>
              <w:tc>
                <w:tcPr>
                  <w:tcW w:w="487" w:type="pct"/>
                  <w:tcBorders>
                    <w:top w:val="nil"/>
                    <w:left w:val="nil"/>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质量/t</w:t>
                  </w:r>
                </w:p>
              </w:tc>
              <w:tc>
                <w:tcPr>
                  <w:tcW w:w="1022" w:type="pct"/>
                  <w:vMerge w:val="continue"/>
                  <w:tcBorders>
                    <w:top w:val="nil"/>
                    <w:left w:val="single" w:color="auto" w:sz="4" w:space="0"/>
                    <w:bottom w:val="single" w:color="auto" w:sz="4" w:space="0"/>
                    <w:right w:val="single" w:color="auto" w:sz="4" w:space="0"/>
                  </w:tcBorders>
                  <w:vAlign w:val="center"/>
                </w:tcPr>
                <w:p>
                  <w:pPr>
                    <w:spacing w:line="240" w:lineRule="auto"/>
                    <w:jc w:val="center"/>
                    <w:rPr>
                      <w:b/>
                      <w:color w:val="FF0000"/>
                      <w:spacing w:val="-20"/>
                      <w:kern w:val="0"/>
                      <w:szCs w:val="21"/>
                    </w:rPr>
                  </w:pPr>
                </w:p>
              </w:tc>
              <w:tc>
                <w:tcPr>
                  <w:tcW w:w="583" w:type="pct"/>
                  <w:tcBorders>
                    <w:top w:val="nil"/>
                    <w:left w:val="nil"/>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质量/t</w:t>
                  </w:r>
                </w:p>
              </w:tc>
              <w:tc>
                <w:tcPr>
                  <w:tcW w:w="591" w:type="pct"/>
                  <w:tcBorders>
                    <w:top w:val="nil"/>
                    <w:left w:val="nil"/>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质量/t</w:t>
                  </w:r>
                </w:p>
              </w:tc>
              <w:tc>
                <w:tcPr>
                  <w:tcW w:w="534" w:type="pct"/>
                  <w:tcBorders>
                    <w:top w:val="nil"/>
                    <w:left w:val="nil"/>
                    <w:bottom w:val="single" w:color="auto" w:sz="4" w:space="0"/>
                    <w:right w:val="single" w:color="auto" w:sz="4" w:space="0"/>
                  </w:tcBorders>
                  <w:shd w:val="clear" w:color="auto" w:fill="auto"/>
                  <w:noWrap/>
                  <w:vAlign w:val="center"/>
                </w:tcPr>
                <w:p>
                  <w:pPr>
                    <w:spacing w:line="240" w:lineRule="auto"/>
                    <w:jc w:val="center"/>
                    <w:rPr>
                      <w:b/>
                      <w:color w:val="FF0000"/>
                      <w:spacing w:val="-20"/>
                      <w:kern w:val="0"/>
                      <w:szCs w:val="21"/>
                    </w:rPr>
                  </w:pPr>
                  <w:r>
                    <w:rPr>
                      <w:b/>
                      <w:color w:val="FF0000"/>
                      <w:spacing w:val="-20"/>
                      <w:kern w:val="0"/>
                      <w:szCs w:val="21"/>
                    </w:rPr>
                    <w:t>质量/t</w:t>
                  </w:r>
                </w:p>
              </w:tc>
            </w:tr>
            <w:tr>
              <w:tblPrEx>
                <w:tblCellMar>
                  <w:top w:w="0" w:type="dxa"/>
                  <w:left w:w="108" w:type="dxa"/>
                  <w:bottom w:w="0" w:type="dxa"/>
                  <w:right w:w="108" w:type="dxa"/>
                </w:tblCellMar>
              </w:tblPrEx>
              <w:trPr>
                <w:trHeight w:val="285" w:hRule="atLeast"/>
              </w:trPr>
              <w:tc>
                <w:tcPr>
                  <w:tcW w:w="286" w:type="pc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1</w:t>
                  </w:r>
                </w:p>
              </w:tc>
              <w:tc>
                <w:tcPr>
                  <w:tcW w:w="406"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废旧轮胎</w:t>
                  </w:r>
                </w:p>
              </w:tc>
              <w:tc>
                <w:tcPr>
                  <w:tcW w:w="50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30000</w:t>
                  </w:r>
                </w:p>
              </w:tc>
              <w:tc>
                <w:tcPr>
                  <w:tcW w:w="589"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60000</w:t>
                  </w:r>
                </w:p>
              </w:tc>
              <w:tc>
                <w:tcPr>
                  <w:tcW w:w="487"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90000</w:t>
                  </w:r>
                </w:p>
              </w:tc>
              <w:tc>
                <w:tcPr>
                  <w:tcW w:w="102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kern w:val="0"/>
                      <w:szCs w:val="21"/>
                    </w:rPr>
                  </w:pPr>
                  <w:r>
                    <w:rPr>
                      <w:color w:val="FF0000"/>
                      <w:kern w:val="0"/>
                      <w:szCs w:val="21"/>
                    </w:rPr>
                    <w:t>裂解油</w:t>
                  </w:r>
                </w:p>
              </w:tc>
              <w:tc>
                <w:tcPr>
                  <w:tcW w:w="583"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1</w:t>
                  </w:r>
                  <w:r>
                    <w:rPr>
                      <w:color w:val="FF0000"/>
                      <w:spacing w:val="-20"/>
                      <w:kern w:val="0"/>
                      <w:szCs w:val="21"/>
                    </w:rPr>
                    <w:t>1993.431</w:t>
                  </w:r>
                </w:p>
              </w:tc>
              <w:tc>
                <w:tcPr>
                  <w:tcW w:w="591"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2</w:t>
                  </w:r>
                  <w:r>
                    <w:rPr>
                      <w:color w:val="FF0000"/>
                      <w:spacing w:val="-20"/>
                      <w:kern w:val="0"/>
                      <w:szCs w:val="21"/>
                    </w:rPr>
                    <w:t>3988.429</w:t>
                  </w:r>
                </w:p>
              </w:tc>
              <w:tc>
                <w:tcPr>
                  <w:tcW w:w="534"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3</w:t>
                  </w:r>
                  <w:r>
                    <w:rPr>
                      <w:color w:val="FF0000"/>
                      <w:spacing w:val="-20"/>
                      <w:kern w:val="0"/>
                      <w:szCs w:val="21"/>
                    </w:rPr>
                    <w:t>5981.86</w:t>
                  </w:r>
                </w:p>
              </w:tc>
            </w:tr>
            <w:tr>
              <w:tblPrEx>
                <w:tblCellMar>
                  <w:top w:w="0" w:type="dxa"/>
                  <w:left w:w="108" w:type="dxa"/>
                  <w:bottom w:w="0" w:type="dxa"/>
                  <w:right w:w="108" w:type="dxa"/>
                </w:tblCellMar>
              </w:tblPrEx>
              <w:trPr>
                <w:trHeight w:val="285" w:hRule="atLeast"/>
              </w:trPr>
              <w:tc>
                <w:tcPr>
                  <w:tcW w:w="286" w:type="pc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2</w:t>
                  </w:r>
                </w:p>
              </w:tc>
              <w:tc>
                <w:tcPr>
                  <w:tcW w:w="406"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0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89"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487"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102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kern w:val="0"/>
                      <w:szCs w:val="21"/>
                    </w:rPr>
                  </w:pPr>
                  <w:r>
                    <w:rPr>
                      <w:color w:val="FF0000"/>
                      <w:kern w:val="0"/>
                      <w:szCs w:val="21"/>
                    </w:rPr>
                    <w:t>炭黑</w:t>
                  </w:r>
                </w:p>
              </w:tc>
              <w:tc>
                <w:tcPr>
                  <w:tcW w:w="583"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10497.9</w:t>
                  </w:r>
                </w:p>
              </w:tc>
              <w:tc>
                <w:tcPr>
                  <w:tcW w:w="591"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2</w:t>
                  </w:r>
                  <w:r>
                    <w:rPr>
                      <w:color w:val="FF0000"/>
                      <w:spacing w:val="-20"/>
                      <w:kern w:val="0"/>
                      <w:szCs w:val="21"/>
                    </w:rPr>
                    <w:t>0995.8</w:t>
                  </w:r>
                </w:p>
              </w:tc>
              <w:tc>
                <w:tcPr>
                  <w:tcW w:w="534"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3</w:t>
                  </w:r>
                  <w:r>
                    <w:rPr>
                      <w:color w:val="FF0000"/>
                      <w:spacing w:val="-20"/>
                      <w:kern w:val="0"/>
                      <w:szCs w:val="21"/>
                    </w:rPr>
                    <w:t>1493.7</w:t>
                  </w:r>
                </w:p>
              </w:tc>
            </w:tr>
            <w:tr>
              <w:tblPrEx>
                <w:tblCellMar>
                  <w:top w:w="0" w:type="dxa"/>
                  <w:left w:w="108" w:type="dxa"/>
                  <w:bottom w:w="0" w:type="dxa"/>
                  <w:right w:w="108" w:type="dxa"/>
                </w:tblCellMar>
              </w:tblPrEx>
              <w:trPr>
                <w:trHeight w:val="285" w:hRule="atLeast"/>
              </w:trPr>
              <w:tc>
                <w:tcPr>
                  <w:tcW w:w="286" w:type="pc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3</w:t>
                  </w:r>
                </w:p>
              </w:tc>
              <w:tc>
                <w:tcPr>
                  <w:tcW w:w="406"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0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89"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487"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102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kern w:val="0"/>
                      <w:szCs w:val="21"/>
                    </w:rPr>
                  </w:pPr>
                  <w:r>
                    <w:rPr>
                      <w:color w:val="FF0000"/>
                      <w:kern w:val="0"/>
                      <w:szCs w:val="21"/>
                    </w:rPr>
                    <w:t>钢</w:t>
                  </w:r>
                  <w:r>
                    <w:rPr>
                      <w:rFonts w:hint="eastAsia"/>
                      <w:color w:val="FF0000"/>
                      <w:kern w:val="0"/>
                      <w:szCs w:val="21"/>
                    </w:rPr>
                    <w:t>丸</w:t>
                  </w:r>
                </w:p>
              </w:tc>
              <w:tc>
                <w:tcPr>
                  <w:tcW w:w="583"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4</w:t>
                  </w:r>
                  <w:r>
                    <w:rPr>
                      <w:color w:val="FF0000"/>
                      <w:spacing w:val="-20"/>
                      <w:kern w:val="0"/>
                      <w:szCs w:val="21"/>
                    </w:rPr>
                    <w:t>800</w:t>
                  </w:r>
                </w:p>
              </w:tc>
              <w:tc>
                <w:tcPr>
                  <w:tcW w:w="591"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9</w:t>
                  </w:r>
                  <w:r>
                    <w:rPr>
                      <w:color w:val="FF0000"/>
                      <w:spacing w:val="-20"/>
                      <w:kern w:val="0"/>
                      <w:szCs w:val="21"/>
                    </w:rPr>
                    <w:t>600</w:t>
                  </w:r>
                </w:p>
              </w:tc>
              <w:tc>
                <w:tcPr>
                  <w:tcW w:w="534"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1</w:t>
                  </w:r>
                  <w:r>
                    <w:rPr>
                      <w:color w:val="FF0000"/>
                      <w:spacing w:val="-20"/>
                      <w:kern w:val="0"/>
                      <w:szCs w:val="21"/>
                    </w:rPr>
                    <w:t>4400</w:t>
                  </w:r>
                </w:p>
              </w:tc>
            </w:tr>
            <w:tr>
              <w:tblPrEx>
                <w:tblCellMar>
                  <w:top w:w="0" w:type="dxa"/>
                  <w:left w:w="108" w:type="dxa"/>
                  <w:bottom w:w="0" w:type="dxa"/>
                  <w:right w:w="108" w:type="dxa"/>
                </w:tblCellMar>
              </w:tblPrEx>
              <w:trPr>
                <w:trHeight w:val="285" w:hRule="atLeast"/>
              </w:trPr>
              <w:tc>
                <w:tcPr>
                  <w:tcW w:w="286" w:type="pc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4</w:t>
                  </w:r>
                </w:p>
              </w:tc>
              <w:tc>
                <w:tcPr>
                  <w:tcW w:w="406"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0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89"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487"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1022" w:type="pct"/>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Cs w:val="21"/>
                    </w:rPr>
                  </w:pPr>
                  <w:r>
                    <w:rPr>
                      <w:rFonts w:hint="eastAsia"/>
                      <w:color w:val="FF0000"/>
                      <w:kern w:val="0"/>
                      <w:szCs w:val="21"/>
                    </w:rPr>
                    <w:t>D</w:t>
                  </w:r>
                  <w:r>
                    <w:rPr>
                      <w:color w:val="FF0000"/>
                      <w:kern w:val="0"/>
                      <w:szCs w:val="21"/>
                    </w:rPr>
                    <w:t>A001</w:t>
                  </w:r>
                </w:p>
              </w:tc>
              <w:tc>
                <w:tcPr>
                  <w:tcW w:w="583"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0</w:t>
                  </w:r>
                  <w:r>
                    <w:rPr>
                      <w:color w:val="FF0000"/>
                      <w:spacing w:val="-20"/>
                      <w:kern w:val="0"/>
                      <w:szCs w:val="21"/>
                    </w:rPr>
                    <w:t>.262</w:t>
                  </w:r>
                </w:p>
              </w:tc>
              <w:tc>
                <w:tcPr>
                  <w:tcW w:w="591"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0</w:t>
                  </w:r>
                </w:p>
              </w:tc>
              <w:tc>
                <w:tcPr>
                  <w:tcW w:w="534"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0.262</w:t>
                  </w:r>
                </w:p>
              </w:tc>
            </w:tr>
            <w:tr>
              <w:tblPrEx>
                <w:tblCellMar>
                  <w:top w:w="0" w:type="dxa"/>
                  <w:left w:w="108" w:type="dxa"/>
                  <w:bottom w:w="0" w:type="dxa"/>
                  <w:right w:w="108" w:type="dxa"/>
                </w:tblCellMar>
              </w:tblPrEx>
              <w:trPr>
                <w:trHeight w:val="285" w:hRule="atLeast"/>
              </w:trPr>
              <w:tc>
                <w:tcPr>
                  <w:tcW w:w="286" w:type="pc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5</w:t>
                  </w:r>
                </w:p>
              </w:tc>
              <w:tc>
                <w:tcPr>
                  <w:tcW w:w="406"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0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89"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487"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1022" w:type="pct"/>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Cs w:val="21"/>
                    </w:rPr>
                  </w:pPr>
                  <w:r>
                    <w:rPr>
                      <w:rFonts w:hint="eastAsia"/>
                      <w:color w:val="FF0000"/>
                      <w:kern w:val="0"/>
                      <w:szCs w:val="21"/>
                    </w:rPr>
                    <w:t>D</w:t>
                  </w:r>
                  <w:r>
                    <w:rPr>
                      <w:color w:val="FF0000"/>
                      <w:kern w:val="0"/>
                      <w:szCs w:val="21"/>
                    </w:rPr>
                    <w:t>A002</w:t>
                  </w:r>
                </w:p>
              </w:tc>
              <w:tc>
                <w:tcPr>
                  <w:tcW w:w="583"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0</w:t>
                  </w:r>
                </w:p>
              </w:tc>
              <w:tc>
                <w:tcPr>
                  <w:tcW w:w="591"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0.524</w:t>
                  </w:r>
                </w:p>
              </w:tc>
              <w:tc>
                <w:tcPr>
                  <w:tcW w:w="534"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0</w:t>
                  </w:r>
                  <w:r>
                    <w:rPr>
                      <w:color w:val="FF0000"/>
                      <w:spacing w:val="-20"/>
                      <w:kern w:val="0"/>
                      <w:szCs w:val="21"/>
                    </w:rPr>
                    <w:t>.524</w:t>
                  </w:r>
                </w:p>
              </w:tc>
            </w:tr>
            <w:tr>
              <w:tblPrEx>
                <w:tblCellMar>
                  <w:top w:w="0" w:type="dxa"/>
                  <w:left w:w="108" w:type="dxa"/>
                  <w:bottom w:w="0" w:type="dxa"/>
                  <w:right w:w="108" w:type="dxa"/>
                </w:tblCellMar>
              </w:tblPrEx>
              <w:trPr>
                <w:trHeight w:val="285" w:hRule="atLeast"/>
              </w:trPr>
              <w:tc>
                <w:tcPr>
                  <w:tcW w:w="286" w:type="pc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6</w:t>
                  </w:r>
                </w:p>
              </w:tc>
              <w:tc>
                <w:tcPr>
                  <w:tcW w:w="406"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0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89"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487"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1022" w:type="pct"/>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Cs w:val="21"/>
                    </w:rPr>
                  </w:pPr>
                  <w:r>
                    <w:rPr>
                      <w:rFonts w:hint="eastAsia"/>
                      <w:color w:val="FF0000"/>
                      <w:kern w:val="0"/>
                      <w:szCs w:val="21"/>
                    </w:rPr>
                    <w:t>D</w:t>
                  </w:r>
                  <w:r>
                    <w:rPr>
                      <w:color w:val="FF0000"/>
                      <w:kern w:val="0"/>
                      <w:szCs w:val="21"/>
                    </w:rPr>
                    <w:t>A003</w:t>
                  </w:r>
                  <w:r>
                    <w:rPr>
                      <w:rFonts w:hint="eastAsia"/>
                      <w:color w:val="FF0000"/>
                      <w:kern w:val="0"/>
                      <w:szCs w:val="21"/>
                    </w:rPr>
                    <w:t>（含燃烧后的C</w:t>
                  </w:r>
                  <w:r>
                    <w:rPr>
                      <w:color w:val="FF0000"/>
                      <w:kern w:val="0"/>
                      <w:szCs w:val="21"/>
                    </w:rPr>
                    <w:t>O</w:t>
                  </w:r>
                  <w:r>
                    <w:rPr>
                      <w:color w:val="FF0000"/>
                      <w:kern w:val="0"/>
                      <w:szCs w:val="21"/>
                      <w:vertAlign w:val="subscript"/>
                    </w:rPr>
                    <w:t>2</w:t>
                  </w:r>
                  <w:r>
                    <w:rPr>
                      <w:rFonts w:hint="eastAsia"/>
                      <w:color w:val="FF0000"/>
                      <w:kern w:val="0"/>
                      <w:szCs w:val="21"/>
                    </w:rPr>
                    <w:t>、</w:t>
                  </w:r>
                  <w:r>
                    <w:rPr>
                      <w:color w:val="FF0000"/>
                      <w:kern w:val="0"/>
                      <w:szCs w:val="21"/>
                    </w:rPr>
                    <w:t>H</w:t>
                  </w:r>
                  <w:r>
                    <w:rPr>
                      <w:color w:val="FF0000"/>
                      <w:kern w:val="0"/>
                      <w:szCs w:val="21"/>
                      <w:vertAlign w:val="subscript"/>
                    </w:rPr>
                    <w:t>2</w:t>
                  </w:r>
                  <w:r>
                    <w:rPr>
                      <w:color w:val="FF0000"/>
                      <w:kern w:val="0"/>
                      <w:szCs w:val="21"/>
                    </w:rPr>
                    <w:t>O</w:t>
                  </w:r>
                  <w:r>
                    <w:rPr>
                      <w:rFonts w:hint="eastAsia"/>
                      <w:color w:val="FF0000"/>
                      <w:kern w:val="0"/>
                      <w:szCs w:val="21"/>
                    </w:rPr>
                    <w:t>等）</w:t>
                  </w:r>
                </w:p>
              </w:tc>
              <w:tc>
                <w:tcPr>
                  <w:tcW w:w="583"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2676.747</w:t>
                  </w:r>
                </w:p>
              </w:tc>
              <w:tc>
                <w:tcPr>
                  <w:tcW w:w="591"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5351.848</w:t>
                  </w:r>
                </w:p>
              </w:tc>
              <w:tc>
                <w:tcPr>
                  <w:tcW w:w="534"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8028.595</w:t>
                  </w:r>
                </w:p>
              </w:tc>
            </w:tr>
            <w:tr>
              <w:tblPrEx>
                <w:tblCellMar>
                  <w:top w:w="0" w:type="dxa"/>
                  <w:left w:w="108" w:type="dxa"/>
                  <w:bottom w:w="0" w:type="dxa"/>
                  <w:right w:w="108" w:type="dxa"/>
                </w:tblCellMar>
              </w:tblPrEx>
              <w:trPr>
                <w:trHeight w:val="285" w:hRule="atLeast"/>
              </w:trPr>
              <w:tc>
                <w:tcPr>
                  <w:tcW w:w="286" w:type="pc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7</w:t>
                  </w:r>
                </w:p>
              </w:tc>
              <w:tc>
                <w:tcPr>
                  <w:tcW w:w="406"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0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89"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487"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1022" w:type="pct"/>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Cs w:val="21"/>
                    </w:rPr>
                  </w:pPr>
                  <w:r>
                    <w:rPr>
                      <w:rFonts w:hint="eastAsia"/>
                      <w:color w:val="FF0000"/>
                      <w:kern w:val="0"/>
                      <w:szCs w:val="21"/>
                    </w:rPr>
                    <w:t>DA</w:t>
                  </w:r>
                  <w:r>
                    <w:rPr>
                      <w:color w:val="FF0000"/>
                      <w:kern w:val="0"/>
                      <w:szCs w:val="21"/>
                    </w:rPr>
                    <w:t>004</w:t>
                  </w:r>
                </w:p>
              </w:tc>
              <w:tc>
                <w:tcPr>
                  <w:tcW w:w="583"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0</w:t>
                  </w:r>
                  <w:r>
                    <w:rPr>
                      <w:color w:val="FF0000"/>
                      <w:spacing w:val="-20"/>
                      <w:kern w:val="0"/>
                      <w:szCs w:val="21"/>
                    </w:rPr>
                    <w:t>.099</w:t>
                  </w:r>
                </w:p>
              </w:tc>
              <w:tc>
                <w:tcPr>
                  <w:tcW w:w="591"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0</w:t>
                  </w:r>
                  <w:r>
                    <w:rPr>
                      <w:color w:val="FF0000"/>
                      <w:spacing w:val="-20"/>
                      <w:kern w:val="0"/>
                      <w:szCs w:val="21"/>
                    </w:rPr>
                    <w:t>.200</w:t>
                  </w:r>
                </w:p>
              </w:tc>
              <w:tc>
                <w:tcPr>
                  <w:tcW w:w="534"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0</w:t>
                  </w:r>
                  <w:r>
                    <w:rPr>
                      <w:color w:val="FF0000"/>
                      <w:spacing w:val="-20"/>
                      <w:kern w:val="0"/>
                      <w:szCs w:val="21"/>
                    </w:rPr>
                    <w:t>.299</w:t>
                  </w:r>
                </w:p>
              </w:tc>
            </w:tr>
            <w:tr>
              <w:tblPrEx>
                <w:tblCellMar>
                  <w:top w:w="0" w:type="dxa"/>
                  <w:left w:w="108" w:type="dxa"/>
                  <w:bottom w:w="0" w:type="dxa"/>
                  <w:right w:w="108" w:type="dxa"/>
                </w:tblCellMar>
              </w:tblPrEx>
              <w:trPr>
                <w:trHeight w:val="285" w:hRule="atLeast"/>
              </w:trPr>
              <w:tc>
                <w:tcPr>
                  <w:tcW w:w="286" w:type="pc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8</w:t>
                  </w:r>
                </w:p>
              </w:tc>
              <w:tc>
                <w:tcPr>
                  <w:tcW w:w="406"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0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89"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487"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102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kern w:val="0"/>
                      <w:szCs w:val="21"/>
                    </w:rPr>
                  </w:pPr>
                  <w:r>
                    <w:rPr>
                      <w:rFonts w:hint="eastAsia"/>
                      <w:color w:val="FF0000"/>
                      <w:kern w:val="0"/>
                      <w:szCs w:val="21"/>
                    </w:rPr>
                    <w:t>无组织排放</w:t>
                  </w:r>
                </w:p>
              </w:tc>
              <w:tc>
                <w:tcPr>
                  <w:tcW w:w="583"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0</w:t>
                  </w:r>
                  <w:r>
                    <w:rPr>
                      <w:color w:val="FF0000"/>
                      <w:spacing w:val="-20"/>
                      <w:kern w:val="0"/>
                      <w:szCs w:val="21"/>
                    </w:rPr>
                    <w:t>.280</w:t>
                  </w:r>
                </w:p>
              </w:tc>
              <w:tc>
                <w:tcPr>
                  <w:tcW w:w="591"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0</w:t>
                  </w:r>
                  <w:r>
                    <w:rPr>
                      <w:color w:val="FF0000"/>
                      <w:spacing w:val="-20"/>
                      <w:kern w:val="0"/>
                      <w:szCs w:val="21"/>
                    </w:rPr>
                    <w:t>.559</w:t>
                  </w:r>
                </w:p>
              </w:tc>
              <w:tc>
                <w:tcPr>
                  <w:tcW w:w="534"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0.839</w:t>
                  </w:r>
                </w:p>
              </w:tc>
            </w:tr>
            <w:tr>
              <w:tblPrEx>
                <w:tblCellMar>
                  <w:top w:w="0" w:type="dxa"/>
                  <w:left w:w="108" w:type="dxa"/>
                  <w:bottom w:w="0" w:type="dxa"/>
                  <w:right w:w="108" w:type="dxa"/>
                </w:tblCellMar>
              </w:tblPrEx>
              <w:trPr>
                <w:trHeight w:val="285" w:hRule="atLeast"/>
              </w:trPr>
              <w:tc>
                <w:tcPr>
                  <w:tcW w:w="286" w:type="pc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9</w:t>
                  </w:r>
                </w:p>
              </w:tc>
              <w:tc>
                <w:tcPr>
                  <w:tcW w:w="406"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0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89"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487"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102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kern w:val="0"/>
                      <w:szCs w:val="21"/>
                    </w:rPr>
                  </w:pPr>
                  <w:r>
                    <w:rPr>
                      <w:rFonts w:hint="eastAsia"/>
                      <w:color w:val="FF0000"/>
                      <w:kern w:val="0"/>
                      <w:szCs w:val="21"/>
                    </w:rPr>
                    <w:t>布袋除尘器及车间清扫收集尘灰</w:t>
                  </w:r>
                </w:p>
              </w:tc>
              <w:tc>
                <w:tcPr>
                  <w:tcW w:w="583"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7.279</w:t>
                  </w:r>
                </w:p>
              </w:tc>
              <w:tc>
                <w:tcPr>
                  <w:tcW w:w="591"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14.557</w:t>
                  </w:r>
                </w:p>
              </w:tc>
              <w:tc>
                <w:tcPr>
                  <w:tcW w:w="534"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21.836</w:t>
                  </w:r>
                </w:p>
              </w:tc>
            </w:tr>
            <w:tr>
              <w:tblPrEx>
                <w:tblCellMar>
                  <w:top w:w="0" w:type="dxa"/>
                  <w:left w:w="108" w:type="dxa"/>
                  <w:bottom w:w="0" w:type="dxa"/>
                  <w:right w:w="108" w:type="dxa"/>
                </w:tblCellMar>
              </w:tblPrEx>
              <w:trPr>
                <w:trHeight w:val="285" w:hRule="atLeast"/>
              </w:trPr>
              <w:tc>
                <w:tcPr>
                  <w:tcW w:w="286" w:type="pc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10</w:t>
                  </w:r>
                </w:p>
              </w:tc>
              <w:tc>
                <w:tcPr>
                  <w:tcW w:w="406"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0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589"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487"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rFonts w:hint="eastAsia"/>
                      <w:color w:val="FF0000"/>
                      <w:spacing w:val="-20"/>
                      <w:kern w:val="0"/>
                      <w:szCs w:val="21"/>
                    </w:rPr>
                    <w:t>/</w:t>
                  </w:r>
                </w:p>
              </w:tc>
              <w:tc>
                <w:tcPr>
                  <w:tcW w:w="102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kern w:val="0"/>
                      <w:szCs w:val="21"/>
                    </w:rPr>
                  </w:pPr>
                  <w:r>
                    <w:rPr>
                      <w:rFonts w:hint="eastAsia"/>
                      <w:color w:val="FF0000"/>
                      <w:kern w:val="0"/>
                      <w:szCs w:val="21"/>
                    </w:rPr>
                    <w:t>烟气处理设施处理量</w:t>
                  </w:r>
                </w:p>
              </w:tc>
              <w:tc>
                <w:tcPr>
                  <w:tcW w:w="583"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24.002</w:t>
                  </w:r>
                </w:p>
              </w:tc>
              <w:tc>
                <w:tcPr>
                  <w:tcW w:w="591"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48.083</w:t>
                  </w:r>
                </w:p>
              </w:tc>
              <w:tc>
                <w:tcPr>
                  <w:tcW w:w="534"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72.085</w:t>
                  </w:r>
                </w:p>
              </w:tc>
            </w:tr>
            <w:tr>
              <w:tblPrEx>
                <w:tblCellMar>
                  <w:top w:w="0" w:type="dxa"/>
                  <w:left w:w="108" w:type="dxa"/>
                  <w:bottom w:w="0" w:type="dxa"/>
                  <w:right w:w="108" w:type="dxa"/>
                </w:tblCellMar>
              </w:tblPrEx>
              <w:trPr>
                <w:trHeight w:val="285" w:hRule="atLeast"/>
              </w:trPr>
              <w:tc>
                <w:tcPr>
                  <w:tcW w:w="69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合计</w:t>
                  </w:r>
                </w:p>
              </w:tc>
              <w:tc>
                <w:tcPr>
                  <w:tcW w:w="50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30000</w:t>
                  </w:r>
                </w:p>
              </w:tc>
              <w:tc>
                <w:tcPr>
                  <w:tcW w:w="589"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60000</w:t>
                  </w:r>
                </w:p>
              </w:tc>
              <w:tc>
                <w:tcPr>
                  <w:tcW w:w="487"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90000</w:t>
                  </w:r>
                </w:p>
              </w:tc>
              <w:tc>
                <w:tcPr>
                  <w:tcW w:w="1022"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kern w:val="0"/>
                      <w:szCs w:val="21"/>
                    </w:rPr>
                  </w:pPr>
                  <w:r>
                    <w:rPr>
                      <w:color w:val="FF0000"/>
                      <w:kern w:val="0"/>
                      <w:szCs w:val="21"/>
                    </w:rPr>
                    <w:t>合计</w:t>
                  </w:r>
                </w:p>
              </w:tc>
              <w:tc>
                <w:tcPr>
                  <w:tcW w:w="583"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30000</w:t>
                  </w:r>
                </w:p>
              </w:tc>
              <w:tc>
                <w:tcPr>
                  <w:tcW w:w="591"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60000</w:t>
                  </w:r>
                </w:p>
              </w:tc>
              <w:tc>
                <w:tcPr>
                  <w:tcW w:w="534" w:type="pct"/>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spacing w:val="-20"/>
                      <w:kern w:val="0"/>
                      <w:szCs w:val="21"/>
                    </w:rPr>
                  </w:pPr>
                  <w:r>
                    <w:rPr>
                      <w:color w:val="FF0000"/>
                      <w:spacing w:val="-20"/>
                      <w:kern w:val="0"/>
                      <w:szCs w:val="21"/>
                    </w:rPr>
                    <w:t>90000</w:t>
                  </w:r>
                </w:p>
              </w:tc>
            </w:tr>
          </w:tbl>
          <w:p>
            <w:pPr>
              <w:adjustRightInd w:val="0"/>
              <w:snapToGrid w:val="0"/>
              <w:spacing w:line="240" w:lineRule="auto"/>
              <w:jc w:val="center"/>
              <w:rPr>
                <w:b/>
                <w:color w:val="000000" w:themeColor="text1"/>
                <w:sz w:val="24"/>
                <w14:textFill>
                  <w14:solidFill>
                    <w14:schemeClr w14:val="tx1"/>
                  </w14:solidFill>
                </w14:textFill>
              </w:rPr>
            </w:pPr>
            <w:r>
              <w:object>
                <v:shape id="_x0000_i1028" o:spt="75" type="#_x0000_t75" style="height:382.9pt;width:408.45pt;" o:ole="t" filled="f" o:preferrelative="t" stroked="f" coordsize="21600,21600">
                  <v:path/>
                  <v:fill on="f" focussize="0,0"/>
                  <v:stroke on="f" joinstyle="miter"/>
                  <v:imagedata r:id="rId18" o:title=""/>
                  <o:lock v:ext="edit" aspectratio="t"/>
                  <w10:wrap type="none"/>
                  <w10:anchorlock/>
                </v:shape>
                <o:OLEObject Type="Embed" ProgID="Visio.Drawing.15" ShapeID="_x0000_i1028" DrawAspect="Content" ObjectID="_1468075728" r:id="rId17">
                  <o:LockedField>false</o:LockedField>
                </o:OLEObject>
              </w:object>
            </w:r>
          </w:p>
          <w:p>
            <w:pPr>
              <w:adjustRightInd w:val="0"/>
              <w:snapToGrid w:val="0"/>
              <w:spacing w:line="24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图2</w:t>
            </w:r>
            <w:r>
              <w:rPr>
                <w:b/>
                <w:color w:val="000000" w:themeColor="text1"/>
                <w:sz w:val="24"/>
                <w14:textFill>
                  <w14:solidFill>
                    <w14:schemeClr w14:val="tx1"/>
                  </w14:solidFill>
                </w14:textFill>
              </w:rPr>
              <w:t>.6</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 xml:space="preserve">1  </w:t>
            </w:r>
            <w:r>
              <w:rPr>
                <w:rFonts w:hint="eastAsia"/>
                <w:b/>
                <w:color w:val="000000" w:themeColor="text1"/>
                <w:sz w:val="24"/>
                <w14:textFill>
                  <w14:solidFill>
                    <w14:schemeClr w14:val="tx1"/>
                  </w14:solidFill>
                </w14:textFill>
              </w:rPr>
              <w:t>项目一期工程物料平衡图</w:t>
            </w:r>
          </w:p>
          <w:p>
            <w:pPr>
              <w:pStyle w:val="2"/>
              <w:rPr>
                <w:color w:val="000000" w:themeColor="text1"/>
                <w14:textFill>
                  <w14:solidFill>
                    <w14:schemeClr w14:val="tx1"/>
                  </w14:solidFill>
                </w14:textFill>
              </w:rPr>
            </w:pPr>
          </w:p>
          <w:p>
            <w:pPr>
              <w:pStyle w:val="3"/>
              <w:numPr>
                <w:ilvl w:val="0"/>
                <w:numId w:val="0"/>
              </w:numPr>
              <w:ind w:left="2040" w:hanging="360"/>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adjustRightInd w:val="0"/>
              <w:snapToGrid w:val="0"/>
              <w:spacing w:line="240" w:lineRule="auto"/>
              <w:jc w:val="center"/>
              <w:rPr>
                <w:b/>
                <w:color w:val="000000" w:themeColor="text1"/>
                <w:sz w:val="24"/>
                <w14:textFill>
                  <w14:solidFill>
                    <w14:schemeClr w14:val="tx1"/>
                  </w14:solidFill>
                </w14:textFill>
              </w:rPr>
            </w:pPr>
            <w:r>
              <w:object>
                <v:shape id="_x0000_i1029" o:spt="75" type="#_x0000_t75" style="height:382.9pt;width:408.45pt;" o:ole="t" filled="f" o:preferrelative="t" stroked="f" coordsize="21600,21600">
                  <v:path/>
                  <v:fill on="f" focussize="0,0"/>
                  <v:stroke on="f" joinstyle="miter"/>
                  <v:imagedata r:id="rId20" o:title=""/>
                  <o:lock v:ext="edit" aspectratio="t"/>
                  <w10:wrap type="none"/>
                  <w10:anchorlock/>
                </v:shape>
                <o:OLEObject Type="Embed" ProgID="Visio.Drawing.15" ShapeID="_x0000_i1029" DrawAspect="Content" ObjectID="_1468075729" r:id="rId19">
                  <o:LockedField>false</o:LockedField>
                </o:OLEObject>
              </w:object>
            </w:r>
          </w:p>
          <w:p>
            <w:pPr>
              <w:adjustRightInd w:val="0"/>
              <w:snapToGrid w:val="0"/>
              <w:spacing w:line="24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图2</w:t>
            </w:r>
            <w:r>
              <w:rPr>
                <w:b/>
                <w:color w:val="000000" w:themeColor="text1"/>
                <w:sz w:val="24"/>
                <w14:textFill>
                  <w14:solidFill>
                    <w14:schemeClr w14:val="tx1"/>
                  </w14:solidFill>
                </w14:textFill>
              </w:rPr>
              <w:t>.6</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 xml:space="preserve">2  </w:t>
            </w:r>
            <w:r>
              <w:rPr>
                <w:rFonts w:hint="eastAsia"/>
                <w:b/>
                <w:color w:val="000000" w:themeColor="text1"/>
                <w:sz w:val="24"/>
                <w14:textFill>
                  <w14:solidFill>
                    <w14:schemeClr w14:val="tx1"/>
                  </w14:solidFill>
                </w14:textFill>
              </w:rPr>
              <w:t>项目二期工程物料平衡图</w:t>
            </w:r>
          </w:p>
          <w:p>
            <w:pPr>
              <w:pStyle w:val="2"/>
              <w:rPr>
                <w:color w:val="000000" w:themeColor="text1"/>
                <w14:textFill>
                  <w14:solidFill>
                    <w14:schemeClr w14:val="tx1"/>
                  </w14:solidFill>
                </w14:textFill>
              </w:rPr>
            </w:pPr>
          </w:p>
          <w:p>
            <w:pPr>
              <w:pStyle w:val="3"/>
              <w:numPr>
                <w:ilvl w:val="0"/>
                <w:numId w:val="0"/>
              </w:numPr>
              <w:ind w:left="2040" w:hanging="360"/>
              <w:rPr>
                <w:color w:val="000000" w:themeColor="text1"/>
                <w14:textFill>
                  <w14:solidFill>
                    <w14:schemeClr w14:val="tx1"/>
                  </w14:solidFill>
                </w14:textFill>
              </w:rPr>
            </w:pPr>
          </w:p>
          <w:p>
            <w:pPr>
              <w:pStyle w:val="3"/>
              <w:numPr>
                <w:ilvl w:val="0"/>
                <w:numId w:val="0"/>
              </w:numPr>
              <w:ind w:left="2040" w:hanging="360"/>
              <w:rPr>
                <w:color w:val="000000" w:themeColor="text1"/>
                <w14:textFill>
                  <w14:solidFill>
                    <w14:schemeClr w14:val="tx1"/>
                  </w14:solidFill>
                </w14:textFill>
              </w:rPr>
            </w:pPr>
          </w:p>
          <w:p>
            <w:pPr>
              <w:pStyle w:val="3"/>
              <w:numPr>
                <w:ilvl w:val="0"/>
                <w:numId w:val="0"/>
              </w:numPr>
              <w:ind w:left="2040" w:hanging="360"/>
              <w:rPr>
                <w:color w:val="000000" w:themeColor="text1"/>
                <w14:textFill>
                  <w14:solidFill>
                    <w14:schemeClr w14:val="tx1"/>
                  </w14:solidFill>
                </w14:textFill>
              </w:rPr>
            </w:pPr>
          </w:p>
          <w:p>
            <w:pPr>
              <w:pStyle w:val="3"/>
              <w:numPr>
                <w:ilvl w:val="0"/>
                <w:numId w:val="0"/>
              </w:numPr>
              <w:ind w:left="2040" w:hanging="360"/>
              <w:rPr>
                <w:color w:val="000000" w:themeColor="text1"/>
                <w14:textFill>
                  <w14:solidFill>
                    <w14:schemeClr w14:val="tx1"/>
                  </w14:solidFill>
                </w14:textFill>
              </w:rPr>
            </w:pPr>
          </w:p>
          <w:p>
            <w:pPr>
              <w:pStyle w:val="3"/>
              <w:numPr>
                <w:ilvl w:val="0"/>
                <w:numId w:val="0"/>
              </w:numPr>
              <w:ind w:left="2040" w:hanging="360"/>
              <w:rPr>
                <w:color w:val="000000" w:themeColor="text1"/>
                <w14:textFill>
                  <w14:solidFill>
                    <w14:schemeClr w14:val="tx1"/>
                  </w14:solidFill>
                </w14:textFill>
              </w:rPr>
            </w:pPr>
          </w:p>
          <w:p>
            <w:pPr>
              <w:pStyle w:val="3"/>
              <w:numPr>
                <w:ilvl w:val="0"/>
                <w:numId w:val="0"/>
              </w:numPr>
              <w:ind w:left="2040" w:hanging="360"/>
              <w:rPr>
                <w:color w:val="000000" w:themeColor="text1"/>
                <w14:textFill>
                  <w14:solidFill>
                    <w14:schemeClr w14:val="tx1"/>
                  </w14:solidFill>
                </w14:textFill>
              </w:rPr>
            </w:pPr>
          </w:p>
          <w:p>
            <w:pPr>
              <w:pStyle w:val="3"/>
              <w:numPr>
                <w:ilvl w:val="0"/>
                <w:numId w:val="0"/>
              </w:numPr>
              <w:ind w:left="2040" w:hanging="360"/>
              <w:rPr>
                <w:color w:val="000000" w:themeColor="text1"/>
                <w14:textFill>
                  <w14:solidFill>
                    <w14:schemeClr w14:val="tx1"/>
                  </w14:solidFill>
                </w14:textFill>
              </w:rPr>
            </w:pPr>
          </w:p>
          <w:p>
            <w:pPr>
              <w:pStyle w:val="3"/>
              <w:numPr>
                <w:ilvl w:val="0"/>
                <w:numId w:val="0"/>
              </w:numPr>
              <w:ind w:left="2040" w:hanging="360"/>
              <w:rPr>
                <w:color w:val="000000" w:themeColor="text1"/>
                <w14:textFill>
                  <w14:solidFill>
                    <w14:schemeClr w14:val="tx1"/>
                  </w14:solidFill>
                </w14:textFill>
              </w:rPr>
            </w:pPr>
          </w:p>
          <w:p>
            <w:pPr>
              <w:pStyle w:val="3"/>
              <w:numPr>
                <w:ilvl w:val="0"/>
                <w:numId w:val="0"/>
              </w:numPr>
              <w:ind w:left="2040" w:hanging="360"/>
              <w:rPr>
                <w:color w:val="000000" w:themeColor="text1"/>
                <w14:textFill>
                  <w14:solidFill>
                    <w14:schemeClr w14:val="tx1"/>
                  </w14:solidFill>
                </w14:textFill>
              </w:rPr>
            </w:pPr>
          </w:p>
          <w:p>
            <w:pPr>
              <w:pStyle w:val="3"/>
              <w:numPr>
                <w:ilvl w:val="0"/>
                <w:numId w:val="0"/>
              </w:numPr>
              <w:ind w:left="2040" w:hanging="360"/>
              <w:rPr>
                <w:color w:val="000000" w:themeColor="text1"/>
                <w14:textFill>
                  <w14:solidFill>
                    <w14:schemeClr w14:val="tx1"/>
                  </w14:solidFill>
                </w14:textFill>
              </w:rPr>
            </w:pPr>
          </w:p>
          <w:p>
            <w:pPr>
              <w:pStyle w:val="3"/>
              <w:numPr>
                <w:ilvl w:val="0"/>
                <w:numId w:val="0"/>
              </w:numPr>
              <w:ind w:left="2040" w:hanging="360"/>
              <w:rPr>
                <w:color w:val="000000" w:themeColor="text1"/>
                <w14:textFill>
                  <w14:solidFill>
                    <w14:schemeClr w14:val="tx1"/>
                  </w14:solidFill>
                </w14:textFill>
              </w:rPr>
            </w:pPr>
          </w:p>
          <w:p>
            <w:pPr>
              <w:pStyle w:val="3"/>
              <w:numPr>
                <w:ilvl w:val="0"/>
                <w:numId w:val="0"/>
              </w:numPr>
              <w:ind w:left="2040" w:hanging="360"/>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adjustRightInd w:val="0"/>
              <w:snapToGrid w:val="0"/>
              <w:spacing w:line="240" w:lineRule="auto"/>
              <w:jc w:val="center"/>
              <w:rPr>
                <w:b/>
                <w:color w:val="000000" w:themeColor="text1"/>
                <w:sz w:val="24"/>
                <w14:textFill>
                  <w14:solidFill>
                    <w14:schemeClr w14:val="tx1"/>
                  </w14:solidFill>
                </w14:textFill>
              </w:rPr>
            </w:pPr>
            <w:r>
              <w:object>
                <v:shape id="_x0000_i1030" o:spt="75" type="#_x0000_t75" style="height:382.9pt;width:408.45pt;" o:ole="t" filled="f" o:preferrelative="t" stroked="f" coordsize="21600,21600">
                  <v:path/>
                  <v:fill on="f" focussize="0,0"/>
                  <v:stroke on="f" joinstyle="miter"/>
                  <v:imagedata r:id="rId22" o:title=""/>
                  <o:lock v:ext="edit" aspectratio="t"/>
                  <w10:wrap type="none"/>
                  <w10:anchorlock/>
                </v:shape>
                <o:OLEObject Type="Embed" ProgID="Visio.Drawing.15" ShapeID="_x0000_i1030" DrawAspect="Content" ObjectID="_1468075730" r:id="rId21">
                  <o:LockedField>false</o:LockedField>
                </o:OLEObject>
              </w:object>
            </w:r>
          </w:p>
          <w:p>
            <w:pPr>
              <w:adjustRightInd w:val="0"/>
              <w:snapToGrid w:val="0"/>
              <w:spacing w:line="24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图2</w:t>
            </w:r>
            <w:r>
              <w:rPr>
                <w:b/>
                <w:color w:val="000000" w:themeColor="text1"/>
                <w:sz w:val="24"/>
                <w14:textFill>
                  <w14:solidFill>
                    <w14:schemeClr w14:val="tx1"/>
                  </w14:solidFill>
                </w14:textFill>
              </w:rPr>
              <w:t>.6</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 xml:space="preserve">3  </w:t>
            </w:r>
            <w:r>
              <w:rPr>
                <w:rFonts w:hint="eastAsia"/>
                <w:b/>
                <w:color w:val="000000" w:themeColor="text1"/>
                <w:sz w:val="24"/>
                <w14:textFill>
                  <w14:solidFill>
                    <w14:schemeClr w14:val="tx1"/>
                  </w14:solidFill>
                </w14:textFill>
              </w:rPr>
              <w:t>项目总体工程物料平衡图</w:t>
            </w:r>
          </w:p>
          <w:p>
            <w:pPr>
              <w:adjustRightInd w:val="0"/>
              <w:snapToGrid w:val="0"/>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（1）热平衡</w:t>
            </w:r>
          </w:p>
          <w:p>
            <w:pPr>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项目运营期每条连续干馏裂解生产线的燃烧炉初次启动采用天然气进行燃烧供热。生产设备正常运行后采用裂解产生的不凝气进行燃烧供热。</w:t>
            </w:r>
          </w:p>
          <w:p>
            <w:pPr>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根据《废旧轮胎热解过程的能耗分析》（薛大明，大连理工大学学报，1</w:t>
            </w:r>
            <w:r>
              <w:rPr>
                <w:color w:val="000000" w:themeColor="text1"/>
                <w:sz w:val="24"/>
                <w:szCs w:val="20"/>
                <w14:textFill>
                  <w14:solidFill>
                    <w14:schemeClr w14:val="tx1"/>
                  </w14:solidFill>
                </w14:textFill>
              </w:rPr>
              <w:t>999</w:t>
            </w:r>
            <w:r>
              <w:rPr>
                <w:rFonts w:hint="eastAsia"/>
                <w:color w:val="000000" w:themeColor="text1"/>
                <w:sz w:val="24"/>
                <w:szCs w:val="20"/>
                <w14:textFill>
                  <w14:solidFill>
                    <w14:schemeClr w14:val="tx1"/>
                  </w14:solidFill>
                </w14:textFill>
              </w:rPr>
              <w:t>年），1kg废旧轮胎热裂解所需的能源为1</w:t>
            </w:r>
            <w:r>
              <w:rPr>
                <w:color w:val="000000" w:themeColor="text1"/>
                <w:sz w:val="24"/>
                <w:szCs w:val="20"/>
                <w14:textFill>
                  <w14:solidFill>
                    <w14:schemeClr w14:val="tx1"/>
                  </w14:solidFill>
                </w14:textFill>
              </w:rPr>
              <w:t>994</w:t>
            </w:r>
            <w:r>
              <w:rPr>
                <w:rFonts w:hint="eastAsia"/>
                <w:color w:val="000000" w:themeColor="text1"/>
                <w:sz w:val="24"/>
                <w:szCs w:val="20"/>
                <w14:textFill>
                  <w14:solidFill>
                    <w14:schemeClr w14:val="tx1"/>
                  </w14:solidFill>
                </w14:textFill>
              </w:rPr>
              <w:t>k</w:t>
            </w:r>
            <w:r>
              <w:rPr>
                <w:color w:val="000000" w:themeColor="text1"/>
                <w:sz w:val="24"/>
                <w:szCs w:val="20"/>
                <w14:textFill>
                  <w14:solidFill>
                    <w14:schemeClr w14:val="tx1"/>
                  </w14:solidFill>
                </w14:textFill>
              </w:rPr>
              <w:t>J</w:t>
            </w:r>
            <w:r>
              <w:rPr>
                <w:rFonts w:hint="eastAsia"/>
                <w:color w:val="000000" w:themeColor="text1"/>
                <w:sz w:val="24"/>
                <w:szCs w:val="20"/>
                <w14:textFill>
                  <w14:solidFill>
                    <w14:schemeClr w14:val="tx1"/>
                  </w14:solidFill>
                </w14:textFill>
              </w:rPr>
              <w:t>。项目采用的热裂解装置的热量利用率按</w:t>
            </w:r>
            <w:r>
              <w:rPr>
                <w:color w:val="000000" w:themeColor="text1"/>
                <w:sz w:val="24"/>
                <w:szCs w:val="20"/>
                <w14:textFill>
                  <w14:solidFill>
                    <w14:schemeClr w14:val="tx1"/>
                  </w14:solidFill>
                </w14:textFill>
              </w:rPr>
              <w:t>70</w:t>
            </w:r>
            <w:r>
              <w:rPr>
                <w:rFonts w:hint="eastAsia"/>
                <w:color w:val="000000" w:themeColor="text1"/>
                <w:sz w:val="24"/>
                <w:szCs w:val="20"/>
                <w14:textFill>
                  <w14:solidFill>
                    <w14:schemeClr w14:val="tx1"/>
                  </w14:solidFill>
                </w14:textFill>
              </w:rPr>
              <w:t>%计，项目9万吨废旧轮胎全部裂解所需能量为25</w:t>
            </w:r>
            <w:r>
              <w:rPr>
                <w:color w:val="000000" w:themeColor="text1"/>
                <w:sz w:val="24"/>
                <w:szCs w:val="20"/>
                <w14:textFill>
                  <w14:solidFill>
                    <w14:schemeClr w14:val="tx1"/>
                  </w14:solidFill>
                </w14:textFill>
              </w:rPr>
              <w:t>.64×10</w:t>
            </w:r>
            <w:r>
              <w:rPr>
                <w:color w:val="000000" w:themeColor="text1"/>
                <w:sz w:val="24"/>
                <w:szCs w:val="20"/>
                <w:vertAlign w:val="superscript"/>
                <w14:textFill>
                  <w14:solidFill>
                    <w14:schemeClr w14:val="tx1"/>
                  </w14:solidFill>
                </w14:textFill>
              </w:rPr>
              <w:t>10</w:t>
            </w:r>
            <w:r>
              <w:rPr>
                <w:color w:val="000000" w:themeColor="text1"/>
                <w:sz w:val="24"/>
                <w:szCs w:val="20"/>
                <w14:textFill>
                  <w14:solidFill>
                    <w14:schemeClr w14:val="tx1"/>
                  </w14:solidFill>
                </w14:textFill>
              </w:rPr>
              <w:t>kJ/a。其中一期热裂解所需能量为8.55×10</w:t>
            </w:r>
            <w:r>
              <w:rPr>
                <w:color w:val="000000" w:themeColor="text1"/>
                <w:sz w:val="24"/>
                <w:szCs w:val="20"/>
                <w:vertAlign w:val="superscript"/>
                <w14:textFill>
                  <w14:solidFill>
                    <w14:schemeClr w14:val="tx1"/>
                  </w14:solidFill>
                </w14:textFill>
              </w:rPr>
              <w:t>10</w:t>
            </w:r>
            <w:r>
              <w:rPr>
                <w:color w:val="000000" w:themeColor="text1"/>
                <w:sz w:val="24"/>
                <w:szCs w:val="20"/>
                <w14:textFill>
                  <w14:solidFill>
                    <w14:schemeClr w14:val="tx1"/>
                  </w14:solidFill>
                </w14:textFill>
              </w:rPr>
              <w:t>kJ/a；二期热裂解所需能量为17.09×10</w:t>
            </w:r>
            <w:r>
              <w:rPr>
                <w:color w:val="000000" w:themeColor="text1"/>
                <w:sz w:val="24"/>
                <w:szCs w:val="20"/>
                <w:vertAlign w:val="superscript"/>
                <w14:textFill>
                  <w14:solidFill>
                    <w14:schemeClr w14:val="tx1"/>
                  </w14:solidFill>
                </w14:textFill>
              </w:rPr>
              <w:t>10</w:t>
            </w:r>
            <w:r>
              <w:rPr>
                <w:color w:val="000000" w:themeColor="text1"/>
                <w:sz w:val="24"/>
                <w:szCs w:val="20"/>
                <w14:textFill>
                  <w14:solidFill>
                    <w14:schemeClr w14:val="tx1"/>
                  </w14:solidFill>
                </w14:textFill>
              </w:rPr>
              <w:t>kJ/a。</w:t>
            </w:r>
          </w:p>
          <w:p>
            <w:pPr>
              <w:ind w:firstLine="480" w:firstLineChars="200"/>
              <w:rPr>
                <w:color w:val="000000" w:themeColor="text1"/>
                <w:sz w:val="24"/>
                <w:szCs w:val="20"/>
                <w:vertAlign w:val="superscript"/>
                <w14:textFill>
                  <w14:solidFill>
                    <w14:schemeClr w14:val="tx1"/>
                  </w14:solidFill>
                </w14:textFill>
              </w:rPr>
            </w:pPr>
            <w:r>
              <w:rPr>
                <w:rFonts w:hint="eastAsia"/>
                <w:color w:val="000000" w:themeColor="text1"/>
                <w:sz w:val="24"/>
                <w:szCs w:val="20"/>
                <w14:textFill>
                  <w14:solidFill>
                    <w14:schemeClr w14:val="tx1"/>
                  </w14:solidFill>
                </w14:textFill>
              </w:rPr>
              <w:t>项目裂解不凝气产生量为7</w:t>
            </w:r>
            <w:r>
              <w:rPr>
                <w:color w:val="000000" w:themeColor="text1"/>
                <w:sz w:val="24"/>
                <w:szCs w:val="20"/>
                <w14:textFill>
                  <w14:solidFill>
                    <w14:schemeClr w14:val="tx1"/>
                  </w14:solidFill>
                </w14:textFill>
              </w:rPr>
              <w:t>200</w:t>
            </w:r>
            <w:r>
              <w:rPr>
                <w:rFonts w:hint="eastAsia"/>
                <w:color w:val="000000" w:themeColor="text1"/>
                <w:sz w:val="24"/>
                <w:szCs w:val="20"/>
                <w14:textFill>
                  <w14:solidFill>
                    <w14:schemeClr w14:val="tx1"/>
                  </w14:solidFill>
                </w14:textFill>
              </w:rPr>
              <w:t>t</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a，其中一期为</w:t>
            </w:r>
            <w:r>
              <w:rPr>
                <w:color w:val="000000" w:themeColor="text1"/>
                <w:sz w:val="24"/>
                <w:szCs w:val="20"/>
                <w14:textFill>
                  <w14:solidFill>
                    <w14:schemeClr w14:val="tx1"/>
                  </w14:solidFill>
                </w14:textFill>
              </w:rPr>
              <w:t>2400</w:t>
            </w:r>
            <w:r>
              <w:rPr>
                <w:rFonts w:hint="eastAsia"/>
                <w:color w:val="000000" w:themeColor="text1"/>
                <w:sz w:val="24"/>
                <w:szCs w:val="20"/>
                <w14:textFill>
                  <w14:solidFill>
                    <w14:schemeClr w14:val="tx1"/>
                  </w14:solidFill>
                </w14:textFill>
              </w:rPr>
              <w:t>t</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a，二期为</w:t>
            </w:r>
            <w:r>
              <w:rPr>
                <w:color w:val="000000" w:themeColor="text1"/>
                <w:sz w:val="24"/>
                <w:szCs w:val="20"/>
                <w14:textFill>
                  <w14:solidFill>
                    <w14:schemeClr w14:val="tx1"/>
                  </w14:solidFill>
                </w14:textFill>
              </w:rPr>
              <w:t>4800</w:t>
            </w:r>
            <w:r>
              <w:rPr>
                <w:rFonts w:hint="eastAsia"/>
                <w:color w:val="000000" w:themeColor="text1"/>
                <w:sz w:val="24"/>
                <w:szCs w:val="20"/>
                <w14:textFill>
                  <w14:solidFill>
                    <w14:schemeClr w14:val="tx1"/>
                  </w14:solidFill>
                </w14:textFill>
              </w:rPr>
              <w:t>t</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a。根据表2</w:t>
            </w:r>
            <w:r>
              <w:rPr>
                <w:color w:val="000000" w:themeColor="text1"/>
                <w:sz w:val="24"/>
                <w:szCs w:val="20"/>
                <w14:textFill>
                  <w14:solidFill>
                    <w14:schemeClr w14:val="tx1"/>
                  </w14:solidFill>
                </w14:textFill>
              </w:rPr>
              <w:t>.5</w:t>
            </w: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4</w:t>
            </w:r>
            <w:r>
              <w:rPr>
                <w:rFonts w:hint="eastAsia"/>
                <w:color w:val="000000" w:themeColor="text1"/>
                <w:sz w:val="24"/>
                <w:szCs w:val="20"/>
                <w14:textFill>
                  <w14:solidFill>
                    <w14:schemeClr w14:val="tx1"/>
                  </w14:solidFill>
                </w14:textFill>
              </w:rPr>
              <w:t>，不凝气密度为0</w:t>
            </w:r>
            <w:r>
              <w:rPr>
                <w:color w:val="000000" w:themeColor="text1"/>
                <w:sz w:val="24"/>
                <w:szCs w:val="20"/>
                <w14:textFill>
                  <w14:solidFill>
                    <w14:schemeClr w14:val="tx1"/>
                  </w14:solidFill>
                </w14:textFill>
              </w:rPr>
              <w:t>.7174</w:t>
            </w:r>
            <w:r>
              <w:rPr>
                <w:rFonts w:hint="eastAsia"/>
                <w:color w:val="000000" w:themeColor="text1"/>
                <w:sz w:val="24"/>
                <w:szCs w:val="20"/>
                <w14:textFill>
                  <w14:solidFill>
                    <w14:schemeClr w14:val="tx1"/>
                  </w14:solidFill>
                </w14:textFill>
              </w:rPr>
              <w:t>kg</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m</w:t>
            </w:r>
            <w:r>
              <w:rPr>
                <w:color w:val="000000" w:themeColor="text1"/>
                <w:sz w:val="24"/>
                <w:szCs w:val="20"/>
                <w:vertAlign w:val="superscript"/>
                <w14:textFill>
                  <w14:solidFill>
                    <w14:schemeClr w14:val="tx1"/>
                  </w14:solidFill>
                </w14:textFill>
              </w:rPr>
              <w:t>3</w:t>
            </w:r>
            <w:r>
              <w:rPr>
                <w:rFonts w:hint="eastAsia"/>
                <w:color w:val="000000" w:themeColor="text1"/>
                <w:sz w:val="24"/>
                <w:szCs w:val="20"/>
                <w14:textFill>
                  <w14:solidFill>
                    <w14:schemeClr w14:val="tx1"/>
                  </w14:solidFill>
                </w14:textFill>
              </w:rPr>
              <w:t>，热值为3</w:t>
            </w:r>
            <w:r>
              <w:rPr>
                <w:color w:val="000000" w:themeColor="text1"/>
                <w:sz w:val="24"/>
                <w:szCs w:val="20"/>
                <w14:textFill>
                  <w14:solidFill>
                    <w14:schemeClr w14:val="tx1"/>
                  </w14:solidFill>
                </w14:textFill>
              </w:rPr>
              <w:t>2040kJ/</w:t>
            </w:r>
            <w:r>
              <w:rPr>
                <w:rFonts w:hint="eastAsia"/>
                <w:color w:val="000000" w:themeColor="text1"/>
                <w:sz w:val="24"/>
                <w:szCs w:val="20"/>
                <w14:textFill>
                  <w14:solidFill>
                    <w14:schemeClr w14:val="tx1"/>
                  </w14:solidFill>
                </w14:textFill>
              </w:rPr>
              <w:t>m</w:t>
            </w:r>
            <w:r>
              <w:rPr>
                <w:color w:val="000000" w:themeColor="text1"/>
                <w:sz w:val="24"/>
                <w:szCs w:val="20"/>
                <w:vertAlign w:val="superscript"/>
                <w14:textFill>
                  <w14:solidFill>
                    <w14:schemeClr w14:val="tx1"/>
                  </w14:solidFill>
                </w14:textFill>
              </w:rPr>
              <w:t>3</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经计算可知，不凝气全部燃烧所能提供的热量为</w:t>
            </w:r>
            <w:r>
              <w:rPr>
                <w:color w:val="000000" w:themeColor="text1"/>
                <w:sz w:val="24"/>
                <w:szCs w:val="20"/>
                <w14:textFill>
                  <w14:solidFill>
                    <w14:schemeClr w14:val="tx1"/>
                  </w14:solidFill>
                </w14:textFill>
              </w:rPr>
              <w:t>32.16×10</w:t>
            </w:r>
            <w:r>
              <w:rPr>
                <w:color w:val="000000" w:themeColor="text1"/>
                <w:sz w:val="24"/>
                <w:szCs w:val="20"/>
                <w:vertAlign w:val="superscript"/>
                <w14:textFill>
                  <w14:solidFill>
                    <w14:schemeClr w14:val="tx1"/>
                  </w14:solidFill>
                </w14:textFill>
              </w:rPr>
              <w:t>10</w:t>
            </w:r>
            <w:r>
              <w:rPr>
                <w:color w:val="000000" w:themeColor="text1"/>
                <w:sz w:val="24"/>
                <w:szCs w:val="20"/>
                <w14:textFill>
                  <w14:solidFill>
                    <w14:schemeClr w14:val="tx1"/>
                  </w14:solidFill>
                </w14:textFill>
              </w:rPr>
              <w:t>kJ/a。</w:t>
            </w:r>
            <w:r>
              <w:rPr>
                <w:rFonts w:hint="eastAsia"/>
                <w:color w:val="000000" w:themeColor="text1"/>
                <w:sz w:val="24"/>
                <w:szCs w:val="20"/>
                <w14:textFill>
                  <w14:solidFill>
                    <w14:schemeClr w14:val="tx1"/>
                  </w14:solidFill>
                </w14:textFill>
              </w:rPr>
              <w:t>其中一期不凝气全部燃烧所能提供的热量约</w:t>
            </w:r>
            <w:r>
              <w:rPr>
                <w:color w:val="000000" w:themeColor="text1"/>
                <w:sz w:val="24"/>
                <w:szCs w:val="20"/>
                <w14:textFill>
                  <w14:solidFill>
                    <w14:schemeClr w14:val="tx1"/>
                  </w14:solidFill>
                </w14:textFill>
              </w:rPr>
              <w:t>10.72×10</w:t>
            </w:r>
            <w:r>
              <w:rPr>
                <w:color w:val="000000" w:themeColor="text1"/>
                <w:sz w:val="24"/>
                <w:szCs w:val="20"/>
                <w:vertAlign w:val="superscript"/>
                <w14:textFill>
                  <w14:solidFill>
                    <w14:schemeClr w14:val="tx1"/>
                  </w14:solidFill>
                </w14:textFill>
              </w:rPr>
              <w:t>10</w:t>
            </w:r>
            <w:r>
              <w:rPr>
                <w:color w:val="000000" w:themeColor="text1"/>
                <w:sz w:val="24"/>
                <w:szCs w:val="20"/>
                <w14:textFill>
                  <w14:solidFill>
                    <w14:schemeClr w14:val="tx1"/>
                  </w14:solidFill>
                </w14:textFill>
              </w:rPr>
              <w:t>kJ/a</w:t>
            </w:r>
            <w:r>
              <w:rPr>
                <w:rFonts w:hint="eastAsia"/>
                <w:color w:val="000000" w:themeColor="text1"/>
                <w:sz w:val="24"/>
                <w:szCs w:val="20"/>
                <w14:textFill>
                  <w14:solidFill>
                    <w14:schemeClr w14:val="tx1"/>
                  </w14:solidFill>
                </w14:textFill>
              </w:rPr>
              <w:t>，二期不凝气全部燃烧所能提供的热量约</w:t>
            </w:r>
            <w:r>
              <w:rPr>
                <w:color w:val="000000" w:themeColor="text1"/>
                <w:sz w:val="24"/>
                <w:szCs w:val="20"/>
                <w14:textFill>
                  <w14:solidFill>
                    <w14:schemeClr w14:val="tx1"/>
                  </w14:solidFill>
                </w14:textFill>
              </w:rPr>
              <w:t>21.44×10</w:t>
            </w:r>
            <w:r>
              <w:rPr>
                <w:color w:val="000000" w:themeColor="text1"/>
                <w:sz w:val="24"/>
                <w:szCs w:val="20"/>
                <w:vertAlign w:val="superscript"/>
                <w14:textFill>
                  <w14:solidFill>
                    <w14:schemeClr w14:val="tx1"/>
                  </w14:solidFill>
                </w14:textFill>
              </w:rPr>
              <w:t>10</w:t>
            </w:r>
            <w:r>
              <w:rPr>
                <w:color w:val="000000" w:themeColor="text1"/>
                <w:sz w:val="24"/>
                <w:szCs w:val="20"/>
                <w14:textFill>
                  <w14:solidFill>
                    <w14:schemeClr w14:val="tx1"/>
                  </w14:solidFill>
                </w14:textFill>
              </w:rPr>
              <w:t>kJ/a</w:t>
            </w:r>
            <w:r>
              <w:rPr>
                <w:rFonts w:hint="eastAsia"/>
                <w:color w:val="000000" w:themeColor="text1"/>
                <w:sz w:val="24"/>
                <w:szCs w:val="20"/>
                <w14:textFill>
                  <w14:solidFill>
                    <w14:schemeClr w14:val="tx1"/>
                  </w14:solidFill>
                </w14:textFill>
              </w:rPr>
              <w:t>。</w:t>
            </w:r>
          </w:p>
          <w:p>
            <w:pPr>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项目天然气只是点火用。根据企业提供资料，每次设备检修或维修后，均需要天然气进行点火启动，每条连续干馏裂解生产线停机检修或维修频次约1次/月，每条线启动一次天然气用量约6</w:t>
            </w:r>
            <w:r>
              <w:rPr>
                <w:color w:val="000000" w:themeColor="text1"/>
                <w:sz w:val="24"/>
                <w:szCs w:val="20"/>
                <w14:textFill>
                  <w14:solidFill>
                    <w14:schemeClr w14:val="tx1"/>
                  </w14:solidFill>
                </w14:textFill>
              </w:rPr>
              <w:t>00</w:t>
            </w:r>
            <w:r>
              <w:rPr>
                <w:rFonts w:hint="eastAsia"/>
                <w:color w:val="000000" w:themeColor="text1"/>
                <w:sz w:val="24"/>
                <w:szCs w:val="20"/>
                <w14:textFill>
                  <w14:solidFill>
                    <w14:schemeClr w14:val="tx1"/>
                  </w14:solidFill>
                </w14:textFill>
              </w:rPr>
              <w:t>m</w:t>
            </w:r>
            <w:r>
              <w:rPr>
                <w:color w:val="000000" w:themeColor="text1"/>
                <w:sz w:val="24"/>
                <w:szCs w:val="20"/>
                <w:vertAlign w:val="superscript"/>
                <w14:textFill>
                  <w14:solidFill>
                    <w14:schemeClr w14:val="tx1"/>
                  </w14:solidFill>
                </w14:textFill>
              </w:rPr>
              <w:t>3</w:t>
            </w:r>
            <w:r>
              <w:rPr>
                <w:rFonts w:hint="eastAsia"/>
                <w:color w:val="000000" w:themeColor="text1"/>
                <w:sz w:val="24"/>
                <w:szCs w:val="20"/>
                <w14:textFill>
                  <w14:solidFill>
                    <w14:schemeClr w14:val="tx1"/>
                  </w14:solidFill>
                </w14:textFill>
              </w:rPr>
              <w:t>，天然气年用量为4</w:t>
            </w:r>
            <w:r>
              <w:rPr>
                <w:color w:val="000000" w:themeColor="text1"/>
                <w:sz w:val="24"/>
                <w:szCs w:val="20"/>
                <w14:textFill>
                  <w14:solidFill>
                    <w14:schemeClr w14:val="tx1"/>
                  </w14:solidFill>
                </w14:textFill>
              </w:rPr>
              <w:t>.32</w:t>
            </w:r>
            <w:r>
              <w:rPr>
                <w:rFonts w:hint="eastAsia"/>
                <w:color w:val="000000" w:themeColor="text1"/>
                <w:sz w:val="24"/>
                <w:szCs w:val="20"/>
                <w14:textFill>
                  <w14:solidFill>
                    <w14:schemeClr w14:val="tx1"/>
                  </w14:solidFill>
                </w14:textFill>
              </w:rPr>
              <w:t>万m</w:t>
            </w:r>
            <w:r>
              <w:rPr>
                <w:color w:val="000000" w:themeColor="text1"/>
                <w:sz w:val="24"/>
                <w:szCs w:val="20"/>
                <w:vertAlign w:val="superscript"/>
                <w14:textFill>
                  <w14:solidFill>
                    <w14:schemeClr w14:val="tx1"/>
                  </w14:solidFill>
                </w14:textFill>
              </w:rPr>
              <w:t>3</w:t>
            </w:r>
            <w:r>
              <w:rPr>
                <w:rFonts w:hint="eastAsia"/>
                <w:color w:val="000000" w:themeColor="text1"/>
                <w:sz w:val="24"/>
                <w:szCs w:val="20"/>
                <w14:textFill>
                  <w14:solidFill>
                    <w14:schemeClr w14:val="tx1"/>
                  </w14:solidFill>
                </w14:textFill>
              </w:rPr>
              <w:t>。天然气热值按3</w:t>
            </w:r>
            <w:r>
              <w:rPr>
                <w:color w:val="000000" w:themeColor="text1"/>
                <w:sz w:val="24"/>
                <w:szCs w:val="20"/>
                <w14:textFill>
                  <w14:solidFill>
                    <w14:schemeClr w14:val="tx1"/>
                  </w14:solidFill>
                </w14:textFill>
              </w:rPr>
              <w:t>5590</w:t>
            </w:r>
            <w:r>
              <w:rPr>
                <w:color w:val="000000" w:themeColor="text1"/>
                <w:szCs w:val="21"/>
                <w14:textFill>
                  <w14:solidFill>
                    <w14:schemeClr w14:val="tx1"/>
                  </w14:solidFill>
                </w14:textFill>
              </w:rPr>
              <w:t>kJ</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m</w:t>
            </w:r>
            <w:r>
              <w:rPr>
                <w:color w:val="000000" w:themeColor="text1"/>
                <w:sz w:val="24"/>
                <w:szCs w:val="20"/>
                <w:vertAlign w:val="superscript"/>
                <w14:textFill>
                  <w14:solidFill>
                    <w14:schemeClr w14:val="tx1"/>
                  </w14:solidFill>
                </w14:textFill>
              </w:rPr>
              <w:t>3</w:t>
            </w:r>
            <w:r>
              <w:rPr>
                <w:rFonts w:hint="eastAsia"/>
                <w:color w:val="000000" w:themeColor="text1"/>
                <w:sz w:val="24"/>
                <w:szCs w:val="20"/>
                <w14:textFill>
                  <w14:solidFill>
                    <w14:schemeClr w14:val="tx1"/>
                  </w14:solidFill>
                </w14:textFill>
              </w:rPr>
              <w:t>计，则天然气提供的热量为</w:t>
            </w:r>
            <w:r>
              <w:rPr>
                <w:color w:val="000000" w:themeColor="text1"/>
                <w:sz w:val="24"/>
                <w:szCs w:val="20"/>
                <w14:textFill>
                  <w14:solidFill>
                    <w14:schemeClr w14:val="tx1"/>
                  </w14:solidFill>
                </w14:textFill>
              </w:rPr>
              <w:t>0.15×10</w:t>
            </w:r>
            <w:r>
              <w:rPr>
                <w:color w:val="000000" w:themeColor="text1"/>
                <w:sz w:val="24"/>
                <w:szCs w:val="20"/>
                <w:vertAlign w:val="superscript"/>
                <w14:textFill>
                  <w14:solidFill>
                    <w14:schemeClr w14:val="tx1"/>
                  </w14:solidFill>
                </w14:textFill>
              </w:rPr>
              <w:t>10</w:t>
            </w:r>
            <w:r>
              <w:rPr>
                <w:color w:val="000000" w:themeColor="text1"/>
                <w:sz w:val="24"/>
                <w:szCs w:val="20"/>
                <w14:textFill>
                  <w14:solidFill>
                    <w14:schemeClr w14:val="tx1"/>
                  </w14:solidFill>
                </w14:textFill>
              </w:rPr>
              <w:t>kJ/a。</w:t>
            </w:r>
          </w:p>
          <w:p>
            <w:pPr>
              <w:ind w:firstLine="480" w:firstLineChars="200"/>
              <w:rPr>
                <w:bCs/>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根据分析可知，</w:t>
            </w:r>
            <w:r>
              <w:rPr>
                <w:rFonts w:hint="eastAsia"/>
                <w:bCs/>
                <w:color w:val="000000" w:themeColor="text1"/>
                <w:sz w:val="24"/>
                <w:lang w:val="zh-CN"/>
                <w14:textFill>
                  <w14:solidFill>
                    <w14:schemeClr w14:val="tx1"/>
                  </w14:solidFill>
                </w14:textFill>
              </w:rPr>
              <w:t>不凝气</w:t>
            </w:r>
            <w:r>
              <w:rPr>
                <w:bCs/>
                <w:color w:val="000000" w:themeColor="text1"/>
                <w:sz w:val="24"/>
                <w:lang w:val="zh-CN"/>
                <w14:textFill>
                  <w14:solidFill>
                    <w14:schemeClr w14:val="tx1"/>
                  </w14:solidFill>
                </w14:textFill>
              </w:rPr>
              <w:t>和天然气</w:t>
            </w:r>
            <w:r>
              <w:rPr>
                <w:rFonts w:hint="eastAsia"/>
                <w:bCs/>
                <w:color w:val="000000" w:themeColor="text1"/>
                <w:sz w:val="24"/>
                <w:lang w:val="zh-CN"/>
                <w14:textFill>
                  <w14:solidFill>
                    <w14:schemeClr w14:val="tx1"/>
                  </w14:solidFill>
                </w14:textFill>
              </w:rPr>
              <w:t>供</w:t>
            </w:r>
            <w:r>
              <w:rPr>
                <w:bCs/>
                <w:color w:val="000000" w:themeColor="text1"/>
                <w:sz w:val="24"/>
                <w:lang w:val="zh-CN"/>
                <w14:textFill>
                  <w14:solidFill>
                    <w14:schemeClr w14:val="tx1"/>
                  </w14:solidFill>
                </w14:textFill>
              </w:rPr>
              <w:t>能大于</w:t>
            </w:r>
            <w:r>
              <w:rPr>
                <w:rFonts w:hint="eastAsia"/>
                <w:bCs/>
                <w:color w:val="000000" w:themeColor="text1"/>
                <w:sz w:val="24"/>
                <w:lang w:val="zh-CN"/>
                <w14:textFill>
                  <w14:solidFill>
                    <w14:schemeClr w14:val="tx1"/>
                  </w14:solidFill>
                </w14:textFill>
              </w:rPr>
              <w:t>轮胎裂解</w:t>
            </w:r>
            <w:r>
              <w:rPr>
                <w:bCs/>
                <w:color w:val="000000" w:themeColor="text1"/>
                <w:sz w:val="24"/>
                <w:lang w:val="zh-CN"/>
                <w14:textFill>
                  <w14:solidFill>
                    <w14:schemeClr w14:val="tx1"/>
                  </w14:solidFill>
                </w14:textFill>
              </w:rPr>
              <w:t>所需</w:t>
            </w:r>
            <w:r>
              <w:rPr>
                <w:rFonts w:hint="eastAsia"/>
                <w:bCs/>
                <w:color w:val="000000" w:themeColor="text1"/>
                <w:sz w:val="24"/>
                <w:lang w:val="zh-CN"/>
                <w14:textFill>
                  <w14:solidFill>
                    <w14:schemeClr w14:val="tx1"/>
                  </w14:solidFill>
                </w14:textFill>
              </w:rPr>
              <w:t>能量</w:t>
            </w:r>
            <w:r>
              <w:rPr>
                <w:bCs/>
                <w:color w:val="000000" w:themeColor="text1"/>
                <w:sz w:val="24"/>
                <w:lang w:val="zh-CN"/>
                <w14:textFill>
                  <w14:solidFill>
                    <w14:schemeClr w14:val="tx1"/>
                  </w14:solidFill>
                </w14:textFill>
              </w:rPr>
              <w:t>，</w:t>
            </w:r>
            <w:r>
              <w:rPr>
                <w:rFonts w:hint="eastAsia"/>
                <w:bCs/>
                <w:color w:val="000000" w:themeColor="text1"/>
                <w:sz w:val="24"/>
                <w:lang w:val="zh-CN"/>
                <w14:textFill>
                  <w14:solidFill>
                    <w14:schemeClr w14:val="tx1"/>
                  </w14:solidFill>
                </w14:textFill>
              </w:rPr>
              <w:t>另外剩余</w:t>
            </w:r>
            <w:r>
              <w:rPr>
                <w:bCs/>
                <w:color w:val="000000" w:themeColor="text1"/>
                <w:sz w:val="24"/>
                <w:lang w:val="zh-CN"/>
                <w14:textFill>
                  <w14:solidFill>
                    <w14:schemeClr w14:val="tx1"/>
                  </w14:solidFill>
                </w14:textFill>
              </w:rPr>
              <w:t>热量</w:t>
            </w:r>
            <w:r>
              <w:rPr>
                <w:rFonts w:hint="eastAsia"/>
                <w:bCs/>
                <w:color w:val="000000" w:themeColor="text1"/>
                <w:sz w:val="24"/>
                <w:lang w:val="zh-CN"/>
                <w14:textFill>
                  <w14:solidFill>
                    <w14:schemeClr w14:val="tx1"/>
                  </w14:solidFill>
                </w14:textFill>
              </w:rPr>
              <w:t>（约</w:t>
            </w:r>
            <w:r>
              <w:rPr>
                <w:bCs/>
                <w:color w:val="000000" w:themeColor="text1"/>
                <w:sz w:val="24"/>
                <w:lang w:val="zh-CN"/>
                <w14:textFill>
                  <w14:solidFill>
                    <w14:schemeClr w14:val="tx1"/>
                  </w14:solidFill>
                </w14:textFill>
              </w:rPr>
              <w:t>占总热量的20.64%</w:t>
            </w:r>
            <w:r>
              <w:rPr>
                <w:rFonts w:hint="eastAsia"/>
                <w:bCs/>
                <w:color w:val="000000" w:themeColor="text1"/>
                <w:sz w:val="24"/>
                <w:lang w:val="zh-CN"/>
                <w14:textFill>
                  <w14:solidFill>
                    <w14:schemeClr w14:val="tx1"/>
                  </w14:solidFill>
                </w14:textFill>
              </w:rPr>
              <w:t>）</w:t>
            </w:r>
            <w:r>
              <w:rPr>
                <w:bCs/>
                <w:color w:val="000000" w:themeColor="text1"/>
                <w:sz w:val="24"/>
                <w:lang w:val="zh-CN"/>
                <w14:textFill>
                  <w14:solidFill>
                    <w14:schemeClr w14:val="tx1"/>
                  </w14:solidFill>
                </w14:textFill>
              </w:rPr>
              <w:t>通过</w:t>
            </w:r>
            <w:r>
              <w:rPr>
                <w:rFonts w:hint="eastAsia"/>
                <w:bCs/>
                <w:color w:val="000000" w:themeColor="text1"/>
                <w:sz w:val="24"/>
                <w:lang w:val="zh-CN"/>
                <w14:textFill>
                  <w14:solidFill>
                    <w14:schemeClr w14:val="tx1"/>
                  </w14:solidFill>
                </w14:textFill>
              </w:rPr>
              <w:t>燃烧烟气废气处理设施的二燃室</w:t>
            </w:r>
            <w:r>
              <w:rPr>
                <w:bCs/>
                <w:color w:val="000000" w:themeColor="text1"/>
                <w:sz w:val="24"/>
                <w:lang w:val="zh-CN"/>
                <w14:textFill>
                  <w14:solidFill>
                    <w14:schemeClr w14:val="tx1"/>
                  </w14:solidFill>
                </w14:textFill>
              </w:rPr>
              <w:t>燃烧</w:t>
            </w:r>
            <w:r>
              <w:rPr>
                <w:rFonts w:hint="eastAsia"/>
                <w:bCs/>
                <w:color w:val="000000" w:themeColor="text1"/>
                <w:sz w:val="24"/>
                <w:lang w:val="zh-CN"/>
                <w14:textFill>
                  <w14:solidFill>
                    <w14:schemeClr w14:val="tx1"/>
                  </w14:solidFill>
                </w14:textFill>
              </w:rPr>
              <w:t>处理。含油废水热量较小，忽略不计。</w:t>
            </w:r>
            <w:r>
              <w:rPr>
                <w:bCs/>
                <w:color w:val="000000" w:themeColor="text1"/>
                <w:sz w:val="24"/>
                <w:lang w:val="zh-CN"/>
                <w14:textFill>
                  <w14:solidFill>
                    <w14:schemeClr w14:val="tx1"/>
                  </w14:solidFill>
                </w14:textFill>
              </w:rPr>
              <w:t>因此，项目采用裂解</w:t>
            </w:r>
            <w:r>
              <w:rPr>
                <w:rFonts w:hint="eastAsia"/>
                <w:bCs/>
                <w:color w:val="000000" w:themeColor="text1"/>
                <w:sz w:val="24"/>
                <w:lang w:val="zh-CN"/>
                <w14:textFill>
                  <w14:solidFill>
                    <w14:schemeClr w14:val="tx1"/>
                  </w14:solidFill>
                </w14:textFill>
              </w:rPr>
              <w:t>不凝气</w:t>
            </w:r>
            <w:r>
              <w:rPr>
                <w:bCs/>
                <w:color w:val="000000" w:themeColor="text1"/>
                <w:sz w:val="24"/>
                <w:lang w:val="zh-CN"/>
                <w14:textFill>
                  <w14:solidFill>
                    <w14:schemeClr w14:val="tx1"/>
                  </w14:solidFill>
                </w14:textFill>
              </w:rPr>
              <w:t>提供</w:t>
            </w:r>
            <w:r>
              <w:rPr>
                <w:rFonts w:hint="eastAsia"/>
                <w:bCs/>
                <w:color w:val="000000" w:themeColor="text1"/>
                <w:sz w:val="24"/>
                <w:lang w:val="zh-CN"/>
                <w14:textFill>
                  <w14:solidFill>
                    <w14:schemeClr w14:val="tx1"/>
                  </w14:solidFill>
                </w14:textFill>
              </w:rPr>
              <w:t>所需</w:t>
            </w:r>
            <w:r>
              <w:rPr>
                <w:bCs/>
                <w:color w:val="000000" w:themeColor="text1"/>
                <w:sz w:val="24"/>
                <w:lang w:val="zh-CN"/>
                <w14:textFill>
                  <w14:solidFill>
                    <w14:schemeClr w14:val="tx1"/>
                  </w14:solidFill>
                </w14:textFill>
              </w:rPr>
              <w:t>的能量</w:t>
            </w:r>
            <w:r>
              <w:rPr>
                <w:rFonts w:hint="eastAsia"/>
                <w:bCs/>
                <w:color w:val="000000" w:themeColor="text1"/>
                <w:sz w:val="24"/>
                <w:lang w:val="zh-CN"/>
                <w14:textFill>
                  <w14:solidFill>
                    <w14:schemeClr w14:val="tx1"/>
                  </w14:solidFill>
                </w14:textFill>
              </w:rPr>
              <w:t>供能</w:t>
            </w:r>
            <w:r>
              <w:rPr>
                <w:bCs/>
                <w:color w:val="000000" w:themeColor="text1"/>
                <w:sz w:val="24"/>
                <w:lang w:val="zh-CN"/>
                <w14:textFill>
                  <w14:solidFill>
                    <w14:schemeClr w14:val="tx1"/>
                  </w14:solidFill>
                </w14:textFill>
              </w:rPr>
              <w:t>及天然气辅助供能</w:t>
            </w:r>
            <w:r>
              <w:rPr>
                <w:rFonts w:hint="eastAsia"/>
                <w:bCs/>
                <w:color w:val="000000" w:themeColor="text1"/>
                <w:sz w:val="24"/>
                <w:lang w:val="zh-CN"/>
                <w14:textFill>
                  <w14:solidFill>
                    <w14:schemeClr w14:val="tx1"/>
                  </w14:solidFill>
                </w14:textFill>
              </w:rPr>
              <w:t>是</w:t>
            </w:r>
            <w:r>
              <w:rPr>
                <w:bCs/>
                <w:color w:val="000000" w:themeColor="text1"/>
                <w:sz w:val="24"/>
                <w:lang w:val="zh-CN"/>
                <w14:textFill>
                  <w14:solidFill>
                    <w14:schemeClr w14:val="tx1"/>
                  </w14:solidFill>
                </w14:textFill>
              </w:rPr>
              <w:t>可行</w:t>
            </w:r>
            <w:r>
              <w:rPr>
                <w:rFonts w:hint="eastAsia"/>
                <w:bCs/>
                <w:color w:val="000000" w:themeColor="text1"/>
                <w:sz w:val="24"/>
                <w:lang w:val="zh-CN"/>
                <w14:textFill>
                  <w14:solidFill>
                    <w14:schemeClr w14:val="tx1"/>
                  </w14:solidFill>
                </w14:textFill>
              </w:rPr>
              <w:t>的</w:t>
            </w:r>
            <w:r>
              <w:rPr>
                <w:bCs/>
                <w:color w:val="000000" w:themeColor="text1"/>
                <w:sz w:val="24"/>
                <w:lang w:val="zh-CN"/>
                <w14:textFill>
                  <w14:solidFill>
                    <w14:schemeClr w14:val="tx1"/>
                  </w14:solidFill>
                </w14:textFill>
              </w:rPr>
              <w:t>。</w:t>
            </w:r>
          </w:p>
          <w:p>
            <w:pPr>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项目热量平衡见图2</w:t>
            </w:r>
            <w:r>
              <w:rPr>
                <w:color w:val="000000" w:themeColor="text1"/>
                <w:sz w:val="24"/>
                <w:szCs w:val="20"/>
                <w14:textFill>
                  <w14:solidFill>
                    <w14:schemeClr w14:val="tx1"/>
                  </w14:solidFill>
                </w14:textFill>
              </w:rPr>
              <w:t>.6</w:t>
            </w: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4</w:t>
            </w:r>
            <w:r>
              <w:rPr>
                <w:rFonts w:hint="eastAsia"/>
                <w:color w:val="000000" w:themeColor="text1"/>
                <w:sz w:val="24"/>
                <w:szCs w:val="20"/>
                <w14:textFill>
                  <w14:solidFill>
                    <w14:schemeClr w14:val="tx1"/>
                  </w14:solidFill>
                </w14:textFill>
              </w:rPr>
              <w:t>~图</w:t>
            </w:r>
            <w:r>
              <w:rPr>
                <w:color w:val="000000" w:themeColor="text1"/>
                <w:sz w:val="24"/>
                <w:szCs w:val="20"/>
                <w14:textFill>
                  <w14:solidFill>
                    <w14:schemeClr w14:val="tx1"/>
                  </w14:solidFill>
                </w14:textFill>
              </w:rPr>
              <w:t>2.6</w:t>
            </w: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6</w:t>
            </w:r>
            <w:r>
              <w:rPr>
                <w:rFonts w:hint="eastAsia"/>
                <w:color w:val="000000" w:themeColor="text1"/>
                <w:sz w:val="24"/>
                <w:szCs w:val="20"/>
                <w14:textFill>
                  <w14:solidFill>
                    <w14:schemeClr w14:val="tx1"/>
                  </w14:solidFill>
                </w14:textFill>
              </w:rPr>
              <w:t>。</w:t>
            </w:r>
          </w:p>
          <w:p>
            <w:pPr>
              <w:pStyle w:val="3"/>
              <w:numPr>
                <w:ilvl w:val="0"/>
                <w:numId w:val="0"/>
              </w:numPr>
              <w:spacing w:line="240" w:lineRule="auto"/>
              <w:jc w:val="center"/>
              <w:rPr>
                <w:color w:val="000000" w:themeColor="text1"/>
                <w14:textFill>
                  <w14:solidFill>
                    <w14:schemeClr w14:val="tx1"/>
                  </w14:solidFill>
                </w14:textFill>
              </w:rPr>
            </w:pPr>
            <w:r>
              <w:object>
                <v:shape id="_x0000_i1031" o:spt="75" type="#_x0000_t75" style="height:47.8pt;width:238.2pt;" o:ole="t" filled="f" o:preferrelative="t" stroked="f" coordsize="21600,21600">
                  <v:path/>
                  <v:fill on="f" focussize="0,0"/>
                  <v:stroke on="f" joinstyle="miter"/>
                  <v:imagedata r:id="rId24" o:title=""/>
                  <o:lock v:ext="edit" aspectratio="t"/>
                  <w10:wrap type="none"/>
                  <w10:anchorlock/>
                </v:shape>
                <o:OLEObject Type="Embed" ProgID="Visio.Drawing.15" ShapeID="_x0000_i1031" DrawAspect="Content" ObjectID="_1468075731" r:id="rId23">
                  <o:LockedField>false</o:LockedField>
                </o:OLEObject>
              </w:object>
            </w:r>
          </w:p>
          <w:p>
            <w:pPr>
              <w:pStyle w:val="3"/>
              <w:numPr>
                <w:ilvl w:val="0"/>
                <w:numId w:val="0"/>
              </w:numPr>
              <w:spacing w:line="24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图2</w:t>
            </w:r>
            <w:r>
              <w:rPr>
                <w:b/>
                <w:color w:val="000000" w:themeColor="text1"/>
                <w:sz w:val="24"/>
                <w14:textFill>
                  <w14:solidFill>
                    <w14:schemeClr w14:val="tx1"/>
                  </w14:solidFill>
                </w14:textFill>
              </w:rPr>
              <w:t>.6</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 xml:space="preserve">4  </w:t>
            </w:r>
            <w:r>
              <w:rPr>
                <w:rFonts w:hint="eastAsia"/>
                <w:b/>
                <w:color w:val="000000" w:themeColor="text1"/>
                <w:sz w:val="24"/>
                <w14:textFill>
                  <w14:solidFill>
                    <w14:schemeClr w14:val="tx1"/>
                  </w14:solidFill>
                </w14:textFill>
              </w:rPr>
              <w:t xml:space="preserve">项目一期工程热量平衡图 </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单位：1</w:t>
            </w:r>
            <w:r>
              <w:rPr>
                <w:b/>
                <w:color w:val="000000" w:themeColor="text1"/>
                <w:sz w:val="24"/>
                <w14:textFill>
                  <w14:solidFill>
                    <w14:schemeClr w14:val="tx1"/>
                  </w14:solidFill>
                </w14:textFill>
              </w:rPr>
              <w:t>0</w:t>
            </w:r>
            <w:r>
              <w:rPr>
                <w:b/>
                <w:color w:val="000000" w:themeColor="text1"/>
                <w:sz w:val="24"/>
                <w:vertAlign w:val="superscript"/>
                <w14:textFill>
                  <w14:solidFill>
                    <w14:schemeClr w14:val="tx1"/>
                  </w14:solidFill>
                </w14:textFill>
              </w:rPr>
              <w:t>10</w:t>
            </w:r>
            <w:r>
              <w:rPr>
                <w:b/>
                <w:color w:val="000000" w:themeColor="text1"/>
                <w:sz w:val="24"/>
                <w14:textFill>
                  <w14:solidFill>
                    <w14:schemeClr w14:val="tx1"/>
                  </w14:solidFill>
                </w14:textFill>
              </w:rPr>
              <w:t>kJ/</w:t>
            </w:r>
            <w:r>
              <w:rPr>
                <w:rFonts w:hint="eastAsia"/>
                <w:b/>
                <w:color w:val="000000" w:themeColor="text1"/>
                <w:sz w:val="24"/>
                <w14:textFill>
                  <w14:solidFill>
                    <w14:schemeClr w14:val="tx1"/>
                  </w14:solidFill>
                </w14:textFill>
              </w:rPr>
              <w:t>a</w:t>
            </w:r>
          </w:p>
          <w:p>
            <w:pPr>
              <w:pStyle w:val="3"/>
              <w:numPr>
                <w:ilvl w:val="0"/>
                <w:numId w:val="0"/>
              </w:numPr>
              <w:spacing w:line="240" w:lineRule="auto"/>
              <w:jc w:val="center"/>
              <w:rPr>
                <w:color w:val="000000" w:themeColor="text1"/>
                <w14:textFill>
                  <w14:solidFill>
                    <w14:schemeClr w14:val="tx1"/>
                  </w14:solidFill>
                </w14:textFill>
              </w:rPr>
            </w:pPr>
            <w:r>
              <w:object>
                <v:shape id="_x0000_i1032" o:spt="75" type="#_x0000_t75" style="height:47.8pt;width:242.9pt;" o:ole="t" filled="f" o:preferrelative="t" stroked="f" coordsize="21600,21600">
                  <v:path/>
                  <v:fill on="f" focussize="0,0"/>
                  <v:stroke on="f" joinstyle="miter"/>
                  <v:imagedata r:id="rId26" o:title=""/>
                  <o:lock v:ext="edit" aspectratio="t"/>
                  <w10:wrap type="none"/>
                  <w10:anchorlock/>
                </v:shape>
                <o:OLEObject Type="Embed" ProgID="Visio.Drawing.15" ShapeID="_x0000_i1032" DrawAspect="Content" ObjectID="_1468075732" r:id="rId25">
                  <o:LockedField>false</o:LockedField>
                </o:OLEObject>
              </w:object>
            </w:r>
          </w:p>
          <w:p>
            <w:pPr>
              <w:pStyle w:val="3"/>
              <w:numPr>
                <w:ilvl w:val="0"/>
                <w:numId w:val="0"/>
              </w:numPr>
              <w:spacing w:line="24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图2</w:t>
            </w:r>
            <w:r>
              <w:rPr>
                <w:b/>
                <w:color w:val="000000" w:themeColor="text1"/>
                <w:sz w:val="24"/>
                <w14:textFill>
                  <w14:solidFill>
                    <w14:schemeClr w14:val="tx1"/>
                  </w14:solidFill>
                </w14:textFill>
              </w:rPr>
              <w:t>.6</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 xml:space="preserve">5  </w:t>
            </w:r>
            <w:r>
              <w:rPr>
                <w:rFonts w:hint="eastAsia"/>
                <w:b/>
                <w:color w:val="000000" w:themeColor="text1"/>
                <w:sz w:val="24"/>
                <w14:textFill>
                  <w14:solidFill>
                    <w14:schemeClr w14:val="tx1"/>
                  </w14:solidFill>
                </w14:textFill>
              </w:rPr>
              <w:t xml:space="preserve">项目二期工程热量平衡图 </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单位：1</w:t>
            </w:r>
            <w:r>
              <w:rPr>
                <w:b/>
                <w:color w:val="000000" w:themeColor="text1"/>
                <w:sz w:val="24"/>
                <w14:textFill>
                  <w14:solidFill>
                    <w14:schemeClr w14:val="tx1"/>
                  </w14:solidFill>
                </w14:textFill>
              </w:rPr>
              <w:t>0</w:t>
            </w:r>
            <w:r>
              <w:rPr>
                <w:b/>
                <w:color w:val="000000" w:themeColor="text1"/>
                <w:sz w:val="24"/>
                <w:vertAlign w:val="superscript"/>
                <w14:textFill>
                  <w14:solidFill>
                    <w14:schemeClr w14:val="tx1"/>
                  </w14:solidFill>
                </w14:textFill>
              </w:rPr>
              <w:t>10</w:t>
            </w:r>
            <w:r>
              <w:rPr>
                <w:b/>
                <w:color w:val="000000" w:themeColor="text1"/>
                <w:sz w:val="24"/>
                <w14:textFill>
                  <w14:solidFill>
                    <w14:schemeClr w14:val="tx1"/>
                  </w14:solidFill>
                </w14:textFill>
              </w:rPr>
              <w:t>kJ/</w:t>
            </w:r>
            <w:r>
              <w:rPr>
                <w:rFonts w:hint="eastAsia"/>
                <w:b/>
                <w:color w:val="000000" w:themeColor="text1"/>
                <w:sz w:val="24"/>
                <w14:textFill>
                  <w14:solidFill>
                    <w14:schemeClr w14:val="tx1"/>
                  </w14:solidFill>
                </w14:textFill>
              </w:rPr>
              <w:t>a</w:t>
            </w:r>
          </w:p>
          <w:p>
            <w:pPr>
              <w:pStyle w:val="3"/>
              <w:numPr>
                <w:ilvl w:val="0"/>
                <w:numId w:val="0"/>
              </w:numPr>
              <w:spacing w:line="240" w:lineRule="auto"/>
              <w:jc w:val="center"/>
              <w:rPr>
                <w:color w:val="000000" w:themeColor="text1"/>
                <w14:textFill>
                  <w14:solidFill>
                    <w14:schemeClr w14:val="tx1"/>
                  </w14:solidFill>
                </w14:textFill>
              </w:rPr>
            </w:pPr>
            <w:r>
              <w:object>
                <v:shape id="_x0000_i1033" o:spt="75" type="#_x0000_t75" style="height:48.45pt;width:251pt;" o:ole="t" filled="f" o:preferrelative="t" stroked="f" coordsize="21600,21600">
                  <v:path/>
                  <v:fill on="f" focussize="0,0"/>
                  <v:stroke on="f" joinstyle="miter"/>
                  <v:imagedata r:id="rId28" o:title=""/>
                  <o:lock v:ext="edit" aspectratio="t"/>
                  <w10:wrap type="none"/>
                  <w10:anchorlock/>
                </v:shape>
                <o:OLEObject Type="Embed" ProgID="Visio.Drawing.15" ShapeID="_x0000_i1033" DrawAspect="Content" ObjectID="_1468075733" r:id="rId27">
                  <o:LockedField>false</o:LockedField>
                </o:OLEObject>
              </w:object>
            </w:r>
          </w:p>
          <w:p>
            <w:pPr>
              <w:pStyle w:val="3"/>
              <w:numPr>
                <w:ilvl w:val="0"/>
                <w:numId w:val="0"/>
              </w:numPr>
              <w:spacing w:line="24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图2</w:t>
            </w:r>
            <w:r>
              <w:rPr>
                <w:b/>
                <w:color w:val="000000" w:themeColor="text1"/>
                <w:sz w:val="24"/>
                <w14:textFill>
                  <w14:solidFill>
                    <w14:schemeClr w14:val="tx1"/>
                  </w14:solidFill>
                </w14:textFill>
              </w:rPr>
              <w:t>.6</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 xml:space="preserve">6  </w:t>
            </w:r>
            <w:r>
              <w:rPr>
                <w:rFonts w:hint="eastAsia"/>
                <w:b/>
                <w:color w:val="000000" w:themeColor="text1"/>
                <w:sz w:val="24"/>
                <w14:textFill>
                  <w14:solidFill>
                    <w14:schemeClr w14:val="tx1"/>
                  </w14:solidFill>
                </w14:textFill>
              </w:rPr>
              <w:t xml:space="preserve">项目总体工程热量平衡图 </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单位：1</w:t>
            </w:r>
            <w:r>
              <w:rPr>
                <w:b/>
                <w:color w:val="000000" w:themeColor="text1"/>
                <w:sz w:val="24"/>
                <w14:textFill>
                  <w14:solidFill>
                    <w14:schemeClr w14:val="tx1"/>
                  </w14:solidFill>
                </w14:textFill>
              </w:rPr>
              <w:t>0</w:t>
            </w:r>
            <w:r>
              <w:rPr>
                <w:b/>
                <w:color w:val="000000" w:themeColor="text1"/>
                <w:sz w:val="24"/>
                <w:vertAlign w:val="superscript"/>
                <w14:textFill>
                  <w14:solidFill>
                    <w14:schemeClr w14:val="tx1"/>
                  </w14:solidFill>
                </w14:textFill>
              </w:rPr>
              <w:t>10</w:t>
            </w:r>
            <w:r>
              <w:rPr>
                <w:b/>
                <w:color w:val="000000" w:themeColor="text1"/>
                <w:sz w:val="24"/>
                <w14:textFill>
                  <w14:solidFill>
                    <w14:schemeClr w14:val="tx1"/>
                  </w14:solidFill>
                </w14:textFill>
              </w:rPr>
              <w:t>kJ/</w:t>
            </w:r>
            <w:r>
              <w:rPr>
                <w:rFonts w:hint="eastAsia"/>
                <w:b/>
                <w:color w:val="000000" w:themeColor="text1"/>
                <w:sz w:val="24"/>
                <w14:textFill>
                  <w14:solidFill>
                    <w14:schemeClr w14:val="tx1"/>
                  </w14:solidFill>
                </w14:textFill>
              </w:rPr>
              <w:t>a</w:t>
            </w:r>
          </w:p>
          <w:p>
            <w:pPr>
              <w:adjustRightInd w:val="0"/>
              <w:snapToGrid w:val="0"/>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2.7给排水</w:t>
            </w:r>
            <w:r>
              <w:rPr>
                <w:rFonts w:hint="eastAsia"/>
                <w:b/>
                <w:color w:val="000000" w:themeColor="text1"/>
                <w:sz w:val="24"/>
                <w14:textFill>
                  <w14:solidFill>
                    <w14:schemeClr w14:val="tx1"/>
                  </w14:solidFill>
                </w14:textFill>
              </w:rPr>
              <w:t>及水平衡</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项目运营期用水包括生产用水和生活用水</w:t>
            </w:r>
            <w:r>
              <w:rPr>
                <w:color w:val="000000" w:themeColor="text1"/>
                <w:sz w:val="24"/>
                <w14:textFill>
                  <w14:solidFill>
                    <w14:schemeClr w14:val="tx1"/>
                  </w14:solidFill>
                </w14:textFill>
              </w:rPr>
              <w:t>。</w:t>
            </w:r>
          </w:p>
          <w:p>
            <w:pPr>
              <w:pStyle w:val="72"/>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（1）生活用水</w:t>
            </w:r>
          </w:p>
          <w:p>
            <w:pPr>
              <w:pStyle w:val="72"/>
              <w:ind w:firstLine="48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①食堂用水</w:t>
            </w:r>
          </w:p>
          <w:p>
            <w:pPr>
              <w:pStyle w:val="72"/>
              <w:ind w:firstLine="480"/>
              <w:rPr>
                <w:rFonts w:cs="Times New Roman"/>
                <w:color w:val="000000" w:themeColor="text1"/>
                <w:szCs w:val="24"/>
                <w:highlight w:val="yellow"/>
                <w14:textFill>
                  <w14:solidFill>
                    <w14:schemeClr w14:val="tx1"/>
                  </w14:solidFill>
                </w14:textFill>
              </w:rPr>
            </w:pPr>
            <w:r>
              <w:rPr>
                <w:rFonts w:cs="Times New Roman"/>
                <w:color w:val="000000" w:themeColor="text1"/>
                <w:szCs w:val="24"/>
                <w14:textFill>
                  <w14:solidFill>
                    <w14:schemeClr w14:val="tx1"/>
                  </w14:solidFill>
                </w14:textFill>
              </w:rPr>
              <w:t>项目</w:t>
            </w:r>
            <w:r>
              <w:rPr>
                <w:rFonts w:hint="eastAsia" w:cs="Times New Roman"/>
                <w:color w:val="000000" w:themeColor="text1"/>
                <w:szCs w:val="24"/>
                <w14:textFill>
                  <w14:solidFill>
                    <w14:schemeClr w14:val="tx1"/>
                  </w14:solidFill>
                </w14:textFill>
              </w:rPr>
              <w:t>一期定员</w:t>
            </w:r>
            <w:r>
              <w:rPr>
                <w:rFonts w:cs="Times New Roman"/>
                <w:color w:val="000000" w:themeColor="text1"/>
                <w:szCs w:val="24"/>
                <w14:textFill>
                  <w14:solidFill>
                    <w14:schemeClr w14:val="tx1"/>
                  </w14:solidFill>
                </w14:textFill>
              </w:rPr>
              <w:t>40</w:t>
            </w:r>
            <w:r>
              <w:rPr>
                <w:rFonts w:hint="eastAsia" w:cs="Times New Roman"/>
                <w:color w:val="000000" w:themeColor="text1"/>
                <w:szCs w:val="24"/>
                <w14:textFill>
                  <w14:solidFill>
                    <w14:schemeClr w14:val="tx1"/>
                  </w14:solidFill>
                </w14:textFill>
              </w:rPr>
              <w:t>人，二期定员</w:t>
            </w:r>
            <w:r>
              <w:rPr>
                <w:rFonts w:cs="Times New Roman"/>
                <w:color w:val="000000" w:themeColor="text1"/>
                <w:szCs w:val="24"/>
                <w14:textFill>
                  <w14:solidFill>
                    <w14:schemeClr w14:val="tx1"/>
                  </w14:solidFill>
                </w14:textFill>
              </w:rPr>
              <w:t>20</w:t>
            </w:r>
            <w:r>
              <w:rPr>
                <w:rFonts w:hint="eastAsia" w:cs="Times New Roman"/>
                <w:color w:val="000000" w:themeColor="text1"/>
                <w:szCs w:val="24"/>
                <w14:textFill>
                  <w14:solidFill>
                    <w14:schemeClr w14:val="tx1"/>
                  </w14:solidFill>
                </w14:textFill>
              </w:rPr>
              <w:t>人</w:t>
            </w:r>
            <w:r>
              <w:rPr>
                <w:rFonts w:cs="Times New Roman"/>
                <w:color w:val="000000" w:themeColor="text1"/>
                <w:szCs w:val="24"/>
                <w14:textFill>
                  <w14:solidFill>
                    <w14:schemeClr w14:val="tx1"/>
                  </w14:solidFill>
                </w14:textFill>
              </w:rPr>
              <w:t>。</w:t>
            </w:r>
            <w:r>
              <w:rPr>
                <w:rFonts w:hint="eastAsia" w:cs="Times New Roman"/>
                <w:color w:val="000000" w:themeColor="text1"/>
                <w:szCs w:val="24"/>
                <w14:textFill>
                  <w14:solidFill>
                    <w14:schemeClr w14:val="tx1"/>
                  </w14:solidFill>
                </w14:textFill>
              </w:rPr>
              <w:t>项目食堂每日供应2餐。</w:t>
            </w:r>
            <w:r>
              <w:rPr>
                <w:rFonts w:cs="Times New Roman"/>
                <w:color w:val="000000" w:themeColor="text1"/>
                <w14:textFill>
                  <w14:solidFill>
                    <w14:schemeClr w14:val="tx1"/>
                  </w14:solidFill>
                </w14:textFill>
              </w:rPr>
              <w:t>根据《建筑给排水设计规范》(GB50015-2019</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食堂用水最高日2</w:t>
            </w:r>
            <w:r>
              <w:rPr>
                <w:rFonts w:cs="Times New Roman"/>
                <w:color w:val="000000" w:themeColor="text1"/>
                <w14:textFill>
                  <w14:solidFill>
                    <w14:schemeClr w14:val="tx1"/>
                  </w14:solidFill>
                </w14:textFill>
              </w:rPr>
              <w:t>0</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25L/</w:t>
            </w:r>
            <w:r>
              <w:rPr>
                <w:rFonts w:hint="eastAsia" w:cs="Times New Roman"/>
                <w:color w:val="000000" w:themeColor="text1"/>
                <w14:textFill>
                  <w14:solidFill>
                    <w14:schemeClr w14:val="tx1"/>
                  </w14:solidFill>
                </w14:textFill>
              </w:rPr>
              <w:t>人·次，平均日1</w:t>
            </w: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20L/</w:t>
            </w:r>
            <w:r>
              <w:rPr>
                <w:rFonts w:hint="eastAsia" w:cs="Times New Roman"/>
                <w:color w:val="000000" w:themeColor="text1"/>
                <w14:textFill>
                  <w14:solidFill>
                    <w14:schemeClr w14:val="tx1"/>
                  </w14:solidFill>
                </w14:textFill>
              </w:rPr>
              <w:t>人·次，本次评价取</w:t>
            </w:r>
            <w:r>
              <w:rPr>
                <w:color w:val="000000" w:themeColor="text1"/>
                <w14:textFill>
                  <w14:solidFill>
                    <w14:schemeClr w14:val="tx1"/>
                  </w14:solidFill>
                </w14:textFill>
              </w:rPr>
              <w:t>20L/人•次计，</w:t>
            </w:r>
            <w:r>
              <w:rPr>
                <w:rFonts w:cs="Times New Roman"/>
                <w:color w:val="000000" w:themeColor="text1"/>
                <w14:textFill>
                  <w14:solidFill>
                    <w14:schemeClr w14:val="tx1"/>
                  </w14:solidFill>
                </w14:textFill>
              </w:rPr>
              <w:t>产污系数按90%计</w:t>
            </w:r>
            <w:r>
              <w:rPr>
                <w:rFonts w:cs="Times New Roman"/>
                <w:color w:val="000000" w:themeColor="text1"/>
                <w:szCs w:val="24"/>
                <w14:textFill>
                  <w14:solidFill>
                    <w14:schemeClr w14:val="tx1"/>
                  </w14:solidFill>
                </w14:textFill>
              </w:rPr>
              <w:t>。</w:t>
            </w:r>
          </w:p>
          <w:p>
            <w:pPr>
              <w:pStyle w:val="72"/>
              <w:ind w:firstLine="48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经核算，</w:t>
            </w:r>
            <w:r>
              <w:rPr>
                <w:rFonts w:hint="eastAsia" w:cs="Times New Roman"/>
                <w:bCs/>
                <w:color w:val="000000" w:themeColor="text1"/>
                <w:szCs w:val="24"/>
                <w14:textFill>
                  <w14:solidFill>
                    <w14:schemeClr w14:val="tx1"/>
                  </w14:solidFill>
                </w14:textFill>
              </w:rPr>
              <w:t>项目食堂用水量为</w:t>
            </w:r>
            <w:r>
              <w:rPr>
                <w:rFonts w:cs="Times New Roman"/>
                <w:bCs/>
                <w:color w:val="000000" w:themeColor="text1"/>
                <w:szCs w:val="24"/>
                <w14:textFill>
                  <w14:solidFill>
                    <w14:schemeClr w14:val="tx1"/>
                  </w14:solidFill>
                </w14:textFill>
              </w:rPr>
              <w:t>720</w:t>
            </w:r>
            <w:r>
              <w:rPr>
                <w:rFonts w:hint="eastAsia" w:cs="Times New Roman"/>
                <w:bCs/>
                <w:color w:val="000000" w:themeColor="text1"/>
                <w:szCs w:val="24"/>
                <w14:textFill>
                  <w14:solidFill>
                    <w14:schemeClr w14:val="tx1"/>
                  </w14:solidFill>
                </w14:textFill>
              </w:rPr>
              <w:t>m</w:t>
            </w:r>
            <w:r>
              <w:rPr>
                <w:rFonts w:cs="Times New Roman"/>
                <w:bCs/>
                <w:color w:val="000000" w:themeColor="text1"/>
                <w:szCs w:val="24"/>
                <w:vertAlign w:val="superscript"/>
                <w14:textFill>
                  <w14:solidFill>
                    <w14:schemeClr w14:val="tx1"/>
                  </w14:solidFill>
                </w14:textFill>
              </w:rPr>
              <w:t>3</w:t>
            </w:r>
            <w:r>
              <w:rPr>
                <w:rFonts w:cs="Times New Roman"/>
                <w:bCs/>
                <w:color w:val="000000" w:themeColor="text1"/>
                <w:szCs w:val="24"/>
                <w14:textFill>
                  <w14:solidFill>
                    <w14:schemeClr w14:val="tx1"/>
                  </w14:solidFill>
                </w14:textFill>
              </w:rPr>
              <w:t>/a</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2.4</w:t>
            </w:r>
            <w:r>
              <w:rPr>
                <w:rFonts w:hint="eastAsia" w:cs="Times New Roman"/>
                <w:bCs/>
                <w:color w:val="000000" w:themeColor="text1"/>
                <w:szCs w:val="24"/>
                <w14:textFill>
                  <w14:solidFill>
                    <w14:schemeClr w14:val="tx1"/>
                  </w14:solidFill>
                </w14:textFill>
              </w:rPr>
              <w:t>m</w:t>
            </w:r>
            <w:r>
              <w:rPr>
                <w:rFonts w:hint="eastAsia" w:cs="Times New Roman"/>
                <w:bCs/>
                <w:color w:val="000000" w:themeColor="text1"/>
                <w:szCs w:val="24"/>
                <w:vertAlign w:val="superscript"/>
                <w14:textFill>
                  <w14:solidFill>
                    <w14:schemeClr w14:val="tx1"/>
                  </w14:solidFill>
                </w14:textFill>
              </w:rPr>
              <w:t>3</w:t>
            </w:r>
            <w:r>
              <w:rPr>
                <w:rFonts w:hint="eastAsia" w:cs="Times New Roman"/>
                <w:bCs/>
                <w:color w:val="000000" w:themeColor="text1"/>
                <w:szCs w:val="24"/>
                <w14:textFill>
                  <w14:solidFill>
                    <w14:schemeClr w14:val="tx1"/>
                  </w14:solidFill>
                </w14:textFill>
              </w:rPr>
              <w:t>/d）、食堂废水排放量为</w:t>
            </w:r>
            <w:r>
              <w:rPr>
                <w:rFonts w:cs="Times New Roman"/>
                <w:bCs/>
                <w:color w:val="000000" w:themeColor="text1"/>
                <w:szCs w:val="24"/>
                <w14:textFill>
                  <w14:solidFill>
                    <w14:schemeClr w14:val="tx1"/>
                  </w14:solidFill>
                </w14:textFill>
              </w:rPr>
              <w:t>648</w:t>
            </w:r>
            <w:r>
              <w:rPr>
                <w:rFonts w:hint="eastAsia" w:cs="Times New Roman"/>
                <w:bCs/>
                <w:color w:val="000000" w:themeColor="text1"/>
                <w:szCs w:val="24"/>
                <w14:textFill>
                  <w14:solidFill>
                    <w14:schemeClr w14:val="tx1"/>
                  </w14:solidFill>
                </w14:textFill>
              </w:rPr>
              <w:t>m</w:t>
            </w:r>
            <w:r>
              <w:rPr>
                <w:rFonts w:cs="Times New Roman"/>
                <w:bCs/>
                <w:color w:val="000000" w:themeColor="text1"/>
                <w:szCs w:val="24"/>
                <w:vertAlign w:val="superscript"/>
                <w14:textFill>
                  <w14:solidFill>
                    <w14:schemeClr w14:val="tx1"/>
                  </w14:solidFill>
                </w14:textFill>
              </w:rPr>
              <w:t>3</w:t>
            </w:r>
            <w:r>
              <w:rPr>
                <w:rFonts w:cs="Times New Roman"/>
                <w:bCs/>
                <w:color w:val="000000" w:themeColor="text1"/>
                <w:szCs w:val="24"/>
                <w14:textFill>
                  <w14:solidFill>
                    <w14:schemeClr w14:val="tx1"/>
                  </w14:solidFill>
                </w14:textFill>
              </w:rPr>
              <w:t>/a</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2.16</w:t>
            </w:r>
            <w:r>
              <w:rPr>
                <w:rFonts w:hint="eastAsia" w:cs="Times New Roman"/>
                <w:bCs/>
                <w:color w:val="000000" w:themeColor="text1"/>
                <w:szCs w:val="24"/>
                <w14:textFill>
                  <w14:solidFill>
                    <w14:schemeClr w14:val="tx1"/>
                  </w14:solidFill>
                </w14:textFill>
              </w:rPr>
              <w:t>m</w:t>
            </w:r>
            <w:r>
              <w:rPr>
                <w:rFonts w:hint="eastAsia" w:cs="Times New Roman"/>
                <w:bCs/>
                <w:color w:val="000000" w:themeColor="text1"/>
                <w:szCs w:val="24"/>
                <w:vertAlign w:val="superscript"/>
                <w14:textFill>
                  <w14:solidFill>
                    <w14:schemeClr w14:val="tx1"/>
                  </w14:solidFill>
                </w14:textFill>
              </w:rPr>
              <w:t>3</w:t>
            </w:r>
            <w:r>
              <w:rPr>
                <w:rFonts w:hint="eastAsia" w:cs="Times New Roman"/>
                <w:bCs/>
                <w:color w:val="000000" w:themeColor="text1"/>
                <w:szCs w:val="24"/>
                <w14:textFill>
                  <w14:solidFill>
                    <w14:schemeClr w14:val="tx1"/>
                  </w14:solidFill>
                </w14:textFill>
              </w:rPr>
              <w:t>/d）。其中</w:t>
            </w:r>
            <w:r>
              <w:rPr>
                <w:rFonts w:hint="eastAsia" w:cs="Times New Roman"/>
                <w:color w:val="000000" w:themeColor="text1"/>
                <w:szCs w:val="24"/>
                <w14:textFill>
                  <w14:solidFill>
                    <w14:schemeClr w14:val="tx1"/>
                  </w14:solidFill>
                </w14:textFill>
              </w:rPr>
              <w:t>一期食堂用水量为</w:t>
            </w:r>
            <w:r>
              <w:rPr>
                <w:rFonts w:cs="Times New Roman"/>
                <w:bCs/>
                <w:color w:val="000000" w:themeColor="text1"/>
                <w:szCs w:val="24"/>
                <w14:textFill>
                  <w14:solidFill>
                    <w14:schemeClr w14:val="tx1"/>
                  </w14:solidFill>
                </w14:textFill>
              </w:rPr>
              <w:t>480</w:t>
            </w:r>
            <w:r>
              <w:rPr>
                <w:rFonts w:hint="eastAsia" w:cs="Times New Roman"/>
                <w:bCs/>
                <w:color w:val="000000" w:themeColor="text1"/>
                <w:szCs w:val="24"/>
                <w14:textFill>
                  <w14:solidFill>
                    <w14:schemeClr w14:val="tx1"/>
                  </w14:solidFill>
                </w14:textFill>
              </w:rPr>
              <w:t>m</w:t>
            </w:r>
            <w:r>
              <w:rPr>
                <w:rFonts w:cs="Times New Roman"/>
                <w:bCs/>
                <w:color w:val="000000" w:themeColor="text1"/>
                <w:szCs w:val="24"/>
                <w:vertAlign w:val="superscript"/>
                <w14:textFill>
                  <w14:solidFill>
                    <w14:schemeClr w14:val="tx1"/>
                  </w14:solidFill>
                </w14:textFill>
              </w:rPr>
              <w:t>3</w:t>
            </w:r>
            <w:r>
              <w:rPr>
                <w:rFonts w:cs="Times New Roman"/>
                <w:bCs/>
                <w:color w:val="000000" w:themeColor="text1"/>
                <w:szCs w:val="24"/>
                <w14:textFill>
                  <w14:solidFill>
                    <w14:schemeClr w14:val="tx1"/>
                  </w14:solidFill>
                </w14:textFill>
              </w:rPr>
              <w:t>/a</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1.6</w:t>
            </w:r>
            <w:r>
              <w:rPr>
                <w:rFonts w:hint="eastAsia" w:cs="Times New Roman"/>
                <w:bCs/>
                <w:color w:val="000000" w:themeColor="text1"/>
                <w:szCs w:val="24"/>
                <w14:textFill>
                  <w14:solidFill>
                    <w14:schemeClr w14:val="tx1"/>
                  </w14:solidFill>
                </w14:textFill>
              </w:rPr>
              <w:t>m</w:t>
            </w:r>
            <w:r>
              <w:rPr>
                <w:rFonts w:hint="eastAsia" w:cs="Times New Roman"/>
                <w:bCs/>
                <w:color w:val="000000" w:themeColor="text1"/>
                <w:szCs w:val="24"/>
                <w:vertAlign w:val="superscript"/>
                <w14:textFill>
                  <w14:solidFill>
                    <w14:schemeClr w14:val="tx1"/>
                  </w14:solidFill>
                </w14:textFill>
              </w:rPr>
              <w:t>3</w:t>
            </w:r>
            <w:r>
              <w:rPr>
                <w:rFonts w:hint="eastAsia" w:cs="Times New Roman"/>
                <w:bCs/>
                <w:color w:val="000000" w:themeColor="text1"/>
                <w:szCs w:val="24"/>
                <w14:textFill>
                  <w14:solidFill>
                    <w14:schemeClr w14:val="tx1"/>
                  </w14:solidFill>
                </w14:textFill>
              </w:rPr>
              <w:t>/d）、食堂废水排放量为</w:t>
            </w:r>
            <w:r>
              <w:rPr>
                <w:rFonts w:cs="Times New Roman"/>
                <w:bCs/>
                <w:color w:val="000000" w:themeColor="text1"/>
                <w:szCs w:val="24"/>
                <w14:textFill>
                  <w14:solidFill>
                    <w14:schemeClr w14:val="tx1"/>
                  </w14:solidFill>
                </w14:textFill>
              </w:rPr>
              <w:t>432</w:t>
            </w:r>
            <w:r>
              <w:rPr>
                <w:rFonts w:hint="eastAsia" w:cs="Times New Roman"/>
                <w:bCs/>
                <w:color w:val="000000" w:themeColor="text1"/>
                <w:szCs w:val="24"/>
                <w14:textFill>
                  <w14:solidFill>
                    <w14:schemeClr w14:val="tx1"/>
                  </w14:solidFill>
                </w14:textFill>
              </w:rPr>
              <w:t>m</w:t>
            </w:r>
            <w:r>
              <w:rPr>
                <w:rFonts w:cs="Times New Roman"/>
                <w:bCs/>
                <w:color w:val="000000" w:themeColor="text1"/>
                <w:szCs w:val="24"/>
                <w:vertAlign w:val="superscript"/>
                <w14:textFill>
                  <w14:solidFill>
                    <w14:schemeClr w14:val="tx1"/>
                  </w14:solidFill>
                </w14:textFill>
              </w:rPr>
              <w:t>3</w:t>
            </w:r>
            <w:r>
              <w:rPr>
                <w:rFonts w:cs="Times New Roman"/>
                <w:bCs/>
                <w:color w:val="000000" w:themeColor="text1"/>
                <w:szCs w:val="24"/>
                <w14:textFill>
                  <w14:solidFill>
                    <w14:schemeClr w14:val="tx1"/>
                  </w14:solidFill>
                </w14:textFill>
              </w:rPr>
              <w:t>/a</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1.44</w:t>
            </w:r>
            <w:r>
              <w:rPr>
                <w:rFonts w:hint="eastAsia" w:cs="Times New Roman"/>
                <w:bCs/>
                <w:color w:val="000000" w:themeColor="text1"/>
                <w:szCs w:val="24"/>
                <w14:textFill>
                  <w14:solidFill>
                    <w14:schemeClr w14:val="tx1"/>
                  </w14:solidFill>
                </w14:textFill>
              </w:rPr>
              <w:t>m</w:t>
            </w:r>
            <w:r>
              <w:rPr>
                <w:rFonts w:hint="eastAsia" w:cs="Times New Roman"/>
                <w:bCs/>
                <w:color w:val="000000" w:themeColor="text1"/>
                <w:szCs w:val="24"/>
                <w:vertAlign w:val="superscript"/>
                <w14:textFill>
                  <w14:solidFill>
                    <w14:schemeClr w14:val="tx1"/>
                  </w14:solidFill>
                </w14:textFill>
              </w:rPr>
              <w:t>3</w:t>
            </w:r>
            <w:r>
              <w:rPr>
                <w:rFonts w:hint="eastAsia" w:cs="Times New Roman"/>
                <w:bCs/>
                <w:color w:val="000000" w:themeColor="text1"/>
                <w:szCs w:val="24"/>
                <w14:textFill>
                  <w14:solidFill>
                    <w14:schemeClr w14:val="tx1"/>
                  </w14:solidFill>
                </w14:textFill>
              </w:rPr>
              <w:t>/d）；二期食堂用水量</w:t>
            </w:r>
            <w:r>
              <w:rPr>
                <w:rFonts w:hint="eastAsia" w:cs="Times New Roman"/>
                <w:color w:val="000000" w:themeColor="text1"/>
                <w:szCs w:val="24"/>
                <w14:textFill>
                  <w14:solidFill>
                    <w14:schemeClr w14:val="tx1"/>
                  </w14:solidFill>
                </w14:textFill>
              </w:rPr>
              <w:t>为</w:t>
            </w:r>
            <w:r>
              <w:rPr>
                <w:rFonts w:cs="Times New Roman"/>
                <w:bCs/>
                <w:color w:val="000000" w:themeColor="text1"/>
                <w:szCs w:val="24"/>
                <w14:textFill>
                  <w14:solidFill>
                    <w14:schemeClr w14:val="tx1"/>
                  </w14:solidFill>
                </w14:textFill>
              </w:rPr>
              <w:t>240</w:t>
            </w:r>
            <w:r>
              <w:rPr>
                <w:rFonts w:hint="eastAsia" w:cs="Times New Roman"/>
                <w:bCs/>
                <w:color w:val="000000" w:themeColor="text1"/>
                <w:szCs w:val="24"/>
                <w14:textFill>
                  <w14:solidFill>
                    <w14:schemeClr w14:val="tx1"/>
                  </w14:solidFill>
                </w14:textFill>
              </w:rPr>
              <w:t>m</w:t>
            </w:r>
            <w:r>
              <w:rPr>
                <w:rFonts w:cs="Times New Roman"/>
                <w:bCs/>
                <w:color w:val="000000" w:themeColor="text1"/>
                <w:szCs w:val="24"/>
                <w:vertAlign w:val="superscript"/>
                <w14:textFill>
                  <w14:solidFill>
                    <w14:schemeClr w14:val="tx1"/>
                  </w14:solidFill>
                </w14:textFill>
              </w:rPr>
              <w:t>3</w:t>
            </w:r>
            <w:r>
              <w:rPr>
                <w:rFonts w:cs="Times New Roman"/>
                <w:bCs/>
                <w:color w:val="000000" w:themeColor="text1"/>
                <w:szCs w:val="24"/>
                <w14:textFill>
                  <w14:solidFill>
                    <w14:schemeClr w14:val="tx1"/>
                  </w14:solidFill>
                </w14:textFill>
              </w:rPr>
              <w:t>/a</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0.8</w:t>
            </w:r>
            <w:r>
              <w:rPr>
                <w:rFonts w:hint="eastAsia" w:cs="Times New Roman"/>
                <w:bCs/>
                <w:color w:val="000000" w:themeColor="text1"/>
                <w:szCs w:val="24"/>
                <w14:textFill>
                  <w14:solidFill>
                    <w14:schemeClr w14:val="tx1"/>
                  </w14:solidFill>
                </w14:textFill>
              </w:rPr>
              <w:t>m</w:t>
            </w:r>
            <w:r>
              <w:rPr>
                <w:rFonts w:hint="eastAsia" w:cs="Times New Roman"/>
                <w:bCs/>
                <w:color w:val="000000" w:themeColor="text1"/>
                <w:szCs w:val="24"/>
                <w:vertAlign w:val="superscript"/>
                <w14:textFill>
                  <w14:solidFill>
                    <w14:schemeClr w14:val="tx1"/>
                  </w14:solidFill>
                </w14:textFill>
              </w:rPr>
              <w:t>3</w:t>
            </w:r>
            <w:r>
              <w:rPr>
                <w:rFonts w:hint="eastAsia" w:cs="Times New Roman"/>
                <w:bCs/>
                <w:color w:val="000000" w:themeColor="text1"/>
                <w:szCs w:val="24"/>
                <w14:textFill>
                  <w14:solidFill>
                    <w14:schemeClr w14:val="tx1"/>
                  </w14:solidFill>
                </w14:textFill>
              </w:rPr>
              <w:t>/d）、食堂废水排放量为</w:t>
            </w:r>
            <w:r>
              <w:rPr>
                <w:rFonts w:cs="Times New Roman"/>
                <w:bCs/>
                <w:color w:val="000000" w:themeColor="text1"/>
                <w:szCs w:val="24"/>
                <w14:textFill>
                  <w14:solidFill>
                    <w14:schemeClr w14:val="tx1"/>
                  </w14:solidFill>
                </w14:textFill>
              </w:rPr>
              <w:t>216</w:t>
            </w:r>
            <w:r>
              <w:rPr>
                <w:rFonts w:hint="eastAsia" w:cs="Times New Roman"/>
                <w:bCs/>
                <w:color w:val="000000" w:themeColor="text1"/>
                <w:szCs w:val="24"/>
                <w14:textFill>
                  <w14:solidFill>
                    <w14:schemeClr w14:val="tx1"/>
                  </w14:solidFill>
                </w14:textFill>
              </w:rPr>
              <w:t>m</w:t>
            </w:r>
            <w:r>
              <w:rPr>
                <w:rFonts w:cs="Times New Roman"/>
                <w:bCs/>
                <w:color w:val="000000" w:themeColor="text1"/>
                <w:szCs w:val="24"/>
                <w:vertAlign w:val="superscript"/>
                <w14:textFill>
                  <w14:solidFill>
                    <w14:schemeClr w14:val="tx1"/>
                  </w14:solidFill>
                </w14:textFill>
              </w:rPr>
              <w:t>3</w:t>
            </w:r>
            <w:r>
              <w:rPr>
                <w:rFonts w:cs="Times New Roman"/>
                <w:bCs/>
                <w:color w:val="000000" w:themeColor="text1"/>
                <w:szCs w:val="24"/>
                <w14:textFill>
                  <w14:solidFill>
                    <w14:schemeClr w14:val="tx1"/>
                  </w14:solidFill>
                </w14:textFill>
              </w:rPr>
              <w:t>/a</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0.72</w:t>
            </w:r>
            <w:r>
              <w:rPr>
                <w:rFonts w:hint="eastAsia" w:cs="Times New Roman"/>
                <w:bCs/>
                <w:color w:val="000000" w:themeColor="text1"/>
                <w:szCs w:val="24"/>
                <w14:textFill>
                  <w14:solidFill>
                    <w14:schemeClr w14:val="tx1"/>
                  </w14:solidFill>
                </w14:textFill>
              </w:rPr>
              <w:t>m</w:t>
            </w:r>
            <w:r>
              <w:rPr>
                <w:rFonts w:hint="eastAsia" w:cs="Times New Roman"/>
                <w:bCs/>
                <w:color w:val="000000" w:themeColor="text1"/>
                <w:szCs w:val="24"/>
                <w:vertAlign w:val="superscript"/>
                <w14:textFill>
                  <w14:solidFill>
                    <w14:schemeClr w14:val="tx1"/>
                  </w14:solidFill>
                </w14:textFill>
              </w:rPr>
              <w:t>3</w:t>
            </w:r>
            <w:r>
              <w:rPr>
                <w:rFonts w:hint="eastAsia" w:cs="Times New Roman"/>
                <w:bCs/>
                <w:color w:val="000000" w:themeColor="text1"/>
                <w:szCs w:val="24"/>
                <w14:textFill>
                  <w14:solidFill>
                    <w14:schemeClr w14:val="tx1"/>
                  </w14:solidFill>
                </w14:textFill>
              </w:rPr>
              <w:t>/d）。</w:t>
            </w:r>
          </w:p>
          <w:p>
            <w:pPr>
              <w:pStyle w:val="72"/>
              <w:ind w:firstLine="48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②一般生活用水</w:t>
            </w:r>
          </w:p>
          <w:p>
            <w:pPr>
              <w:pStyle w:val="72"/>
              <w:ind w:firstLine="480"/>
              <w:rPr>
                <w:rFonts w:cs="Times New Roman"/>
                <w:color w:val="000000" w:themeColor="text1"/>
                <w:szCs w:val="24"/>
                <w:highlight w:val="yellow"/>
                <w14:textFill>
                  <w14:solidFill>
                    <w14:schemeClr w14:val="tx1"/>
                  </w14:solidFill>
                </w14:textFill>
              </w:rPr>
            </w:pPr>
            <w:r>
              <w:rPr>
                <w:rFonts w:cs="Times New Roman"/>
                <w:color w:val="000000" w:themeColor="text1"/>
                <w:szCs w:val="24"/>
                <w14:textFill>
                  <w14:solidFill>
                    <w14:schemeClr w14:val="tx1"/>
                  </w14:solidFill>
                </w14:textFill>
              </w:rPr>
              <w:t>项目</w:t>
            </w:r>
            <w:r>
              <w:rPr>
                <w:rFonts w:hint="eastAsia" w:cs="Times New Roman"/>
                <w:color w:val="000000" w:themeColor="text1"/>
                <w:szCs w:val="24"/>
                <w14:textFill>
                  <w14:solidFill>
                    <w14:schemeClr w14:val="tx1"/>
                  </w14:solidFill>
                </w14:textFill>
              </w:rPr>
              <w:t>一期定员</w:t>
            </w:r>
            <w:r>
              <w:rPr>
                <w:rFonts w:cs="Times New Roman"/>
                <w:color w:val="000000" w:themeColor="text1"/>
                <w:szCs w:val="24"/>
                <w14:textFill>
                  <w14:solidFill>
                    <w14:schemeClr w14:val="tx1"/>
                  </w14:solidFill>
                </w14:textFill>
              </w:rPr>
              <w:t>40</w:t>
            </w:r>
            <w:r>
              <w:rPr>
                <w:rFonts w:hint="eastAsia" w:cs="Times New Roman"/>
                <w:color w:val="000000" w:themeColor="text1"/>
                <w:szCs w:val="24"/>
                <w14:textFill>
                  <w14:solidFill>
                    <w14:schemeClr w14:val="tx1"/>
                  </w14:solidFill>
                </w14:textFill>
              </w:rPr>
              <w:t>人，二期定员</w:t>
            </w:r>
            <w:r>
              <w:rPr>
                <w:rFonts w:cs="Times New Roman"/>
                <w:color w:val="000000" w:themeColor="text1"/>
                <w:szCs w:val="24"/>
                <w14:textFill>
                  <w14:solidFill>
                    <w14:schemeClr w14:val="tx1"/>
                  </w14:solidFill>
                </w14:textFill>
              </w:rPr>
              <w:t>20</w:t>
            </w:r>
            <w:r>
              <w:rPr>
                <w:rFonts w:hint="eastAsia" w:cs="Times New Roman"/>
                <w:color w:val="000000" w:themeColor="text1"/>
                <w:szCs w:val="24"/>
                <w14:textFill>
                  <w14:solidFill>
                    <w14:schemeClr w14:val="tx1"/>
                  </w14:solidFill>
                </w14:textFill>
              </w:rPr>
              <w:t>人</w:t>
            </w:r>
            <w:r>
              <w:rPr>
                <w:rFonts w:cs="Times New Roman"/>
                <w:color w:val="000000" w:themeColor="text1"/>
                <w:szCs w:val="24"/>
                <w14:textFill>
                  <w14:solidFill>
                    <w14:schemeClr w14:val="tx1"/>
                  </w14:solidFill>
                </w14:textFill>
              </w:rPr>
              <w:t>。</w:t>
            </w:r>
            <w:r>
              <w:rPr>
                <w:rFonts w:cs="Times New Roman"/>
                <w:color w:val="000000" w:themeColor="text1"/>
                <w14:textFill>
                  <w14:solidFill>
                    <w14:schemeClr w14:val="tx1"/>
                  </w14:solidFill>
                </w14:textFill>
              </w:rPr>
              <w:t>根据《建筑给排水设计规范》(GB50015-2019)要求，员工一般生活用水按照50L/（人·d），产污系数按90%计</w:t>
            </w:r>
            <w:r>
              <w:rPr>
                <w:rFonts w:hint="eastAsia" w:cs="Times New Roman"/>
                <w:color w:val="000000" w:themeColor="text1"/>
                <w14:textFill>
                  <w14:solidFill>
                    <w14:schemeClr w14:val="tx1"/>
                  </w14:solidFill>
                </w14:textFill>
              </w:rPr>
              <w:t>。</w:t>
            </w:r>
          </w:p>
          <w:p>
            <w:pPr>
              <w:pStyle w:val="72"/>
              <w:ind w:firstLine="48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经核算，</w:t>
            </w:r>
            <w:r>
              <w:rPr>
                <w:rFonts w:hint="eastAsia" w:cs="Times New Roman"/>
                <w:bCs/>
                <w:color w:val="000000" w:themeColor="text1"/>
                <w:szCs w:val="24"/>
                <w14:textFill>
                  <w14:solidFill>
                    <w14:schemeClr w14:val="tx1"/>
                  </w14:solidFill>
                </w14:textFill>
              </w:rPr>
              <w:t>项目</w:t>
            </w:r>
            <w:r>
              <w:rPr>
                <w:rFonts w:hint="eastAsia" w:cs="Times New Roman"/>
                <w:color w:val="000000" w:themeColor="text1"/>
                <w:szCs w:val="24"/>
                <w14:textFill>
                  <w14:solidFill>
                    <w14:schemeClr w14:val="tx1"/>
                  </w14:solidFill>
                </w14:textFill>
              </w:rPr>
              <w:t>生活用水量为</w:t>
            </w:r>
            <w:r>
              <w:rPr>
                <w:rFonts w:cs="Times New Roman"/>
                <w:bCs/>
                <w:color w:val="000000" w:themeColor="text1"/>
                <w:szCs w:val="24"/>
                <w14:textFill>
                  <w14:solidFill>
                    <w14:schemeClr w14:val="tx1"/>
                  </w14:solidFill>
                </w14:textFill>
              </w:rPr>
              <w:t>900</w:t>
            </w:r>
            <w:r>
              <w:rPr>
                <w:rFonts w:hint="eastAsia" w:cs="Times New Roman"/>
                <w:bCs/>
                <w:color w:val="000000" w:themeColor="text1"/>
                <w:szCs w:val="24"/>
                <w14:textFill>
                  <w14:solidFill>
                    <w14:schemeClr w14:val="tx1"/>
                  </w14:solidFill>
                </w14:textFill>
              </w:rPr>
              <w:t>m</w:t>
            </w:r>
            <w:r>
              <w:rPr>
                <w:rFonts w:cs="Times New Roman"/>
                <w:bCs/>
                <w:color w:val="000000" w:themeColor="text1"/>
                <w:szCs w:val="24"/>
                <w:vertAlign w:val="superscript"/>
                <w14:textFill>
                  <w14:solidFill>
                    <w14:schemeClr w14:val="tx1"/>
                  </w14:solidFill>
                </w14:textFill>
              </w:rPr>
              <w:t>3</w:t>
            </w:r>
            <w:r>
              <w:rPr>
                <w:rFonts w:cs="Times New Roman"/>
                <w:bCs/>
                <w:color w:val="000000" w:themeColor="text1"/>
                <w:szCs w:val="24"/>
                <w14:textFill>
                  <w14:solidFill>
                    <w14:schemeClr w14:val="tx1"/>
                  </w14:solidFill>
                </w14:textFill>
              </w:rPr>
              <w:t>/a</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3</w:t>
            </w:r>
            <w:r>
              <w:rPr>
                <w:rFonts w:hint="eastAsia" w:cs="Times New Roman"/>
                <w:bCs/>
                <w:color w:val="000000" w:themeColor="text1"/>
                <w:szCs w:val="24"/>
                <w14:textFill>
                  <w14:solidFill>
                    <w14:schemeClr w14:val="tx1"/>
                  </w14:solidFill>
                </w14:textFill>
              </w:rPr>
              <w:t>m</w:t>
            </w:r>
            <w:r>
              <w:rPr>
                <w:rFonts w:hint="eastAsia" w:cs="Times New Roman"/>
                <w:bCs/>
                <w:color w:val="000000" w:themeColor="text1"/>
                <w:szCs w:val="24"/>
                <w:vertAlign w:val="superscript"/>
                <w14:textFill>
                  <w14:solidFill>
                    <w14:schemeClr w14:val="tx1"/>
                  </w14:solidFill>
                </w14:textFill>
              </w:rPr>
              <w:t>3</w:t>
            </w:r>
            <w:r>
              <w:rPr>
                <w:rFonts w:hint="eastAsia" w:cs="Times New Roman"/>
                <w:bCs/>
                <w:color w:val="000000" w:themeColor="text1"/>
                <w:szCs w:val="24"/>
                <w14:textFill>
                  <w14:solidFill>
                    <w14:schemeClr w14:val="tx1"/>
                  </w14:solidFill>
                </w14:textFill>
              </w:rPr>
              <w:t>/d），生活污水排放量为</w:t>
            </w:r>
            <w:r>
              <w:rPr>
                <w:rFonts w:cs="Times New Roman"/>
                <w:bCs/>
                <w:color w:val="000000" w:themeColor="text1"/>
                <w:szCs w:val="24"/>
                <w14:textFill>
                  <w14:solidFill>
                    <w14:schemeClr w14:val="tx1"/>
                  </w14:solidFill>
                </w14:textFill>
              </w:rPr>
              <w:t>810</w:t>
            </w:r>
            <w:r>
              <w:rPr>
                <w:rFonts w:hint="eastAsia" w:cs="Times New Roman"/>
                <w:bCs/>
                <w:color w:val="000000" w:themeColor="text1"/>
                <w:szCs w:val="24"/>
                <w14:textFill>
                  <w14:solidFill>
                    <w14:schemeClr w14:val="tx1"/>
                  </w14:solidFill>
                </w14:textFill>
              </w:rPr>
              <w:t>m</w:t>
            </w:r>
            <w:r>
              <w:rPr>
                <w:rFonts w:cs="Times New Roman"/>
                <w:bCs/>
                <w:color w:val="000000" w:themeColor="text1"/>
                <w:szCs w:val="24"/>
                <w:vertAlign w:val="superscript"/>
                <w14:textFill>
                  <w14:solidFill>
                    <w14:schemeClr w14:val="tx1"/>
                  </w14:solidFill>
                </w14:textFill>
              </w:rPr>
              <w:t>3</w:t>
            </w:r>
            <w:r>
              <w:rPr>
                <w:rFonts w:cs="Times New Roman"/>
                <w:bCs/>
                <w:color w:val="000000" w:themeColor="text1"/>
                <w:szCs w:val="24"/>
                <w14:textFill>
                  <w14:solidFill>
                    <w14:schemeClr w14:val="tx1"/>
                  </w14:solidFill>
                </w14:textFill>
              </w:rPr>
              <w:t>/a</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2.7</w:t>
            </w:r>
            <w:r>
              <w:rPr>
                <w:rFonts w:hint="eastAsia" w:cs="Times New Roman"/>
                <w:bCs/>
                <w:color w:val="000000" w:themeColor="text1"/>
                <w:szCs w:val="24"/>
                <w14:textFill>
                  <w14:solidFill>
                    <w14:schemeClr w14:val="tx1"/>
                  </w14:solidFill>
                </w14:textFill>
              </w:rPr>
              <w:t>m</w:t>
            </w:r>
            <w:r>
              <w:rPr>
                <w:rFonts w:hint="eastAsia" w:cs="Times New Roman"/>
                <w:bCs/>
                <w:color w:val="000000" w:themeColor="text1"/>
                <w:szCs w:val="24"/>
                <w:vertAlign w:val="superscript"/>
                <w14:textFill>
                  <w14:solidFill>
                    <w14:schemeClr w14:val="tx1"/>
                  </w14:solidFill>
                </w14:textFill>
              </w:rPr>
              <w:t>3</w:t>
            </w:r>
            <w:r>
              <w:rPr>
                <w:rFonts w:hint="eastAsia" w:cs="Times New Roman"/>
                <w:bCs/>
                <w:color w:val="000000" w:themeColor="text1"/>
                <w:szCs w:val="24"/>
                <w14:textFill>
                  <w14:solidFill>
                    <w14:schemeClr w14:val="tx1"/>
                  </w14:solidFill>
                </w14:textFill>
              </w:rPr>
              <w:t>/d）。其中</w:t>
            </w:r>
            <w:r>
              <w:rPr>
                <w:rFonts w:hint="eastAsia" w:cs="Times New Roman"/>
                <w:color w:val="000000" w:themeColor="text1"/>
                <w:szCs w:val="24"/>
                <w14:textFill>
                  <w14:solidFill>
                    <w14:schemeClr w14:val="tx1"/>
                  </w14:solidFill>
                </w14:textFill>
              </w:rPr>
              <w:t>一期生活用水量为</w:t>
            </w:r>
            <w:r>
              <w:rPr>
                <w:rFonts w:cs="Times New Roman"/>
                <w:bCs/>
                <w:color w:val="000000" w:themeColor="text1"/>
                <w:szCs w:val="24"/>
                <w14:textFill>
                  <w14:solidFill>
                    <w14:schemeClr w14:val="tx1"/>
                  </w14:solidFill>
                </w14:textFill>
              </w:rPr>
              <w:t>600</w:t>
            </w:r>
            <w:r>
              <w:rPr>
                <w:rFonts w:hint="eastAsia" w:cs="Times New Roman"/>
                <w:bCs/>
                <w:color w:val="000000" w:themeColor="text1"/>
                <w:szCs w:val="24"/>
                <w14:textFill>
                  <w14:solidFill>
                    <w14:schemeClr w14:val="tx1"/>
                  </w14:solidFill>
                </w14:textFill>
              </w:rPr>
              <w:t>m</w:t>
            </w:r>
            <w:r>
              <w:rPr>
                <w:rFonts w:cs="Times New Roman"/>
                <w:bCs/>
                <w:color w:val="000000" w:themeColor="text1"/>
                <w:szCs w:val="24"/>
                <w:vertAlign w:val="superscript"/>
                <w14:textFill>
                  <w14:solidFill>
                    <w14:schemeClr w14:val="tx1"/>
                  </w14:solidFill>
                </w14:textFill>
              </w:rPr>
              <w:t>3</w:t>
            </w:r>
            <w:r>
              <w:rPr>
                <w:rFonts w:cs="Times New Roman"/>
                <w:bCs/>
                <w:color w:val="000000" w:themeColor="text1"/>
                <w:szCs w:val="24"/>
                <w14:textFill>
                  <w14:solidFill>
                    <w14:schemeClr w14:val="tx1"/>
                  </w14:solidFill>
                </w14:textFill>
              </w:rPr>
              <w:t>/a</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2</w:t>
            </w:r>
            <w:r>
              <w:rPr>
                <w:rFonts w:hint="eastAsia" w:cs="Times New Roman"/>
                <w:bCs/>
                <w:color w:val="000000" w:themeColor="text1"/>
                <w:szCs w:val="24"/>
                <w14:textFill>
                  <w14:solidFill>
                    <w14:schemeClr w14:val="tx1"/>
                  </w14:solidFill>
                </w14:textFill>
              </w:rPr>
              <w:t>m</w:t>
            </w:r>
            <w:r>
              <w:rPr>
                <w:rFonts w:hint="eastAsia" w:cs="Times New Roman"/>
                <w:bCs/>
                <w:color w:val="000000" w:themeColor="text1"/>
                <w:szCs w:val="24"/>
                <w:vertAlign w:val="superscript"/>
                <w14:textFill>
                  <w14:solidFill>
                    <w14:schemeClr w14:val="tx1"/>
                  </w14:solidFill>
                </w14:textFill>
              </w:rPr>
              <w:t>3</w:t>
            </w:r>
            <w:r>
              <w:rPr>
                <w:rFonts w:hint="eastAsia" w:cs="Times New Roman"/>
                <w:bCs/>
                <w:color w:val="000000" w:themeColor="text1"/>
                <w:szCs w:val="24"/>
                <w14:textFill>
                  <w14:solidFill>
                    <w14:schemeClr w14:val="tx1"/>
                  </w14:solidFill>
                </w14:textFill>
              </w:rPr>
              <w:t>/d），生活污水排放量为</w:t>
            </w:r>
            <w:r>
              <w:rPr>
                <w:rFonts w:cs="Times New Roman"/>
                <w:bCs/>
                <w:color w:val="000000" w:themeColor="text1"/>
                <w:szCs w:val="24"/>
                <w14:textFill>
                  <w14:solidFill>
                    <w14:schemeClr w14:val="tx1"/>
                  </w14:solidFill>
                </w14:textFill>
              </w:rPr>
              <w:t>540</w:t>
            </w:r>
            <w:r>
              <w:rPr>
                <w:rFonts w:hint="eastAsia" w:cs="Times New Roman"/>
                <w:bCs/>
                <w:color w:val="000000" w:themeColor="text1"/>
                <w:szCs w:val="24"/>
                <w14:textFill>
                  <w14:solidFill>
                    <w14:schemeClr w14:val="tx1"/>
                  </w14:solidFill>
                </w14:textFill>
              </w:rPr>
              <w:t>m</w:t>
            </w:r>
            <w:r>
              <w:rPr>
                <w:rFonts w:cs="Times New Roman"/>
                <w:bCs/>
                <w:color w:val="000000" w:themeColor="text1"/>
                <w:szCs w:val="24"/>
                <w:vertAlign w:val="superscript"/>
                <w14:textFill>
                  <w14:solidFill>
                    <w14:schemeClr w14:val="tx1"/>
                  </w14:solidFill>
                </w14:textFill>
              </w:rPr>
              <w:t>3</w:t>
            </w:r>
            <w:r>
              <w:rPr>
                <w:rFonts w:cs="Times New Roman"/>
                <w:bCs/>
                <w:color w:val="000000" w:themeColor="text1"/>
                <w:szCs w:val="24"/>
                <w14:textFill>
                  <w14:solidFill>
                    <w14:schemeClr w14:val="tx1"/>
                  </w14:solidFill>
                </w14:textFill>
              </w:rPr>
              <w:t>/a</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1.8</w:t>
            </w:r>
            <w:r>
              <w:rPr>
                <w:rFonts w:hint="eastAsia" w:cs="Times New Roman"/>
                <w:bCs/>
                <w:color w:val="000000" w:themeColor="text1"/>
                <w:szCs w:val="24"/>
                <w14:textFill>
                  <w14:solidFill>
                    <w14:schemeClr w14:val="tx1"/>
                  </w14:solidFill>
                </w14:textFill>
              </w:rPr>
              <w:t>m</w:t>
            </w:r>
            <w:r>
              <w:rPr>
                <w:rFonts w:hint="eastAsia" w:cs="Times New Roman"/>
                <w:bCs/>
                <w:color w:val="000000" w:themeColor="text1"/>
                <w:szCs w:val="24"/>
                <w:vertAlign w:val="superscript"/>
                <w14:textFill>
                  <w14:solidFill>
                    <w14:schemeClr w14:val="tx1"/>
                  </w14:solidFill>
                </w14:textFill>
              </w:rPr>
              <w:t>3</w:t>
            </w:r>
            <w:r>
              <w:rPr>
                <w:rFonts w:hint="eastAsia" w:cs="Times New Roman"/>
                <w:bCs/>
                <w:color w:val="000000" w:themeColor="text1"/>
                <w:szCs w:val="24"/>
                <w14:textFill>
                  <w14:solidFill>
                    <w14:schemeClr w14:val="tx1"/>
                  </w14:solidFill>
                </w14:textFill>
              </w:rPr>
              <w:t>/d）；</w:t>
            </w:r>
            <w:r>
              <w:rPr>
                <w:rFonts w:hint="eastAsia" w:cs="Times New Roman"/>
                <w:color w:val="000000" w:themeColor="text1"/>
                <w:szCs w:val="24"/>
                <w14:textFill>
                  <w14:solidFill>
                    <w14:schemeClr w14:val="tx1"/>
                  </w14:solidFill>
                </w14:textFill>
              </w:rPr>
              <w:t>二期生活用水量为</w:t>
            </w:r>
            <w:r>
              <w:rPr>
                <w:rFonts w:cs="Times New Roman"/>
                <w:bCs/>
                <w:color w:val="000000" w:themeColor="text1"/>
                <w:szCs w:val="24"/>
                <w14:textFill>
                  <w14:solidFill>
                    <w14:schemeClr w14:val="tx1"/>
                  </w14:solidFill>
                </w14:textFill>
              </w:rPr>
              <w:t>300</w:t>
            </w:r>
            <w:r>
              <w:rPr>
                <w:rFonts w:hint="eastAsia" w:cs="Times New Roman"/>
                <w:bCs/>
                <w:color w:val="000000" w:themeColor="text1"/>
                <w:szCs w:val="24"/>
                <w14:textFill>
                  <w14:solidFill>
                    <w14:schemeClr w14:val="tx1"/>
                  </w14:solidFill>
                </w14:textFill>
              </w:rPr>
              <w:t>m</w:t>
            </w:r>
            <w:r>
              <w:rPr>
                <w:rFonts w:cs="Times New Roman"/>
                <w:bCs/>
                <w:color w:val="000000" w:themeColor="text1"/>
                <w:szCs w:val="24"/>
                <w:vertAlign w:val="superscript"/>
                <w14:textFill>
                  <w14:solidFill>
                    <w14:schemeClr w14:val="tx1"/>
                  </w14:solidFill>
                </w14:textFill>
              </w:rPr>
              <w:t>3</w:t>
            </w:r>
            <w:r>
              <w:rPr>
                <w:rFonts w:cs="Times New Roman"/>
                <w:bCs/>
                <w:color w:val="000000" w:themeColor="text1"/>
                <w:szCs w:val="24"/>
                <w14:textFill>
                  <w14:solidFill>
                    <w14:schemeClr w14:val="tx1"/>
                  </w14:solidFill>
                </w14:textFill>
              </w:rPr>
              <w:t>/a</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1</w:t>
            </w:r>
            <w:r>
              <w:rPr>
                <w:rFonts w:hint="eastAsia" w:cs="Times New Roman"/>
                <w:bCs/>
                <w:color w:val="000000" w:themeColor="text1"/>
                <w:szCs w:val="24"/>
                <w14:textFill>
                  <w14:solidFill>
                    <w14:schemeClr w14:val="tx1"/>
                  </w14:solidFill>
                </w14:textFill>
              </w:rPr>
              <w:t>m</w:t>
            </w:r>
            <w:r>
              <w:rPr>
                <w:rFonts w:hint="eastAsia" w:cs="Times New Roman"/>
                <w:bCs/>
                <w:color w:val="000000" w:themeColor="text1"/>
                <w:szCs w:val="24"/>
                <w:vertAlign w:val="superscript"/>
                <w14:textFill>
                  <w14:solidFill>
                    <w14:schemeClr w14:val="tx1"/>
                  </w14:solidFill>
                </w14:textFill>
              </w:rPr>
              <w:t>3</w:t>
            </w:r>
            <w:r>
              <w:rPr>
                <w:rFonts w:hint="eastAsia" w:cs="Times New Roman"/>
                <w:bCs/>
                <w:color w:val="000000" w:themeColor="text1"/>
                <w:szCs w:val="24"/>
                <w14:textFill>
                  <w14:solidFill>
                    <w14:schemeClr w14:val="tx1"/>
                  </w14:solidFill>
                </w14:textFill>
              </w:rPr>
              <w:t>/d），生活污水排放量为</w:t>
            </w:r>
            <w:r>
              <w:rPr>
                <w:rFonts w:cs="Times New Roman"/>
                <w:bCs/>
                <w:color w:val="000000" w:themeColor="text1"/>
                <w:szCs w:val="24"/>
                <w14:textFill>
                  <w14:solidFill>
                    <w14:schemeClr w14:val="tx1"/>
                  </w14:solidFill>
                </w14:textFill>
              </w:rPr>
              <w:t>270</w:t>
            </w:r>
            <w:r>
              <w:rPr>
                <w:rFonts w:hint="eastAsia" w:cs="Times New Roman"/>
                <w:bCs/>
                <w:color w:val="000000" w:themeColor="text1"/>
                <w:szCs w:val="24"/>
                <w14:textFill>
                  <w14:solidFill>
                    <w14:schemeClr w14:val="tx1"/>
                  </w14:solidFill>
                </w14:textFill>
              </w:rPr>
              <w:t>m</w:t>
            </w:r>
            <w:r>
              <w:rPr>
                <w:rFonts w:cs="Times New Roman"/>
                <w:bCs/>
                <w:color w:val="000000" w:themeColor="text1"/>
                <w:szCs w:val="24"/>
                <w:vertAlign w:val="superscript"/>
                <w14:textFill>
                  <w14:solidFill>
                    <w14:schemeClr w14:val="tx1"/>
                  </w14:solidFill>
                </w14:textFill>
              </w:rPr>
              <w:t>3</w:t>
            </w:r>
            <w:r>
              <w:rPr>
                <w:rFonts w:cs="Times New Roman"/>
                <w:bCs/>
                <w:color w:val="000000" w:themeColor="text1"/>
                <w:szCs w:val="24"/>
                <w14:textFill>
                  <w14:solidFill>
                    <w14:schemeClr w14:val="tx1"/>
                  </w14:solidFill>
                </w14:textFill>
              </w:rPr>
              <w:t>/a</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0.9</w:t>
            </w:r>
            <w:r>
              <w:rPr>
                <w:rFonts w:hint="eastAsia" w:cs="Times New Roman"/>
                <w:bCs/>
                <w:color w:val="000000" w:themeColor="text1"/>
                <w:szCs w:val="24"/>
                <w14:textFill>
                  <w14:solidFill>
                    <w14:schemeClr w14:val="tx1"/>
                  </w14:solidFill>
                </w14:textFill>
              </w:rPr>
              <w:t>m</w:t>
            </w:r>
            <w:r>
              <w:rPr>
                <w:rFonts w:hint="eastAsia" w:cs="Times New Roman"/>
                <w:bCs/>
                <w:color w:val="000000" w:themeColor="text1"/>
                <w:szCs w:val="24"/>
                <w:vertAlign w:val="superscript"/>
                <w14:textFill>
                  <w14:solidFill>
                    <w14:schemeClr w14:val="tx1"/>
                  </w14:solidFill>
                </w14:textFill>
              </w:rPr>
              <w:t>3</w:t>
            </w:r>
            <w:r>
              <w:rPr>
                <w:rFonts w:hint="eastAsia" w:cs="Times New Roman"/>
                <w:bCs/>
                <w:color w:val="000000" w:themeColor="text1"/>
                <w:szCs w:val="24"/>
                <w14:textFill>
                  <w14:solidFill>
                    <w14:schemeClr w14:val="tx1"/>
                  </w14:solidFill>
                </w14:textFill>
              </w:rPr>
              <w:t>/d）。</w:t>
            </w:r>
          </w:p>
          <w:p>
            <w:pPr>
              <w:pStyle w:val="72"/>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（2）生产用水</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生产用水主要为循环冷却系统补水、烟气脱硫系统用水、水封罐用水、地面冲洗用水、绿化用水。</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循环冷却系统补水：废旧轮胎裂解产生的裂解气、炭黑需要通过冷却循环水系统进行冷却。根据建设单体提供资料，项目共建设6条连续干馏裂解生产线（其中一期2条、二期4条），配套设置冷却水塔1座，循环水规模为</w:t>
            </w:r>
            <w:r>
              <w:rPr>
                <w:color w:val="000000" w:themeColor="text1"/>
                <w:sz w:val="24"/>
                <w14:textFill>
                  <w14:solidFill>
                    <w14:schemeClr w14:val="tx1"/>
                  </w14:solidFill>
                </w14:textFill>
              </w:rPr>
              <w:t>180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h，每条生产线循环水量3</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h。</w:t>
            </w:r>
            <w:r>
              <w:rPr>
                <w:color w:val="000000" w:themeColor="text1"/>
                <w:sz w:val="24"/>
                <w14:textFill>
                  <w14:solidFill>
                    <w14:schemeClr w14:val="tx1"/>
                  </w14:solidFill>
                </w14:textFill>
              </w:rPr>
              <w:t>根据《建筑给排水设计规范》(GB50015-2019</w:t>
            </w:r>
            <w:r>
              <w:rPr>
                <w:rFonts w:hint="eastAsia"/>
                <w:color w:val="000000" w:themeColor="text1"/>
                <w:sz w:val="24"/>
                <w14:textFill>
                  <w14:solidFill>
                    <w14:schemeClr w14:val="tx1"/>
                  </w14:solidFill>
                </w14:textFill>
              </w:rPr>
              <w:t>)，补水量按循环水量的2%计；循环水每天排放一次，排放水量按照循环水</w:t>
            </w:r>
            <w:r>
              <w:rPr>
                <w:color w:val="000000" w:themeColor="text1"/>
                <w:sz w:val="24"/>
                <w14:textFill>
                  <w14:solidFill>
                    <w14:schemeClr w14:val="tx1"/>
                  </w14:solidFill>
                </w14:textFill>
              </w:rPr>
              <w:t>量的0.5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计。</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经核算，项目循环冷却系统补充新鲜水</w:t>
            </w:r>
            <w:r>
              <w:rPr>
                <w:color w:val="000000" w:themeColor="text1"/>
                <w:sz w:val="24"/>
                <w14:textFill>
                  <w14:solidFill>
                    <w14:schemeClr w14:val="tx1"/>
                  </w14:solidFill>
                </w14:textFill>
              </w:rPr>
              <w:t>25920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86.4</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d），排水量</w:t>
            </w:r>
            <w:r>
              <w:rPr>
                <w:color w:val="000000" w:themeColor="text1"/>
                <w:sz w:val="24"/>
                <w14:textFill>
                  <w14:solidFill>
                    <w14:schemeClr w14:val="tx1"/>
                  </w14:solidFill>
                </w14:textFill>
              </w:rPr>
              <w:t>6480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21.6</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d）。其中一期循环冷却系统补充新鲜水8</w:t>
            </w:r>
            <w:r>
              <w:rPr>
                <w:color w:val="000000" w:themeColor="text1"/>
                <w:sz w:val="24"/>
                <w14:textFill>
                  <w14:solidFill>
                    <w14:schemeClr w14:val="tx1"/>
                  </w14:solidFill>
                </w14:textFill>
              </w:rPr>
              <w:t>640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a（2</w:t>
            </w:r>
            <w:r>
              <w:rPr>
                <w:color w:val="000000" w:themeColor="text1"/>
                <w:sz w:val="24"/>
                <w14:textFill>
                  <w14:solidFill>
                    <w14:schemeClr w14:val="tx1"/>
                  </w14:solidFill>
                </w14:textFill>
              </w:rPr>
              <w:t>8.8</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d），排水量</w:t>
            </w:r>
            <w:r>
              <w:rPr>
                <w:color w:val="000000" w:themeColor="text1"/>
                <w:sz w:val="24"/>
                <w14:textFill>
                  <w14:solidFill>
                    <w14:schemeClr w14:val="tx1"/>
                  </w14:solidFill>
                </w14:textFill>
              </w:rPr>
              <w:t>2160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7.2</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d）；二期循环冷却系统补充新鲜水</w:t>
            </w:r>
            <w:r>
              <w:rPr>
                <w:color w:val="000000" w:themeColor="text1"/>
                <w:sz w:val="24"/>
                <w14:textFill>
                  <w14:solidFill>
                    <w14:schemeClr w14:val="tx1"/>
                  </w14:solidFill>
                </w14:textFill>
              </w:rPr>
              <w:t>17280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57.6</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d），排水量</w:t>
            </w:r>
            <w:r>
              <w:rPr>
                <w:color w:val="000000" w:themeColor="text1"/>
                <w:sz w:val="24"/>
                <w14:textFill>
                  <w14:solidFill>
                    <w14:schemeClr w14:val="tx1"/>
                  </w14:solidFill>
                </w14:textFill>
              </w:rPr>
              <w:t>4320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14.4</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d）。循环冷却系统排污水排入厂区生化池处理。</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②烟气脱硫系统用水：项目脱硫系统采用钠碱法脱硫，用水包含脱硫系统补水和氢氧化钠溶液配置用水。</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脱硫系统补水：二燃室的尾气采用钠碱法脱硫，液气比按1:1</w:t>
            </w:r>
            <w:r>
              <w:rPr>
                <w:color w:val="000000" w:themeColor="text1"/>
                <w:sz w:val="24"/>
                <w14:textFill>
                  <w14:solidFill>
                    <w14:schemeClr w14:val="tx1"/>
                  </w14:solidFill>
                </w14:textFill>
              </w:rPr>
              <w:t>000</w:t>
            </w:r>
            <w:r>
              <w:rPr>
                <w:rFonts w:hint="eastAsia"/>
                <w:color w:val="000000" w:themeColor="text1"/>
                <w:sz w:val="24"/>
                <w14:textFill>
                  <w14:solidFill>
                    <w14:schemeClr w14:val="tx1"/>
                  </w14:solidFill>
                </w14:textFill>
              </w:rPr>
              <w:t>计算，根据工程烟气量计算得出项目用水量为</w:t>
            </w:r>
            <w:r>
              <w:rPr>
                <w:color w:val="000000" w:themeColor="text1"/>
                <w:sz w:val="24"/>
                <w14:textFill>
                  <w14:solidFill>
                    <w14:schemeClr w14:val="tx1"/>
                  </w14:solidFill>
                </w14:textFill>
              </w:rPr>
              <w:t>14.7</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h（</w:t>
            </w:r>
            <w:r>
              <w:rPr>
                <w:color w:val="000000" w:themeColor="text1"/>
                <w:sz w:val="24"/>
                <w14:textFill>
                  <w14:solidFill>
                    <w14:schemeClr w14:val="tx1"/>
                  </w14:solidFill>
                </w14:textFill>
              </w:rPr>
              <w:t>352.8</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d）。每天补水量按用水量的2%计。脱硫系统每天排放一次废水，排水量按用水量的</w:t>
            </w:r>
            <w:r>
              <w:rPr>
                <w:color w:val="000000" w:themeColor="text1"/>
                <w:sz w:val="24"/>
                <w14:textFill>
                  <w14:solidFill>
                    <w14:schemeClr w14:val="tx1"/>
                  </w14:solidFill>
                </w14:textFill>
              </w:rPr>
              <w:t>0.5</w:t>
            </w:r>
            <w:r>
              <w:rPr>
                <w:rFonts w:hint="eastAsia"/>
                <w:color w:val="000000" w:themeColor="text1"/>
                <w:sz w:val="24"/>
                <w14:textFill>
                  <w14:solidFill>
                    <w14:schemeClr w14:val="tx1"/>
                  </w14:solidFill>
                </w14:textFill>
              </w:rPr>
              <w:t>%计。</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则项目烟气脱硫补充新鲜水量为2</w:t>
            </w:r>
            <w:r>
              <w:rPr>
                <w:color w:val="000000" w:themeColor="text1"/>
                <w:sz w:val="24"/>
                <w14:textFill>
                  <w14:solidFill>
                    <w14:schemeClr w14:val="tx1"/>
                  </w14:solidFill>
                </w14:textFill>
              </w:rPr>
              <w:t>118</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a、7</w:t>
            </w:r>
            <w:r>
              <w:rPr>
                <w:color w:val="000000" w:themeColor="text1"/>
                <w:sz w:val="24"/>
                <w14:textFill>
                  <w14:solidFill>
                    <w14:schemeClr w14:val="tx1"/>
                  </w14:solidFill>
                </w14:textFill>
              </w:rPr>
              <w:t>.06</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/d，排水量为</w:t>
            </w:r>
            <w:r>
              <w:rPr>
                <w:color w:val="000000" w:themeColor="text1"/>
                <w:sz w:val="24"/>
                <w14:textFill>
                  <w14:solidFill>
                    <w14:schemeClr w14:val="tx1"/>
                  </w14:solidFill>
                </w14:textFill>
              </w:rPr>
              <w:t>528</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1.76</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d。其中一期烟气脱硫补充新鲜水量为</w:t>
            </w:r>
            <w:r>
              <w:rPr>
                <w:color w:val="000000" w:themeColor="text1"/>
                <w:sz w:val="24"/>
                <w14:textFill>
                  <w14:solidFill>
                    <w14:schemeClr w14:val="tx1"/>
                  </w14:solidFill>
                </w14:textFill>
              </w:rPr>
              <w:t>706</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2.35</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/d，排水量为</w:t>
            </w:r>
            <w:r>
              <w:rPr>
                <w:color w:val="000000" w:themeColor="text1"/>
                <w:sz w:val="24"/>
                <w14:textFill>
                  <w14:solidFill>
                    <w14:schemeClr w14:val="tx1"/>
                  </w14:solidFill>
                </w14:textFill>
              </w:rPr>
              <w:t>176</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0.59</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d；二期烟气脱硫补充新鲜水量为</w:t>
            </w:r>
            <w:r>
              <w:rPr>
                <w:color w:val="000000" w:themeColor="text1"/>
                <w:sz w:val="24"/>
                <w14:textFill>
                  <w14:solidFill>
                    <w14:schemeClr w14:val="tx1"/>
                  </w14:solidFill>
                </w14:textFill>
              </w:rPr>
              <w:t>1412</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4.71</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/d，排水量为</w:t>
            </w:r>
            <w:r>
              <w:rPr>
                <w:color w:val="000000" w:themeColor="text1"/>
                <w:sz w:val="24"/>
                <w14:textFill>
                  <w14:solidFill>
                    <w14:schemeClr w14:val="tx1"/>
                  </w14:solidFill>
                </w14:textFill>
              </w:rPr>
              <w:t>352</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1.17</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FF0000"/>
                <w:sz w:val="24"/>
              </w:rPr>
              <w:t>b</w:t>
            </w:r>
            <w:r>
              <w:rPr>
                <w:color w:val="FF0000"/>
                <w:sz w:val="24"/>
              </w:rPr>
              <w:t>.</w:t>
            </w:r>
            <w:r>
              <w:rPr>
                <w:rFonts w:hint="eastAsia"/>
                <w:color w:val="FF0000"/>
                <w:sz w:val="24"/>
              </w:rPr>
              <w:t>氢氧化钠溶液配置用水：根据硫元素平衡，进入脱硫系统S</w:t>
            </w:r>
            <w:r>
              <w:rPr>
                <w:color w:val="FF0000"/>
                <w:sz w:val="24"/>
              </w:rPr>
              <w:t>O</w:t>
            </w:r>
            <w:r>
              <w:rPr>
                <w:color w:val="FF0000"/>
                <w:sz w:val="24"/>
                <w:vertAlign w:val="subscript"/>
              </w:rPr>
              <w:t>2</w:t>
            </w:r>
            <w:r>
              <w:rPr>
                <w:rFonts w:hint="eastAsia"/>
                <w:color w:val="FF0000"/>
                <w:sz w:val="24"/>
              </w:rPr>
              <w:t>中的S为</w:t>
            </w:r>
            <w:r>
              <w:rPr>
                <w:color w:val="FF0000"/>
                <w:sz w:val="24"/>
              </w:rPr>
              <w:t>22.59</w:t>
            </w:r>
            <w:r>
              <w:rPr>
                <w:rFonts w:hint="eastAsia"/>
                <w:color w:val="FF0000"/>
                <w:sz w:val="24"/>
              </w:rPr>
              <w:t>t</w:t>
            </w:r>
            <w:r>
              <w:rPr>
                <w:color w:val="FF0000"/>
                <w:sz w:val="24"/>
              </w:rPr>
              <w:t>/</w:t>
            </w:r>
            <w:r>
              <w:rPr>
                <w:rFonts w:hint="eastAsia"/>
                <w:color w:val="FF0000"/>
                <w:sz w:val="24"/>
              </w:rPr>
              <w:t>a。根据S</w:t>
            </w:r>
            <w:r>
              <w:rPr>
                <w:color w:val="FF0000"/>
                <w:sz w:val="24"/>
              </w:rPr>
              <w:t>O</w:t>
            </w:r>
            <w:r>
              <w:rPr>
                <w:color w:val="FF0000"/>
                <w:sz w:val="24"/>
                <w:vertAlign w:val="subscript"/>
              </w:rPr>
              <w:t>2</w:t>
            </w:r>
            <w:r>
              <w:rPr>
                <w:rFonts w:hint="eastAsia"/>
                <w:color w:val="FF0000"/>
                <w:sz w:val="24"/>
              </w:rPr>
              <w:t>与Na</w:t>
            </w:r>
            <w:r>
              <w:rPr>
                <w:color w:val="FF0000"/>
                <w:sz w:val="24"/>
              </w:rPr>
              <w:t>OH</w:t>
            </w:r>
            <w:r>
              <w:rPr>
                <w:rFonts w:hint="eastAsia"/>
                <w:color w:val="FF0000"/>
                <w:sz w:val="24"/>
              </w:rPr>
              <w:t>反应方程式，计算得到项目需要片碱为</w:t>
            </w:r>
            <w:r>
              <w:rPr>
                <w:color w:val="FF0000"/>
                <w:sz w:val="24"/>
              </w:rPr>
              <w:t>28.24</w:t>
            </w:r>
            <w:r>
              <w:rPr>
                <w:rFonts w:hint="eastAsia"/>
                <w:color w:val="FF0000"/>
                <w:sz w:val="24"/>
              </w:rPr>
              <w:t>t</w:t>
            </w:r>
            <w:r>
              <w:rPr>
                <w:color w:val="FF0000"/>
                <w:sz w:val="24"/>
              </w:rPr>
              <w:t>/</w:t>
            </w:r>
            <w:r>
              <w:rPr>
                <w:rFonts w:hint="eastAsia"/>
                <w:color w:val="FF0000"/>
                <w:sz w:val="24"/>
              </w:rPr>
              <w:t>a。Na</w:t>
            </w:r>
            <w:r>
              <w:rPr>
                <w:color w:val="FF0000"/>
                <w:sz w:val="24"/>
              </w:rPr>
              <w:t>OH</w:t>
            </w:r>
            <w:r>
              <w:rPr>
                <w:rFonts w:hint="eastAsia"/>
                <w:color w:val="FF0000"/>
                <w:sz w:val="24"/>
              </w:rPr>
              <w:t>溶液浓度约</w:t>
            </w:r>
            <w:r>
              <w:rPr>
                <w:color w:val="FF0000"/>
                <w:sz w:val="24"/>
              </w:rPr>
              <w:t>20</w:t>
            </w:r>
            <w:r>
              <w:rPr>
                <w:rFonts w:hint="eastAsia"/>
                <w:color w:val="FF0000"/>
                <w:sz w:val="24"/>
              </w:rPr>
              <w:t>%，则项目片碱配置用水为</w:t>
            </w:r>
            <w:r>
              <w:rPr>
                <w:color w:val="FF0000"/>
                <w:sz w:val="24"/>
              </w:rPr>
              <w:t>112.96</w:t>
            </w:r>
            <w:r>
              <w:rPr>
                <w:rFonts w:hint="eastAsia"/>
                <w:color w:val="FF0000"/>
                <w:sz w:val="24"/>
              </w:rPr>
              <w:t>m</w:t>
            </w:r>
            <w:r>
              <w:rPr>
                <w:color w:val="FF0000"/>
                <w:sz w:val="24"/>
                <w:vertAlign w:val="superscript"/>
              </w:rPr>
              <w:t>3</w:t>
            </w:r>
            <w:r>
              <w:rPr>
                <w:color w:val="FF0000"/>
                <w:sz w:val="24"/>
              </w:rPr>
              <w:t>/</w:t>
            </w:r>
            <w:r>
              <w:rPr>
                <w:rFonts w:hint="eastAsia"/>
                <w:color w:val="FF0000"/>
                <w:sz w:val="24"/>
              </w:rPr>
              <w:t>a（</w:t>
            </w:r>
            <w:r>
              <w:rPr>
                <w:color w:val="FF0000"/>
                <w:sz w:val="24"/>
              </w:rPr>
              <w:t>0.38</w:t>
            </w:r>
            <w:r>
              <w:rPr>
                <w:rFonts w:hint="eastAsia"/>
                <w:color w:val="FF0000"/>
                <w:sz w:val="24"/>
              </w:rPr>
              <w:t>m</w:t>
            </w:r>
            <w:r>
              <w:rPr>
                <w:color w:val="FF0000"/>
                <w:sz w:val="24"/>
                <w:vertAlign w:val="superscript"/>
              </w:rPr>
              <w:t>3</w:t>
            </w:r>
            <w:r>
              <w:rPr>
                <w:color w:val="FF0000"/>
                <w:sz w:val="24"/>
              </w:rPr>
              <w:t>/</w:t>
            </w:r>
            <w:r>
              <w:rPr>
                <w:rFonts w:hint="eastAsia"/>
                <w:color w:val="FF0000"/>
                <w:sz w:val="24"/>
              </w:rPr>
              <w:t>d）。其中一期配置用水为</w:t>
            </w:r>
            <w:r>
              <w:rPr>
                <w:color w:val="FF0000"/>
                <w:sz w:val="24"/>
              </w:rPr>
              <w:t>37.65</w:t>
            </w:r>
            <w:r>
              <w:rPr>
                <w:rFonts w:hint="eastAsia"/>
                <w:color w:val="FF0000"/>
                <w:sz w:val="24"/>
              </w:rPr>
              <w:t>m</w:t>
            </w:r>
            <w:r>
              <w:rPr>
                <w:color w:val="FF0000"/>
                <w:sz w:val="24"/>
                <w:vertAlign w:val="superscript"/>
              </w:rPr>
              <w:t>3</w:t>
            </w:r>
            <w:r>
              <w:rPr>
                <w:color w:val="FF0000"/>
                <w:sz w:val="24"/>
              </w:rPr>
              <w:t>/</w:t>
            </w:r>
            <w:r>
              <w:rPr>
                <w:rFonts w:hint="eastAsia"/>
                <w:color w:val="FF0000"/>
                <w:sz w:val="24"/>
              </w:rPr>
              <w:t>a（</w:t>
            </w:r>
            <w:r>
              <w:rPr>
                <w:color w:val="FF0000"/>
                <w:sz w:val="24"/>
              </w:rPr>
              <w:t>0.13</w:t>
            </w:r>
            <w:r>
              <w:rPr>
                <w:rFonts w:hint="eastAsia"/>
                <w:color w:val="FF0000"/>
                <w:sz w:val="24"/>
              </w:rPr>
              <w:t>m</w:t>
            </w:r>
            <w:r>
              <w:rPr>
                <w:color w:val="FF0000"/>
                <w:sz w:val="24"/>
                <w:vertAlign w:val="superscript"/>
              </w:rPr>
              <w:t>3</w:t>
            </w:r>
            <w:r>
              <w:rPr>
                <w:color w:val="FF0000"/>
                <w:sz w:val="24"/>
              </w:rPr>
              <w:t>/</w:t>
            </w:r>
            <w:r>
              <w:rPr>
                <w:rFonts w:hint="eastAsia"/>
                <w:color w:val="FF0000"/>
                <w:sz w:val="24"/>
              </w:rPr>
              <w:t>d），二期配置用水为</w:t>
            </w:r>
            <w:r>
              <w:rPr>
                <w:color w:val="FF0000"/>
                <w:sz w:val="24"/>
              </w:rPr>
              <w:t>75.31</w:t>
            </w:r>
            <w:r>
              <w:rPr>
                <w:rFonts w:hint="eastAsia"/>
                <w:color w:val="FF0000"/>
                <w:sz w:val="24"/>
              </w:rPr>
              <w:t>m</w:t>
            </w:r>
            <w:r>
              <w:rPr>
                <w:color w:val="FF0000"/>
                <w:sz w:val="24"/>
                <w:vertAlign w:val="superscript"/>
              </w:rPr>
              <w:t>3</w:t>
            </w:r>
            <w:r>
              <w:rPr>
                <w:color w:val="FF0000"/>
                <w:sz w:val="24"/>
              </w:rPr>
              <w:t>/</w:t>
            </w:r>
            <w:r>
              <w:rPr>
                <w:rFonts w:hint="eastAsia"/>
                <w:color w:val="FF0000"/>
                <w:sz w:val="24"/>
              </w:rPr>
              <w:t>a（</w:t>
            </w:r>
            <w:r>
              <w:rPr>
                <w:color w:val="FF0000"/>
                <w:sz w:val="24"/>
              </w:rPr>
              <w:t>0.25</w:t>
            </w:r>
            <w:r>
              <w:rPr>
                <w:rFonts w:hint="eastAsia"/>
                <w:color w:val="FF0000"/>
                <w:sz w:val="24"/>
              </w:rPr>
              <w:t>m</w:t>
            </w:r>
            <w:r>
              <w:rPr>
                <w:color w:val="FF0000"/>
                <w:sz w:val="24"/>
                <w:vertAlign w:val="superscript"/>
              </w:rPr>
              <w:t>3</w:t>
            </w:r>
            <w:r>
              <w:rPr>
                <w:color w:val="FF0000"/>
                <w:sz w:val="24"/>
              </w:rPr>
              <w:t>/</w:t>
            </w:r>
            <w:r>
              <w:rPr>
                <w:rFonts w:hint="eastAsia"/>
                <w:color w:val="FF0000"/>
                <w:sz w:val="24"/>
              </w:rPr>
              <w:t>d）。烟气脱硫系统排放的废水经过生产废水处理设施预处理后排入厂区生化池</w:t>
            </w:r>
            <w:r>
              <w:rPr>
                <w:rFonts w:hint="eastAsia"/>
                <w:color w:val="000000" w:themeColor="text1"/>
                <w:sz w:val="24"/>
                <w14:textFill>
                  <w14:solidFill>
                    <w14:schemeClr w14:val="tx1"/>
                  </w14:solidFill>
                </w14:textFill>
              </w:rPr>
              <w:t>。</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水封罐用水：项目冷凝系统产生的不凝气经过水封罐后进入裂解炉燃烧室作为燃料，主要目的是防止回火引起造成安全事故，在此过程中有少量未在冷凝器中液化的废气在水封中液化，会随着裂解气少量蒸发损耗，并且需每1</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天对水封罐内的水进行更换。项目共配套建设</w:t>
            </w:r>
            <w:r>
              <w:rPr>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个水封罐（其中一期2个、二期</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个），单个水封罐0</w:t>
            </w:r>
            <w:r>
              <w:rPr>
                <w:color w:val="000000" w:themeColor="text1"/>
                <w:sz w:val="24"/>
                <w14:textFill>
                  <w14:solidFill>
                    <w14:schemeClr w14:val="tx1"/>
                  </w14:solidFill>
                </w14:textFill>
              </w:rPr>
              <w:t>.38</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。水封罐内水蒸发损耗取2</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经核算，项目水封罐总用水</w:t>
            </w:r>
            <w:r>
              <w:rPr>
                <w:color w:val="000000" w:themeColor="text1"/>
                <w:sz w:val="24"/>
                <w14:textFill>
                  <w14:solidFill>
                    <w14:schemeClr w14:val="tx1"/>
                  </w14:solidFill>
                </w14:textFill>
              </w:rPr>
              <w:t>68.4</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2.28</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次），产生废水量</w:t>
            </w:r>
            <w:r>
              <w:rPr>
                <w:color w:val="000000" w:themeColor="text1"/>
                <w:sz w:val="24"/>
                <w14:textFill>
                  <w14:solidFill>
                    <w14:schemeClr w14:val="tx1"/>
                  </w14:solidFill>
                </w14:textFill>
              </w:rPr>
              <w:t>54.72</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1.824</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次）。其中一期水封罐用水2</w:t>
            </w:r>
            <w:r>
              <w:rPr>
                <w:color w:val="000000" w:themeColor="text1"/>
                <w:sz w:val="24"/>
                <w14:textFill>
                  <w14:solidFill>
                    <w14:schemeClr w14:val="tx1"/>
                  </w14:solidFill>
                </w14:textFill>
              </w:rPr>
              <w:t>2.8</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a（0</w:t>
            </w:r>
            <w:r>
              <w:rPr>
                <w:color w:val="000000" w:themeColor="text1"/>
                <w:sz w:val="24"/>
                <w14:textFill>
                  <w14:solidFill>
                    <w14:schemeClr w14:val="tx1"/>
                  </w14:solidFill>
                </w14:textFill>
              </w:rPr>
              <w:t>.76</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次），产生废水量1</w:t>
            </w:r>
            <w:r>
              <w:rPr>
                <w:color w:val="000000" w:themeColor="text1"/>
                <w:sz w:val="24"/>
                <w14:textFill>
                  <w14:solidFill>
                    <w14:schemeClr w14:val="tx1"/>
                  </w14:solidFill>
                </w14:textFill>
              </w:rPr>
              <w:t>8.24</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a（0</w:t>
            </w:r>
            <w:r>
              <w:rPr>
                <w:color w:val="000000" w:themeColor="text1"/>
                <w:sz w:val="24"/>
                <w14:textFill>
                  <w14:solidFill>
                    <w14:schemeClr w14:val="tx1"/>
                  </w14:solidFill>
                </w14:textFill>
              </w:rPr>
              <w:t>.608</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次）；二期水封罐用水</w:t>
            </w:r>
            <w:r>
              <w:rPr>
                <w:color w:val="000000" w:themeColor="text1"/>
                <w:sz w:val="24"/>
                <w14:textFill>
                  <w14:solidFill>
                    <w14:schemeClr w14:val="tx1"/>
                  </w14:solidFill>
                </w14:textFill>
              </w:rPr>
              <w:t>45.6</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1.52</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次），产生废水量</w:t>
            </w:r>
            <w:r>
              <w:rPr>
                <w:color w:val="000000" w:themeColor="text1"/>
                <w:sz w:val="24"/>
                <w14:textFill>
                  <w14:solidFill>
                    <w14:schemeClr w14:val="tx1"/>
                  </w14:solidFill>
                </w14:textFill>
              </w:rPr>
              <w:t>36.48</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1.216</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次）。水封罐废水量较少，经雾化处理后喷入二燃室内燃烧处理，不外排。</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烟气骤冷塔补水：烟气骤冷塔采用自来水雾喷淋进行降温，液体则进入底部的沉淀池，沉淀池固液分离后液体由水泵抽走进入骤冷塔配套的冷却塔冷却，冷却后的水重新进入骤冷塔循环使用，不外排，定期补充损失的水量。根据企业提供设计资料核算，烟气骤冷塔每小时理论喷淋量约6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h，即1</w:t>
            </w:r>
            <w:r>
              <w:rPr>
                <w:color w:val="000000" w:themeColor="text1"/>
                <w:sz w:val="24"/>
                <w14:textFill>
                  <w14:solidFill>
                    <w14:schemeClr w14:val="tx1"/>
                  </w14:solidFill>
                </w14:textFill>
              </w:rPr>
              <w:t>44</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/d，骤冷塔的水损耗按</w:t>
            </w: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%计，则项目骤冷塔补水量约2</w:t>
            </w:r>
            <w:r>
              <w:rPr>
                <w:color w:val="000000" w:themeColor="text1"/>
                <w:sz w:val="24"/>
                <w14:textFill>
                  <w14:solidFill>
                    <w14:schemeClr w14:val="tx1"/>
                  </w14:solidFill>
                </w14:textFill>
              </w:rPr>
              <w:t>8.8</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d。其中一期补水量9</w:t>
            </w:r>
            <w:r>
              <w:rPr>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d，二期补水量1</w:t>
            </w:r>
            <w:r>
              <w:rPr>
                <w:color w:val="000000" w:themeColor="text1"/>
                <w:sz w:val="24"/>
                <w14:textFill>
                  <w14:solidFill>
                    <w14:schemeClr w14:val="tx1"/>
                  </w14:solidFill>
                </w14:textFill>
              </w:rPr>
              <w:t>9.2</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⑤地面冲洗用水：地面清洁水量参考《建筑给排水设计规范》(GB50015-2019)规定：1~</w:t>
            </w:r>
            <w:r>
              <w:rPr>
                <w:color w:val="000000" w:themeColor="text1"/>
                <w:sz w:val="24"/>
                <w14:textFill>
                  <w14:solidFill>
                    <w14:schemeClr w14:val="tx1"/>
                  </w14:solidFill>
                </w14:textFill>
              </w:rPr>
              <w:t>3L/</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·次。根据项目工艺生产需求，主要考虑裂解车间和装卸区的地面冲洗，裂解车间面积</w:t>
            </w:r>
            <w:r>
              <w:rPr>
                <w:color w:val="000000" w:themeColor="text1"/>
                <w:sz w:val="24"/>
                <w14:textFill>
                  <w14:solidFill>
                    <w14:schemeClr w14:val="tx1"/>
                  </w14:solidFill>
                </w14:textFill>
              </w:rPr>
              <w:t>4860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，装卸区面积1</w:t>
            </w:r>
            <w:r>
              <w:rPr>
                <w:color w:val="000000" w:themeColor="text1"/>
                <w:sz w:val="24"/>
                <w14:textFill>
                  <w14:solidFill>
                    <w14:schemeClr w14:val="tx1"/>
                  </w14:solidFill>
                </w14:textFill>
              </w:rPr>
              <w:t>600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（储油罐区），总面积6</w:t>
            </w:r>
            <w:r>
              <w:rPr>
                <w:color w:val="000000" w:themeColor="text1"/>
                <w:sz w:val="24"/>
                <w14:textFill>
                  <w14:solidFill>
                    <w14:schemeClr w14:val="tx1"/>
                  </w14:solidFill>
                </w14:textFill>
              </w:rPr>
              <w:t>460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（其中一期面积约2</w:t>
            </w:r>
            <w:r>
              <w:rPr>
                <w:color w:val="000000" w:themeColor="text1"/>
                <w:sz w:val="24"/>
                <w14:textFill>
                  <w14:solidFill>
                    <w14:schemeClr w14:val="tx1"/>
                  </w14:solidFill>
                </w14:textFill>
              </w:rPr>
              <w:t>153</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，二期面积约4</w:t>
            </w:r>
            <w:r>
              <w:rPr>
                <w:color w:val="000000" w:themeColor="text1"/>
                <w:sz w:val="24"/>
                <w14:textFill>
                  <w14:solidFill>
                    <w14:schemeClr w14:val="tx1"/>
                  </w14:solidFill>
                </w14:textFill>
              </w:rPr>
              <w:t>307</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），用水量取2</w:t>
            </w:r>
            <w:r>
              <w:rPr>
                <w:color w:val="000000" w:themeColor="text1"/>
                <w:sz w:val="24"/>
                <w14:textFill>
                  <w14:solidFill>
                    <w14:schemeClr w14:val="tx1"/>
                  </w14:solidFill>
                </w14:textFill>
              </w:rPr>
              <w:t>L/</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·次，每月清洗一次。地面冲洗用水损耗量以2</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%计。</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经核算项目地面冲洗用水量</w:t>
            </w:r>
            <w:r>
              <w:rPr>
                <w:color w:val="000000" w:themeColor="text1"/>
                <w:sz w:val="24"/>
                <w14:textFill>
                  <w14:solidFill>
                    <w14:schemeClr w14:val="tx1"/>
                  </w14:solidFill>
                </w14:textFill>
              </w:rPr>
              <w:t>155.04</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12.92</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次），产生冲洗废水量</w:t>
            </w:r>
            <w:r>
              <w:rPr>
                <w:color w:val="000000" w:themeColor="text1"/>
                <w:sz w:val="24"/>
                <w14:textFill>
                  <w14:solidFill>
                    <w14:schemeClr w14:val="tx1"/>
                  </w14:solidFill>
                </w14:textFill>
              </w:rPr>
              <w:t>124.03</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10.34</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次）。其中一期地面冲洗用水量5</w:t>
            </w:r>
            <w:r>
              <w:rPr>
                <w:color w:val="000000" w:themeColor="text1"/>
                <w:sz w:val="24"/>
                <w14:textFill>
                  <w14:solidFill>
                    <w14:schemeClr w14:val="tx1"/>
                  </w14:solidFill>
                </w14:textFill>
              </w:rPr>
              <w:t>1.68</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/a（4</w:t>
            </w:r>
            <w:r>
              <w:rPr>
                <w:color w:val="000000" w:themeColor="text1"/>
                <w:sz w:val="24"/>
                <w14:textFill>
                  <w14:solidFill>
                    <w14:schemeClr w14:val="tx1"/>
                  </w14:solidFill>
                </w14:textFill>
              </w:rPr>
              <w:t>.31</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次），产生冲洗废水量4</w:t>
            </w:r>
            <w:r>
              <w:rPr>
                <w:color w:val="000000" w:themeColor="text1"/>
                <w:sz w:val="24"/>
                <w14:textFill>
                  <w14:solidFill>
                    <w14:schemeClr w14:val="tx1"/>
                  </w14:solidFill>
                </w14:textFill>
              </w:rPr>
              <w:t>1.34</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/a（3.4</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次）；二期地面冲洗用水量1</w:t>
            </w:r>
            <w:r>
              <w:rPr>
                <w:color w:val="000000" w:themeColor="text1"/>
                <w:sz w:val="24"/>
                <w14:textFill>
                  <w14:solidFill>
                    <w14:schemeClr w14:val="tx1"/>
                  </w14:solidFill>
                </w14:textFill>
              </w:rPr>
              <w:t>03.36</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a（8</w:t>
            </w:r>
            <w:r>
              <w:rPr>
                <w:color w:val="000000" w:themeColor="text1"/>
                <w:sz w:val="24"/>
                <w14:textFill>
                  <w14:solidFill>
                    <w14:schemeClr w14:val="tx1"/>
                  </w14:solidFill>
                </w14:textFill>
              </w:rPr>
              <w:t>.61</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次），产生冲洗废水量8</w:t>
            </w:r>
            <w:r>
              <w:rPr>
                <w:color w:val="000000" w:themeColor="text1"/>
                <w:sz w:val="24"/>
                <w14:textFill>
                  <w14:solidFill>
                    <w14:schemeClr w14:val="tx1"/>
                  </w14:solidFill>
                </w14:textFill>
              </w:rPr>
              <w:t>2.69</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a（6</w:t>
            </w:r>
            <w:r>
              <w:rPr>
                <w:color w:val="000000" w:themeColor="text1"/>
                <w:sz w:val="24"/>
                <w14:textFill>
                  <w14:solidFill>
                    <w14:schemeClr w14:val="tx1"/>
                  </w14:solidFill>
                </w14:textFill>
              </w:rPr>
              <w:t>.89</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d）。地面冲洗废水经生产废水处理设施预处理后排入厂区生化池。</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⑥绿化用水：项目场区绿化面积约3</w:t>
            </w:r>
            <w:r>
              <w:rPr>
                <w:color w:val="000000" w:themeColor="text1"/>
                <w:sz w:val="24"/>
                <w14:textFill>
                  <w14:solidFill>
                    <w14:schemeClr w14:val="tx1"/>
                  </w14:solidFill>
                </w14:textFill>
              </w:rPr>
              <w:t>600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，按照2</w:t>
            </w:r>
            <w:r>
              <w:rPr>
                <w:color w:val="000000" w:themeColor="text1"/>
                <w:sz w:val="24"/>
                <w14:textFill>
                  <w14:solidFill>
                    <w14:schemeClr w14:val="tx1"/>
                  </w14:solidFill>
                </w14:textFill>
              </w:rPr>
              <w:t>L/</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·天计，绿化用水7</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d，绿化期按3</w:t>
            </w:r>
            <w:r>
              <w:rPr>
                <w:color w:val="000000" w:themeColor="text1"/>
                <w:sz w:val="24"/>
                <w14:textFill>
                  <w14:solidFill>
                    <w14:schemeClr w14:val="tx1"/>
                  </w14:solidFill>
                </w14:textFill>
              </w:rPr>
              <w:t>00</w:t>
            </w:r>
            <w:r>
              <w:rPr>
                <w:rFonts w:hint="eastAsia"/>
                <w:color w:val="000000" w:themeColor="text1"/>
                <w:sz w:val="24"/>
                <w14:textFill>
                  <w14:solidFill>
                    <w14:schemeClr w14:val="tx1"/>
                  </w14:solidFill>
                </w14:textFill>
              </w:rPr>
              <w:t>天计，则绿化用水量2</w:t>
            </w:r>
            <w:r>
              <w:rPr>
                <w:color w:val="000000" w:themeColor="text1"/>
                <w:sz w:val="24"/>
                <w14:textFill>
                  <w14:solidFill>
                    <w14:schemeClr w14:val="tx1"/>
                  </w14:solidFill>
                </w14:textFill>
              </w:rPr>
              <w:t>160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a，均使用新鲜水。绿化用水均蒸发散失，不外排。</w:t>
            </w:r>
          </w:p>
          <w:p>
            <w:pPr>
              <w:snapToGrid w:val="0"/>
              <w:ind w:firstLine="496" w:firstLineChars="200"/>
              <w:outlineLvl w:val="4"/>
              <w:rPr>
                <w:b/>
                <w:color w:val="000000" w:themeColor="text1"/>
                <w:spacing w:val="4"/>
                <w:sz w:val="24"/>
                <w14:textFill>
                  <w14:solidFill>
                    <w14:schemeClr w14:val="tx1"/>
                  </w14:solidFill>
                </w14:textFill>
              </w:rPr>
            </w:pPr>
            <w:r>
              <w:rPr>
                <w:rFonts w:hint="eastAsia"/>
                <w:snapToGrid w:val="0"/>
                <w:color w:val="000000" w:themeColor="text1"/>
                <w:spacing w:val="4"/>
                <w:kern w:val="0"/>
                <w:sz w:val="24"/>
                <w14:textFill>
                  <w14:solidFill>
                    <w14:schemeClr w14:val="tx1"/>
                  </w14:solidFill>
                </w14:textFill>
              </w:rPr>
              <w:t>项目</w:t>
            </w:r>
            <w:r>
              <w:rPr>
                <w:snapToGrid w:val="0"/>
                <w:color w:val="000000" w:themeColor="text1"/>
                <w:spacing w:val="4"/>
                <w:kern w:val="0"/>
                <w:sz w:val="24"/>
                <w14:textFill>
                  <w14:solidFill>
                    <w14:schemeClr w14:val="tx1"/>
                  </w14:solidFill>
                </w14:textFill>
              </w:rPr>
              <w:t>用水和排水情况一览表见表2.7</w:t>
            </w:r>
            <w:r>
              <w:rPr>
                <w:rFonts w:hint="eastAsia"/>
                <w:snapToGrid w:val="0"/>
                <w:color w:val="000000" w:themeColor="text1"/>
                <w:spacing w:val="4"/>
                <w:kern w:val="0"/>
                <w:sz w:val="24"/>
                <w14:textFill>
                  <w14:solidFill>
                    <w14:schemeClr w14:val="tx1"/>
                  </w14:solidFill>
                </w14:textFill>
              </w:rPr>
              <w:t>-</w:t>
            </w:r>
            <w:r>
              <w:rPr>
                <w:snapToGrid w:val="0"/>
                <w:color w:val="000000" w:themeColor="text1"/>
                <w:spacing w:val="4"/>
                <w:kern w:val="0"/>
                <w:sz w:val="24"/>
                <w14:textFill>
                  <w14:solidFill>
                    <w14:schemeClr w14:val="tx1"/>
                  </w14:solidFill>
                </w14:textFill>
              </w:rPr>
              <w:t>1。</w:t>
            </w:r>
          </w:p>
          <w:p>
            <w:pPr>
              <w:snapToGrid w:val="0"/>
              <w:ind w:firstLine="480" w:firstLineChars="200"/>
              <w:outlineLvl w:val="4"/>
              <w:rPr>
                <w:b/>
                <w:color w:val="000000" w:themeColor="text1"/>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项目</w:t>
            </w:r>
            <w:r>
              <w:rPr>
                <w:snapToGrid w:val="0"/>
                <w:color w:val="000000" w:themeColor="text1"/>
                <w:kern w:val="0"/>
                <w:sz w:val="24"/>
                <w14:textFill>
                  <w14:solidFill>
                    <w14:schemeClr w14:val="tx1"/>
                  </w14:solidFill>
                </w14:textFill>
              </w:rPr>
              <w:t>水平衡见图2.7</w:t>
            </w:r>
            <w:r>
              <w:rPr>
                <w:rFonts w:hint="eastAsia"/>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1</w:t>
            </w:r>
            <w:r>
              <w:rPr>
                <w:rFonts w:hint="eastAsia"/>
                <w:snapToGrid w:val="0"/>
                <w:color w:val="000000" w:themeColor="text1"/>
                <w:kern w:val="0"/>
                <w:sz w:val="24"/>
                <w14:textFill>
                  <w14:solidFill>
                    <w14:schemeClr w14:val="tx1"/>
                  </w14:solidFill>
                </w14:textFill>
              </w:rPr>
              <w:t>~图2</w:t>
            </w:r>
            <w:r>
              <w:rPr>
                <w:snapToGrid w:val="0"/>
                <w:color w:val="000000" w:themeColor="text1"/>
                <w:kern w:val="0"/>
                <w:sz w:val="24"/>
                <w14:textFill>
                  <w14:solidFill>
                    <w14:schemeClr w14:val="tx1"/>
                  </w14:solidFill>
                </w14:textFill>
              </w:rPr>
              <w:t>.7</w:t>
            </w:r>
            <w:r>
              <w:rPr>
                <w:rFonts w:hint="eastAsia"/>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3</w:t>
            </w:r>
            <w:r>
              <w:rPr>
                <w:rFonts w:hint="eastAsia"/>
                <w:snapToGrid w:val="0"/>
                <w:color w:val="000000" w:themeColor="text1"/>
                <w:kern w:val="0"/>
                <w:sz w:val="24"/>
                <w14:textFill>
                  <w14:solidFill>
                    <w14:schemeClr w14:val="tx1"/>
                  </w14:solidFill>
                </w14:textFill>
              </w:rPr>
              <w:t>。</w:t>
            </w:r>
          </w:p>
        </w:tc>
      </w:tr>
    </w:tbl>
    <w:p>
      <w:pPr>
        <w:ind w:firstLine="420"/>
        <w:rPr>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3" w:hRule="atLeast"/>
        </w:trPr>
        <w:tc>
          <w:tcPr>
            <w:tcW w:w="144" w:type="pct"/>
            <w:shd w:val="clear" w:color="auto" w:fill="auto"/>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建设内容</w:t>
            </w:r>
          </w:p>
        </w:tc>
        <w:tc>
          <w:tcPr>
            <w:tcW w:w="4856" w:type="pct"/>
            <w:shd w:val="clear" w:color="auto" w:fill="auto"/>
          </w:tcPr>
          <w:p>
            <w:pPr>
              <w:spacing w:line="24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表2</w:t>
            </w:r>
            <w:r>
              <w:rPr>
                <w:b/>
                <w:color w:val="000000" w:themeColor="text1"/>
                <w:sz w:val="24"/>
                <w14:textFill>
                  <w14:solidFill>
                    <w14:schemeClr w14:val="tx1"/>
                  </w14:solidFill>
                </w14:textFill>
              </w:rPr>
              <w:t>.7</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 xml:space="preserve">1  </w:t>
            </w:r>
            <w:r>
              <w:rPr>
                <w:rFonts w:hint="eastAsia"/>
                <w:b/>
                <w:color w:val="000000" w:themeColor="text1"/>
                <w:sz w:val="24"/>
                <w14:textFill>
                  <w14:solidFill>
                    <w14:schemeClr w14:val="tx1"/>
                  </w14:solidFill>
                </w14:textFill>
              </w:rPr>
              <w:t>项目给排水情况一览表</w:t>
            </w:r>
          </w:p>
          <w:tbl>
            <w:tblPr>
              <w:tblStyle w:val="36"/>
              <w:tblW w:w="13948" w:type="dxa"/>
              <w:tblInd w:w="0" w:type="dxa"/>
              <w:tblLayout w:type="fixed"/>
              <w:tblCellMar>
                <w:top w:w="0" w:type="dxa"/>
                <w:left w:w="108" w:type="dxa"/>
                <w:bottom w:w="0" w:type="dxa"/>
                <w:right w:w="108" w:type="dxa"/>
              </w:tblCellMar>
            </w:tblPr>
            <w:tblGrid>
              <w:gridCol w:w="421"/>
              <w:gridCol w:w="1143"/>
              <w:gridCol w:w="709"/>
              <w:gridCol w:w="869"/>
              <w:gridCol w:w="964"/>
              <w:gridCol w:w="1134"/>
              <w:gridCol w:w="851"/>
              <w:gridCol w:w="1134"/>
              <w:gridCol w:w="708"/>
              <w:gridCol w:w="851"/>
              <w:gridCol w:w="1134"/>
              <w:gridCol w:w="850"/>
              <w:gridCol w:w="851"/>
              <w:gridCol w:w="992"/>
              <w:gridCol w:w="1337"/>
            </w:tblGrid>
            <w:tr>
              <w:tblPrEx>
                <w:tblCellMar>
                  <w:top w:w="0" w:type="dxa"/>
                  <w:left w:w="108" w:type="dxa"/>
                  <w:bottom w:w="0" w:type="dxa"/>
                  <w:right w:w="108" w:type="dxa"/>
                </w:tblCellMar>
              </w:tblPrEx>
              <w:trPr>
                <w:trHeight w:val="20" w:hRule="atLeast"/>
              </w:trPr>
              <w:tc>
                <w:tcPr>
                  <w:tcW w:w="1564" w:type="dxa"/>
                  <w:gridSpan w:val="2"/>
                  <w:vMerge w:val="restart"/>
                  <w:tcBorders>
                    <w:top w:val="single" w:color="auto" w:sz="4" w:space="0"/>
                    <w:left w:val="single" w:color="auto" w:sz="4" w:space="0"/>
                    <w:right w:val="single" w:color="auto" w:sz="4" w:space="0"/>
                  </w:tcBorders>
                  <w:shd w:val="clear" w:color="auto" w:fill="auto"/>
                  <w:vAlign w:val="center"/>
                </w:tcPr>
                <w:p>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用排水环节</w:t>
                  </w:r>
                </w:p>
              </w:tc>
              <w:tc>
                <w:tcPr>
                  <w:tcW w:w="5661" w:type="dxa"/>
                  <w:gridSpan w:val="6"/>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用水量</w:t>
                  </w:r>
                </w:p>
              </w:tc>
              <w:tc>
                <w:tcPr>
                  <w:tcW w:w="5386" w:type="dxa"/>
                  <w:gridSpan w:val="6"/>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排水量</w:t>
                  </w:r>
                </w:p>
              </w:tc>
              <w:tc>
                <w:tcPr>
                  <w:tcW w:w="1337" w:type="dxa"/>
                  <w:vMerge w:val="restart"/>
                  <w:tcBorders>
                    <w:top w:val="single" w:color="auto" w:sz="4" w:space="0"/>
                    <w:left w:val="nil"/>
                    <w:right w:val="single" w:color="auto" w:sz="4" w:space="0"/>
                  </w:tcBorders>
                  <w:shd w:val="clear" w:color="auto" w:fill="auto"/>
                  <w:vAlign w:val="center"/>
                </w:tcPr>
                <w:p>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备注</w:t>
                  </w:r>
                </w:p>
              </w:tc>
            </w:tr>
            <w:tr>
              <w:tblPrEx>
                <w:tblCellMar>
                  <w:top w:w="0" w:type="dxa"/>
                  <w:left w:w="108" w:type="dxa"/>
                  <w:bottom w:w="0" w:type="dxa"/>
                  <w:right w:w="108" w:type="dxa"/>
                </w:tblCellMar>
              </w:tblPrEx>
              <w:trPr>
                <w:trHeight w:val="20" w:hRule="atLeast"/>
              </w:trPr>
              <w:tc>
                <w:tcPr>
                  <w:tcW w:w="1564" w:type="dxa"/>
                  <w:gridSpan w:val="2"/>
                  <w:vMerge w:val="continue"/>
                  <w:tcBorders>
                    <w:left w:val="single" w:color="auto" w:sz="4" w:space="0"/>
                    <w:right w:val="single" w:color="auto" w:sz="4" w:space="0"/>
                  </w:tcBorders>
                  <w:shd w:val="clear" w:color="auto" w:fill="auto"/>
                  <w:vAlign w:val="center"/>
                </w:tcPr>
                <w:p>
                  <w:pPr>
                    <w:jc w:val="center"/>
                    <w:rPr>
                      <w:color w:val="000000" w:themeColor="text1"/>
                      <w:kern w:val="0"/>
                      <w:szCs w:val="21"/>
                      <w14:textFill>
                        <w14:solidFill>
                          <w14:schemeClr w14:val="tx1"/>
                        </w14:solidFill>
                      </w14:textFill>
                    </w:rPr>
                  </w:pPr>
                </w:p>
              </w:tc>
              <w:tc>
                <w:tcPr>
                  <w:tcW w:w="1578" w:type="dxa"/>
                  <w:gridSpan w:val="2"/>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一期</w:t>
                  </w:r>
                </w:p>
              </w:tc>
              <w:tc>
                <w:tcPr>
                  <w:tcW w:w="2098" w:type="dxa"/>
                  <w:gridSpan w:val="2"/>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二期</w:t>
                  </w:r>
                </w:p>
              </w:tc>
              <w:tc>
                <w:tcPr>
                  <w:tcW w:w="1985" w:type="dxa"/>
                  <w:gridSpan w:val="2"/>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总体</w:t>
                  </w:r>
                </w:p>
              </w:tc>
              <w:tc>
                <w:tcPr>
                  <w:tcW w:w="1559" w:type="dxa"/>
                  <w:gridSpan w:val="2"/>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一期</w:t>
                  </w:r>
                </w:p>
              </w:tc>
              <w:tc>
                <w:tcPr>
                  <w:tcW w:w="1984" w:type="dxa"/>
                  <w:gridSpan w:val="2"/>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二期</w:t>
                  </w:r>
                </w:p>
              </w:tc>
              <w:tc>
                <w:tcPr>
                  <w:tcW w:w="1843" w:type="dxa"/>
                  <w:gridSpan w:val="2"/>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总体</w:t>
                  </w:r>
                </w:p>
              </w:tc>
              <w:tc>
                <w:tcPr>
                  <w:tcW w:w="1337" w:type="dxa"/>
                  <w:vMerge w:val="continue"/>
                  <w:tcBorders>
                    <w:left w:val="nil"/>
                    <w:right w:val="single" w:color="auto" w:sz="4" w:space="0"/>
                  </w:tcBorders>
                  <w:shd w:val="clear" w:color="auto" w:fill="auto"/>
                  <w:vAlign w:val="center"/>
                </w:tcPr>
                <w:p>
                  <w:pPr>
                    <w:jc w:val="center"/>
                    <w:rPr>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20" w:hRule="atLeast"/>
              </w:trPr>
              <w:tc>
                <w:tcPr>
                  <w:tcW w:w="1564" w:type="dxa"/>
                  <w:gridSpan w:val="2"/>
                  <w:vMerge w:val="continue"/>
                  <w:tcBorders>
                    <w:left w:val="single" w:color="auto" w:sz="4" w:space="0"/>
                    <w:bottom w:val="single" w:color="000000" w:sz="4" w:space="0"/>
                    <w:right w:val="single" w:color="auto" w:sz="4" w:space="0"/>
                  </w:tcBorders>
                  <w:shd w:val="clear" w:color="auto" w:fill="auto"/>
                  <w:vAlign w:val="center"/>
                </w:tcPr>
                <w:p>
                  <w:pPr>
                    <w:jc w:val="center"/>
                    <w:rPr>
                      <w:color w:val="000000" w:themeColor="text1"/>
                      <w:kern w:val="0"/>
                      <w:szCs w:val="21"/>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m</w:t>
                  </w:r>
                  <w:r>
                    <w:rPr>
                      <w:b/>
                      <w:color w:val="000000" w:themeColor="text1"/>
                      <w:kern w:val="0"/>
                      <w:szCs w:val="21"/>
                      <w:vertAlign w:val="superscript"/>
                      <w14:textFill>
                        <w14:solidFill>
                          <w14:schemeClr w14:val="tx1"/>
                        </w14:solidFill>
                      </w14:textFill>
                    </w:rPr>
                    <w:t>3</w:t>
                  </w:r>
                  <w:r>
                    <w:rPr>
                      <w:b/>
                      <w:color w:val="000000" w:themeColor="text1"/>
                      <w:kern w:val="0"/>
                      <w:szCs w:val="21"/>
                      <w14:textFill>
                        <w14:solidFill>
                          <w14:schemeClr w14:val="tx1"/>
                        </w14:solidFill>
                      </w14:textFill>
                    </w:rPr>
                    <w:t>/d</w:t>
                  </w:r>
                </w:p>
              </w:tc>
              <w:tc>
                <w:tcPr>
                  <w:tcW w:w="869" w:type="dxa"/>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m</w:t>
                  </w:r>
                  <w:r>
                    <w:rPr>
                      <w:b/>
                      <w:color w:val="000000" w:themeColor="text1"/>
                      <w:kern w:val="0"/>
                      <w:szCs w:val="21"/>
                      <w:vertAlign w:val="superscript"/>
                      <w14:textFill>
                        <w14:solidFill>
                          <w14:schemeClr w14:val="tx1"/>
                        </w14:solidFill>
                      </w14:textFill>
                    </w:rPr>
                    <w:t>3</w:t>
                  </w:r>
                  <w:r>
                    <w:rPr>
                      <w:b/>
                      <w:color w:val="000000" w:themeColor="text1"/>
                      <w:kern w:val="0"/>
                      <w:szCs w:val="21"/>
                      <w14:textFill>
                        <w14:solidFill>
                          <w14:schemeClr w14:val="tx1"/>
                        </w14:solidFill>
                      </w14:textFill>
                    </w:rPr>
                    <w:t>/a</w:t>
                  </w:r>
                </w:p>
              </w:tc>
              <w:tc>
                <w:tcPr>
                  <w:tcW w:w="964" w:type="dxa"/>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m</w:t>
                  </w:r>
                  <w:r>
                    <w:rPr>
                      <w:b/>
                      <w:color w:val="000000" w:themeColor="text1"/>
                      <w:kern w:val="0"/>
                      <w:szCs w:val="21"/>
                      <w:vertAlign w:val="superscript"/>
                      <w14:textFill>
                        <w14:solidFill>
                          <w14:schemeClr w14:val="tx1"/>
                        </w14:solidFill>
                      </w14:textFill>
                    </w:rPr>
                    <w:t>3</w:t>
                  </w:r>
                  <w:r>
                    <w:rPr>
                      <w:b/>
                      <w:color w:val="000000" w:themeColor="text1"/>
                      <w:kern w:val="0"/>
                      <w:szCs w:val="21"/>
                      <w14:textFill>
                        <w14:solidFill>
                          <w14:schemeClr w14:val="tx1"/>
                        </w14:solidFill>
                      </w14:textFill>
                    </w:rPr>
                    <w:t>/d</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m</w:t>
                  </w:r>
                  <w:r>
                    <w:rPr>
                      <w:b/>
                      <w:color w:val="000000" w:themeColor="text1"/>
                      <w:kern w:val="0"/>
                      <w:szCs w:val="21"/>
                      <w:vertAlign w:val="superscript"/>
                      <w14:textFill>
                        <w14:solidFill>
                          <w14:schemeClr w14:val="tx1"/>
                        </w14:solidFill>
                      </w14:textFill>
                    </w:rPr>
                    <w:t>3</w:t>
                  </w:r>
                  <w:r>
                    <w:rPr>
                      <w:b/>
                      <w:color w:val="000000" w:themeColor="text1"/>
                      <w:kern w:val="0"/>
                      <w:szCs w:val="21"/>
                      <w14:textFill>
                        <w14:solidFill>
                          <w14:schemeClr w14:val="tx1"/>
                        </w14:solidFill>
                      </w14:textFill>
                    </w:rPr>
                    <w:t>/a</w:t>
                  </w:r>
                </w:p>
              </w:tc>
              <w:tc>
                <w:tcPr>
                  <w:tcW w:w="851" w:type="dxa"/>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m</w:t>
                  </w:r>
                  <w:r>
                    <w:rPr>
                      <w:b/>
                      <w:color w:val="000000" w:themeColor="text1"/>
                      <w:kern w:val="0"/>
                      <w:szCs w:val="21"/>
                      <w:vertAlign w:val="superscript"/>
                      <w14:textFill>
                        <w14:solidFill>
                          <w14:schemeClr w14:val="tx1"/>
                        </w14:solidFill>
                      </w14:textFill>
                    </w:rPr>
                    <w:t>3</w:t>
                  </w:r>
                  <w:r>
                    <w:rPr>
                      <w:b/>
                      <w:color w:val="000000" w:themeColor="text1"/>
                      <w:kern w:val="0"/>
                      <w:szCs w:val="21"/>
                      <w14:textFill>
                        <w14:solidFill>
                          <w14:schemeClr w14:val="tx1"/>
                        </w14:solidFill>
                      </w14:textFill>
                    </w:rPr>
                    <w:t>/d</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m</w:t>
                  </w:r>
                  <w:r>
                    <w:rPr>
                      <w:b/>
                      <w:color w:val="000000" w:themeColor="text1"/>
                      <w:kern w:val="0"/>
                      <w:szCs w:val="21"/>
                      <w:vertAlign w:val="superscript"/>
                      <w14:textFill>
                        <w14:solidFill>
                          <w14:schemeClr w14:val="tx1"/>
                        </w14:solidFill>
                      </w14:textFill>
                    </w:rPr>
                    <w:t>3</w:t>
                  </w:r>
                  <w:r>
                    <w:rPr>
                      <w:b/>
                      <w:color w:val="000000" w:themeColor="text1"/>
                      <w:kern w:val="0"/>
                      <w:szCs w:val="21"/>
                      <w14:textFill>
                        <w14:solidFill>
                          <w14:schemeClr w14:val="tx1"/>
                        </w14:solidFill>
                      </w14:textFill>
                    </w:rPr>
                    <w:t>/a</w:t>
                  </w:r>
                </w:p>
              </w:tc>
              <w:tc>
                <w:tcPr>
                  <w:tcW w:w="708" w:type="dxa"/>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m</w:t>
                  </w:r>
                  <w:r>
                    <w:rPr>
                      <w:b/>
                      <w:color w:val="000000" w:themeColor="text1"/>
                      <w:kern w:val="0"/>
                      <w:szCs w:val="21"/>
                      <w:vertAlign w:val="superscript"/>
                      <w14:textFill>
                        <w14:solidFill>
                          <w14:schemeClr w14:val="tx1"/>
                        </w14:solidFill>
                      </w14:textFill>
                    </w:rPr>
                    <w:t>3</w:t>
                  </w:r>
                  <w:r>
                    <w:rPr>
                      <w:b/>
                      <w:color w:val="000000" w:themeColor="text1"/>
                      <w:kern w:val="0"/>
                      <w:szCs w:val="21"/>
                      <w14:textFill>
                        <w14:solidFill>
                          <w14:schemeClr w14:val="tx1"/>
                        </w14:solidFill>
                      </w14:textFill>
                    </w:rPr>
                    <w:t>/d</w:t>
                  </w:r>
                </w:p>
              </w:tc>
              <w:tc>
                <w:tcPr>
                  <w:tcW w:w="851" w:type="dxa"/>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m</w:t>
                  </w:r>
                  <w:r>
                    <w:rPr>
                      <w:b/>
                      <w:color w:val="000000" w:themeColor="text1"/>
                      <w:kern w:val="0"/>
                      <w:szCs w:val="21"/>
                      <w:vertAlign w:val="superscript"/>
                      <w14:textFill>
                        <w14:solidFill>
                          <w14:schemeClr w14:val="tx1"/>
                        </w14:solidFill>
                      </w14:textFill>
                    </w:rPr>
                    <w:t>3</w:t>
                  </w:r>
                  <w:r>
                    <w:rPr>
                      <w:b/>
                      <w:color w:val="000000" w:themeColor="text1"/>
                      <w:kern w:val="0"/>
                      <w:szCs w:val="21"/>
                      <w14:textFill>
                        <w14:solidFill>
                          <w14:schemeClr w14:val="tx1"/>
                        </w14:solidFill>
                      </w14:textFill>
                    </w:rPr>
                    <w:t>/a</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m</w:t>
                  </w:r>
                  <w:r>
                    <w:rPr>
                      <w:b/>
                      <w:color w:val="000000" w:themeColor="text1"/>
                      <w:kern w:val="0"/>
                      <w:szCs w:val="21"/>
                      <w:vertAlign w:val="superscript"/>
                      <w14:textFill>
                        <w14:solidFill>
                          <w14:schemeClr w14:val="tx1"/>
                        </w14:solidFill>
                      </w14:textFill>
                    </w:rPr>
                    <w:t>3</w:t>
                  </w:r>
                  <w:r>
                    <w:rPr>
                      <w:b/>
                      <w:color w:val="000000" w:themeColor="text1"/>
                      <w:kern w:val="0"/>
                      <w:szCs w:val="21"/>
                      <w14:textFill>
                        <w14:solidFill>
                          <w14:schemeClr w14:val="tx1"/>
                        </w14:solidFill>
                      </w14:textFill>
                    </w:rPr>
                    <w:t>/d</w:t>
                  </w:r>
                </w:p>
              </w:tc>
              <w:tc>
                <w:tcPr>
                  <w:tcW w:w="850" w:type="dxa"/>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m</w:t>
                  </w:r>
                  <w:r>
                    <w:rPr>
                      <w:b/>
                      <w:color w:val="000000" w:themeColor="text1"/>
                      <w:kern w:val="0"/>
                      <w:szCs w:val="21"/>
                      <w:vertAlign w:val="superscript"/>
                      <w14:textFill>
                        <w14:solidFill>
                          <w14:schemeClr w14:val="tx1"/>
                        </w14:solidFill>
                      </w14:textFill>
                    </w:rPr>
                    <w:t>3</w:t>
                  </w:r>
                  <w:r>
                    <w:rPr>
                      <w:b/>
                      <w:color w:val="000000" w:themeColor="text1"/>
                      <w:kern w:val="0"/>
                      <w:szCs w:val="21"/>
                      <w14:textFill>
                        <w14:solidFill>
                          <w14:schemeClr w14:val="tx1"/>
                        </w14:solidFill>
                      </w14:textFill>
                    </w:rPr>
                    <w:t>/a</w:t>
                  </w:r>
                </w:p>
              </w:tc>
              <w:tc>
                <w:tcPr>
                  <w:tcW w:w="851" w:type="dxa"/>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m</w:t>
                  </w:r>
                  <w:r>
                    <w:rPr>
                      <w:b/>
                      <w:color w:val="000000" w:themeColor="text1"/>
                      <w:kern w:val="0"/>
                      <w:szCs w:val="21"/>
                      <w:vertAlign w:val="superscript"/>
                      <w14:textFill>
                        <w14:solidFill>
                          <w14:schemeClr w14:val="tx1"/>
                        </w14:solidFill>
                      </w14:textFill>
                    </w:rPr>
                    <w:t>3</w:t>
                  </w:r>
                  <w:r>
                    <w:rPr>
                      <w:b/>
                      <w:color w:val="000000" w:themeColor="text1"/>
                      <w:kern w:val="0"/>
                      <w:szCs w:val="21"/>
                      <w14:textFill>
                        <w14:solidFill>
                          <w14:schemeClr w14:val="tx1"/>
                        </w14:solidFill>
                      </w14:textFill>
                    </w:rPr>
                    <w:t>/d</w:t>
                  </w:r>
                </w:p>
              </w:tc>
              <w:tc>
                <w:tcPr>
                  <w:tcW w:w="992" w:type="dxa"/>
                  <w:tcBorders>
                    <w:top w:val="nil"/>
                    <w:left w:val="nil"/>
                    <w:bottom w:val="single" w:color="auto" w:sz="4" w:space="0"/>
                    <w:right w:val="single" w:color="auto" w:sz="4" w:space="0"/>
                  </w:tcBorders>
                  <w:shd w:val="clear" w:color="auto" w:fill="auto"/>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m</w:t>
                  </w:r>
                  <w:r>
                    <w:rPr>
                      <w:b/>
                      <w:color w:val="000000" w:themeColor="text1"/>
                      <w:kern w:val="0"/>
                      <w:szCs w:val="21"/>
                      <w:vertAlign w:val="superscript"/>
                      <w14:textFill>
                        <w14:solidFill>
                          <w14:schemeClr w14:val="tx1"/>
                        </w14:solidFill>
                      </w14:textFill>
                    </w:rPr>
                    <w:t>3</w:t>
                  </w:r>
                  <w:r>
                    <w:rPr>
                      <w:b/>
                      <w:color w:val="000000" w:themeColor="text1"/>
                      <w:kern w:val="0"/>
                      <w:szCs w:val="21"/>
                      <w14:textFill>
                        <w14:solidFill>
                          <w14:schemeClr w14:val="tx1"/>
                        </w14:solidFill>
                      </w14:textFill>
                    </w:rPr>
                    <w:t>/a</w:t>
                  </w:r>
                </w:p>
              </w:tc>
              <w:tc>
                <w:tcPr>
                  <w:tcW w:w="1337" w:type="dxa"/>
                  <w:vMerge w:val="continue"/>
                  <w:tcBorders>
                    <w:left w:val="nil"/>
                    <w:bottom w:val="single" w:color="auto" w:sz="4" w:space="0"/>
                    <w:right w:val="single" w:color="auto" w:sz="4" w:space="0"/>
                  </w:tcBorders>
                  <w:shd w:val="clear" w:color="auto" w:fill="auto"/>
                  <w:vAlign w:val="center"/>
                </w:tcPr>
                <w:p>
                  <w:pPr>
                    <w:jc w:val="center"/>
                    <w:rPr>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20" w:hRule="atLeast"/>
              </w:trPr>
              <w:tc>
                <w:tcPr>
                  <w:tcW w:w="421" w:type="dxa"/>
                  <w:vMerge w:val="restart"/>
                  <w:tcBorders>
                    <w:top w:val="nil"/>
                    <w:left w:val="single" w:color="auto" w:sz="4" w:space="0"/>
                    <w:bottom w:val="single" w:color="000000"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w:t>
                  </w:r>
                </w:p>
              </w:tc>
              <w:tc>
                <w:tcPr>
                  <w:tcW w:w="1143" w:type="dxa"/>
                  <w:tcBorders>
                    <w:top w:val="nil"/>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食堂用水</w:t>
                  </w: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kern w:val="0"/>
                      <w:szCs w:val="21"/>
                      <w14:textFill>
                        <w14:solidFill>
                          <w14:schemeClr w14:val="tx1"/>
                        </w14:solidFill>
                      </w14:textFill>
                    </w:rPr>
                  </w:pPr>
                  <w:r>
                    <w:rPr>
                      <w:rFonts w:hint="eastAsia" w:eastAsia="等线"/>
                      <w:color w:val="000000" w:themeColor="text1"/>
                      <w:kern w:val="0"/>
                      <w:szCs w:val="21"/>
                      <w14:textFill>
                        <w14:solidFill>
                          <w14:schemeClr w14:val="tx1"/>
                        </w14:solidFill>
                      </w14:textFill>
                    </w:rPr>
                    <w:t>1</w:t>
                  </w:r>
                  <w:r>
                    <w:rPr>
                      <w:rFonts w:eastAsia="等线"/>
                      <w:color w:val="000000" w:themeColor="text1"/>
                      <w:kern w:val="0"/>
                      <w:szCs w:val="21"/>
                      <w14:textFill>
                        <w14:solidFill>
                          <w14:schemeClr w14:val="tx1"/>
                        </w14:solidFill>
                      </w14:textFill>
                    </w:rPr>
                    <w:t>.6</w:t>
                  </w:r>
                </w:p>
              </w:tc>
              <w:tc>
                <w:tcPr>
                  <w:tcW w:w="869"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w:t>
                  </w:r>
                  <w:r>
                    <w:rPr>
                      <w:rFonts w:eastAsia="等线"/>
                      <w:color w:val="000000" w:themeColor="text1"/>
                      <w:szCs w:val="21"/>
                      <w14:textFill>
                        <w14:solidFill>
                          <w14:schemeClr w14:val="tx1"/>
                        </w14:solidFill>
                      </w14:textFill>
                    </w:rPr>
                    <w:t>80</w:t>
                  </w:r>
                </w:p>
              </w:tc>
              <w:tc>
                <w:tcPr>
                  <w:tcW w:w="964"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.8</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240</w:t>
                  </w:r>
                </w:p>
              </w:tc>
              <w:tc>
                <w:tcPr>
                  <w:tcW w:w="8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2</w:t>
                  </w:r>
                  <w:r>
                    <w:rPr>
                      <w:rFonts w:eastAsia="等线"/>
                      <w:color w:val="000000" w:themeColor="text1"/>
                      <w:szCs w:val="21"/>
                      <w14:textFill>
                        <w14:solidFill>
                          <w14:schemeClr w14:val="tx1"/>
                        </w14:solidFill>
                      </w14:textFill>
                    </w:rPr>
                    <w:t>.4</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7</w:t>
                  </w:r>
                  <w:r>
                    <w:rPr>
                      <w:rFonts w:eastAsia="等线"/>
                      <w:color w:val="000000" w:themeColor="text1"/>
                      <w:szCs w:val="21"/>
                      <w14:textFill>
                        <w14:solidFill>
                          <w14:schemeClr w14:val="tx1"/>
                        </w14:solidFill>
                      </w14:textFill>
                    </w:rPr>
                    <w:t>20</w:t>
                  </w:r>
                </w:p>
              </w:tc>
              <w:tc>
                <w:tcPr>
                  <w:tcW w:w="70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w:t>
                  </w:r>
                  <w:r>
                    <w:rPr>
                      <w:rFonts w:eastAsia="等线"/>
                      <w:color w:val="000000" w:themeColor="text1"/>
                      <w:szCs w:val="21"/>
                      <w14:textFill>
                        <w14:solidFill>
                          <w14:schemeClr w14:val="tx1"/>
                        </w14:solidFill>
                      </w14:textFill>
                    </w:rPr>
                    <w:t>.44</w:t>
                  </w:r>
                </w:p>
              </w:tc>
              <w:tc>
                <w:tcPr>
                  <w:tcW w:w="8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w:t>
                  </w:r>
                  <w:r>
                    <w:rPr>
                      <w:rFonts w:eastAsia="等线"/>
                      <w:color w:val="000000" w:themeColor="text1"/>
                      <w:szCs w:val="21"/>
                      <w14:textFill>
                        <w14:solidFill>
                          <w14:schemeClr w14:val="tx1"/>
                        </w14:solidFill>
                      </w14:textFill>
                    </w:rPr>
                    <w:t>32</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0.72</w:t>
                  </w:r>
                </w:p>
              </w:tc>
              <w:tc>
                <w:tcPr>
                  <w:tcW w:w="850"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216</w:t>
                  </w:r>
                </w:p>
              </w:tc>
              <w:tc>
                <w:tcPr>
                  <w:tcW w:w="8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2.16</w:t>
                  </w:r>
                </w:p>
              </w:tc>
              <w:tc>
                <w:tcPr>
                  <w:tcW w:w="992"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648</w:t>
                  </w:r>
                </w:p>
              </w:tc>
              <w:tc>
                <w:tcPr>
                  <w:tcW w:w="1337" w:type="dxa"/>
                  <w:tcBorders>
                    <w:top w:val="nil"/>
                    <w:left w:val="nil"/>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经隔油池预处理后排入生化池</w:t>
                  </w:r>
                </w:p>
              </w:tc>
            </w:tr>
            <w:tr>
              <w:tblPrEx>
                <w:tblCellMar>
                  <w:top w:w="0" w:type="dxa"/>
                  <w:left w:w="108" w:type="dxa"/>
                  <w:bottom w:w="0" w:type="dxa"/>
                  <w:right w:w="108" w:type="dxa"/>
                </w:tblCellMar>
              </w:tblPrEx>
              <w:trPr>
                <w:trHeight w:val="20" w:hRule="atLeast"/>
              </w:trPr>
              <w:tc>
                <w:tcPr>
                  <w:tcW w:w="421" w:type="dxa"/>
                  <w:vMerge w:val="continue"/>
                  <w:tcBorders>
                    <w:top w:val="nil"/>
                    <w:left w:val="single" w:color="auto" w:sz="4" w:space="0"/>
                    <w:bottom w:val="single" w:color="000000" w:sz="4" w:space="0"/>
                    <w:right w:val="single" w:color="auto" w:sz="4" w:space="0"/>
                  </w:tcBorders>
                  <w:vAlign w:val="center"/>
                </w:tcPr>
                <w:p>
                  <w:pPr>
                    <w:spacing w:line="240" w:lineRule="auto"/>
                    <w:jc w:val="center"/>
                    <w:rPr>
                      <w:color w:val="000000" w:themeColor="text1"/>
                      <w:kern w:val="0"/>
                      <w:szCs w:val="21"/>
                      <w14:textFill>
                        <w14:solidFill>
                          <w14:schemeClr w14:val="tx1"/>
                        </w14:solidFill>
                      </w14:textFill>
                    </w:rPr>
                  </w:pPr>
                </w:p>
              </w:tc>
              <w:tc>
                <w:tcPr>
                  <w:tcW w:w="1143" w:type="dxa"/>
                  <w:tcBorders>
                    <w:top w:val="nil"/>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生活用水</w:t>
                  </w: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w:t>
                  </w:r>
                </w:p>
              </w:tc>
              <w:tc>
                <w:tcPr>
                  <w:tcW w:w="869"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600</w:t>
                  </w:r>
                </w:p>
              </w:tc>
              <w:tc>
                <w:tcPr>
                  <w:tcW w:w="964"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300</w:t>
                  </w:r>
                </w:p>
              </w:tc>
              <w:tc>
                <w:tcPr>
                  <w:tcW w:w="8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3</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9</w:t>
                  </w:r>
                  <w:r>
                    <w:rPr>
                      <w:rFonts w:eastAsia="等线"/>
                      <w:color w:val="000000" w:themeColor="text1"/>
                      <w:szCs w:val="21"/>
                      <w14:textFill>
                        <w14:solidFill>
                          <w14:schemeClr w14:val="tx1"/>
                        </w14:solidFill>
                      </w14:textFill>
                    </w:rPr>
                    <w:t>00</w:t>
                  </w:r>
                </w:p>
              </w:tc>
              <w:tc>
                <w:tcPr>
                  <w:tcW w:w="70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1.8</w:t>
                  </w:r>
                </w:p>
              </w:tc>
              <w:tc>
                <w:tcPr>
                  <w:tcW w:w="8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540</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0.9</w:t>
                  </w:r>
                </w:p>
              </w:tc>
              <w:tc>
                <w:tcPr>
                  <w:tcW w:w="850"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270</w:t>
                  </w:r>
                </w:p>
              </w:tc>
              <w:tc>
                <w:tcPr>
                  <w:tcW w:w="8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2</w:t>
                  </w:r>
                  <w:r>
                    <w:rPr>
                      <w:rFonts w:eastAsia="等线"/>
                      <w:color w:val="000000" w:themeColor="text1"/>
                      <w:szCs w:val="21"/>
                      <w14:textFill>
                        <w14:solidFill>
                          <w14:schemeClr w14:val="tx1"/>
                        </w14:solidFill>
                      </w14:textFill>
                    </w:rPr>
                    <w:t>.7</w:t>
                  </w:r>
                </w:p>
              </w:tc>
              <w:tc>
                <w:tcPr>
                  <w:tcW w:w="992"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8</w:t>
                  </w:r>
                  <w:r>
                    <w:rPr>
                      <w:rFonts w:eastAsia="等线"/>
                      <w:color w:val="000000" w:themeColor="text1"/>
                      <w:szCs w:val="21"/>
                      <w14:textFill>
                        <w14:solidFill>
                          <w14:schemeClr w14:val="tx1"/>
                        </w14:solidFill>
                      </w14:textFill>
                    </w:rPr>
                    <w:t>10</w:t>
                  </w:r>
                </w:p>
              </w:tc>
              <w:tc>
                <w:tcPr>
                  <w:tcW w:w="1337" w:type="dxa"/>
                  <w:tcBorders>
                    <w:top w:val="nil"/>
                    <w:left w:val="nil"/>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经</w:t>
                  </w:r>
                  <w:r>
                    <w:rPr>
                      <w:rFonts w:hint="eastAsia"/>
                      <w:color w:val="000000" w:themeColor="text1"/>
                      <w:kern w:val="0"/>
                      <w:szCs w:val="21"/>
                      <w14:textFill>
                        <w14:solidFill>
                          <w14:schemeClr w14:val="tx1"/>
                        </w14:solidFill>
                      </w14:textFill>
                    </w:rPr>
                    <w:t>生化池处理</w:t>
                  </w:r>
                  <w:r>
                    <w:rPr>
                      <w:color w:val="000000" w:themeColor="text1"/>
                      <w:kern w:val="0"/>
                      <w:szCs w:val="21"/>
                      <w14:textFill>
                        <w14:solidFill>
                          <w14:schemeClr w14:val="tx1"/>
                        </w14:solidFill>
                      </w14:textFill>
                    </w:rPr>
                    <w:t>后排入</w:t>
                  </w:r>
                  <w:r>
                    <w:rPr>
                      <w:rFonts w:hint="eastAsia"/>
                      <w:color w:val="000000" w:themeColor="text1"/>
                      <w:kern w:val="0"/>
                      <w:szCs w:val="21"/>
                      <w14:textFill>
                        <w14:solidFill>
                          <w14:schemeClr w14:val="tx1"/>
                        </w14:solidFill>
                      </w14:textFill>
                    </w:rPr>
                    <w:t>市政污水管网</w:t>
                  </w:r>
                </w:p>
              </w:tc>
            </w:tr>
            <w:tr>
              <w:tblPrEx>
                <w:tblCellMar>
                  <w:top w:w="0" w:type="dxa"/>
                  <w:left w:w="108" w:type="dxa"/>
                  <w:bottom w:w="0" w:type="dxa"/>
                  <w:right w:w="108" w:type="dxa"/>
                </w:tblCellMar>
              </w:tblPrEx>
              <w:trPr>
                <w:trHeight w:val="20" w:hRule="atLeast"/>
              </w:trPr>
              <w:tc>
                <w:tcPr>
                  <w:tcW w:w="421"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生产</w:t>
                  </w:r>
                </w:p>
              </w:tc>
              <w:tc>
                <w:tcPr>
                  <w:tcW w:w="1143" w:type="dxa"/>
                  <w:tcBorders>
                    <w:top w:val="nil"/>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循环冷却系统</w:t>
                  </w:r>
                  <w:r>
                    <w:rPr>
                      <w:rFonts w:hint="eastAsia"/>
                      <w:color w:val="000000" w:themeColor="text1"/>
                      <w:kern w:val="0"/>
                      <w:szCs w:val="21"/>
                      <w14:textFill>
                        <w14:solidFill>
                          <w14:schemeClr w14:val="tx1"/>
                        </w14:solidFill>
                      </w14:textFill>
                    </w:rPr>
                    <w:t>补水</w:t>
                  </w: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kern w:val="0"/>
                      <w:szCs w:val="21"/>
                    </w:rPr>
                  </w:pPr>
                  <w:r>
                    <w:rPr>
                      <w:rFonts w:hint="eastAsia" w:eastAsia="等线"/>
                      <w:color w:val="000000"/>
                      <w:kern w:val="0"/>
                      <w:szCs w:val="21"/>
                    </w:rPr>
                    <w:t>2</w:t>
                  </w:r>
                  <w:r>
                    <w:rPr>
                      <w:rFonts w:eastAsia="等线"/>
                      <w:color w:val="000000"/>
                      <w:kern w:val="0"/>
                      <w:szCs w:val="21"/>
                    </w:rPr>
                    <w:t>8.8</w:t>
                  </w:r>
                </w:p>
              </w:tc>
              <w:tc>
                <w:tcPr>
                  <w:tcW w:w="869"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hint="eastAsia" w:eastAsia="等线"/>
                      <w:color w:val="000000"/>
                      <w:szCs w:val="21"/>
                    </w:rPr>
                    <w:t>8</w:t>
                  </w:r>
                  <w:r>
                    <w:rPr>
                      <w:rFonts w:eastAsia="等线"/>
                      <w:color w:val="000000"/>
                      <w:szCs w:val="21"/>
                    </w:rPr>
                    <w:t>640</w:t>
                  </w:r>
                </w:p>
              </w:tc>
              <w:tc>
                <w:tcPr>
                  <w:tcW w:w="964"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hint="eastAsia" w:eastAsia="等线"/>
                      <w:color w:val="000000"/>
                      <w:szCs w:val="21"/>
                    </w:rPr>
                    <w:t>5</w:t>
                  </w:r>
                  <w:r>
                    <w:rPr>
                      <w:rFonts w:eastAsia="等线"/>
                      <w:color w:val="000000"/>
                      <w:szCs w:val="21"/>
                    </w:rPr>
                    <w:t>7.6</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hint="eastAsia" w:eastAsia="等线"/>
                      <w:color w:val="000000"/>
                      <w:szCs w:val="21"/>
                    </w:rPr>
                    <w:t>1</w:t>
                  </w:r>
                  <w:r>
                    <w:rPr>
                      <w:rFonts w:eastAsia="等线"/>
                      <w:color w:val="000000"/>
                      <w:szCs w:val="21"/>
                    </w:rPr>
                    <w:t>7280</w:t>
                  </w:r>
                </w:p>
              </w:tc>
              <w:tc>
                <w:tcPr>
                  <w:tcW w:w="8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hint="eastAsia" w:eastAsia="等线"/>
                      <w:color w:val="000000"/>
                      <w:szCs w:val="21"/>
                    </w:rPr>
                    <w:t>8</w:t>
                  </w:r>
                  <w:r>
                    <w:rPr>
                      <w:rFonts w:eastAsia="等线"/>
                      <w:color w:val="000000"/>
                      <w:szCs w:val="21"/>
                    </w:rPr>
                    <w:t>6.4</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hint="eastAsia" w:eastAsia="等线"/>
                      <w:color w:val="000000"/>
                      <w:szCs w:val="21"/>
                    </w:rPr>
                    <w:t>2</w:t>
                  </w:r>
                  <w:r>
                    <w:rPr>
                      <w:rFonts w:eastAsia="等线"/>
                      <w:color w:val="000000"/>
                      <w:szCs w:val="21"/>
                    </w:rPr>
                    <w:t>5920</w:t>
                  </w:r>
                </w:p>
              </w:tc>
              <w:tc>
                <w:tcPr>
                  <w:tcW w:w="70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7.2</w:t>
                  </w:r>
                </w:p>
              </w:tc>
              <w:tc>
                <w:tcPr>
                  <w:tcW w:w="8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2160</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14.4</w:t>
                  </w:r>
                </w:p>
              </w:tc>
              <w:tc>
                <w:tcPr>
                  <w:tcW w:w="850"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4320</w:t>
                  </w:r>
                </w:p>
              </w:tc>
              <w:tc>
                <w:tcPr>
                  <w:tcW w:w="8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21.6</w:t>
                  </w:r>
                </w:p>
              </w:tc>
              <w:tc>
                <w:tcPr>
                  <w:tcW w:w="992"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6480</w:t>
                  </w:r>
                </w:p>
              </w:tc>
              <w:tc>
                <w:tcPr>
                  <w:tcW w:w="1337" w:type="dxa"/>
                  <w:tcBorders>
                    <w:top w:val="nil"/>
                    <w:left w:val="nil"/>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排入生化池</w:t>
                  </w:r>
                </w:p>
              </w:tc>
            </w:tr>
            <w:tr>
              <w:tblPrEx>
                <w:tblCellMar>
                  <w:top w:w="0" w:type="dxa"/>
                  <w:left w:w="108" w:type="dxa"/>
                  <w:bottom w:w="0" w:type="dxa"/>
                  <w:right w:w="108" w:type="dxa"/>
                </w:tblCellMar>
              </w:tblPrEx>
              <w:trPr>
                <w:trHeight w:val="20" w:hRule="atLeast"/>
              </w:trPr>
              <w:tc>
                <w:tcPr>
                  <w:tcW w:w="42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kern w:val="0"/>
                      <w:szCs w:val="21"/>
                      <w14:textFill>
                        <w14:solidFill>
                          <w14:schemeClr w14:val="tx1"/>
                        </w14:solidFill>
                      </w14:textFill>
                    </w:rPr>
                  </w:pPr>
                </w:p>
              </w:tc>
              <w:tc>
                <w:tcPr>
                  <w:tcW w:w="11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烟气脱硫系统</w:t>
                  </w:r>
                  <w:r>
                    <w:rPr>
                      <w:rFonts w:hint="eastAsia"/>
                      <w:color w:val="000000" w:themeColor="text1"/>
                      <w:kern w:val="0"/>
                      <w:szCs w:val="21"/>
                      <w14:textFill>
                        <w14:solidFill>
                          <w14:schemeClr w14:val="tx1"/>
                        </w14:solidFill>
                      </w14:textFill>
                    </w:rPr>
                    <w:t>用水</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2.48</w:t>
                  </w:r>
                </w:p>
              </w:tc>
              <w:tc>
                <w:tcPr>
                  <w:tcW w:w="869"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743.65</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4.96</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1487.31</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r>
                    <w:rPr>
                      <w:color w:val="000000" w:themeColor="text1"/>
                      <w:kern w:val="0"/>
                      <w:szCs w:val="21"/>
                      <w14:textFill>
                        <w14:solidFill>
                          <w14:schemeClr w14:val="tx1"/>
                        </w14:solidFill>
                      </w14:textFill>
                    </w:rPr>
                    <w:t>.44</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2230.96</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kern w:val="0"/>
                      <w:szCs w:val="21"/>
                    </w:rPr>
                  </w:pPr>
                  <w:r>
                    <w:rPr>
                      <w:rFonts w:hint="eastAsia"/>
                      <w:color w:val="000000"/>
                      <w:kern w:val="0"/>
                      <w:szCs w:val="21"/>
                    </w:rPr>
                    <w:t>0</w:t>
                  </w:r>
                  <w:r>
                    <w:rPr>
                      <w:color w:val="000000"/>
                      <w:kern w:val="0"/>
                      <w:szCs w:val="21"/>
                    </w:rPr>
                    <w:t>.59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szCs w:val="21"/>
                    </w:rPr>
                  </w:pPr>
                  <w:r>
                    <w:rPr>
                      <w:color w:val="000000"/>
                      <w:szCs w:val="21"/>
                    </w:rPr>
                    <w:t>176</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szCs w:val="21"/>
                    </w:rPr>
                  </w:pPr>
                  <w:r>
                    <w:rPr>
                      <w:rFonts w:hint="eastAsia"/>
                      <w:color w:val="000000"/>
                      <w:szCs w:val="21"/>
                    </w:rPr>
                    <w:t>1</w:t>
                  </w:r>
                  <w:r>
                    <w:rPr>
                      <w:color w:val="000000"/>
                      <w:szCs w:val="21"/>
                    </w:rPr>
                    <w:t>.17</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szCs w:val="21"/>
                    </w:rPr>
                  </w:pPr>
                  <w:r>
                    <w:rPr>
                      <w:rFonts w:hint="eastAsia"/>
                      <w:color w:val="000000"/>
                      <w:szCs w:val="21"/>
                    </w:rPr>
                    <w:t>3</w:t>
                  </w:r>
                  <w:r>
                    <w:rPr>
                      <w:color w:val="000000"/>
                      <w:szCs w:val="21"/>
                    </w:rPr>
                    <w:t>52</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szCs w:val="21"/>
                    </w:rPr>
                  </w:pPr>
                  <w:r>
                    <w:rPr>
                      <w:rFonts w:hint="eastAsia"/>
                      <w:color w:val="000000"/>
                      <w:szCs w:val="21"/>
                    </w:rPr>
                    <w:t>1</w:t>
                  </w:r>
                  <w:r>
                    <w:rPr>
                      <w:color w:val="000000"/>
                      <w:szCs w:val="21"/>
                    </w:rPr>
                    <w:t>.76</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szCs w:val="21"/>
                    </w:rPr>
                  </w:pPr>
                  <w:r>
                    <w:rPr>
                      <w:rFonts w:hint="eastAsia"/>
                      <w:color w:val="000000"/>
                      <w:szCs w:val="21"/>
                    </w:rPr>
                    <w:t>5</w:t>
                  </w:r>
                  <w:r>
                    <w:rPr>
                      <w:color w:val="000000"/>
                      <w:szCs w:val="21"/>
                    </w:rPr>
                    <w:t>28</w:t>
                  </w:r>
                </w:p>
              </w:tc>
              <w:tc>
                <w:tcPr>
                  <w:tcW w:w="1337"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生产废水处理设施预处理后排入生化池</w:t>
                  </w:r>
                </w:p>
              </w:tc>
            </w:tr>
            <w:tr>
              <w:tblPrEx>
                <w:tblCellMar>
                  <w:top w:w="0" w:type="dxa"/>
                  <w:left w:w="108" w:type="dxa"/>
                  <w:bottom w:w="0" w:type="dxa"/>
                  <w:right w:w="108" w:type="dxa"/>
                </w:tblCellMar>
              </w:tblPrEx>
              <w:trPr>
                <w:trHeight w:val="20" w:hRule="atLeast"/>
              </w:trPr>
              <w:tc>
                <w:tcPr>
                  <w:tcW w:w="42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kern w:val="0"/>
                      <w:szCs w:val="21"/>
                      <w14:textFill>
                        <w14:solidFill>
                          <w14:schemeClr w14:val="tx1"/>
                        </w14:solidFill>
                      </w14:textFill>
                    </w:rPr>
                  </w:pPr>
                </w:p>
              </w:tc>
              <w:tc>
                <w:tcPr>
                  <w:tcW w:w="11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水封罐用水</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0.76</w:t>
                  </w:r>
                </w:p>
              </w:tc>
              <w:tc>
                <w:tcPr>
                  <w:tcW w:w="869"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22.8</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1.52</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45.6</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.28</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8.4</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1337"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雾化处理后进二燃室燃烧</w:t>
                  </w:r>
                </w:p>
              </w:tc>
            </w:tr>
            <w:tr>
              <w:tblPrEx>
                <w:tblCellMar>
                  <w:top w:w="0" w:type="dxa"/>
                  <w:left w:w="108" w:type="dxa"/>
                  <w:bottom w:w="0" w:type="dxa"/>
                  <w:right w:w="108" w:type="dxa"/>
                </w:tblCellMar>
              </w:tblPrEx>
              <w:trPr>
                <w:trHeight w:val="20" w:hRule="atLeast"/>
              </w:trPr>
              <w:tc>
                <w:tcPr>
                  <w:tcW w:w="42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kern w:val="0"/>
                      <w:szCs w:val="21"/>
                      <w14:textFill>
                        <w14:solidFill>
                          <w14:schemeClr w14:val="tx1"/>
                        </w14:solidFill>
                      </w14:textFill>
                    </w:rPr>
                  </w:pPr>
                </w:p>
              </w:tc>
              <w:tc>
                <w:tcPr>
                  <w:tcW w:w="11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地面冲洗用水</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4.31</w:t>
                  </w:r>
                </w:p>
              </w:tc>
              <w:tc>
                <w:tcPr>
                  <w:tcW w:w="869"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5</w:t>
                  </w:r>
                  <w:r>
                    <w:rPr>
                      <w:color w:val="000000" w:themeColor="text1"/>
                      <w:spacing w:val="-20"/>
                      <w:kern w:val="0"/>
                      <w:szCs w:val="21"/>
                      <w14:textFill>
                        <w14:solidFill>
                          <w14:schemeClr w14:val="tx1"/>
                        </w14:solidFill>
                      </w14:textFill>
                    </w:rPr>
                    <w:t>1.68</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8</w:t>
                  </w:r>
                  <w:r>
                    <w:rPr>
                      <w:color w:val="000000" w:themeColor="text1"/>
                      <w:spacing w:val="-20"/>
                      <w:kern w:val="0"/>
                      <w:szCs w:val="21"/>
                      <w14:textFill>
                        <w14:solidFill>
                          <w14:schemeClr w14:val="tx1"/>
                        </w14:solidFill>
                      </w14:textFill>
                    </w:rPr>
                    <w:t>.61</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1</w:t>
                  </w:r>
                  <w:r>
                    <w:rPr>
                      <w:color w:val="000000" w:themeColor="text1"/>
                      <w:spacing w:val="-20"/>
                      <w:kern w:val="0"/>
                      <w:szCs w:val="21"/>
                      <w14:textFill>
                        <w14:solidFill>
                          <w14:schemeClr w14:val="tx1"/>
                        </w14:solidFill>
                      </w14:textFill>
                    </w:rPr>
                    <w:t>03.36</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1</w:t>
                  </w:r>
                  <w:r>
                    <w:rPr>
                      <w:color w:val="000000" w:themeColor="text1"/>
                      <w:spacing w:val="-20"/>
                      <w:kern w:val="0"/>
                      <w:szCs w:val="21"/>
                      <w14:textFill>
                        <w14:solidFill>
                          <w14:schemeClr w14:val="tx1"/>
                        </w14:solidFill>
                      </w14:textFill>
                    </w:rPr>
                    <w:t>2.92</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1</w:t>
                  </w:r>
                  <w:r>
                    <w:rPr>
                      <w:color w:val="000000" w:themeColor="text1"/>
                      <w:spacing w:val="-20"/>
                      <w:kern w:val="0"/>
                      <w:szCs w:val="21"/>
                      <w14:textFill>
                        <w14:solidFill>
                          <w14:schemeClr w14:val="tx1"/>
                        </w14:solidFill>
                      </w14:textFill>
                    </w:rPr>
                    <w:t>55.04</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3</w:t>
                  </w:r>
                  <w:r>
                    <w:rPr>
                      <w:color w:val="000000" w:themeColor="text1"/>
                      <w:spacing w:val="-20"/>
                      <w:kern w:val="0"/>
                      <w:szCs w:val="21"/>
                      <w14:textFill>
                        <w14:solidFill>
                          <w14:schemeClr w14:val="tx1"/>
                        </w14:solidFill>
                      </w14:textFill>
                    </w:rPr>
                    <w:t>.45</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4</w:t>
                  </w:r>
                  <w:r>
                    <w:rPr>
                      <w:color w:val="000000" w:themeColor="text1"/>
                      <w:spacing w:val="-20"/>
                      <w:kern w:val="0"/>
                      <w:szCs w:val="21"/>
                      <w14:textFill>
                        <w14:solidFill>
                          <w14:schemeClr w14:val="tx1"/>
                        </w14:solidFill>
                      </w14:textFill>
                    </w:rPr>
                    <w:t>1.34</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6</w:t>
                  </w:r>
                  <w:r>
                    <w:rPr>
                      <w:color w:val="000000" w:themeColor="text1"/>
                      <w:spacing w:val="-20"/>
                      <w:kern w:val="0"/>
                      <w:szCs w:val="21"/>
                      <w14:textFill>
                        <w14:solidFill>
                          <w14:schemeClr w14:val="tx1"/>
                        </w14:solidFill>
                      </w14:textFill>
                    </w:rPr>
                    <w:t>.89</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8</w:t>
                  </w:r>
                  <w:r>
                    <w:rPr>
                      <w:color w:val="000000" w:themeColor="text1"/>
                      <w:spacing w:val="-20"/>
                      <w:kern w:val="0"/>
                      <w:szCs w:val="21"/>
                      <w14:textFill>
                        <w14:solidFill>
                          <w14:schemeClr w14:val="tx1"/>
                        </w14:solidFill>
                      </w14:textFill>
                    </w:rPr>
                    <w:t>2.69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1</w:t>
                  </w:r>
                  <w:r>
                    <w:rPr>
                      <w:color w:val="000000" w:themeColor="text1"/>
                      <w:spacing w:val="-20"/>
                      <w:kern w:val="0"/>
                      <w:szCs w:val="21"/>
                      <w14:textFill>
                        <w14:solidFill>
                          <w14:schemeClr w14:val="tx1"/>
                        </w14:solidFill>
                      </w14:textFill>
                    </w:rPr>
                    <w:t>0.34</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1</w:t>
                  </w:r>
                  <w:r>
                    <w:rPr>
                      <w:color w:val="000000" w:themeColor="text1"/>
                      <w:spacing w:val="-20"/>
                      <w:kern w:val="0"/>
                      <w:szCs w:val="21"/>
                      <w14:textFill>
                        <w14:solidFill>
                          <w14:schemeClr w14:val="tx1"/>
                        </w14:solidFill>
                      </w14:textFill>
                    </w:rPr>
                    <w:t>24.03</w:t>
                  </w:r>
                </w:p>
              </w:tc>
              <w:tc>
                <w:tcPr>
                  <w:tcW w:w="1337"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生产废水处理设施预处理后排入生化池</w:t>
                  </w:r>
                </w:p>
              </w:tc>
            </w:tr>
            <w:tr>
              <w:tblPrEx>
                <w:tblCellMar>
                  <w:top w:w="0" w:type="dxa"/>
                  <w:left w:w="108" w:type="dxa"/>
                  <w:bottom w:w="0" w:type="dxa"/>
                  <w:right w:w="108" w:type="dxa"/>
                </w:tblCellMar>
              </w:tblPrEx>
              <w:trPr>
                <w:trHeight w:val="20" w:hRule="atLeast"/>
              </w:trPr>
              <w:tc>
                <w:tcPr>
                  <w:tcW w:w="42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kern w:val="0"/>
                      <w:szCs w:val="21"/>
                      <w14:textFill>
                        <w14:solidFill>
                          <w14:schemeClr w14:val="tx1"/>
                        </w14:solidFill>
                      </w14:textFill>
                    </w:rPr>
                  </w:pPr>
                </w:p>
              </w:tc>
              <w:tc>
                <w:tcPr>
                  <w:tcW w:w="11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烟气骤冷塔补水</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.6</w:t>
                  </w:r>
                </w:p>
              </w:tc>
              <w:tc>
                <w:tcPr>
                  <w:tcW w:w="869"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2</w:t>
                  </w:r>
                  <w:r>
                    <w:rPr>
                      <w:color w:val="000000" w:themeColor="text1"/>
                      <w:spacing w:val="-20"/>
                      <w:kern w:val="0"/>
                      <w:szCs w:val="21"/>
                      <w14:textFill>
                        <w14:solidFill>
                          <w14:schemeClr w14:val="tx1"/>
                        </w14:solidFill>
                      </w14:textFill>
                    </w:rPr>
                    <w:t>880</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1</w:t>
                  </w:r>
                  <w:r>
                    <w:rPr>
                      <w:color w:val="000000" w:themeColor="text1"/>
                      <w:spacing w:val="-20"/>
                      <w:kern w:val="0"/>
                      <w:szCs w:val="21"/>
                      <w14:textFill>
                        <w14:solidFill>
                          <w14:schemeClr w14:val="tx1"/>
                        </w14:solidFill>
                      </w14:textFill>
                    </w:rPr>
                    <w:t>9.2</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5</w:t>
                  </w:r>
                  <w:r>
                    <w:rPr>
                      <w:color w:val="000000" w:themeColor="text1"/>
                      <w:spacing w:val="-20"/>
                      <w:kern w:val="0"/>
                      <w:szCs w:val="21"/>
                      <w14:textFill>
                        <w14:solidFill>
                          <w14:schemeClr w14:val="tx1"/>
                        </w14:solidFill>
                      </w14:textFill>
                    </w:rPr>
                    <w:t>760</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2</w:t>
                  </w:r>
                  <w:r>
                    <w:rPr>
                      <w:color w:val="000000" w:themeColor="text1"/>
                      <w:spacing w:val="-20"/>
                      <w:kern w:val="0"/>
                      <w:szCs w:val="21"/>
                      <w14:textFill>
                        <w14:solidFill>
                          <w14:schemeClr w14:val="tx1"/>
                        </w14:solidFill>
                      </w14:textFill>
                    </w:rPr>
                    <w:t>8.8</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8</w:t>
                  </w:r>
                  <w:r>
                    <w:rPr>
                      <w:color w:val="000000" w:themeColor="text1"/>
                      <w:spacing w:val="-20"/>
                      <w:kern w:val="0"/>
                      <w:szCs w:val="21"/>
                      <w14:textFill>
                        <w14:solidFill>
                          <w14:schemeClr w14:val="tx1"/>
                        </w14:solidFill>
                      </w14:textFill>
                    </w:rPr>
                    <w:t>640</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0</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0</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0</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0</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0</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spacing w:val="-20"/>
                      <w:kern w:val="0"/>
                      <w:szCs w:val="21"/>
                      <w14:textFill>
                        <w14:solidFill>
                          <w14:schemeClr w14:val="tx1"/>
                        </w14:solidFill>
                      </w14:textFill>
                    </w:rPr>
                  </w:pPr>
                  <w:r>
                    <w:rPr>
                      <w:rFonts w:hint="eastAsia"/>
                      <w:color w:val="000000" w:themeColor="text1"/>
                      <w:spacing w:val="-20"/>
                      <w:kern w:val="0"/>
                      <w:szCs w:val="21"/>
                      <w14:textFill>
                        <w14:solidFill>
                          <w14:schemeClr w14:val="tx1"/>
                        </w14:solidFill>
                      </w14:textFill>
                    </w:rPr>
                    <w:t>0</w:t>
                  </w:r>
                </w:p>
              </w:tc>
              <w:tc>
                <w:tcPr>
                  <w:tcW w:w="1337"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蒸发损耗</w:t>
                  </w:r>
                </w:p>
              </w:tc>
            </w:tr>
            <w:tr>
              <w:tblPrEx>
                <w:tblCellMar>
                  <w:top w:w="0" w:type="dxa"/>
                  <w:left w:w="108" w:type="dxa"/>
                  <w:bottom w:w="0" w:type="dxa"/>
                  <w:right w:w="108" w:type="dxa"/>
                </w:tblCellMar>
              </w:tblPrEx>
              <w:trPr>
                <w:trHeight w:val="20" w:hRule="atLeast"/>
              </w:trPr>
              <w:tc>
                <w:tcPr>
                  <w:tcW w:w="42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kern w:val="0"/>
                      <w:szCs w:val="21"/>
                      <w14:textFill>
                        <w14:solidFill>
                          <w14:schemeClr w14:val="tx1"/>
                        </w14:solidFill>
                      </w14:textFill>
                    </w:rPr>
                  </w:pPr>
                </w:p>
              </w:tc>
              <w:tc>
                <w:tcPr>
                  <w:tcW w:w="11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绿化用水</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7.2</w:t>
                  </w:r>
                </w:p>
              </w:tc>
              <w:tc>
                <w:tcPr>
                  <w:tcW w:w="869"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2160</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r>
                    <w:rPr>
                      <w:color w:val="000000" w:themeColor="text1"/>
                      <w:kern w:val="0"/>
                      <w:szCs w:val="21"/>
                      <w14:textFill>
                        <w14:solidFill>
                          <w14:schemeClr w14:val="tx1"/>
                        </w14:solidFill>
                      </w14:textFill>
                    </w:rPr>
                    <w:t>.2</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160</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1337"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蒸发</w:t>
                  </w:r>
                  <w:r>
                    <w:rPr>
                      <w:rFonts w:hint="eastAsia"/>
                      <w:color w:val="000000" w:themeColor="text1"/>
                      <w:kern w:val="0"/>
                      <w:szCs w:val="21"/>
                      <w14:textFill>
                        <w14:solidFill>
                          <w14:schemeClr w14:val="tx1"/>
                        </w14:solidFill>
                      </w14:textFill>
                    </w:rPr>
                    <w:t>损</w:t>
                  </w:r>
                  <w:r>
                    <w:rPr>
                      <w:color w:val="000000" w:themeColor="text1"/>
                      <w:kern w:val="0"/>
                      <w:szCs w:val="21"/>
                      <w14:textFill>
                        <w14:solidFill>
                          <w14:schemeClr w14:val="tx1"/>
                        </w14:solidFill>
                      </w14:textFill>
                    </w:rPr>
                    <w:t>失</w:t>
                  </w:r>
                </w:p>
              </w:tc>
            </w:tr>
            <w:tr>
              <w:tblPrEx>
                <w:tblCellMar>
                  <w:top w:w="0" w:type="dxa"/>
                  <w:left w:w="108" w:type="dxa"/>
                  <w:bottom w:w="0" w:type="dxa"/>
                  <w:right w:w="108" w:type="dxa"/>
                </w:tblCellMar>
              </w:tblPrEx>
              <w:trPr>
                <w:trHeight w:val="20" w:hRule="atLeast"/>
              </w:trPr>
              <w:tc>
                <w:tcPr>
                  <w:tcW w:w="1564"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合计</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kern w:val="0"/>
                      <w:szCs w:val="21"/>
                    </w:rPr>
                  </w:pPr>
                  <w:r>
                    <w:rPr>
                      <w:rFonts w:eastAsia="等线"/>
                      <w:color w:val="000000"/>
                      <w:szCs w:val="21"/>
                    </w:rPr>
                    <w:t>56.75</w:t>
                  </w:r>
                </w:p>
              </w:tc>
              <w:tc>
                <w:tcPr>
                  <w:tcW w:w="869"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15578.13</w:t>
                  </w:r>
                </w:p>
              </w:tc>
              <w:tc>
                <w:tcPr>
                  <w:tcW w:w="96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93.69</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25216.27</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150.44</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40794.4</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14.48</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3349.34</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24.08</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5240.69</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38.56</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000000"/>
                      <w:szCs w:val="21"/>
                    </w:rPr>
                  </w:pPr>
                  <w:r>
                    <w:rPr>
                      <w:rFonts w:eastAsia="等线"/>
                      <w:color w:val="000000"/>
                      <w:szCs w:val="21"/>
                    </w:rPr>
                    <w:t>8590.03</w:t>
                  </w:r>
                </w:p>
              </w:tc>
              <w:tc>
                <w:tcPr>
                  <w:tcW w:w="1337"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bl>
          <w:p>
            <w:pPr>
              <w:pStyle w:val="2"/>
              <w:ind w:firstLine="360"/>
              <w:rPr>
                <w:color w:val="000000" w:themeColor="text1"/>
                <w14:textFill>
                  <w14:solidFill>
                    <w14:schemeClr w14:val="tx1"/>
                  </w14:solidFill>
                </w14:textFill>
              </w:rPr>
            </w:pPr>
          </w:p>
        </w:tc>
      </w:tr>
    </w:tbl>
    <w:p>
      <w:pPr>
        <w:ind w:firstLine="420"/>
        <w:rPr>
          <w:color w:val="000000" w:themeColor="text1"/>
          <w14:textFill>
            <w14:solidFill>
              <w14:schemeClr w14:val="tx1"/>
            </w14:solidFill>
          </w14:textFill>
        </w:rPr>
        <w:sectPr>
          <w:pgSz w:w="16838" w:h="11906" w:orient="landscape"/>
          <w:pgMar w:top="1134" w:right="1134" w:bottom="1134" w:left="1134" w:header="851" w:footer="851" w:gutter="0"/>
          <w:pgBorders>
            <w:top w:val="none" w:sz="0" w:space="0"/>
            <w:left w:val="none" w:sz="0" w:space="0"/>
            <w:bottom w:val="none" w:sz="0" w:space="0"/>
            <w:right w:val="none" w:sz="0" w:space="0"/>
          </w:pgBorders>
          <w:cols w:space="720" w:num="1"/>
          <w:docGrid w:linePitch="312" w:charSpace="0"/>
        </w:sectPr>
      </w:pPr>
    </w:p>
    <w:tbl>
      <w:tblPr>
        <w:tblStyle w:val="36"/>
        <w:tblW w:w="5000" w:type="pct"/>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2"/>
        <w:gridCol w:w="8620"/>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43" w:type="pct"/>
            <w:gridSpan w:val="2"/>
            <w:vAlign w:val="center"/>
          </w:tcPr>
          <w:p>
            <w:pPr>
              <w:pStyle w:val="32"/>
              <w:adjustRightInd w:val="0"/>
              <w:snapToGrid w:val="0"/>
              <w:spacing w:before="0" w:beforeAutospacing="0" w:after="0" w:afterAutospacing="0" w:line="240" w:lineRule="auto"/>
              <w:jc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建</w:t>
            </w:r>
            <w:r>
              <w:rPr>
                <w:rFonts w:ascii="Times New Roman" w:hAnsi="Times New Roman"/>
                <w:color w:val="000000" w:themeColor="text1"/>
                <w:szCs w:val="24"/>
                <w14:textFill>
                  <w14:solidFill>
                    <w14:schemeClr w14:val="tx1"/>
                  </w14:solidFill>
                </w14:textFill>
              </w:rPr>
              <w:t>设内容</w:t>
            </w:r>
          </w:p>
        </w:tc>
        <w:tc>
          <w:tcPr>
            <w:tcW w:w="4757" w:type="pct"/>
          </w:tcPr>
          <w:p>
            <w:pPr>
              <w:adjustRightInd w:val="0"/>
              <w:snapToGrid w:val="0"/>
              <w:jc w:val="center"/>
              <w:rPr>
                <w:b/>
                <w:color w:val="000000" w:themeColor="text1"/>
                <w:sz w:val="24"/>
                <w14:textFill>
                  <w14:solidFill>
                    <w14:schemeClr w14:val="tx1"/>
                  </w14:solidFill>
                </w14:textFill>
              </w:rPr>
            </w:pPr>
            <w:r>
              <w:object>
                <v:shape id="_x0000_i1034" o:spt="75" type="#_x0000_t75" style="height:317.6pt;width:365.4pt;" o:ole="t" filled="f" o:preferrelative="t" stroked="f" coordsize="21600,21600">
                  <v:path/>
                  <v:fill on="f" focussize="0,0"/>
                  <v:stroke on="f" joinstyle="miter"/>
                  <v:imagedata r:id="rId30" o:title=""/>
                  <o:lock v:ext="edit" aspectratio="t"/>
                  <w10:wrap type="none"/>
                  <w10:anchorlock/>
                </v:shape>
                <o:OLEObject Type="Embed" ProgID="Visio.Drawing.15" ShapeID="_x0000_i1034" DrawAspect="Content" ObjectID="_1468075734" r:id="rId29">
                  <o:LockedField>false</o:LockedField>
                </o:OLEObject>
              </w:object>
            </w:r>
          </w:p>
          <w:p>
            <w:pPr>
              <w:adjustRightInd w:val="0"/>
              <w:snapToGrid w:val="0"/>
              <w:spacing w:line="24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图2</w:t>
            </w:r>
            <w:r>
              <w:rPr>
                <w:b/>
                <w:color w:val="000000" w:themeColor="text1"/>
                <w:sz w:val="24"/>
                <w14:textFill>
                  <w14:solidFill>
                    <w14:schemeClr w14:val="tx1"/>
                  </w14:solidFill>
                </w14:textFill>
              </w:rPr>
              <w:t>.7</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 xml:space="preserve">1  </w:t>
            </w:r>
            <w:r>
              <w:rPr>
                <w:rFonts w:hint="eastAsia"/>
                <w:b/>
                <w:color w:val="000000" w:themeColor="text1"/>
                <w:sz w:val="24"/>
                <w14:textFill>
                  <w14:solidFill>
                    <w14:schemeClr w14:val="tx1"/>
                  </w14:solidFill>
                </w14:textFill>
              </w:rPr>
              <w:t xml:space="preserve">项目一期工程水平衡图 </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单位：m</w:t>
            </w:r>
            <w:r>
              <w:rPr>
                <w:b/>
                <w:color w:val="000000" w:themeColor="text1"/>
                <w:sz w:val="24"/>
                <w:vertAlign w:val="superscript"/>
                <w14:textFill>
                  <w14:solidFill>
                    <w14:schemeClr w14:val="tx1"/>
                  </w14:solidFill>
                </w14:textFill>
              </w:rPr>
              <w:t>3</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d</w:t>
            </w:r>
          </w:p>
          <w:p>
            <w:pPr>
              <w:pStyle w:val="2"/>
              <w:spacing w:before="0" w:after="0" w:line="240" w:lineRule="auto"/>
              <w:ind w:right="0"/>
              <w:jc w:val="center"/>
              <w:rPr>
                <w:color w:val="000000" w:themeColor="text1"/>
                <w14:textFill>
                  <w14:solidFill>
                    <w14:schemeClr w14:val="tx1"/>
                  </w14:solidFill>
                </w14:textFill>
              </w:rPr>
            </w:pPr>
            <w:r>
              <w:object>
                <v:shape id="_x0000_i1035" o:spt="75" type="#_x0000_t75" style="height:302.15pt;width:366.75pt;" o:ole="t" filled="f" o:preferrelative="t" stroked="f" coordsize="21600,21600">
                  <v:path/>
                  <v:fill on="f" focussize="0,0"/>
                  <v:stroke on="f" joinstyle="miter"/>
                  <v:imagedata r:id="rId32" o:title=""/>
                  <o:lock v:ext="edit" aspectratio="t"/>
                  <w10:wrap type="none"/>
                  <w10:anchorlock/>
                </v:shape>
                <o:OLEObject Type="Embed" ProgID="Visio.Drawing.15" ShapeID="_x0000_i1035" DrawAspect="Content" ObjectID="_1468075735" r:id="rId31">
                  <o:LockedField>false</o:LockedField>
                </o:OLEObject>
              </w:object>
            </w:r>
          </w:p>
          <w:p>
            <w:pPr>
              <w:pStyle w:val="2"/>
              <w:spacing w:before="0" w:after="0" w:line="240" w:lineRule="auto"/>
              <w:ind w:right="0"/>
              <w:jc w:val="center"/>
              <w:rPr>
                <w:color w:val="000000" w:themeColor="text1"/>
                <w14:textFill>
                  <w14:solidFill>
                    <w14:schemeClr w14:val="tx1"/>
                  </w14:solidFill>
                </w14:textFill>
              </w:rPr>
            </w:pPr>
            <w:r>
              <w:rPr>
                <w:rFonts w:hint="eastAsia"/>
                <w:b/>
                <w:color w:val="000000" w:themeColor="text1"/>
                <w:kern w:val="2"/>
                <w:sz w:val="24"/>
                <w:szCs w:val="24"/>
                <w14:textFill>
                  <w14:solidFill>
                    <w14:schemeClr w14:val="tx1"/>
                  </w14:solidFill>
                </w14:textFill>
              </w:rPr>
              <w:t>图2</w:t>
            </w:r>
            <w:r>
              <w:rPr>
                <w:b/>
                <w:color w:val="000000" w:themeColor="text1"/>
                <w:kern w:val="2"/>
                <w:sz w:val="24"/>
                <w:szCs w:val="24"/>
                <w14:textFill>
                  <w14:solidFill>
                    <w14:schemeClr w14:val="tx1"/>
                  </w14:solidFill>
                </w14:textFill>
              </w:rPr>
              <w:t>.7</w:t>
            </w:r>
            <w:r>
              <w:rPr>
                <w:rFonts w:hint="eastAsia"/>
                <w:b/>
                <w:color w:val="000000" w:themeColor="text1"/>
                <w:kern w:val="2"/>
                <w:sz w:val="24"/>
                <w:szCs w:val="24"/>
                <w14:textFill>
                  <w14:solidFill>
                    <w14:schemeClr w14:val="tx1"/>
                  </w14:solidFill>
                </w14:textFill>
              </w:rPr>
              <w:t>-</w:t>
            </w:r>
            <w:r>
              <w:rPr>
                <w:b/>
                <w:color w:val="000000" w:themeColor="text1"/>
                <w:kern w:val="2"/>
                <w:sz w:val="24"/>
                <w:szCs w:val="24"/>
                <w14:textFill>
                  <w14:solidFill>
                    <w14:schemeClr w14:val="tx1"/>
                  </w14:solidFill>
                </w14:textFill>
              </w:rPr>
              <w:t xml:space="preserve">2  </w:t>
            </w:r>
            <w:r>
              <w:rPr>
                <w:rFonts w:hint="eastAsia"/>
                <w:b/>
                <w:color w:val="000000" w:themeColor="text1"/>
                <w:kern w:val="2"/>
                <w:sz w:val="24"/>
                <w:szCs w:val="24"/>
                <w14:textFill>
                  <w14:solidFill>
                    <w14:schemeClr w14:val="tx1"/>
                  </w14:solidFill>
                </w14:textFill>
              </w:rPr>
              <w:t xml:space="preserve">项目二期工程水平衡图 </w:t>
            </w:r>
            <w:r>
              <w:rPr>
                <w:b/>
                <w:color w:val="000000" w:themeColor="text1"/>
                <w:kern w:val="2"/>
                <w:sz w:val="24"/>
                <w:szCs w:val="24"/>
                <w14:textFill>
                  <w14:solidFill>
                    <w14:schemeClr w14:val="tx1"/>
                  </w14:solidFill>
                </w14:textFill>
              </w:rPr>
              <w:t xml:space="preserve"> </w:t>
            </w:r>
            <w:r>
              <w:rPr>
                <w:rFonts w:hint="eastAsia"/>
                <w:b/>
                <w:color w:val="000000" w:themeColor="text1"/>
                <w:kern w:val="2"/>
                <w:sz w:val="24"/>
                <w:szCs w:val="24"/>
                <w14:textFill>
                  <w14:solidFill>
                    <w14:schemeClr w14:val="tx1"/>
                  </w14:solidFill>
                </w14:textFill>
              </w:rPr>
              <w:t>单位：m</w:t>
            </w:r>
            <w:r>
              <w:rPr>
                <w:b/>
                <w:color w:val="000000" w:themeColor="text1"/>
                <w:kern w:val="2"/>
                <w:sz w:val="24"/>
                <w:szCs w:val="24"/>
                <w14:textFill>
                  <w14:solidFill>
                    <w14:schemeClr w14:val="tx1"/>
                  </w14:solidFill>
                </w14:textFill>
              </w:rPr>
              <w:t>3/</w:t>
            </w:r>
            <w:r>
              <w:rPr>
                <w:rFonts w:hint="eastAsia"/>
                <w:b/>
                <w:color w:val="000000" w:themeColor="text1"/>
                <w:kern w:val="2"/>
                <w:sz w:val="24"/>
                <w:szCs w:val="24"/>
                <w14:textFill>
                  <w14:solidFill>
                    <w14:schemeClr w14:val="tx1"/>
                  </w14:solidFill>
                </w14:textFill>
              </w:rPr>
              <w:t>d</w:t>
            </w:r>
          </w:p>
          <w:p>
            <w:pPr>
              <w:pStyle w:val="3"/>
              <w:numPr>
                <w:ilvl w:val="0"/>
                <w:numId w:val="0"/>
              </w:numPr>
              <w:spacing w:line="240" w:lineRule="auto"/>
              <w:jc w:val="center"/>
              <w:rPr>
                <w:color w:val="000000" w:themeColor="text1"/>
                <w14:textFill>
                  <w14:solidFill>
                    <w14:schemeClr w14:val="tx1"/>
                  </w14:solidFill>
                </w14:textFill>
              </w:rPr>
            </w:pPr>
            <w:r>
              <w:object>
                <v:shape id="_x0000_i1036" o:spt="75" type="#_x0000_t75" style="height:351.25pt;width:409.8pt;" o:ole="t" filled="f" o:preferrelative="t" stroked="f" coordsize="21600,21600">
                  <v:path/>
                  <v:fill on="f" focussize="0,0"/>
                  <v:stroke on="f" joinstyle="miter"/>
                  <v:imagedata r:id="rId34" o:title=""/>
                  <o:lock v:ext="edit" aspectratio="t"/>
                  <w10:wrap type="none"/>
                  <w10:anchorlock/>
                </v:shape>
                <o:OLEObject Type="Embed" ProgID="Visio.Drawing.15" ShapeID="_x0000_i1036" DrawAspect="Content" ObjectID="_1468075736" r:id="rId33">
                  <o:LockedField>false</o:LockedField>
                </o:OLEObject>
              </w:object>
            </w:r>
            <w:r>
              <w:rPr>
                <w:rFonts w:hint="eastAsia"/>
                <w:b/>
                <w:color w:val="000000" w:themeColor="text1"/>
                <w:sz w:val="24"/>
                <w14:textFill>
                  <w14:solidFill>
                    <w14:schemeClr w14:val="tx1"/>
                  </w14:solidFill>
                </w14:textFill>
              </w:rPr>
              <w:t>图2</w:t>
            </w:r>
            <w:r>
              <w:rPr>
                <w:b/>
                <w:color w:val="000000" w:themeColor="text1"/>
                <w:sz w:val="24"/>
                <w14:textFill>
                  <w14:solidFill>
                    <w14:schemeClr w14:val="tx1"/>
                  </w14:solidFill>
                </w14:textFill>
              </w:rPr>
              <w:t>.7</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 xml:space="preserve">3  </w:t>
            </w:r>
            <w:r>
              <w:rPr>
                <w:rFonts w:hint="eastAsia"/>
                <w:b/>
                <w:color w:val="000000" w:themeColor="text1"/>
                <w:sz w:val="24"/>
                <w14:textFill>
                  <w14:solidFill>
                    <w14:schemeClr w14:val="tx1"/>
                  </w14:solidFill>
                </w14:textFill>
              </w:rPr>
              <w:t xml:space="preserve">项目总体工程水平衡图 </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单位：m</w:t>
            </w:r>
            <w:r>
              <w:rPr>
                <w:b/>
                <w:color w:val="000000" w:themeColor="text1"/>
                <w:sz w:val="24"/>
                <w:vertAlign w:val="superscript"/>
                <w14:textFill>
                  <w14:solidFill>
                    <w14:schemeClr w14:val="tx1"/>
                  </w14:solidFill>
                </w14:textFill>
              </w:rPr>
              <w:t>3</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d</w:t>
            </w:r>
          </w:p>
          <w:p>
            <w:pPr>
              <w:rPr>
                <w:b/>
                <w:color w:val="000000" w:themeColor="text1"/>
                <w:sz w:val="24"/>
                <w:szCs w:val="20"/>
                <w14:textFill>
                  <w14:solidFill>
                    <w14:schemeClr w14:val="tx1"/>
                  </w14:solidFill>
                </w14:textFill>
              </w:rPr>
            </w:pPr>
            <w:r>
              <w:rPr>
                <w:b/>
                <w:color w:val="000000" w:themeColor="text1"/>
                <w:sz w:val="24"/>
                <w:szCs w:val="20"/>
                <w14:textFill>
                  <w14:solidFill>
                    <w14:schemeClr w14:val="tx1"/>
                  </w14:solidFill>
                </w14:textFill>
              </w:rPr>
              <w:t>2.8平面布置</w:t>
            </w:r>
            <w:r>
              <w:rPr>
                <w:rFonts w:hint="eastAsia"/>
                <w:b/>
                <w:color w:val="000000" w:themeColor="text1"/>
                <w:sz w:val="24"/>
                <w:szCs w:val="20"/>
                <w14:textFill>
                  <w14:solidFill>
                    <w14:schemeClr w14:val="tx1"/>
                  </w14:solidFill>
                </w14:textFill>
              </w:rPr>
              <w:t>及合理性分析</w:t>
            </w:r>
          </w:p>
          <w:p>
            <w:pPr>
              <w:rPr>
                <w:b/>
                <w:color w:val="000000" w:themeColor="text1"/>
                <w:sz w:val="24"/>
                <w:szCs w:val="20"/>
                <w14:textFill>
                  <w14:solidFill>
                    <w14:schemeClr w14:val="tx1"/>
                  </w14:solidFill>
                </w14:textFill>
              </w:rPr>
            </w:pPr>
            <w:r>
              <w:rPr>
                <w:rFonts w:hint="eastAsia"/>
                <w:b/>
                <w:color w:val="000000" w:themeColor="text1"/>
                <w:sz w:val="24"/>
                <w:szCs w:val="20"/>
                <w14:textFill>
                  <w14:solidFill>
                    <w14:schemeClr w14:val="tx1"/>
                  </w14:solidFill>
                </w14:textFill>
              </w:rPr>
              <w:t>2</w:t>
            </w:r>
            <w:r>
              <w:rPr>
                <w:b/>
                <w:color w:val="000000" w:themeColor="text1"/>
                <w:sz w:val="24"/>
                <w:szCs w:val="20"/>
                <w14:textFill>
                  <w14:solidFill>
                    <w14:schemeClr w14:val="tx1"/>
                  </w14:solidFill>
                </w14:textFill>
              </w:rPr>
              <w:t>.8.1</w:t>
            </w:r>
            <w:r>
              <w:rPr>
                <w:rFonts w:hint="eastAsia"/>
                <w:b/>
                <w:color w:val="000000" w:themeColor="text1"/>
                <w:sz w:val="24"/>
                <w:szCs w:val="20"/>
                <w14:textFill>
                  <w14:solidFill>
                    <w14:schemeClr w14:val="tx1"/>
                  </w14:solidFill>
                </w14:textFill>
              </w:rPr>
              <w:t>总平面布置方案</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项目所在地块整体呈矩形，平面布置分生产区和办公生活区。</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生产区位于厂区中部，由北向南依次为</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#原料破碎车间、钢丝加工车间、裂解车间、</w:t>
            </w: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#原料破碎车间、炭黑加工车间、储油罐区等。</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办公生活区位于厂区北部，包括办公楼、门卫、变压器室等。</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厂区东南侧为循环水池、事故水池、初期雨水收集池等环保设施及风险防范设施。燃烧烟气处理设施位于裂解车间南侧。危废暂存间位于钢丝加工车间内西北角，一般固废暂存间位于1#原料破碎车间西北角。</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厂区内道路和交通设置：厂区共设置</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个出入口，办公区旁为员工出入口。厂区西北边界和南厂界各设置1个货物出入口；厂区周围布置环形道路，以满足厂区内物流运输要求，各生产车间、仓库、罐区之间均留有物流通道，以满足车间之间的物流需要。</w:t>
            </w:r>
          </w:p>
          <w:p>
            <w:pPr>
              <w:pStyle w:val="72"/>
              <w:ind w:firstLine="480"/>
              <w:rPr>
                <w:rFonts w:cs="Times New Roman"/>
                <w:color w:val="000000" w:themeColor="text1"/>
                <w:szCs w:val="24"/>
                <w:lang w:bidi="ar"/>
                <w14:textFill>
                  <w14:solidFill>
                    <w14:schemeClr w14:val="tx1"/>
                  </w14:solidFill>
                </w14:textFill>
              </w:rPr>
            </w:pPr>
            <w:r>
              <w:rPr>
                <w:rFonts w:hint="eastAsia" w:cs="Times New Roman"/>
                <w:color w:val="000000" w:themeColor="text1"/>
                <w:szCs w:val="24"/>
                <w:lang w:bidi="ar"/>
                <w14:textFill>
                  <w14:solidFill>
                    <w14:schemeClr w14:val="tx1"/>
                  </w14:solidFill>
                </w14:textFill>
              </w:rPr>
              <w:t>项目生产区布置与储油罐区位置合理，工艺流畅，运输便捷。建筑物之间留有足够的防火间距，布局合理。项目储油罐区设置了围堰（围堰有效容积大于单个最大储罐容积），并在厂区设置了事故水导排系统及事故应急池，有利于生产的安全顺利进行，且储油罐区靠近生产装置区，降低了物料输送风险。项目厂区内地势为北侧高，南侧低，事故水池设置在东南侧，事故水可以自流进入事故水池，便于事故发生时事故废水收集，实现事故废水自流，厂区雨水管网由北侧高处自流向南侧低处排出厂外，竖向布置合理。项目所在地常年主导风向为东北风，办公楼处于生产区主导风向上风向，采取有效的废气治理措施后，生产废气对办公生活区影响较小；办公生活区与生产区有一定距离，并且中间有道路及绿化带相隔，能够减轻生产过程中废气和噪声对办公生活区的影响，保证办公生活区安静、卫生、优美的环境。</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项目总平面布置见附图2。</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243" w:type="pct"/>
            <w:gridSpan w:val="2"/>
            <w:vAlign w:val="center"/>
          </w:tcPr>
          <w:p>
            <w:pPr>
              <w:pStyle w:val="32"/>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4757" w:type="pct"/>
          </w:tcPr>
          <w:p>
            <w:pPr>
              <w:adjustRightInd w:val="0"/>
              <w:snapToGrid w:val="0"/>
              <w:rPr>
                <w:b/>
                <w:color w:val="000000" w:themeColor="text1"/>
                <w:sz w:val="24"/>
                <w14:textFill>
                  <w14:solidFill>
                    <w14:schemeClr w14:val="tx1"/>
                  </w14:solidFill>
                </w14:textFill>
              </w:rPr>
            </w:pPr>
            <w:r>
              <w:rPr>
                <w:b/>
                <w:color w:val="000000" w:themeColor="text1"/>
                <w:sz w:val="24"/>
                <w14:textFill>
                  <w14:solidFill>
                    <w14:schemeClr w14:val="tx1"/>
                  </w14:solidFill>
                </w14:textFill>
              </w:rPr>
              <w:t>2.9</w:t>
            </w:r>
            <w:r>
              <w:rPr>
                <w:rFonts w:hint="eastAsia"/>
                <w:b/>
                <w:color w:val="000000" w:themeColor="text1"/>
                <w:sz w:val="24"/>
                <w14:textFill>
                  <w14:solidFill>
                    <w14:schemeClr w14:val="tx1"/>
                  </w14:solidFill>
                </w14:textFill>
              </w:rPr>
              <w:t>工艺流程和产排污环节</w:t>
            </w:r>
          </w:p>
          <w:p>
            <w:pP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.9.1</w:t>
            </w:r>
            <w:r>
              <w:rPr>
                <w:rFonts w:hint="eastAsia"/>
                <w:b/>
                <w:color w:val="000000" w:themeColor="text1"/>
                <w:sz w:val="24"/>
                <w14:textFill>
                  <w14:solidFill>
                    <w14:schemeClr w14:val="tx1"/>
                  </w14:solidFill>
                </w14:textFill>
              </w:rPr>
              <w:t>施工期工艺流程及产污环节</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本项目厂区已由园区平整完毕。施工期主要建设厂房及相关的配套设施，主要包括基础工程、主体工程、装饰工程、设备安装和工程验收。施工期主要工艺流程及产污环节见图2</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p>
          <w:p>
            <w:pPr>
              <w:spacing w:line="240" w:lineRule="auto"/>
              <w:jc w:val="center"/>
              <w:rPr>
                <w:color w:val="000000" w:themeColor="text1"/>
                <w:sz w:val="24"/>
                <w14:textFill>
                  <w14:solidFill>
                    <w14:schemeClr w14:val="tx1"/>
                  </w14:solidFill>
                </w14:textFill>
              </w:rPr>
            </w:pPr>
            <w:r>
              <w:rPr>
                <w:color w:val="000000" w:themeColor="text1"/>
                <w14:textFill>
                  <w14:solidFill>
                    <w14:schemeClr w14:val="tx1"/>
                  </w14:solidFill>
                </w14:textFill>
              </w:rPr>
              <w:object>
                <v:shape id="_x0000_i1037" o:spt="75" type="#_x0000_t75" style="height:135.95pt;width:405.1pt;" o:ole="t" filled="f" o:preferrelative="t" stroked="f" coordsize="21600,21600">
                  <v:path/>
                  <v:fill on="f" focussize="0,0"/>
                  <v:stroke on="f" joinstyle="miter"/>
                  <v:imagedata r:id="rId36" o:title=""/>
                  <o:lock v:ext="edit" aspectratio="t"/>
                  <w10:wrap type="none"/>
                  <w10:anchorlock/>
                </v:shape>
                <o:OLEObject Type="Embed" ProgID="Visio.Drawing.15" ShapeID="_x0000_i1037" DrawAspect="Content" ObjectID="_1468075737" r:id="rId35">
                  <o:LockedField>false</o:LockedField>
                </o:OLEObject>
              </w:object>
            </w:r>
            <w:r>
              <w:rPr>
                <w:rFonts w:hint="eastAsia"/>
                <w:b/>
                <w:color w:val="000000" w:themeColor="text1"/>
                <w:sz w:val="24"/>
                <w14:textFill>
                  <w14:solidFill>
                    <w14:schemeClr w14:val="tx1"/>
                  </w14:solidFill>
                </w14:textFill>
              </w:rPr>
              <w:t>图2</w:t>
            </w:r>
            <w:r>
              <w:rPr>
                <w:b/>
                <w:color w:val="000000" w:themeColor="text1"/>
                <w:sz w:val="24"/>
                <w14:textFill>
                  <w14:solidFill>
                    <w14:schemeClr w14:val="tx1"/>
                  </w14:solidFill>
                </w14:textFill>
              </w:rPr>
              <w:t>.9</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 xml:space="preserve">1  </w:t>
            </w:r>
            <w:r>
              <w:rPr>
                <w:rFonts w:hint="eastAsia"/>
                <w:b/>
                <w:color w:val="000000" w:themeColor="text1"/>
                <w:sz w:val="24"/>
                <w14:textFill>
                  <w14:solidFill>
                    <w14:schemeClr w14:val="tx1"/>
                  </w14:solidFill>
                </w14:textFill>
              </w:rPr>
              <w:t>施工期工艺流程及产污环节图</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施工期产污：</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（1）废气</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工作人员均为园区附近招聘。项目不设施工营地，施工人员的食宿依托周边现有设施。因此，施工期的大气污染物主要为施工粉尘和各种燃油动力机械在施工过程中产生的燃油废气，其主要污染物为颗粒物、CO、NO</w:t>
            </w:r>
            <w:r>
              <w:rPr>
                <w:rFonts w:hint="eastAsia"/>
                <w:color w:val="000000" w:themeColor="text1"/>
                <w:sz w:val="24"/>
                <w:vertAlign w:val="subscript"/>
                <w14:textFill>
                  <w14:solidFill>
                    <w14:schemeClr w14:val="tx1"/>
                  </w14:solidFill>
                </w14:textFill>
              </w:rPr>
              <w:t>X</w:t>
            </w:r>
            <w:r>
              <w:rPr>
                <w:rFonts w:hint="eastAsia"/>
                <w:color w:val="000000" w:themeColor="text1"/>
                <w:sz w:val="24"/>
                <w14:textFill>
                  <w14:solidFill>
                    <w14:schemeClr w14:val="tx1"/>
                  </w14:solidFill>
                </w14:textFill>
              </w:rPr>
              <w:t>和THC。</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（2）废水</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施工废水：包括施工车辆冲洗废水和建（构）筑养护废水，污染因子为SS、COD、石油类。根据建设单位提供资料及类比同类施工项目，项目施工废水量约5m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/d，污染物浓度分别为石油类12mg/L、COD150mg/L、SS200mg/L。施工废水经隔油沉淀池处理后全部回用，不外排。</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生活污水：施工高峰期施工人员预计为20人/d。施工人员生活用水量按50L/人·d考虑，污水产生系数按0.9计，则生活污水排放量为0.9m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/d。主要污染物浓度COD4</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0mg/L、SS3</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0mg/L。施工人员生活污水经临时简易化粪池处理后排入园区污水管网。</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（3）固体废物</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项目固体废弃物主要是建筑垃圾和生活垃圾。</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根据陆宁、陆路等发表的《中国城市建筑垃圾产生量计算及预测方法》，每10</w:t>
            </w:r>
            <w:r>
              <w:rPr>
                <w:rFonts w:hint="eastAsia"/>
                <w:color w:val="000000" w:themeColor="text1"/>
                <w:sz w:val="24"/>
                <w:vertAlign w:val="superscript"/>
                <w14:textFill>
                  <w14:solidFill>
                    <w14:schemeClr w14:val="tx1"/>
                  </w14:solidFill>
                </w14:textFill>
              </w:rPr>
              <w:t>4</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建筑施工面积产生550t建筑施工垃圾。项目建筑面积2</w:t>
            </w:r>
            <w:r>
              <w:rPr>
                <w:color w:val="000000" w:themeColor="text1"/>
                <w:sz w:val="24"/>
                <w14:textFill>
                  <w14:solidFill>
                    <w14:schemeClr w14:val="tx1"/>
                  </w14:solidFill>
                </w14:textFill>
              </w:rPr>
              <w:t>1947.36</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。经核算，项目建筑垃圾约</w:t>
            </w:r>
            <w:r>
              <w:rPr>
                <w:color w:val="000000" w:themeColor="text1"/>
                <w:sz w:val="24"/>
                <w14:textFill>
                  <w14:solidFill>
                    <w14:schemeClr w14:val="tx1"/>
                  </w14:solidFill>
                </w14:textFill>
              </w:rPr>
              <w:t>1207</w:t>
            </w:r>
            <w:r>
              <w:rPr>
                <w:rFonts w:hint="eastAsia"/>
                <w:color w:val="000000" w:themeColor="text1"/>
                <w:sz w:val="24"/>
                <w14:textFill>
                  <w14:solidFill>
                    <w14:schemeClr w14:val="tx1"/>
                  </w14:solidFill>
                </w14:textFill>
              </w:rPr>
              <w:t>t，由运渣公司运至市政部门指定建筑垃圾堆放场处理。</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生活垃圾按高峰期施工人员20人计，每人每天产生生活垃圾0.5kg，每天产生10kg。生活垃圾收集后，交环卫部门处理。</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（4）噪声</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施工期噪声源为各种施工设备及运输车辆，声源强度在75～105dB(A)之间。项目合理调整施工时间，夜间禁止施工，同时避开午休时间施工；合理安排施工顺序，避免高噪声设备同时运行。</w:t>
            </w:r>
          </w:p>
          <w:p>
            <w:pP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.9.2</w:t>
            </w:r>
            <w:r>
              <w:rPr>
                <w:rFonts w:hint="eastAsia"/>
                <w:b/>
                <w:color w:val="000000" w:themeColor="text1"/>
                <w:sz w:val="24"/>
                <w14:textFill>
                  <w14:solidFill>
                    <w14:schemeClr w14:val="tx1"/>
                  </w14:solidFill>
                </w14:textFill>
              </w:rPr>
              <w:t>运营期工艺流程及产污环节</w:t>
            </w:r>
          </w:p>
          <w:p>
            <w:pPr>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1、工艺原理简述</w:t>
            </w:r>
          </w:p>
          <w:p>
            <w:pPr>
              <w:pStyle w:val="2"/>
              <w:spacing w:before="0" w:after="0" w:line="360" w:lineRule="auto"/>
              <w:ind w:right="0" w:firstLine="480" w:firstLineChars="200"/>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轮胎</w:t>
            </w:r>
            <w:r>
              <w:rPr>
                <w:rFonts w:hint="eastAsia"/>
                <w:color w:val="000000" w:themeColor="text1"/>
                <w:kern w:val="2"/>
                <w:sz w:val="24"/>
                <w:szCs w:val="24"/>
                <w14:textFill>
                  <w14:solidFill>
                    <w14:schemeClr w14:val="tx1"/>
                  </w14:solidFill>
                </w14:textFill>
              </w:rPr>
              <w:t>由</w:t>
            </w:r>
            <w:r>
              <w:rPr>
                <w:color w:val="000000" w:themeColor="text1"/>
                <w:kern w:val="2"/>
                <w:sz w:val="24"/>
                <w:szCs w:val="24"/>
                <w14:textFill>
                  <w14:solidFill>
                    <w14:schemeClr w14:val="tx1"/>
                  </w14:solidFill>
                </w14:textFill>
              </w:rPr>
              <w:t>橡胶(天然橡胶、合成橡胶)、炭黑、各种助剂(增塑剂、防老剂、硫黄和氧化锌等)和骨架材料(钢丝和织物)等</w:t>
            </w:r>
            <w:r>
              <w:rPr>
                <w:rFonts w:hint="eastAsia"/>
                <w:color w:val="000000" w:themeColor="text1"/>
                <w:kern w:val="2"/>
                <w:sz w:val="24"/>
                <w:szCs w:val="24"/>
                <w14:textFill>
                  <w14:solidFill>
                    <w14:schemeClr w14:val="tx1"/>
                  </w14:solidFill>
                </w14:textFill>
              </w:rPr>
              <w:t>构成</w:t>
            </w:r>
            <w:r>
              <w:rPr>
                <w:color w:val="000000" w:themeColor="text1"/>
                <w:kern w:val="2"/>
                <w:sz w:val="24"/>
                <w:szCs w:val="24"/>
                <w14:textFill>
                  <w14:solidFill>
                    <w14:schemeClr w14:val="tx1"/>
                  </w14:solidFill>
                </w14:textFill>
              </w:rPr>
              <w:t>。轮胎</w:t>
            </w:r>
            <w:r>
              <w:rPr>
                <w:rFonts w:hint="eastAsia"/>
                <w:color w:val="000000" w:themeColor="text1"/>
                <w:kern w:val="2"/>
                <w:sz w:val="24"/>
                <w:szCs w:val="24"/>
                <w14:textFill>
                  <w14:solidFill>
                    <w14:schemeClr w14:val="tx1"/>
                  </w14:solidFill>
                </w14:textFill>
              </w:rPr>
              <w:t>主要成分为</w:t>
            </w:r>
            <w:r>
              <w:rPr>
                <w:color w:val="000000" w:themeColor="text1"/>
                <w:kern w:val="2"/>
                <w:sz w:val="24"/>
                <w:szCs w:val="24"/>
                <w14:textFill>
                  <w14:solidFill>
                    <w14:schemeClr w14:val="tx1"/>
                  </w14:solidFill>
                </w14:textFill>
              </w:rPr>
              <w:t>有机化合物，</w:t>
            </w:r>
            <w:r>
              <w:rPr>
                <w:rFonts w:hint="eastAsia"/>
                <w:color w:val="000000" w:themeColor="text1"/>
                <w:kern w:val="2"/>
                <w:sz w:val="24"/>
                <w:szCs w:val="24"/>
                <w14:textFill>
                  <w14:solidFill>
                    <w14:schemeClr w14:val="tx1"/>
                  </w14:solidFill>
                </w14:textFill>
              </w:rPr>
              <w:t>其次是炭黑等无机化合物、钢丝等，具有极高的资源化回收利用价值。</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轮胎中</w:t>
            </w:r>
            <w:r>
              <w:rPr>
                <w:color w:val="000000" w:themeColor="text1"/>
                <w:sz w:val="24"/>
                <w14:textFill>
                  <w14:solidFill>
                    <w14:schemeClr w14:val="tx1"/>
                  </w14:solidFill>
                </w14:textFill>
              </w:rPr>
              <w:t>大多数有机化合物具有热不稳定性的特性</w:t>
            </w:r>
            <w:r>
              <w:rPr>
                <w:rFonts w:hint="eastAsia"/>
                <w:color w:val="000000" w:themeColor="text1"/>
                <w:sz w:val="24"/>
                <w14:textFill>
                  <w14:solidFill>
                    <w14:schemeClr w14:val="tx1"/>
                  </w14:solidFill>
                </w14:textFill>
              </w:rPr>
              <w:t>，在无氧或缺氧工况、微负压以及适当的温度下，橡胶中主链具有不饱和键的高分子断裂，产生单体、二聚体和碎片等有机物小分子，生成物再聚合为多种烯烃，从而脱出挥发性物质并形成固体炭（炭黑）；热裂解中产生具有石油类组份的热解气，经冷凝后，回收得到裂解油；同时，有钢丝和具有高热值的不凝可燃气产生。</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裂解反应式如下：</w:t>
            </w:r>
          </w:p>
          <w:p>
            <w:pPr>
              <w:ind w:firstLine="420"/>
              <w:jc w:val="center"/>
              <w:rPr>
                <w:color w:val="000000" w:themeColor="text1"/>
                <w14:textFill>
                  <w14:solidFill>
                    <w14:schemeClr w14:val="tx1"/>
                  </w14:solidFill>
                </w14:textFill>
              </w:rPr>
            </w:pPr>
            <m:oMathPara>
              <m:oMath>
                <m:r>
                  <m:rPr>
                    <m:sty m:val="p"/>
                  </m:rPr>
                  <w:rPr>
                    <w:rFonts w:hint="eastAsia" w:ascii="Cambria Math" w:hAnsi="Cambria Math"/>
                    <w:color w:val="000000" w:themeColor="text1"/>
                    <w14:textFill>
                      <w14:solidFill>
                        <w14:schemeClr w14:val="tx1"/>
                      </w14:solidFill>
                    </w14:textFill>
                  </w:rPr>
                  <m:t>n</m:t>
                </m:r>
                <m:sSub>
                  <m:sSubPr>
                    <m:ctrlPr>
                      <w:rPr>
                        <w:rFonts w:ascii="Cambria Math" w:hAnsi="Cambria Math" w:eastAsia="等线"/>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CH</m:t>
                    </m:r>
                    <m:ctrlPr>
                      <w:rPr>
                        <w:rFonts w:ascii="Cambria Math" w:hAnsi="Cambria Math" w:eastAsia="等线"/>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2</m:t>
                    </m:r>
                    <m:ctrlPr>
                      <w:rPr>
                        <w:rFonts w:ascii="Cambria Math" w:hAnsi="Cambria Math" w:eastAsia="等线"/>
                        <w:color w:val="000000" w:themeColor="text1"/>
                        <w:szCs w:val="22"/>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=C</m:t>
                </m:r>
                <m:d>
                  <m:dPr>
                    <m:ctrlPr>
                      <w:rPr>
                        <w:rFonts w:ascii="Cambria Math" w:hAnsi="Cambria Math" w:eastAsia="等线"/>
                        <w:color w:val="000000" w:themeColor="text1"/>
                        <w:szCs w:val="22"/>
                        <w14:textFill>
                          <w14:solidFill>
                            <w14:schemeClr w14:val="tx1"/>
                          </w14:solidFill>
                        </w14:textFill>
                      </w:rPr>
                    </m:ctrlPr>
                  </m:dPr>
                  <m:e>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CH</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3</m:t>
                        </m:r>
                        <m:ctrlPr>
                          <w:rPr>
                            <w:rFonts w:ascii="Cambria Math" w:hAnsi="Cambria Math" w:eastAsia="等线"/>
                            <w:i/>
                            <w:color w:val="000000" w:themeColor="text1"/>
                            <w:szCs w:val="22"/>
                            <w14:textFill>
                              <w14:solidFill>
                                <w14:schemeClr w14:val="tx1"/>
                              </w14:solidFill>
                            </w14:textFill>
                          </w:rPr>
                        </m:ctrlPr>
                      </m:sub>
                    </m:sSub>
                    <m:ctrlPr>
                      <w:rPr>
                        <w:rFonts w:ascii="Cambria Math" w:hAnsi="Cambria Math" w:eastAsia="等线"/>
                        <w:color w:val="000000" w:themeColor="text1"/>
                        <w:szCs w:val="22"/>
                        <w14:textFill>
                          <w14:solidFill>
                            <w14:schemeClr w14:val="tx1"/>
                          </w14:solidFill>
                        </w14:textFill>
                      </w:rPr>
                    </m:ctrlPr>
                  </m:e>
                </m:d>
                <m:r>
                  <m:rPr/>
                  <w:rPr>
                    <w:rFonts w:ascii="Cambria Math" w:hAnsi="Cambria Math"/>
                    <w:color w:val="000000" w:themeColor="text1"/>
                    <w14:textFill>
                      <w14:solidFill>
                        <w14:schemeClr w14:val="tx1"/>
                      </w14:solidFill>
                    </w14:textFill>
                  </w:rPr>
                  <m:t>−CH=</m:t>
                </m:r>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CH</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2</m:t>
                    </m:r>
                    <m:ctrlPr>
                      <w:rPr>
                        <w:rFonts w:ascii="Cambria Math" w:hAnsi="Cambria Math" w:eastAsia="等线"/>
                        <w:i/>
                        <w:color w:val="000000" w:themeColor="text1"/>
                        <w:szCs w:val="22"/>
                        <w14:textFill>
                          <w14:solidFill>
                            <w14:schemeClr w14:val="tx1"/>
                          </w14:solidFill>
                        </w14:textFill>
                      </w:rPr>
                    </m:ctrlPr>
                  </m:sub>
                </m:sSub>
                <m:box>
                  <m:boxPr>
                    <m:opEmu m:val="1"/>
                    <m:ctrlPr>
                      <w:rPr>
                        <w:rFonts w:ascii="Cambria Math" w:hAnsi="Cambria Math" w:eastAsia="等线"/>
                        <w:i/>
                        <w:color w:val="000000" w:themeColor="text1"/>
                        <w:szCs w:val="22"/>
                        <w14:textFill>
                          <w14:solidFill>
                            <w14:schemeClr w14:val="tx1"/>
                          </w14:solidFill>
                        </w14:textFill>
                      </w:rPr>
                    </m:ctrlPr>
                  </m:boxPr>
                  <m:e>
                    <m:groupChr>
                      <m:groupChrPr>
                        <m:chr m:val="→"/>
                        <m:vertJc m:val="bot"/>
                        <m:ctrlPr>
                          <w:rPr>
                            <w:rFonts w:ascii="Cambria Math" w:hAnsi="Cambria Math" w:eastAsia="等线"/>
                            <w:i/>
                            <w:color w:val="000000" w:themeColor="text1"/>
                            <w:szCs w:val="22"/>
                            <w14:textFill>
                              <w14:solidFill>
                                <w14:schemeClr w14:val="tx1"/>
                              </w14:solidFill>
                            </w14:textFill>
                          </w:rPr>
                        </m:ctrlPr>
                      </m:groupChrPr>
                      <m:e>
                        <m:r>
                          <m:rPr/>
                          <w:rPr>
                            <w:rFonts w:ascii="Cambria Math" w:hAnsi="Cambria Math"/>
                            <w:color w:val="000000" w:themeColor="text1"/>
                            <w14:textFill>
                              <w14:solidFill>
                                <w14:schemeClr w14:val="tx1"/>
                              </w14:solidFill>
                            </w14:textFill>
                          </w:rPr>
                          <m:t>∆</m:t>
                        </m:r>
                        <m:r>
                          <m:rPr/>
                          <w:rPr>
                            <w:rFonts w:hint="eastAsia" w:ascii="Cambria Math" w:hAnsi="Cambria Math"/>
                            <w:color w:val="000000" w:themeColor="text1"/>
                            <w14:textFill>
                              <w14:solidFill>
                                <w14:schemeClr w14:val="tx1"/>
                              </w14:solidFill>
                            </w14:textFill>
                          </w:rPr>
                          <m:t>微负压</m:t>
                        </m:r>
                        <m:ctrlPr>
                          <w:rPr>
                            <w:rFonts w:ascii="Cambria Math" w:hAnsi="Cambria Math" w:eastAsia="等线"/>
                            <w:i/>
                            <w:color w:val="000000" w:themeColor="text1"/>
                            <w:szCs w:val="22"/>
                            <w14:textFill>
                              <w14:solidFill>
                                <w14:schemeClr w14:val="tx1"/>
                              </w14:solidFill>
                            </w14:textFill>
                          </w:rPr>
                        </m:ctrlPr>
                      </m:e>
                    </m:groupChr>
                    <m:r>
                      <m:rPr/>
                      <w:rPr>
                        <w:rFonts w:hint="eastAsia" w:ascii="Cambria Math" w:hAnsi="Cambria Math"/>
                        <w:color w:val="000000" w:themeColor="text1"/>
                        <w14:textFill>
                          <w14:solidFill>
                            <w14:schemeClr w14:val="tx1"/>
                          </w14:solidFill>
                        </w14:textFill>
                      </w:rPr>
                      <m:t>n</m:t>
                    </m:r>
                    <m:d>
                      <m:dPr>
                        <m:begChr m:val="["/>
                        <m:endChr m:val="]"/>
                        <m:ctrlPr>
                          <w:rPr>
                            <w:rFonts w:ascii="Cambria Math" w:hAnsi="Cambria Math" w:eastAsia="等线"/>
                            <w:i/>
                            <w:color w:val="000000" w:themeColor="text1"/>
                            <w:szCs w:val="22"/>
                            <w14:textFill>
                              <w14:solidFill>
                                <w14:schemeClr w14:val="tx1"/>
                              </w14:solidFill>
                            </w14:textFill>
                          </w:rPr>
                        </m:ctrlPr>
                      </m:dPr>
                      <m:e>
                        <m:eqArr>
                          <m:eqArrPr>
                            <m:ctrlPr>
                              <w:rPr>
                                <w:rFonts w:ascii="Cambria Math" w:hAnsi="Cambria Math"/>
                                <w:i/>
                                <w:color w:val="000000" w:themeColor="text1"/>
                                <w14:textFill>
                                  <w14:solidFill>
                                    <w14:schemeClr w14:val="tx1"/>
                                  </w14:solidFill>
                                </w14:textFill>
                              </w:rPr>
                            </m:ctrlPr>
                          </m:eqArrPr>
                          <m:e>
                            <m:r>
                              <m:rPr/>
                              <w:rPr>
                                <w:rFonts w:ascii="Cambria Math" w:hAnsi="Cambria Math"/>
                                <w:color w:val="000000" w:themeColor="text1"/>
                                <w14:textFill>
                                  <w14:solidFill>
                                    <w14:schemeClr w14:val="tx1"/>
                                  </w14:solidFill>
                                </w14:textFill>
                              </w:rPr>
                              <m:t>C+</m:t>
                            </m:r>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H</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2</m:t>
                                </m:r>
                                <m:ctrlPr>
                                  <w:rPr>
                                    <w:rFonts w:ascii="Cambria Math" w:hAnsi="Cambria Math" w:eastAsia="等线"/>
                                    <w:i/>
                                    <w:color w:val="000000" w:themeColor="text1"/>
                                    <w:szCs w:val="22"/>
                                    <w14:textFill>
                                      <w14:solidFill>
                                        <w14:schemeClr w14:val="tx1"/>
                                      </w14:solidFill>
                                    </w14:textFill>
                                  </w:rPr>
                                </m:ctrlPr>
                              </m:sub>
                            </m:sSub>
                            <m:r>
                              <m:rPr/>
                              <w:rPr>
                                <w:rFonts w:ascii="Cambria Math" w:hAnsi="Cambria Math"/>
                                <w:color w:val="000000" w:themeColor="text1"/>
                                <w14:textFill>
                                  <w14:solidFill>
                                    <w14:schemeClr w14:val="tx1"/>
                                  </w14:solidFill>
                                </w14:textFill>
                              </w:rPr>
                              <m:t>+CH4+</m:t>
                            </m:r>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2</m:t>
                                </m:r>
                                <m:ctrlPr>
                                  <w:rPr>
                                    <w:rFonts w:ascii="Cambria Math" w:hAnsi="Cambria Math" w:eastAsia="等线"/>
                                    <w:i/>
                                    <w:color w:val="000000" w:themeColor="text1"/>
                                    <w:szCs w:val="22"/>
                                    <w14:textFill>
                                      <w14:solidFill>
                                        <w14:schemeClr w14:val="tx1"/>
                                      </w14:solidFill>
                                    </w14:textFill>
                                  </w:rPr>
                                </m:ctrlPr>
                              </m:sub>
                            </m:sSub>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H</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4</m:t>
                                </m:r>
                                <m:ctrlPr>
                                  <w:rPr>
                                    <w:rFonts w:ascii="Cambria Math" w:hAnsi="Cambria Math" w:eastAsia="等线"/>
                                    <w:i/>
                                    <w:color w:val="000000" w:themeColor="text1"/>
                                    <w:szCs w:val="22"/>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2</m:t>
                                </m:r>
                                <m:ctrlPr>
                                  <w:rPr>
                                    <w:rFonts w:ascii="Cambria Math" w:hAnsi="Cambria Math" w:eastAsia="等线"/>
                                    <w:i/>
                                    <w:color w:val="000000" w:themeColor="text1"/>
                                    <w:szCs w:val="22"/>
                                    <w14:textFill>
                                      <w14:solidFill>
                                        <w14:schemeClr w14:val="tx1"/>
                                      </w14:solidFill>
                                    </w14:textFill>
                                  </w:rPr>
                                </m:ctrlPr>
                              </m:sub>
                            </m:sSub>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H</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6</m:t>
                                </m:r>
                                <m:ctrlPr>
                                  <w:rPr>
                                    <w:rFonts w:ascii="Cambria Math" w:hAnsi="Cambria Math" w:eastAsia="等线"/>
                                    <w:i/>
                                    <w:color w:val="000000" w:themeColor="text1"/>
                                    <w:szCs w:val="22"/>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3</m:t>
                                </m:r>
                                <m:ctrlPr>
                                  <w:rPr>
                                    <w:rFonts w:ascii="Cambria Math" w:hAnsi="Cambria Math" w:eastAsia="等线"/>
                                    <w:i/>
                                    <w:color w:val="000000" w:themeColor="text1"/>
                                    <w:szCs w:val="22"/>
                                    <w14:textFill>
                                      <w14:solidFill>
                                        <w14:schemeClr w14:val="tx1"/>
                                      </w14:solidFill>
                                    </w14:textFill>
                                  </w:rPr>
                                </m:ctrlPr>
                              </m:sub>
                            </m:sSub>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H</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8</m:t>
                                </m:r>
                                <m:ctrlPr>
                                  <w:rPr>
                                    <w:rFonts w:ascii="Cambria Math" w:hAnsi="Cambria Math" w:eastAsia="等线"/>
                                    <w:i/>
                                    <w:color w:val="000000" w:themeColor="text1"/>
                                    <w:szCs w:val="22"/>
                                    <w14:textFill>
                                      <w14:solidFill>
                                        <w14:schemeClr w14:val="tx1"/>
                                      </w14:solidFill>
                                    </w14:textFill>
                                  </w:rPr>
                                </m:ctrlPr>
                              </m:sub>
                            </m:sSub>
                            <m:r>
                              <m:rPr/>
                              <w:rPr>
                                <w:rFonts w:ascii="Cambria Math" w:hAnsi="Cambria Math"/>
                                <w:color w:val="000000" w:themeColor="text1"/>
                                <w14:textFill>
                                  <w14:solidFill>
                                    <w14:schemeClr w14:val="tx1"/>
                                  </w14:solidFill>
                                </w14:textFill>
                              </w:rPr>
                              <m:t>+</m:t>
                            </m:r>
                            <m:ctrlPr>
                              <w:rPr>
                                <w:rFonts w:ascii="Cambria Math" w:hAnsi="Cambria Math"/>
                                <w:i/>
                                <w:color w:val="000000" w:themeColor="text1"/>
                                <w14:textFill>
                                  <w14:solidFill>
                                    <w14:schemeClr w14:val="tx1"/>
                                  </w14:solidFill>
                                </w14:textFill>
                              </w:rPr>
                            </m:ctrlPr>
                          </m:e>
                          <m:e>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3</m:t>
                                </m:r>
                                <m:ctrlPr>
                                  <w:rPr>
                                    <w:rFonts w:ascii="Cambria Math" w:hAnsi="Cambria Math" w:eastAsia="等线"/>
                                    <w:i/>
                                    <w:color w:val="000000" w:themeColor="text1"/>
                                    <w:szCs w:val="22"/>
                                    <w14:textFill>
                                      <w14:solidFill>
                                        <w14:schemeClr w14:val="tx1"/>
                                      </w14:solidFill>
                                    </w14:textFill>
                                  </w:rPr>
                                </m:ctrlPr>
                              </m:sub>
                            </m:sSub>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H</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6</m:t>
                                </m:r>
                                <m:ctrlPr>
                                  <w:rPr>
                                    <w:rFonts w:ascii="Cambria Math" w:hAnsi="Cambria Math" w:eastAsia="等线"/>
                                    <w:i/>
                                    <w:color w:val="000000" w:themeColor="text1"/>
                                    <w:szCs w:val="22"/>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12</m:t>
                                </m:r>
                                <m:ctrlPr>
                                  <w:rPr>
                                    <w:rFonts w:ascii="Cambria Math" w:hAnsi="Cambria Math" w:eastAsia="等线"/>
                                    <w:i/>
                                    <w:color w:val="000000" w:themeColor="text1"/>
                                    <w:szCs w:val="22"/>
                                    <w14:textFill>
                                      <w14:solidFill>
                                        <w14:schemeClr w14:val="tx1"/>
                                      </w14:solidFill>
                                    </w14:textFill>
                                  </w:rPr>
                                </m:ctrlPr>
                              </m:sub>
                            </m:sSub>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H</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24</m:t>
                                </m:r>
                                <m:ctrlPr>
                                  <w:rPr>
                                    <w:rFonts w:ascii="Cambria Math" w:hAnsi="Cambria Math" w:eastAsia="等线"/>
                                    <w:i/>
                                    <w:color w:val="000000" w:themeColor="text1"/>
                                    <w:szCs w:val="22"/>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12</m:t>
                                </m:r>
                                <m:ctrlPr>
                                  <w:rPr>
                                    <w:rFonts w:ascii="Cambria Math" w:hAnsi="Cambria Math" w:eastAsia="等线"/>
                                    <w:i/>
                                    <w:color w:val="000000" w:themeColor="text1"/>
                                    <w:szCs w:val="22"/>
                                    <w14:textFill>
                                      <w14:solidFill>
                                        <w14:schemeClr w14:val="tx1"/>
                                      </w14:solidFill>
                                    </w14:textFill>
                                  </w:rPr>
                                </m:ctrlPr>
                              </m:sub>
                            </m:sSub>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H</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26</m:t>
                                </m:r>
                                <m:ctrlPr>
                                  <w:rPr>
                                    <w:rFonts w:ascii="Cambria Math" w:hAnsi="Cambria Math" w:eastAsia="等线"/>
                                    <w:i/>
                                    <w:color w:val="000000" w:themeColor="text1"/>
                                    <w:szCs w:val="22"/>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25</m:t>
                                </m:r>
                                <m:ctrlPr>
                                  <w:rPr>
                                    <w:rFonts w:ascii="Cambria Math" w:hAnsi="Cambria Math" w:eastAsia="等线"/>
                                    <w:i/>
                                    <w:color w:val="000000" w:themeColor="text1"/>
                                    <w:szCs w:val="22"/>
                                    <w14:textFill>
                                      <w14:solidFill>
                                        <w14:schemeClr w14:val="tx1"/>
                                      </w14:solidFill>
                                    </w14:textFill>
                                  </w:rPr>
                                </m:ctrlPr>
                              </m:sub>
                            </m:sSub>
                            <m:sSub>
                              <m:sSubPr>
                                <m:ctrlPr>
                                  <w:rPr>
                                    <w:rFonts w:ascii="Cambria Math" w:hAnsi="Cambria Math" w:eastAsia="等线"/>
                                    <w:i/>
                                    <w:color w:val="000000" w:themeColor="text1"/>
                                    <w:szCs w:val="22"/>
                                    <w14:textFill>
                                      <w14:solidFill>
                                        <w14:schemeClr w14:val="tx1"/>
                                      </w14:solidFill>
                                    </w14:textFill>
                                  </w:rPr>
                                </m:ctrlPr>
                              </m:sSubPr>
                              <m:e>
                                <m:r>
                                  <m:rPr/>
                                  <w:rPr>
                                    <w:rFonts w:ascii="Cambria Math" w:hAnsi="Cambria Math"/>
                                    <w:color w:val="000000" w:themeColor="text1"/>
                                    <w14:textFill>
                                      <w14:solidFill>
                                        <w14:schemeClr w14:val="tx1"/>
                                      </w14:solidFill>
                                    </w14:textFill>
                                  </w:rPr>
                                  <m:t>H</m:t>
                                </m:r>
                                <m:ctrlPr>
                                  <w:rPr>
                                    <w:rFonts w:ascii="Cambria Math" w:hAnsi="Cambria Math" w:eastAsia="等线"/>
                                    <w:i/>
                                    <w:color w:val="000000" w:themeColor="text1"/>
                                    <w:szCs w:val="22"/>
                                    <w14:textFill>
                                      <w14:solidFill>
                                        <w14:schemeClr w14:val="tx1"/>
                                      </w14:solidFill>
                                    </w14:textFill>
                                  </w:rPr>
                                </m:ctrlPr>
                              </m:e>
                              <m:sub>
                                <m:r>
                                  <m:rPr/>
                                  <w:rPr>
                                    <w:rFonts w:ascii="Cambria Math" w:hAnsi="Cambria Math"/>
                                    <w:color w:val="000000" w:themeColor="text1"/>
                                    <w14:textFill>
                                      <w14:solidFill>
                                        <w14:schemeClr w14:val="tx1"/>
                                      </w14:solidFill>
                                    </w14:textFill>
                                  </w:rPr>
                                  <m:t>52</m:t>
                                </m:r>
                                <m:ctrlPr>
                                  <w:rPr>
                                    <w:rFonts w:ascii="Cambria Math" w:hAnsi="Cambria Math" w:eastAsia="等线"/>
                                    <w:i/>
                                    <w:color w:val="000000" w:themeColor="text1"/>
                                    <w:szCs w:val="22"/>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e>
                        </m:eqArr>
                        <m:ctrlPr>
                          <w:rPr>
                            <w:rFonts w:ascii="Cambria Math" w:hAnsi="Cambria Math" w:eastAsia="等线"/>
                            <w:i/>
                            <w:color w:val="000000" w:themeColor="text1"/>
                            <w:szCs w:val="22"/>
                            <w14:textFill>
                              <w14:solidFill>
                                <w14:schemeClr w14:val="tx1"/>
                              </w14:solidFill>
                            </w14:textFill>
                          </w:rPr>
                        </m:ctrlPr>
                      </m:e>
                    </m:d>
                    <m:ctrlPr>
                      <w:rPr>
                        <w:rFonts w:ascii="Cambria Math" w:hAnsi="Cambria Math" w:eastAsia="等线"/>
                        <w:i/>
                        <w:color w:val="000000" w:themeColor="text1"/>
                        <w:szCs w:val="22"/>
                        <w14:textFill>
                          <w14:solidFill>
                            <w14:schemeClr w14:val="tx1"/>
                          </w14:solidFill>
                        </w14:textFill>
                      </w:rPr>
                    </m:ctrlPr>
                  </m:e>
                </m:box>
              </m:oMath>
            </m:oMathPara>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为固体产物；H</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+CH</w:t>
            </w:r>
            <w:r>
              <w:rPr>
                <w:color w:val="000000" w:themeColor="text1"/>
                <w:sz w:val="24"/>
                <w:vertAlign w:val="subscript"/>
                <w14:textFill>
                  <w14:solidFill>
                    <w14:schemeClr w14:val="tx1"/>
                  </w14:solidFill>
                </w14:textFill>
              </w:rPr>
              <w:t>4</w:t>
            </w: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H</w:t>
            </w:r>
            <w:r>
              <w:rPr>
                <w:color w:val="000000" w:themeColor="text1"/>
                <w:sz w:val="24"/>
                <w:vertAlign w:val="subscript"/>
                <w14:textFill>
                  <w14:solidFill>
                    <w14:schemeClr w14:val="tx1"/>
                  </w14:solidFill>
                </w14:textFill>
              </w:rPr>
              <w:t>4</w:t>
            </w: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H</w:t>
            </w:r>
            <w:r>
              <w:rPr>
                <w:color w:val="000000" w:themeColor="text1"/>
                <w:sz w:val="24"/>
                <w:vertAlign w:val="subscript"/>
                <w14:textFill>
                  <w14:solidFill>
                    <w14:schemeClr w14:val="tx1"/>
                  </w14:solidFill>
                </w14:textFill>
              </w:rPr>
              <w:t>6</w:t>
            </w: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H</w:t>
            </w:r>
            <w:r>
              <w:rPr>
                <w:color w:val="000000" w:themeColor="text1"/>
                <w:sz w:val="24"/>
                <w:vertAlign w:val="subscript"/>
                <w14:textFill>
                  <w14:solidFill>
                    <w14:schemeClr w14:val="tx1"/>
                  </w14:solidFill>
                </w14:textFill>
              </w:rPr>
              <w:t>8</w:t>
            </w: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H</w:t>
            </w:r>
            <w:r>
              <w:rPr>
                <w:color w:val="000000" w:themeColor="text1"/>
                <w:sz w:val="24"/>
                <w:vertAlign w:val="subscript"/>
                <w14:textFill>
                  <w14:solidFill>
                    <w14:schemeClr w14:val="tx1"/>
                  </w14:solidFill>
                </w14:textFill>
              </w:rPr>
              <w:t>6</w:t>
            </w: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4</w:t>
            </w:r>
            <w:r>
              <w:rPr>
                <w:color w:val="000000" w:themeColor="text1"/>
                <w:sz w:val="24"/>
                <w14:textFill>
                  <w14:solidFill>
                    <w14:schemeClr w14:val="tx1"/>
                  </w14:solidFill>
                </w14:textFill>
              </w:rPr>
              <w:t>H</w:t>
            </w:r>
            <w:r>
              <w:rPr>
                <w:color w:val="000000" w:themeColor="text1"/>
                <w:sz w:val="24"/>
                <w:vertAlign w:val="subscript"/>
                <w14:textFill>
                  <w14:solidFill>
                    <w14:schemeClr w14:val="tx1"/>
                  </w14:solidFill>
                </w14:textFill>
              </w:rPr>
              <w:t>8</w:t>
            </w: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4</w:t>
            </w:r>
            <w:r>
              <w:rPr>
                <w:color w:val="000000" w:themeColor="text1"/>
                <w:sz w:val="24"/>
                <w14:textFill>
                  <w14:solidFill>
                    <w14:schemeClr w14:val="tx1"/>
                  </w14:solidFill>
                </w14:textFill>
              </w:rPr>
              <w:t>H</w:t>
            </w:r>
            <w:r>
              <w:rPr>
                <w:color w:val="000000" w:themeColor="text1"/>
                <w:sz w:val="24"/>
                <w:vertAlign w:val="subscript"/>
                <w14:textFill>
                  <w14:solidFill>
                    <w14:schemeClr w14:val="tx1"/>
                  </w14:solidFill>
                </w14:textFill>
              </w:rPr>
              <w:t>10</w:t>
            </w:r>
            <w:r>
              <w:rPr>
                <w:rFonts w:hint="eastAsia"/>
                <w:color w:val="000000" w:themeColor="text1"/>
                <w:sz w:val="24"/>
                <w14:textFill>
                  <w14:solidFill>
                    <w14:schemeClr w14:val="tx1"/>
                  </w14:solidFill>
                </w14:textFill>
              </w:rPr>
              <w:t>为不凝可燃气；C</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H</w:t>
            </w:r>
            <w:r>
              <w:rPr>
                <w:color w:val="000000" w:themeColor="text1"/>
                <w:sz w:val="24"/>
                <w:vertAlign w:val="subscript"/>
                <w14:textFill>
                  <w14:solidFill>
                    <w14:schemeClr w14:val="tx1"/>
                  </w14:solidFill>
                </w14:textFill>
              </w:rPr>
              <w:t>10</w:t>
            </w: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20</w:t>
            </w:r>
            <w:r>
              <w:rPr>
                <w:color w:val="000000" w:themeColor="text1"/>
                <w:sz w:val="24"/>
                <w14:textFill>
                  <w14:solidFill>
                    <w14:schemeClr w14:val="tx1"/>
                  </w14:solidFill>
                </w14:textFill>
              </w:rPr>
              <w:t>H</w:t>
            </w:r>
            <w:r>
              <w:rPr>
                <w:color w:val="000000" w:themeColor="text1"/>
                <w:sz w:val="24"/>
                <w:vertAlign w:val="subscript"/>
                <w14:textFill>
                  <w14:solidFill>
                    <w14:schemeClr w14:val="tx1"/>
                  </w14:solidFill>
                </w14:textFill>
              </w:rPr>
              <w:t>42</w:t>
            </w:r>
            <w:r>
              <w:rPr>
                <w:rFonts w:hint="eastAsia"/>
                <w:color w:val="000000" w:themeColor="text1"/>
                <w:sz w:val="24"/>
                <w14:textFill>
                  <w14:solidFill>
                    <w14:schemeClr w14:val="tx1"/>
                  </w14:solidFill>
                </w14:textFill>
              </w:rPr>
              <w:t>为轻油组分；大于C</w:t>
            </w:r>
            <w:r>
              <w:rPr>
                <w:color w:val="000000" w:themeColor="text1"/>
                <w:sz w:val="24"/>
                <w:vertAlign w:val="subscript"/>
                <w14:textFill>
                  <w14:solidFill>
                    <w14:schemeClr w14:val="tx1"/>
                  </w14:solidFill>
                </w14:textFill>
              </w:rPr>
              <w:t>20</w:t>
            </w:r>
            <w:r>
              <w:rPr>
                <w:color w:val="000000" w:themeColor="text1"/>
                <w:sz w:val="24"/>
                <w14:textFill>
                  <w14:solidFill>
                    <w14:schemeClr w14:val="tx1"/>
                  </w14:solidFill>
                </w14:textFill>
              </w:rPr>
              <w:t>H</w:t>
            </w:r>
            <w:r>
              <w:rPr>
                <w:color w:val="000000" w:themeColor="text1"/>
                <w:sz w:val="24"/>
                <w:vertAlign w:val="subscript"/>
                <w14:textFill>
                  <w14:solidFill>
                    <w14:schemeClr w14:val="tx1"/>
                  </w14:solidFill>
                </w14:textFill>
              </w:rPr>
              <w:t>42</w:t>
            </w:r>
            <w:r>
              <w:rPr>
                <w:rFonts w:hint="eastAsia"/>
                <w:color w:val="000000" w:themeColor="text1"/>
                <w:sz w:val="24"/>
                <w14:textFill>
                  <w14:solidFill>
                    <w14:schemeClr w14:val="tx1"/>
                  </w14:solidFill>
                </w14:textFill>
              </w:rPr>
              <w:t>为重油组分。</w:t>
            </w:r>
          </w:p>
          <w:p>
            <w:pPr>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2、工艺技术指标</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根据建设单位及设备厂家提供的资料，本项目轮胎热裂解采用低温微负压连续裂解工艺。该工艺由进料系统、裂解系统、油气冷却系统、不凝可燃气净化系统、出料系统、电气控制系统及循环水冷却系统组成。</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本项目采用炉外加热、微负压、贫氧、连续热裂解工艺技术。轮胎裂解温度为</w:t>
            </w:r>
            <w:r>
              <w:rPr>
                <w:color w:val="000000" w:themeColor="text1"/>
                <w:sz w:val="24"/>
                <w14:textFill>
                  <w14:solidFill>
                    <w14:schemeClr w14:val="tx1"/>
                  </w14:solidFill>
                </w14:textFill>
              </w:rPr>
              <w:t>420</w:t>
            </w:r>
            <w:r>
              <w:rPr>
                <w:rFonts w:hint="eastAsia"/>
                <w:color w:val="000000" w:themeColor="text1"/>
                <w:sz w:val="24"/>
                <w14:textFill>
                  <w14:solidFill>
                    <w14:schemeClr w14:val="tx1"/>
                  </w14:solidFill>
                </w14:textFill>
              </w:rPr>
              <w:t>℃；裂解油得油率3</w:t>
            </w:r>
            <w:r>
              <w:rPr>
                <w:color w:val="000000" w:themeColor="text1"/>
                <w:sz w:val="24"/>
                <w14:textFill>
                  <w14:solidFill>
                    <w14:schemeClr w14:val="tx1"/>
                  </w14:solidFill>
                </w14:textFill>
              </w:rPr>
              <w:t>8</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%、炭黑得率32~3</w:t>
            </w:r>
            <w:r>
              <w:rPr>
                <w:color w:val="000000" w:themeColor="text1"/>
                <w:sz w:val="24"/>
                <w14:textFill>
                  <w14:solidFill>
                    <w14:schemeClr w14:val="tx1"/>
                  </w14:solidFill>
                </w14:textFill>
              </w:rPr>
              <w:t>8</w:t>
            </w:r>
            <w:r>
              <w:rPr>
                <w:rFonts w:hint="eastAsia"/>
                <w:color w:val="000000" w:themeColor="text1"/>
                <w:sz w:val="24"/>
                <w14:textFill>
                  <w14:solidFill>
                    <w14:schemeClr w14:val="tx1"/>
                  </w14:solidFill>
                </w14:textFill>
              </w:rPr>
              <w:t>%、可燃气得率</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%、钢丝得率1</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%、裂解率&gt;99%、余热利用率&gt;90%。</w:t>
            </w:r>
          </w:p>
          <w:p>
            <w:pPr>
              <w:pStyle w:val="3"/>
              <w:numPr>
                <w:ilvl w:val="0"/>
                <w:numId w:val="0"/>
              </w:numPr>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3、工艺特点</w:t>
            </w:r>
          </w:p>
          <w:p>
            <w:pPr>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根据</w:t>
            </w:r>
            <w:r>
              <w:rPr>
                <w:rFonts w:hint="eastAsia"/>
                <w:color w:val="000000" w:themeColor="text1"/>
                <w:sz w:val="24"/>
                <w14:textFill>
                  <w14:solidFill>
                    <w14:schemeClr w14:val="tx1"/>
                  </w14:solidFill>
                </w14:textFill>
              </w:rPr>
              <w:t>建设单位及设备厂家提供的资料，该工艺具有工业连续化；热分散、防结焦；动态密封、微压控制；防聚合、恒温裂解；实时监控和自动化控制；可燃气净化；全密闭；烟气循环、余热利用；燃气稳压回用等特点。</w:t>
            </w:r>
          </w:p>
          <w:p>
            <w:pPr>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w:t>
            </w:r>
            <w:r>
              <w:rPr>
                <w:rFonts w:hint="eastAsia"/>
                <w:b/>
                <w:color w:val="000000" w:themeColor="text1"/>
                <w:sz w:val="24"/>
                <w14:textFill>
                  <w14:solidFill>
                    <w14:schemeClr w14:val="tx1"/>
                  </w14:solidFill>
                </w14:textFill>
              </w:rPr>
              <w:t>、生产工艺流程及产排污环节</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项目生产工艺流程及产污环节见图2</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w:t>
            </w:r>
          </w:p>
          <w:p>
            <w:pPr>
              <w:pStyle w:val="2"/>
              <w:rPr>
                <w:color w:val="000000" w:themeColor="text1"/>
                <w14:textFill>
                  <w14:solidFill>
                    <w14:schemeClr w14:val="tx1"/>
                  </w14:solidFill>
                </w14:textFill>
              </w:rPr>
            </w:pPr>
          </w:p>
          <w:p>
            <w:pPr>
              <w:pStyle w:val="3"/>
              <w:numPr>
                <w:ilvl w:val="0"/>
                <w:numId w:val="0"/>
              </w:numPr>
              <w:ind w:left="2040" w:hanging="360"/>
              <w:rPr>
                <w:color w:val="000000" w:themeColor="text1"/>
                <w14:textFill>
                  <w14:solidFill>
                    <w14:schemeClr w14:val="tx1"/>
                  </w14:solidFill>
                </w14:textFill>
              </w:rPr>
            </w:pPr>
          </w:p>
          <w:p>
            <w:pPr>
              <w:pStyle w:val="3"/>
              <w:numPr>
                <w:ilvl w:val="0"/>
                <w:numId w:val="0"/>
              </w:numPr>
              <w:ind w:left="2040" w:hanging="360"/>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2"/>
              <w:spacing w:before="0" w:after="0" w:line="240" w:lineRule="auto"/>
              <w:ind w:right="0"/>
              <w:jc w:val="center"/>
              <w:rPr>
                <w:color w:val="000000" w:themeColor="text1"/>
                <w14:textFill>
                  <w14:solidFill>
                    <w14:schemeClr w14:val="tx1"/>
                  </w14:solidFill>
                </w14:textFill>
              </w:rPr>
            </w:pPr>
            <w:r>
              <w:object>
                <v:shape id="_x0000_i1038" o:spt="75" type="#_x0000_t75" style="height:451.5pt;width:409.1pt;" o:ole="t" filled="f" o:preferrelative="t" stroked="f" coordsize="21600,21600">
                  <v:path/>
                  <v:fill on="f" focussize="0,0"/>
                  <v:stroke on="f" joinstyle="miter"/>
                  <v:imagedata r:id="rId38" o:title=""/>
                  <o:lock v:ext="edit" aspectratio="t"/>
                  <w10:wrap type="none"/>
                  <w10:anchorlock/>
                </v:shape>
                <o:OLEObject Type="Embed" ProgID="Visio.Drawing.15" ShapeID="_x0000_i1038" DrawAspect="Content" ObjectID="_1468075738" r:id="rId37">
                  <o:LockedField>false</o:LockedField>
                </o:OLEObject>
              </w:object>
            </w:r>
          </w:p>
          <w:p>
            <w:pPr>
              <w:pStyle w:val="2"/>
              <w:spacing w:before="0" w:after="0" w:line="240" w:lineRule="auto"/>
              <w:ind w:right="0"/>
              <w:jc w:val="center"/>
              <w:rPr>
                <w:b/>
                <w:color w:val="FF0000"/>
                <w:sz w:val="24"/>
                <w:szCs w:val="24"/>
              </w:rPr>
            </w:pPr>
            <w:r>
              <w:rPr>
                <w:rFonts w:hint="eastAsia"/>
                <w:b/>
                <w:color w:val="FF0000"/>
                <w:sz w:val="24"/>
                <w:szCs w:val="24"/>
              </w:rPr>
              <w:t>图2</w:t>
            </w:r>
            <w:r>
              <w:rPr>
                <w:b/>
                <w:color w:val="FF0000"/>
                <w:sz w:val="24"/>
                <w:szCs w:val="24"/>
              </w:rPr>
              <w:t>.9</w:t>
            </w:r>
            <w:r>
              <w:rPr>
                <w:rFonts w:hint="eastAsia"/>
                <w:b/>
                <w:color w:val="FF0000"/>
                <w:sz w:val="24"/>
                <w:szCs w:val="24"/>
              </w:rPr>
              <w:t>-</w:t>
            </w:r>
            <w:r>
              <w:rPr>
                <w:b/>
                <w:color w:val="FF0000"/>
                <w:sz w:val="24"/>
                <w:szCs w:val="24"/>
              </w:rPr>
              <w:t xml:space="preserve">2  </w:t>
            </w:r>
            <w:r>
              <w:rPr>
                <w:rFonts w:hint="eastAsia"/>
                <w:b/>
                <w:color w:val="FF0000"/>
                <w:sz w:val="24"/>
                <w:szCs w:val="24"/>
              </w:rPr>
              <w:t>项目生产工艺流程及产污环节图</w:t>
            </w:r>
          </w:p>
          <w:p>
            <w:pPr>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工艺流程简述</w:t>
            </w:r>
            <w:r>
              <w:rPr>
                <w:rFonts w:hint="eastAsia"/>
                <w:color w:val="000000" w:themeColor="text1"/>
                <w:sz w:val="24"/>
                <w14:textFill>
                  <w14:solidFill>
                    <w14:schemeClr w14:val="tx1"/>
                  </w14:solidFill>
                </w14:textFill>
              </w:rPr>
              <w:t>：</w:t>
            </w:r>
          </w:p>
          <w:p>
            <w:pPr>
              <w:ind w:firstLine="480" w:firstLineChars="200"/>
              <w:rPr>
                <w:color w:val="FF0000"/>
                <w:sz w:val="24"/>
              </w:rPr>
            </w:pPr>
            <w:r>
              <w:rPr>
                <w:rFonts w:hint="eastAsia"/>
                <w:color w:val="FF0000"/>
                <w:sz w:val="24"/>
              </w:rPr>
              <w:t>项目废旧轮胎来源于轮胎回收公司。外购废轮胎经由轮胎回收公司清理干净后，运送至项目厂区。经检查合格后，运送至原料仓库。项目不设置轮胎清洗工序。</w:t>
            </w:r>
          </w:p>
          <w:p>
            <w:pPr>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（1）钢圈分离：</w:t>
            </w:r>
            <w:r>
              <w:rPr>
                <w:rFonts w:hint="eastAsia"/>
                <w:color w:val="000000" w:themeColor="text1"/>
                <w:sz w:val="24"/>
                <w14:textFill>
                  <w14:solidFill>
                    <w14:schemeClr w14:val="tx1"/>
                  </w14:solidFill>
                </w14:textFill>
              </w:rPr>
              <w:t>通过板车将废旧轮胎从原料库房运至生产车间。人工将轮胎放置在钢圈分离器上，将圈口从轮胎上分离出来。</w:t>
            </w:r>
          </w:p>
          <w:p>
            <w:pPr>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2</w:t>
            </w:r>
            <w:r>
              <w:rPr>
                <w:rFonts w:hint="eastAsia"/>
                <w:b/>
                <w:color w:val="000000" w:themeColor="text1"/>
                <w:sz w:val="24"/>
                <w14:textFill>
                  <w14:solidFill>
                    <w14:schemeClr w14:val="tx1"/>
                  </w14:solidFill>
                </w14:textFill>
              </w:rPr>
              <w:t>）圈口钢丝分离</w:t>
            </w:r>
            <w:r>
              <w:rPr>
                <w:rFonts w:hint="eastAsia"/>
                <w:color w:val="000000" w:themeColor="text1"/>
                <w:sz w:val="24"/>
                <w14:textFill>
                  <w14:solidFill>
                    <w14:schemeClr w14:val="tx1"/>
                  </w14:solidFill>
                </w14:textFill>
              </w:rPr>
              <w:t>：采用圈口钢丝分离器将圈口内的粗钢丝分离出来。</w:t>
            </w:r>
          </w:p>
          <w:p>
            <w:pPr>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）钢丝切丸：</w:t>
            </w:r>
            <w:r>
              <w:rPr>
                <w:rFonts w:hint="eastAsia"/>
                <w:color w:val="000000" w:themeColor="text1"/>
                <w:sz w:val="24"/>
                <w14:textFill>
                  <w14:solidFill>
                    <w14:schemeClr w14:val="tx1"/>
                  </w14:solidFill>
                </w14:textFill>
              </w:rPr>
              <w:t>分离的粗钢丝以及后续工序磁选出的毛细钢丝通过钢丝切丸机切成长度2</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3.5</w:t>
            </w:r>
            <w:r>
              <w:rPr>
                <w:rFonts w:hint="eastAsia"/>
                <w:color w:val="000000" w:themeColor="text1"/>
                <w:sz w:val="24"/>
                <w14:textFill>
                  <w14:solidFill>
                    <w14:schemeClr w14:val="tx1"/>
                  </w14:solidFill>
                </w14:textFill>
              </w:rPr>
              <w:t>mm的钢丸。</w:t>
            </w:r>
          </w:p>
          <w:p>
            <w:pPr>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4</w:t>
            </w:r>
            <w:r>
              <w:rPr>
                <w:rFonts w:hint="eastAsia"/>
                <w:b/>
                <w:color w:val="000000" w:themeColor="text1"/>
                <w:sz w:val="24"/>
                <w14:textFill>
                  <w14:solidFill>
                    <w14:schemeClr w14:val="tx1"/>
                  </w14:solidFill>
                </w14:textFill>
              </w:rPr>
              <w:t>）粗碎、细碎</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分离出</w:t>
            </w:r>
            <w:r>
              <w:rPr>
                <w:rFonts w:hint="eastAsia"/>
                <w:color w:val="000000" w:themeColor="text1"/>
                <w:sz w:val="24"/>
                <w14:textFill>
                  <w14:solidFill>
                    <w14:schemeClr w14:val="tx1"/>
                  </w14:solidFill>
                </w14:textFill>
              </w:rPr>
              <w:t>钢丝</w:t>
            </w:r>
            <w:r>
              <w:rPr>
                <w:color w:val="000000" w:themeColor="text1"/>
                <w:sz w:val="24"/>
                <w14:textFill>
                  <w14:solidFill>
                    <w14:schemeClr w14:val="tx1"/>
                  </w14:solidFill>
                </w14:textFill>
              </w:rPr>
              <w:t>的轮胎和圈口进入破碎机进行</w:t>
            </w:r>
            <w:r>
              <w:rPr>
                <w:rFonts w:hint="eastAsia"/>
                <w:color w:val="000000" w:themeColor="text1"/>
                <w:sz w:val="24"/>
                <w14:textFill>
                  <w14:solidFill>
                    <w14:schemeClr w14:val="tx1"/>
                  </w14:solidFill>
                </w14:textFill>
              </w:rPr>
              <w:t>粗碎</w:t>
            </w:r>
            <w:r>
              <w:rPr>
                <w:color w:val="000000" w:themeColor="text1"/>
                <w:sz w:val="24"/>
                <w14:textFill>
                  <w14:solidFill>
                    <w14:schemeClr w14:val="tx1"/>
                  </w14:solidFill>
                </w14:textFill>
              </w:rPr>
              <w:t>，将轮胎初步破碎成15mm×15mm的</w:t>
            </w:r>
            <w:r>
              <w:rPr>
                <w:rFonts w:hint="eastAsia"/>
                <w:color w:val="000000" w:themeColor="text1"/>
                <w:sz w:val="24"/>
                <w14:textFill>
                  <w14:solidFill>
                    <w14:schemeClr w14:val="tx1"/>
                  </w14:solidFill>
                </w14:textFill>
              </w:rPr>
              <w:t>颗粒</w:t>
            </w:r>
            <w:r>
              <w:rPr>
                <w:color w:val="000000" w:themeColor="text1"/>
                <w:sz w:val="24"/>
                <w14:textFill>
                  <w14:solidFill>
                    <w14:schemeClr w14:val="tx1"/>
                  </w14:solidFill>
                </w14:textFill>
              </w:rPr>
              <w:t>。</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然后通过输送带进入破胶机进行细碎，细碎将颗粒轮胎粉碎至</w:t>
            </w:r>
            <w:r>
              <w:rPr>
                <w:color w:val="000000" w:themeColor="text1"/>
                <w:sz w:val="24"/>
                <w14:textFill>
                  <w14:solidFill>
                    <w14:schemeClr w14:val="tx1"/>
                  </w14:solidFill>
                </w14:textFill>
              </w:rPr>
              <w:t>60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120</w:t>
            </w:r>
            <w:r>
              <w:rPr>
                <w:rFonts w:hint="eastAsia"/>
                <w:color w:val="000000" w:themeColor="text1"/>
                <w:sz w:val="24"/>
                <w14:textFill>
                  <w14:solidFill>
                    <w14:schemeClr w14:val="tx1"/>
                  </w14:solidFill>
                </w14:textFill>
              </w:rPr>
              <w:t>目的胶粉。此过程产生噪声N和粉尘</w:t>
            </w:r>
            <w:r>
              <w:rPr>
                <w:color w:val="000000" w:themeColor="text1"/>
                <w:sz w:val="24"/>
                <w14:textFill>
                  <w14:solidFill>
                    <w14:schemeClr w14:val="tx1"/>
                  </w14:solidFill>
                </w14:textFill>
              </w:rPr>
              <w:t>G1</w:t>
            </w:r>
            <w:r>
              <w:rPr>
                <w:rFonts w:hint="eastAsia"/>
                <w:color w:val="000000" w:themeColor="text1"/>
                <w:sz w:val="24"/>
                <w14:textFill>
                  <w14:solidFill>
                    <w14:schemeClr w14:val="tx1"/>
                  </w14:solidFill>
                </w14:textFill>
              </w:rPr>
              <w:t>。</w:t>
            </w:r>
          </w:p>
          <w:p>
            <w:pPr>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5</w:t>
            </w:r>
            <w:r>
              <w:rPr>
                <w:rFonts w:hint="eastAsia"/>
                <w:b/>
                <w:color w:val="000000" w:themeColor="text1"/>
                <w:sz w:val="24"/>
                <w14:textFill>
                  <w14:solidFill>
                    <w14:schemeClr w14:val="tx1"/>
                  </w14:solidFill>
                </w14:textFill>
              </w:rPr>
              <w:t>）磁选</w:t>
            </w:r>
            <w:r>
              <w:rPr>
                <w:rFonts w:hint="eastAsia"/>
                <w:color w:val="000000" w:themeColor="text1"/>
                <w:sz w:val="24"/>
                <w14:textFill>
                  <w14:solidFill>
                    <w14:schemeClr w14:val="tx1"/>
                  </w14:solidFill>
                </w14:textFill>
              </w:rPr>
              <w:t>：细碎后的胶粉通过输送带进入磁选机，磁选机为悬挂式，将胶粒中混杂的毛细钢丝分离出来。此过程产生噪声N、粉尘G</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p>
          <w:p>
            <w:pPr>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6</w:t>
            </w:r>
            <w:r>
              <w:rPr>
                <w:rFonts w:hint="eastAsia"/>
                <w:b/>
                <w:color w:val="000000" w:themeColor="text1"/>
                <w:sz w:val="24"/>
                <w14:textFill>
                  <w14:solidFill>
                    <w14:schemeClr w14:val="tx1"/>
                  </w14:solidFill>
                </w14:textFill>
              </w:rPr>
              <w:t>）筛分</w:t>
            </w:r>
            <w:r>
              <w:rPr>
                <w:rFonts w:hint="eastAsia"/>
                <w:color w:val="000000" w:themeColor="text1"/>
                <w:sz w:val="24"/>
                <w14:textFill>
                  <w14:solidFill>
                    <w14:schemeClr w14:val="tx1"/>
                  </w14:solidFill>
                </w14:textFill>
              </w:rPr>
              <w:t>：磁选后胶粉通过输送带进入筛分机，筛分出的筛上物回到破胶机进行细碎。此过程产生噪声N和粉尘G</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p>
          <w:p>
            <w:pPr>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7</w:t>
            </w:r>
            <w:r>
              <w:rPr>
                <w:rFonts w:hint="eastAsia"/>
                <w:b/>
                <w:color w:val="000000" w:themeColor="text1"/>
                <w:sz w:val="24"/>
                <w14:textFill>
                  <w14:solidFill>
                    <w14:schemeClr w14:val="tx1"/>
                  </w14:solidFill>
                </w14:textFill>
              </w:rPr>
              <w:t>）胶粉中转仓</w:t>
            </w:r>
            <w:r>
              <w:rPr>
                <w:rFonts w:hint="eastAsia"/>
                <w:color w:val="000000" w:themeColor="text1"/>
                <w:sz w:val="24"/>
                <w14:textFill>
                  <w14:solidFill>
                    <w14:schemeClr w14:val="tx1"/>
                  </w14:solidFill>
                </w14:textFill>
              </w:rPr>
              <w:t>：筛分的筛下物通过负压上料系统密闭螺杆输送运至裂解设备的进料机上方料仓内。此过程产生噪声N和粉尘G</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p>
          <w:p>
            <w:pPr>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8</w:t>
            </w:r>
            <w:r>
              <w:rPr>
                <w:rFonts w:hint="eastAsia"/>
                <w:b/>
                <w:color w:val="000000" w:themeColor="text1"/>
                <w:sz w:val="24"/>
                <w14:textFill>
                  <w14:solidFill>
                    <w14:schemeClr w14:val="tx1"/>
                  </w14:solidFill>
                </w14:textFill>
              </w:rPr>
              <w:t>）热裂解</w:t>
            </w:r>
          </w:p>
          <w:p>
            <w:pPr>
              <w:ind w:firstLine="482" w:firstLineChars="200"/>
              <w:rPr>
                <w:color w:val="FF0000"/>
                <w:sz w:val="24"/>
              </w:rPr>
            </w:pPr>
            <w:r>
              <w:rPr>
                <w:rFonts w:hint="eastAsia"/>
                <w:b/>
                <w:color w:val="FF0000"/>
                <w:sz w:val="24"/>
              </w:rPr>
              <w:t>①开停机：</w:t>
            </w:r>
            <w:r>
              <w:rPr>
                <w:rFonts w:hint="eastAsia"/>
                <w:color w:val="FF0000"/>
                <w:sz w:val="24"/>
              </w:rPr>
              <w:t>根据建设单位提供资料，裂解炉须定期停车检修或维修，频次约1次/月，每次设备开机均采用天然气点火启动。设备每次开机后，裂解炉旋转，对裂解炉内部进行升温预热，预热4h左右后，裂解炉内部温度达到4</w:t>
            </w:r>
            <w:r>
              <w:rPr>
                <w:color w:val="FF0000"/>
                <w:sz w:val="24"/>
              </w:rPr>
              <w:t>20</w:t>
            </w:r>
            <w:r>
              <w:rPr>
                <w:rFonts w:hint="eastAsia"/>
                <w:color w:val="FF0000"/>
                <w:sz w:val="24"/>
              </w:rPr>
              <w:t>℃左右，然后充入氮气，充氮时间约1</w:t>
            </w:r>
            <w:r>
              <w:rPr>
                <w:color w:val="FF0000"/>
                <w:sz w:val="24"/>
              </w:rPr>
              <w:t>0</w:t>
            </w:r>
            <w:r>
              <w:rPr>
                <w:rFonts w:hint="eastAsia"/>
                <w:color w:val="FF0000"/>
                <w:sz w:val="24"/>
              </w:rPr>
              <w:t>min（主动密封装置）。预热完成后，开始进料，进料过程杜绝空气对流，保证缺氧状态。设备停机时，裂解炉内保留部分原料及炭黑，配合主动密封装置，杜绝空气对流。</w:t>
            </w:r>
          </w:p>
          <w:p>
            <w:pPr>
              <w:ind w:firstLine="482" w:firstLineChars="200"/>
              <w:rPr>
                <w:color w:val="FF0000"/>
                <w:sz w:val="24"/>
              </w:rPr>
            </w:pPr>
            <w:r>
              <w:rPr>
                <w:rFonts w:hint="eastAsia"/>
                <w:b/>
                <w:color w:val="FF0000"/>
                <w:sz w:val="24"/>
              </w:rPr>
              <w:t>②裂解过程：</w:t>
            </w:r>
            <w:r>
              <w:rPr>
                <w:rFonts w:hint="eastAsia"/>
                <w:color w:val="FF0000"/>
                <w:sz w:val="24"/>
              </w:rPr>
              <w:t>胶粉经密闭进料器连续输送至裂解炉内部进行裂解。裂解炉内部裂解温度维持在4</w:t>
            </w:r>
            <w:r>
              <w:rPr>
                <w:color w:val="FF0000"/>
                <w:sz w:val="24"/>
              </w:rPr>
              <w:t>20</w:t>
            </w:r>
            <w:r>
              <w:rPr>
                <w:rFonts w:hint="eastAsia"/>
                <w:color w:val="FF0000"/>
                <w:sz w:val="24"/>
              </w:rPr>
              <w:t>℃左右，保持微负压状态（-</w:t>
            </w:r>
            <w:r>
              <w:rPr>
                <w:color w:val="FF0000"/>
                <w:sz w:val="24"/>
              </w:rPr>
              <w:t>0.005MP</w:t>
            </w:r>
            <w:r>
              <w:rPr>
                <w:rFonts w:hint="eastAsia"/>
                <w:color w:val="FF0000"/>
                <w:sz w:val="24"/>
              </w:rPr>
              <w:t>a）。胶粉进入裂解炉内部裂解时，由于热解过程刚刚开始，不断进行吸热、传热过程，约半小时后开始产生高温裂解气。裂解炉内壁有螺旋片及刮板，胶粉在裂解炉的旋转作用下，从裂解炉的进料端缓慢向后端移动。裂解过程全程处于缺氧、负压状态下。</w:t>
            </w:r>
          </w:p>
          <w:p>
            <w:pPr>
              <w:ind w:firstLine="480" w:firstLineChars="200"/>
              <w:rPr>
                <w:color w:val="FF0000"/>
                <w:sz w:val="24"/>
              </w:rPr>
            </w:pPr>
            <w:r>
              <w:rPr>
                <w:rFonts w:hint="eastAsia"/>
                <w:color w:val="FF0000"/>
                <w:sz w:val="24"/>
              </w:rPr>
              <w:t>经过约</w:t>
            </w:r>
            <w:r>
              <w:rPr>
                <w:color w:val="FF0000"/>
                <w:sz w:val="24"/>
              </w:rPr>
              <w:t>1</w:t>
            </w:r>
            <w:r>
              <w:rPr>
                <w:rFonts w:hint="eastAsia"/>
                <w:color w:val="FF0000"/>
                <w:sz w:val="24"/>
              </w:rPr>
              <w:t>h的4</w:t>
            </w:r>
            <w:r>
              <w:rPr>
                <w:color w:val="FF0000"/>
                <w:sz w:val="24"/>
              </w:rPr>
              <w:t>20</w:t>
            </w:r>
            <w:r>
              <w:rPr>
                <w:rFonts w:hint="eastAsia"/>
                <w:color w:val="FF0000"/>
                <w:sz w:val="24"/>
              </w:rPr>
              <w:t>℃温度条件下的连续热裂解，胶粉基本裂解完成，产物为热解炭黑及高温裂解气。由于在此温度下，热解炭黑流动性较强，在炉体旋转作用下自动从裂解炉底部排出炭黑至分离器。单条裂解生产线裂解最大生产能力为2</w:t>
            </w:r>
            <w:r>
              <w:rPr>
                <w:color w:val="FF0000"/>
                <w:sz w:val="24"/>
              </w:rPr>
              <w:t>.0</w:t>
            </w:r>
            <w:r>
              <w:rPr>
                <w:rFonts w:hint="eastAsia"/>
                <w:color w:val="FF0000"/>
                <w:sz w:val="24"/>
              </w:rPr>
              <w:t>t</w:t>
            </w:r>
            <w:r>
              <w:rPr>
                <w:color w:val="FF0000"/>
                <w:sz w:val="24"/>
              </w:rPr>
              <w:t>/</w:t>
            </w:r>
            <w:r>
              <w:rPr>
                <w:rFonts w:hint="eastAsia"/>
                <w:color w:val="FF0000"/>
                <w:sz w:val="24"/>
              </w:rPr>
              <w:t>h。</w:t>
            </w:r>
          </w:p>
          <w:p>
            <w:pPr>
              <w:ind w:firstLine="482" w:firstLineChars="200"/>
              <w:rPr>
                <w:color w:val="FF0000"/>
                <w:sz w:val="24"/>
              </w:rPr>
            </w:pPr>
            <w:r>
              <w:rPr>
                <w:rFonts w:hint="eastAsia"/>
                <w:b/>
                <w:color w:val="FF0000"/>
                <w:sz w:val="24"/>
              </w:rPr>
              <w:t>③自动化、连续化控制措施</w:t>
            </w:r>
            <w:r>
              <w:rPr>
                <w:rFonts w:hint="eastAsia"/>
                <w:color w:val="FF0000"/>
                <w:sz w:val="24"/>
              </w:rPr>
              <w:t>：项目通过定量给料器连续、稳定的向炉内进料，使炉内始终保持有不同热解程度的胶粒，从而使炉内油气产生总体呈现稳定状态；项目配备自动化控制系统，并设置温度监控措施与不凝气流量控制阀相连接，根据炉内温度，对进入热裂解炉燃烧室燃烧供热的不凝气流量进行调节，从而控制热解过程炉内温度，保证热解反应温度的可控性。同时，燃烧室的空气进气阀与不凝气流量控制阀相连，根据不凝气流量调节空气进气量，从而保证不凝气的充分燃烧。</w:t>
            </w:r>
          </w:p>
          <w:p>
            <w:pPr>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（8）分离器</w:t>
            </w:r>
            <w:r>
              <w:rPr>
                <w:rFonts w:hint="eastAsia"/>
                <w:color w:val="000000" w:themeColor="text1"/>
                <w:sz w:val="24"/>
                <w14:textFill>
                  <w14:solidFill>
                    <w14:schemeClr w14:val="tx1"/>
                  </w14:solidFill>
                </w14:textFill>
              </w:rPr>
              <w:t>：分离器的作用主要是对热解炭黑及高温裂解气进行分离。出渣绞龙将热解炭黑从分离器底部分离出来，通过密闭螺杆输送至炭黑加工车间的中转料仓。高温裂解气由分离器顶部进入分汽包。</w:t>
            </w:r>
          </w:p>
          <w:p>
            <w:pPr>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（9）炭黑加工（磁选、磨粉、打包）：</w:t>
            </w:r>
            <w:r>
              <w:rPr>
                <w:rFonts w:hint="eastAsia"/>
                <w:color w:val="000000" w:themeColor="text1"/>
                <w:sz w:val="24"/>
                <w14:textFill>
                  <w14:solidFill>
                    <w14:schemeClr w14:val="tx1"/>
                  </w14:solidFill>
                </w14:textFill>
              </w:rPr>
              <w:t>热裂解炭黑从分离器底部排出，经密闭的螺杆输送机输送至炭黑加工车间的中转料仓。螺杆输送机、炭黑中转料仓外部套管设置循环冷却水对炭黑进行间接冷却，进入中转料仓时炭黑温度降至约1</w:t>
            </w:r>
            <w:r>
              <w:rPr>
                <w:color w:val="000000" w:themeColor="text1"/>
                <w:sz w:val="24"/>
                <w14:textFill>
                  <w14:solidFill>
                    <w14:schemeClr w14:val="tx1"/>
                  </w14:solidFill>
                </w14:textFill>
              </w:rPr>
              <w:t>00</w:t>
            </w:r>
            <w:r>
              <w:rPr>
                <w:rFonts w:hint="eastAsia"/>
                <w:color w:val="000000" w:themeColor="text1"/>
                <w:sz w:val="24"/>
                <w14:textFill>
                  <w14:solidFill>
                    <w14:schemeClr w14:val="tx1"/>
                  </w14:solidFill>
                </w14:textFill>
              </w:rPr>
              <w:t>℃，在中转料仓中进行冷却至3</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40</w:t>
            </w:r>
            <w:r>
              <w:rPr>
                <w:rFonts w:hint="eastAsia"/>
                <w:color w:val="000000" w:themeColor="text1"/>
                <w:sz w:val="24"/>
                <w14:textFill>
                  <w14:solidFill>
                    <w14:schemeClr w14:val="tx1"/>
                  </w14:solidFill>
                </w14:textFill>
              </w:rPr>
              <w:t>℃。</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过冷却后的炭黑再进行磁选机，分离出炭黑中混杂的毛细钢丝。然后经磨粉机将炭黑磨粉，再经打包机打包处理。炭黑加工全过程均由管道输送，处于密闭状态，最后经自动装包称重封袋入库。磨粉采用干磨，无需添加水。</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此过程产生噪声N、粉尘G</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、毛细钢丝。</w:t>
            </w:r>
          </w:p>
          <w:p>
            <w:pPr>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0</w:t>
            </w:r>
            <w:r>
              <w:rPr>
                <w:rFonts w:hint="eastAsia"/>
                <w:b/>
                <w:color w:val="000000" w:themeColor="text1"/>
                <w:sz w:val="24"/>
                <w14:textFill>
                  <w14:solidFill>
                    <w14:schemeClr w14:val="tx1"/>
                  </w14:solidFill>
                </w14:textFill>
              </w:rPr>
              <w:t>）分汽包：</w:t>
            </w:r>
            <w:r>
              <w:rPr>
                <w:rFonts w:hint="eastAsia"/>
                <w:color w:val="000000" w:themeColor="text1"/>
                <w:sz w:val="24"/>
                <w14:textFill>
                  <w14:solidFill>
                    <w14:schemeClr w14:val="tx1"/>
                  </w14:solidFill>
                </w14:textFill>
              </w:rPr>
              <w:t>高温裂解气成分主要包含重油（液态）、轻油（气态）和少量水蒸气等。从分离器分离出的高温裂解气经管道进入分汽包。</w:t>
            </w:r>
          </w:p>
          <w:p>
            <w:pPr>
              <w:ind w:firstLine="480" w:firstLineChars="200"/>
              <w:rPr>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在分汽包内，少量液态的重油下沉，进入裂解油暂存罐，然后通过油泵回裂解炉继续裂解；气态成分经管道进入循环水冷却系统。</w:t>
            </w:r>
          </w:p>
          <w:p>
            <w:pPr>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）冷凝系统、水封</w:t>
            </w:r>
            <w:r>
              <w:rPr>
                <w:rFonts w:hint="eastAsia"/>
                <w:color w:val="000000" w:themeColor="text1"/>
                <w:sz w:val="24"/>
                <w14:textFill>
                  <w14:solidFill>
                    <w14:schemeClr w14:val="tx1"/>
                  </w14:solidFill>
                </w14:textFill>
              </w:rPr>
              <w:t>：从分汽包出来的裂解气进入6台串联的立式冷凝器，外壁为循环冷却水系统，水流方向与裂解气流动方向对向冷凝，增大冷凝效率。在立式冷凝器中，高温热解气进行冷凝，冷凝下来的液体为裂解油和水的混合物，进入油水分离器。未被冷凝的气体，称之为不凝气。不凝气经过立式冷凝器顶部，进入下一级水封罐（防止回火）。</w:t>
            </w:r>
          </w:p>
          <w:p>
            <w:pPr>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2</w:t>
            </w:r>
            <w:r>
              <w:rPr>
                <w:rFonts w:hint="eastAsia"/>
                <w:b/>
                <w:color w:val="000000" w:themeColor="text1"/>
                <w:sz w:val="24"/>
                <w14:textFill>
                  <w14:solidFill>
                    <w14:schemeClr w14:val="tx1"/>
                  </w14:solidFill>
                </w14:textFill>
              </w:rPr>
              <w:t>）油水分离器</w:t>
            </w:r>
            <w:r>
              <w:rPr>
                <w:rFonts w:hint="eastAsia"/>
                <w:color w:val="000000" w:themeColor="text1"/>
                <w:sz w:val="24"/>
                <w14:textFill>
                  <w14:solidFill>
                    <w14:schemeClr w14:val="tx1"/>
                  </w14:solidFill>
                </w14:textFill>
              </w:rPr>
              <w:t>：该工序是对冷却下来的液体（轻油和水的混合物）进行油水分离。分离出的裂解油经油泵输送至裂解油储罐暂存，产生的少量含油废水雾化处理后，喷入二燃室内燃烧处理。</w:t>
            </w:r>
          </w:p>
          <w:p>
            <w:pPr>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）不凝气调节装置</w:t>
            </w:r>
            <w:r>
              <w:rPr>
                <w:rFonts w:hint="eastAsia"/>
                <w:color w:val="000000" w:themeColor="text1"/>
                <w:sz w:val="24"/>
                <w14:textFill>
                  <w14:solidFill>
                    <w14:schemeClr w14:val="tx1"/>
                  </w14:solidFill>
                </w14:textFill>
              </w:rPr>
              <w:t>：不凝气调节装置是根据裂解炉裂解温度自动控制不凝气返回裂解炉燃烧供热的不凝气流量，当裂解炉温度过高时，减少不凝气返回裂解炉的气量，多余不凝气进入单独的二燃室进行燃烧处理。当裂解炉温度过低时，增加返回裂解炉燃烧供热的不凝气流量。</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裂解炉燃烧室燃烧烟气与多余不凝气一起进入二燃室燃烧，进一步去除非甲烷总烃、硫化氢等污染物。</w:t>
            </w:r>
          </w:p>
          <w:p>
            <w:pPr>
              <w:pStyle w:val="3"/>
              <w:numPr>
                <w:ilvl w:val="0"/>
                <w:numId w:val="0"/>
              </w:num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本项目产污环节见表2</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p>
          <w:p>
            <w:pPr>
              <w:spacing w:line="240" w:lineRule="auto"/>
              <w:jc w:val="center"/>
              <w:rPr>
                <w:b/>
                <w:bCs/>
                <w:color w:val="000000" w:themeColor="text1"/>
                <w:sz w:val="24"/>
                <w:lang w:val="zh-CN"/>
                <w14:textFill>
                  <w14:solidFill>
                    <w14:schemeClr w14:val="tx1"/>
                  </w14:solidFill>
                </w14:textFill>
              </w:rPr>
            </w:pPr>
            <w:r>
              <w:rPr>
                <w:rFonts w:hint="eastAsia"/>
                <w:b/>
                <w:bCs/>
                <w:color w:val="000000" w:themeColor="text1"/>
                <w:sz w:val="24"/>
                <w:lang w:val="zh-CN"/>
                <w14:textFill>
                  <w14:solidFill>
                    <w14:schemeClr w14:val="tx1"/>
                  </w14:solidFill>
                </w14:textFill>
              </w:rPr>
              <w:t>表</w:t>
            </w:r>
            <w:r>
              <w:rPr>
                <w:b/>
                <w:bCs/>
                <w:color w:val="000000" w:themeColor="text1"/>
                <w:sz w:val="24"/>
                <w:lang w:val="zh-CN"/>
                <w14:textFill>
                  <w14:solidFill>
                    <w14:schemeClr w14:val="tx1"/>
                  </w14:solidFill>
                </w14:textFill>
              </w:rPr>
              <w:t>2.9</w:t>
            </w:r>
            <w:r>
              <w:rPr>
                <w:rFonts w:hint="eastAsia"/>
                <w:b/>
                <w:bCs/>
                <w:color w:val="000000" w:themeColor="text1"/>
                <w:sz w:val="24"/>
                <w:lang w:val="zh-CN"/>
                <w14:textFill>
                  <w14:solidFill>
                    <w14:schemeClr w14:val="tx1"/>
                  </w14:solidFill>
                </w14:textFill>
              </w:rPr>
              <w:t>-1  本项目产污环节汇总表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639"/>
              <w:gridCol w:w="1960"/>
              <w:gridCol w:w="1950"/>
              <w:gridCol w:w="3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Align w:val="center"/>
                </w:tcPr>
                <w:p>
                  <w:pPr>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项目</w:t>
                  </w:r>
                </w:p>
              </w:tc>
              <w:tc>
                <w:tcPr>
                  <w:tcW w:w="381" w:type="pct"/>
                  <w:vAlign w:val="center"/>
                </w:tcPr>
                <w:p>
                  <w:pPr>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编号</w:t>
                  </w:r>
                </w:p>
              </w:tc>
              <w:tc>
                <w:tcPr>
                  <w:tcW w:w="1167" w:type="pct"/>
                  <w:vAlign w:val="center"/>
                </w:tcPr>
                <w:p>
                  <w:pPr>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区域</w:t>
                  </w:r>
                </w:p>
              </w:tc>
              <w:tc>
                <w:tcPr>
                  <w:tcW w:w="1162" w:type="pct"/>
                  <w:vAlign w:val="center"/>
                </w:tcPr>
                <w:p>
                  <w:pPr>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主要污染源</w:t>
                  </w:r>
                </w:p>
              </w:tc>
              <w:tc>
                <w:tcPr>
                  <w:tcW w:w="2003" w:type="pct"/>
                  <w:vAlign w:val="center"/>
                </w:tcPr>
                <w:p>
                  <w:pPr>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restart"/>
                  <w:vAlign w:val="center"/>
                </w:tcPr>
                <w:p>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381" w:type="pct"/>
                  <w:vAlign w:val="center"/>
                </w:tcPr>
                <w:p>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G1</w:t>
                  </w:r>
                </w:p>
              </w:tc>
              <w:tc>
                <w:tcPr>
                  <w:tcW w:w="1167"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1#原料破碎车间、2#原料破碎车间</w:t>
                  </w:r>
                </w:p>
              </w:tc>
              <w:tc>
                <w:tcPr>
                  <w:tcW w:w="1162"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粗碎、细碎、磁选、筛分、中转料仓</w:t>
                  </w:r>
                </w:p>
              </w:tc>
              <w:tc>
                <w:tcPr>
                  <w:tcW w:w="2003"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2</w:t>
                  </w:r>
                </w:p>
              </w:tc>
              <w:tc>
                <w:tcPr>
                  <w:tcW w:w="1167"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裂解车间</w:t>
                  </w:r>
                </w:p>
              </w:tc>
              <w:tc>
                <w:tcPr>
                  <w:tcW w:w="1162"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裂解炉燃烧室、二燃室的燃烧烟气</w:t>
                  </w:r>
                </w:p>
              </w:tc>
              <w:tc>
                <w:tcPr>
                  <w:tcW w:w="2003"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SO</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x</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甲苯、二甲苯、硫化氢、非甲烷总烃、二噁英类</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臭气浓度</w:t>
                  </w:r>
                  <w:r>
                    <w:rPr>
                      <w:rFonts w:hint="eastAsia"/>
                      <w:color w:val="000000" w:themeColor="text1"/>
                      <w:szCs w:val="21"/>
                      <w14:textFill>
                        <w14:solidFill>
                          <w14:schemeClr w14:val="tx1"/>
                        </w14:solidFill>
                      </w14:textFill>
                    </w:rPr>
                    <w:t>、林格曼黑度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3</w:t>
                  </w:r>
                </w:p>
              </w:tc>
              <w:tc>
                <w:tcPr>
                  <w:tcW w:w="1167"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储油罐区</w:t>
                  </w:r>
                </w:p>
              </w:tc>
              <w:tc>
                <w:tcPr>
                  <w:tcW w:w="1162"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呼吸废气</w:t>
                  </w:r>
                </w:p>
              </w:tc>
              <w:tc>
                <w:tcPr>
                  <w:tcW w:w="2003"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4</w:t>
                  </w:r>
                </w:p>
              </w:tc>
              <w:tc>
                <w:tcPr>
                  <w:tcW w:w="1167"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炭黑加工车间</w:t>
                  </w:r>
                </w:p>
              </w:tc>
              <w:tc>
                <w:tcPr>
                  <w:tcW w:w="1162"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磁选、磨粉、打包</w:t>
                  </w:r>
                </w:p>
              </w:tc>
              <w:tc>
                <w:tcPr>
                  <w:tcW w:w="2003"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5</w:t>
                  </w:r>
                </w:p>
              </w:tc>
              <w:tc>
                <w:tcPr>
                  <w:tcW w:w="1167"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食堂</w:t>
                  </w:r>
                </w:p>
              </w:tc>
              <w:tc>
                <w:tcPr>
                  <w:tcW w:w="1162"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食堂油烟</w:t>
                  </w:r>
                </w:p>
              </w:tc>
              <w:tc>
                <w:tcPr>
                  <w:tcW w:w="2003"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油烟、非甲烷总烃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6</w:t>
                  </w:r>
                </w:p>
              </w:tc>
              <w:tc>
                <w:tcPr>
                  <w:tcW w:w="1167"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生化池</w:t>
                  </w:r>
                </w:p>
              </w:tc>
              <w:tc>
                <w:tcPr>
                  <w:tcW w:w="1162"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恶臭</w:t>
                  </w:r>
                </w:p>
              </w:tc>
              <w:tc>
                <w:tcPr>
                  <w:tcW w:w="2003"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87" w:type="pct"/>
                  <w:vMerge w:val="restart"/>
                  <w:vAlign w:val="center"/>
                </w:tcPr>
                <w:p>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381"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W1</w:t>
                  </w:r>
                </w:p>
              </w:tc>
              <w:tc>
                <w:tcPr>
                  <w:tcW w:w="116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办公、生活</w:t>
                  </w:r>
                </w:p>
              </w:tc>
              <w:tc>
                <w:tcPr>
                  <w:tcW w:w="1162"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生活污水、食堂废水</w:t>
                  </w:r>
                </w:p>
              </w:tc>
              <w:tc>
                <w:tcPr>
                  <w:tcW w:w="2003"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OD</w:t>
                  </w:r>
                  <w:r>
                    <w:rPr>
                      <w:rFonts w:hint="eastAsia"/>
                      <w:color w:val="000000" w:themeColor="text1"/>
                      <w:szCs w:val="21"/>
                      <w14:textFill>
                        <w14:solidFill>
                          <w14:schemeClr w14:val="tx1"/>
                        </w14:solidFill>
                      </w14:textFill>
                    </w:rPr>
                    <w:t>、B</w:t>
                  </w:r>
                  <w:r>
                    <w:rPr>
                      <w:color w:val="000000" w:themeColor="text1"/>
                      <w:szCs w:val="21"/>
                      <w14:textFill>
                        <w14:solidFill>
                          <w14:schemeClr w14:val="tx1"/>
                        </w14:solidFill>
                      </w14:textFill>
                    </w:rPr>
                    <w:t>OD</w:t>
                  </w:r>
                  <w:r>
                    <w:rPr>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、动植物油、总磷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W2</w:t>
                  </w:r>
                </w:p>
              </w:tc>
              <w:tc>
                <w:tcPr>
                  <w:tcW w:w="116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裂解车间</w:t>
                  </w:r>
                </w:p>
              </w:tc>
              <w:tc>
                <w:tcPr>
                  <w:tcW w:w="1162"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油水分离器分离的油水混合物</w:t>
                  </w:r>
                </w:p>
              </w:tc>
              <w:tc>
                <w:tcPr>
                  <w:tcW w:w="2003"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OD</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w:t>
                  </w:r>
                  <w:r>
                    <w:rPr>
                      <w:color w:val="000000" w:themeColor="text1"/>
                      <w:szCs w:val="21"/>
                      <w14:textFill>
                        <w14:solidFill>
                          <w14:schemeClr w14:val="tx1"/>
                        </w14:solidFill>
                      </w14:textFill>
                    </w:rPr>
                    <w:t>3</w:t>
                  </w:r>
                </w:p>
              </w:tc>
              <w:tc>
                <w:tcPr>
                  <w:tcW w:w="116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循环冷却水系统</w:t>
                  </w:r>
                </w:p>
              </w:tc>
              <w:tc>
                <w:tcPr>
                  <w:tcW w:w="1162"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循环冷却排水</w:t>
                  </w:r>
                </w:p>
              </w:tc>
              <w:tc>
                <w:tcPr>
                  <w:tcW w:w="2003"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OD</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w:t>
                  </w:r>
                  <w:r>
                    <w:rPr>
                      <w:color w:val="000000" w:themeColor="text1"/>
                      <w:szCs w:val="21"/>
                      <w14:textFill>
                        <w14:solidFill>
                          <w14:schemeClr w14:val="tx1"/>
                        </w14:solidFill>
                      </w14:textFill>
                    </w:rPr>
                    <w:t>4</w:t>
                  </w:r>
                </w:p>
              </w:tc>
              <w:tc>
                <w:tcPr>
                  <w:tcW w:w="116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烟气脱硫</w:t>
                  </w:r>
                  <w:r>
                    <w:rPr>
                      <w:color w:val="000000" w:themeColor="text1"/>
                      <w:szCs w:val="21"/>
                      <w14:textFill>
                        <w14:solidFill>
                          <w14:schemeClr w14:val="tx1"/>
                        </w14:solidFill>
                      </w14:textFill>
                    </w:rPr>
                    <w:t>系统</w:t>
                  </w:r>
                </w:p>
              </w:tc>
              <w:tc>
                <w:tcPr>
                  <w:tcW w:w="1162"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脱硫系统</w:t>
                  </w:r>
                </w:p>
              </w:tc>
              <w:tc>
                <w:tcPr>
                  <w:tcW w:w="2003"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w:t>
                  </w:r>
                  <w:r>
                    <w:rPr>
                      <w:color w:val="000000" w:themeColor="text1"/>
                      <w:szCs w:val="21"/>
                      <w14:textFill>
                        <w14:solidFill>
                          <w14:schemeClr w14:val="tx1"/>
                        </w14:solidFill>
                      </w14:textFill>
                    </w:rPr>
                    <w:t>H</w:t>
                  </w:r>
                  <w:r>
                    <w:rPr>
                      <w:rFonts w:hint="eastAsia"/>
                      <w:color w:val="000000" w:themeColor="text1"/>
                      <w:szCs w:val="21"/>
                      <w14:textFill>
                        <w14:solidFill>
                          <w14:schemeClr w14:val="tx1"/>
                        </w14:solidFill>
                      </w14:textFill>
                    </w:rPr>
                    <w:t>、盐类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w:t>
                  </w:r>
                  <w:r>
                    <w:rPr>
                      <w:color w:val="000000" w:themeColor="text1"/>
                      <w:szCs w:val="21"/>
                      <w14:textFill>
                        <w14:solidFill>
                          <w14:schemeClr w14:val="tx1"/>
                        </w14:solidFill>
                      </w14:textFill>
                    </w:rPr>
                    <w:t>5</w:t>
                  </w:r>
                </w:p>
              </w:tc>
              <w:tc>
                <w:tcPr>
                  <w:tcW w:w="116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水封罐</w:t>
                  </w:r>
                </w:p>
              </w:tc>
              <w:tc>
                <w:tcPr>
                  <w:tcW w:w="1162"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水封罐更换废水</w:t>
                  </w:r>
                </w:p>
              </w:tc>
              <w:tc>
                <w:tcPr>
                  <w:tcW w:w="2003"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w:t>
                  </w:r>
                  <w:r>
                    <w:rPr>
                      <w:color w:val="000000" w:themeColor="text1"/>
                      <w:szCs w:val="21"/>
                      <w14:textFill>
                        <w14:solidFill>
                          <w14:schemeClr w14:val="tx1"/>
                        </w14:solidFill>
                      </w14:textFill>
                    </w:rPr>
                    <w:t>6</w:t>
                  </w:r>
                </w:p>
              </w:tc>
              <w:tc>
                <w:tcPr>
                  <w:tcW w:w="116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车间</w:t>
                  </w:r>
                </w:p>
              </w:tc>
              <w:tc>
                <w:tcPr>
                  <w:tcW w:w="1162"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地面冲洗废水</w:t>
                  </w:r>
                </w:p>
              </w:tc>
              <w:tc>
                <w:tcPr>
                  <w:tcW w:w="2003" w:type="pct"/>
                  <w:vAlign w:val="center"/>
                </w:tcPr>
                <w:p>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OD</w:t>
                  </w:r>
                  <w:r>
                    <w:rPr>
                      <w:rFonts w:hint="eastAsia"/>
                      <w:color w:val="000000" w:themeColor="text1"/>
                      <w:szCs w:val="21"/>
                      <w14:textFill>
                        <w14:solidFill>
                          <w14:schemeClr w14:val="tx1"/>
                        </w14:solidFill>
                      </w14:textFill>
                    </w:rPr>
                    <w:t>、石油类、S</w:t>
                  </w:r>
                  <w:r>
                    <w:rPr>
                      <w:color w:val="000000" w:themeColor="text1"/>
                      <w:szCs w:val="21"/>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restart"/>
                  <w:vAlign w:val="center"/>
                </w:tcPr>
                <w:p>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381" w:type="pct"/>
                  <w:vAlign w:val="center"/>
                </w:tcPr>
                <w:p>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S1</w:t>
                  </w:r>
                </w:p>
              </w:tc>
              <w:tc>
                <w:tcPr>
                  <w:tcW w:w="1167"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轮胎处理除尘系统</w:t>
                  </w:r>
                </w:p>
              </w:tc>
              <w:tc>
                <w:tcPr>
                  <w:tcW w:w="1162"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布袋除尘器</w:t>
                  </w:r>
                </w:p>
              </w:tc>
              <w:tc>
                <w:tcPr>
                  <w:tcW w:w="2003"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集尘灰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2</w:t>
                  </w:r>
                </w:p>
              </w:tc>
              <w:tc>
                <w:tcPr>
                  <w:tcW w:w="1167"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炭黑加工除尘系统</w:t>
                  </w:r>
                </w:p>
              </w:tc>
              <w:tc>
                <w:tcPr>
                  <w:tcW w:w="1162"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布袋除尘器</w:t>
                  </w:r>
                </w:p>
              </w:tc>
              <w:tc>
                <w:tcPr>
                  <w:tcW w:w="2003"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集尘灰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3</w:t>
                  </w:r>
                </w:p>
              </w:tc>
              <w:tc>
                <w:tcPr>
                  <w:tcW w:w="1167"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烟气处理系统</w:t>
                  </w:r>
                </w:p>
              </w:tc>
              <w:tc>
                <w:tcPr>
                  <w:tcW w:w="1162"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湿电除尘器</w:t>
                  </w:r>
                </w:p>
              </w:tc>
              <w:tc>
                <w:tcPr>
                  <w:tcW w:w="2003"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除尘灰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4</w:t>
                  </w:r>
                </w:p>
              </w:tc>
              <w:tc>
                <w:tcPr>
                  <w:tcW w:w="1167"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生化池</w:t>
                  </w:r>
                </w:p>
              </w:tc>
              <w:tc>
                <w:tcPr>
                  <w:tcW w:w="1162"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生化池</w:t>
                  </w:r>
                </w:p>
              </w:tc>
              <w:tc>
                <w:tcPr>
                  <w:tcW w:w="2003"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生化池污泥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5</w:t>
                  </w:r>
                </w:p>
              </w:tc>
              <w:tc>
                <w:tcPr>
                  <w:tcW w:w="1167"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生产废水处理设施</w:t>
                  </w:r>
                </w:p>
              </w:tc>
              <w:tc>
                <w:tcPr>
                  <w:tcW w:w="1162"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隔油池</w:t>
                  </w:r>
                </w:p>
              </w:tc>
              <w:tc>
                <w:tcPr>
                  <w:tcW w:w="2003"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含油废渣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6</w:t>
                  </w:r>
                </w:p>
              </w:tc>
              <w:tc>
                <w:tcPr>
                  <w:tcW w:w="1167"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储油罐区</w:t>
                  </w:r>
                </w:p>
              </w:tc>
              <w:tc>
                <w:tcPr>
                  <w:tcW w:w="1162"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储油罐</w:t>
                  </w:r>
                </w:p>
              </w:tc>
              <w:tc>
                <w:tcPr>
                  <w:tcW w:w="2003"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清罐油泥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7</w:t>
                  </w:r>
                </w:p>
              </w:tc>
              <w:tc>
                <w:tcPr>
                  <w:tcW w:w="1167"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检修</w:t>
                  </w:r>
                </w:p>
              </w:tc>
              <w:tc>
                <w:tcPr>
                  <w:tcW w:w="1162"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设备检修等</w:t>
                  </w:r>
                </w:p>
              </w:tc>
              <w:tc>
                <w:tcPr>
                  <w:tcW w:w="2003"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废含油棉纱手套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8</w:t>
                  </w:r>
                </w:p>
              </w:tc>
              <w:tc>
                <w:tcPr>
                  <w:tcW w:w="1167"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烟气处理系统</w:t>
                  </w:r>
                </w:p>
              </w:tc>
              <w:tc>
                <w:tcPr>
                  <w:tcW w:w="1162"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活性炭吸附</w:t>
                  </w:r>
                </w:p>
              </w:tc>
              <w:tc>
                <w:tcPr>
                  <w:tcW w:w="2003"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w:t>
                  </w:r>
                  <w:r>
                    <w:rPr>
                      <w:color w:val="000000" w:themeColor="text1"/>
                      <w:kern w:val="0"/>
                      <w:szCs w:val="21"/>
                      <w14:textFill>
                        <w14:solidFill>
                          <w14:schemeClr w14:val="tx1"/>
                        </w14:solidFill>
                      </w14:textFill>
                    </w:rPr>
                    <w:t>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9</w:t>
                  </w:r>
                </w:p>
              </w:tc>
              <w:tc>
                <w:tcPr>
                  <w:tcW w:w="1167"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烟气处理系统</w:t>
                  </w:r>
                </w:p>
              </w:tc>
              <w:tc>
                <w:tcPr>
                  <w:tcW w:w="1162"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X</w:t>
                  </w:r>
                  <w:r>
                    <w:rPr>
                      <w:color w:val="000000" w:themeColor="text1"/>
                      <w:kern w:val="0"/>
                      <w:szCs w:val="21"/>
                      <w14:textFill>
                        <w14:solidFill>
                          <w14:schemeClr w14:val="tx1"/>
                        </w14:solidFill>
                      </w14:textFill>
                    </w:rPr>
                    <w:t>CR</w:t>
                  </w:r>
                  <w:r>
                    <w:rPr>
                      <w:rFonts w:hint="eastAsia"/>
                      <w:color w:val="000000" w:themeColor="text1"/>
                      <w:kern w:val="0"/>
                      <w:szCs w:val="21"/>
                      <w14:textFill>
                        <w14:solidFill>
                          <w14:schemeClr w14:val="tx1"/>
                        </w14:solidFill>
                      </w14:textFill>
                    </w:rPr>
                    <w:t>脱硝</w:t>
                  </w:r>
                </w:p>
              </w:tc>
              <w:tc>
                <w:tcPr>
                  <w:tcW w:w="2003"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废催化剂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3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10</w:t>
                  </w:r>
                </w:p>
              </w:tc>
              <w:tc>
                <w:tcPr>
                  <w:tcW w:w="1167" w:type="pct"/>
                  <w:vAlign w:val="center"/>
                </w:tcPr>
                <w:p>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职工办公生活</w:t>
                  </w:r>
                </w:p>
              </w:tc>
              <w:tc>
                <w:tcPr>
                  <w:tcW w:w="1162"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生活垃圾</w:t>
                  </w:r>
                  <w:r>
                    <w:rPr>
                      <w:rFonts w:hint="eastAsia"/>
                      <w:color w:val="000000" w:themeColor="text1"/>
                      <w:szCs w:val="21"/>
                      <w14:textFill>
                        <w14:solidFill>
                          <w14:schemeClr w14:val="tx1"/>
                        </w14:solidFill>
                      </w14:textFill>
                    </w:rPr>
                    <w:t>、餐厨垃圾</w:t>
                  </w:r>
                </w:p>
              </w:tc>
              <w:tc>
                <w:tcPr>
                  <w:tcW w:w="2003" w:type="pct"/>
                  <w:vAlign w:val="center"/>
                </w:tcPr>
                <w:p>
                  <w:pPr>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 w:type="pct"/>
                  <w:vAlign w:val="center"/>
                </w:tcPr>
                <w:p>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w:t>
                  </w:r>
                </w:p>
              </w:tc>
              <w:tc>
                <w:tcPr>
                  <w:tcW w:w="1167" w:type="pct"/>
                  <w:tcBorders>
                    <w:top w:val="single" w:color="auto" w:sz="4" w:space="0"/>
                    <w:left w:val="single" w:color="auto" w:sz="4" w:space="0"/>
                    <w:right w:val="single" w:color="auto" w:sz="4" w:space="0"/>
                  </w:tcBorders>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生产设备</w:t>
                  </w:r>
                </w:p>
              </w:tc>
              <w:tc>
                <w:tcPr>
                  <w:tcW w:w="116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原料破碎生产线、风机、连续干馏裂解生产线、炭黑加工线等</w:t>
                  </w:r>
                </w:p>
              </w:tc>
              <w:tc>
                <w:tcPr>
                  <w:tcW w:w="2003" w:type="pct"/>
                  <w:tcBorders>
                    <w:top w:val="single" w:color="auto" w:sz="4" w:space="0"/>
                    <w:left w:val="single" w:color="auto" w:sz="4" w:space="0"/>
                    <w:right w:val="single" w:color="auto" w:sz="4" w:space="0"/>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等效连续A声级</w:t>
                  </w:r>
                </w:p>
              </w:tc>
            </w:tr>
          </w:tbl>
          <w:p>
            <w:pPr>
              <w:pStyle w:val="3"/>
              <w:numPr>
                <w:ilvl w:val="0"/>
                <w:numId w:val="0"/>
              </w:numPr>
              <w:ind w:firstLine="480" w:firstLineChars="200"/>
              <w:rPr>
                <w:color w:val="000000" w:themeColor="text1"/>
                <w:sz w:val="24"/>
                <w14:textFill>
                  <w14:solidFill>
                    <w14:schemeClr w14:val="tx1"/>
                  </w14:solidFill>
                </w14:textFill>
              </w:rPr>
            </w:pP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22" w:hRule="atLeast"/>
          <w:jc w:val="center"/>
        </w:trPr>
        <w:tc>
          <w:tcPr>
            <w:tcW w:w="236" w:type="pct"/>
            <w:vAlign w:val="center"/>
          </w:tcPr>
          <w:p>
            <w:pPr>
              <w:pStyle w:val="32"/>
              <w:adjustRightInd w:val="0"/>
              <w:snapToGrid w:val="0"/>
              <w:spacing w:before="0" w:beforeAutospacing="0" w:after="0" w:afterAutospacing="0" w:line="240" w:lineRule="auto"/>
              <w:jc w:val="center"/>
              <w:rPr>
                <w:rFonts w:ascii="Times New Roman" w:hAnsi="Times New Roman"/>
                <w:color w:val="000000" w:themeColor="text1"/>
                <w:szCs w:val="24"/>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与项目有关的原有环境污染问题</w:t>
            </w:r>
          </w:p>
        </w:tc>
        <w:tc>
          <w:tcPr>
            <w:tcW w:w="4764" w:type="pct"/>
            <w:gridSpan w:val="2"/>
          </w:tcPr>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本项目位于双桥经开区邮亭片区A区。经现场踏勘调查，项目场地现已由园区平整，无与本项目有关的原有环境污染问题。</w:t>
            </w:r>
          </w:p>
        </w:tc>
      </w:tr>
    </w:tbl>
    <w:p>
      <w:pPr>
        <w:pStyle w:val="32"/>
        <w:ind w:firstLine="720"/>
        <w:jc w:val="center"/>
        <w:rPr>
          <w:rFonts w:ascii="Times New Roman" w:hAnsi="Times New Roman"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2"/>
        <w:spacing w:line="240" w:lineRule="auto"/>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5" w:name="_Toc2871"/>
      <w:r>
        <w:rPr>
          <w:rFonts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bookmarkEnd w:id="5"/>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85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68" w:type="pct"/>
            <w:vAlign w:val="center"/>
          </w:tcPr>
          <w:p>
            <w:pPr>
              <w:adjustRightInd w:val="0"/>
              <w:snapToGrid w:val="0"/>
              <w:spacing w:line="240" w:lineRule="auto"/>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w:t>
            </w:r>
            <w:r>
              <w:rPr>
                <w:rFonts w:hint="eastAsia"/>
                <w:color w:val="000000" w:themeColor="text1"/>
                <w:kern w:val="0"/>
                <w:sz w:val="24"/>
                <w14:textFill>
                  <w14:solidFill>
                    <w14:schemeClr w14:val="tx1"/>
                  </w14:solidFill>
                </w14:textFill>
              </w:rPr>
              <w:t>区域环境质量现状</w:t>
            </w:r>
          </w:p>
        </w:tc>
        <w:tc>
          <w:tcPr>
            <w:tcW w:w="4732" w:type="pct"/>
          </w:tcPr>
          <w:p>
            <w:pPr>
              <w:spacing w:before="120" w:beforeLines="5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.1大气环境质量现状</w:t>
            </w:r>
          </w:p>
          <w:p>
            <w:pPr>
              <w:pStyle w:val="2"/>
              <w:spacing w:before="0" w:after="0" w:line="360" w:lineRule="auto"/>
              <w:rPr>
                <w:b/>
                <w:bCs/>
                <w:color w:val="000000" w:themeColor="text1"/>
                <w:sz w:val="24"/>
                <w14:textFill>
                  <w14:solidFill>
                    <w14:schemeClr w14:val="tx1"/>
                  </w14:solidFill>
                </w14:textFill>
              </w:rPr>
            </w:pPr>
            <w:bookmarkStart w:id="6" w:name="_Toc32141"/>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.1.1空气质量达标区判断</w:t>
            </w:r>
            <w:bookmarkEnd w:id="6"/>
          </w:p>
          <w:p>
            <w:pPr>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根据重庆市人民政府《重庆市环境空气质量功能区划分规定》（渝府发[2016]19号文），项目所在区域环境空气质量功能属二类区域，环境空气执行《环境空气质量标准》(GB3095-2012)二级标准。</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本次评价引用</w:t>
            </w:r>
            <w:r>
              <w:rPr>
                <w:color w:val="000000" w:themeColor="text1"/>
                <w:sz w:val="24"/>
                <w14:textFill>
                  <w14:solidFill>
                    <w14:schemeClr w14:val="tx1"/>
                  </w14:solidFill>
                </w14:textFill>
              </w:rPr>
              <w:t>重庆市生态环境</w:t>
            </w:r>
            <w:r>
              <w:rPr>
                <w:rFonts w:hint="eastAsia"/>
                <w:color w:val="000000" w:themeColor="text1"/>
                <w:sz w:val="24"/>
                <w14:textFill>
                  <w14:solidFill>
                    <w14:schemeClr w14:val="tx1"/>
                  </w14:solidFill>
                </w14:textFill>
              </w:rPr>
              <w:t>局</w:t>
            </w:r>
            <w:r>
              <w:rPr>
                <w:color w:val="000000" w:themeColor="text1"/>
                <w:sz w:val="24"/>
                <w14:textFill>
                  <w14:solidFill>
                    <w14:schemeClr w14:val="tx1"/>
                  </w14:solidFill>
                </w14:textFill>
              </w:rPr>
              <w:t>发布的《20</w:t>
            </w:r>
            <w:r>
              <w:rPr>
                <w:rFonts w:hint="eastAsia"/>
                <w:color w:val="000000" w:themeColor="text1"/>
                <w:sz w:val="24"/>
                <w14:textFill>
                  <w14:solidFill>
                    <w14:schemeClr w14:val="tx1"/>
                  </w14:solidFill>
                </w14:textFill>
              </w:rPr>
              <w:t>21</w:t>
            </w:r>
            <w:r>
              <w:rPr>
                <w:color w:val="000000" w:themeColor="text1"/>
                <w:sz w:val="24"/>
                <w14:textFill>
                  <w14:solidFill>
                    <w14:schemeClr w14:val="tx1"/>
                  </w14:solidFill>
                </w14:textFill>
              </w:rPr>
              <w:t>重庆市生态环境状况公报》</w:t>
            </w:r>
            <w:r>
              <w:rPr>
                <w:rFonts w:hint="eastAsia"/>
                <w:color w:val="000000" w:themeColor="text1"/>
                <w:sz w:val="24"/>
                <w14:textFill>
                  <w14:solidFill>
                    <w14:schemeClr w14:val="tx1"/>
                  </w14:solidFill>
                </w14:textFill>
              </w:rPr>
              <w:t>中大足区的环境空气质量数据，对项目所在区域的环境空气质量现状予以分析，详</w:t>
            </w:r>
            <w:r>
              <w:rPr>
                <w:color w:val="000000" w:themeColor="text1"/>
                <w:sz w:val="24"/>
                <w14:textFill>
                  <w14:solidFill>
                    <w14:schemeClr w14:val="tx1"/>
                  </w14:solidFill>
                </w14:textFill>
              </w:rPr>
              <w:t>见表</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.1-1。</w:t>
            </w:r>
          </w:p>
          <w:p>
            <w:pPr>
              <w:spacing w:line="24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.1</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1 区域环境空气现状评价表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50"/>
              <w:gridCol w:w="2610"/>
              <w:gridCol w:w="1533"/>
              <w:gridCol w:w="1105"/>
              <w:gridCol w:w="967"/>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89" w:type="pct"/>
                  <w:vAlign w:val="center"/>
                </w:tcPr>
                <w:p>
                  <w:pPr>
                    <w:snapToGrid w:val="0"/>
                    <w:spacing w:line="240" w:lineRule="auto"/>
                    <w:jc w:val="center"/>
                    <w:rPr>
                      <w:b/>
                      <w:bCs/>
                      <w:color w:val="000000" w:themeColor="text1"/>
                      <w:kern w:val="28"/>
                      <w:szCs w:val="21"/>
                      <w:lang w:val="zh-CN"/>
                      <w14:textFill>
                        <w14:solidFill>
                          <w14:schemeClr w14:val="tx1"/>
                        </w14:solidFill>
                      </w14:textFill>
                    </w:rPr>
                  </w:pPr>
                  <w:r>
                    <w:rPr>
                      <w:b/>
                      <w:bCs/>
                      <w:color w:val="000000" w:themeColor="text1"/>
                      <w:kern w:val="28"/>
                      <w:szCs w:val="21"/>
                      <w:lang w:val="zh-CN"/>
                      <w14:textFill>
                        <w14:solidFill>
                          <w14:schemeClr w14:val="tx1"/>
                        </w14:solidFill>
                      </w14:textFill>
                    </w:rPr>
                    <w:t>污染物</w:t>
                  </w:r>
                </w:p>
              </w:tc>
              <w:tc>
                <w:tcPr>
                  <w:tcW w:w="1563" w:type="pct"/>
                  <w:vAlign w:val="center"/>
                </w:tcPr>
                <w:p>
                  <w:pPr>
                    <w:snapToGrid w:val="0"/>
                    <w:spacing w:line="240" w:lineRule="auto"/>
                    <w:jc w:val="center"/>
                    <w:rPr>
                      <w:b/>
                      <w:bCs/>
                      <w:color w:val="000000" w:themeColor="text1"/>
                      <w:kern w:val="28"/>
                      <w:szCs w:val="21"/>
                      <w14:textFill>
                        <w14:solidFill>
                          <w14:schemeClr w14:val="tx1"/>
                        </w14:solidFill>
                      </w14:textFill>
                    </w:rPr>
                  </w:pPr>
                  <w:r>
                    <w:rPr>
                      <w:b/>
                      <w:bCs/>
                      <w:color w:val="000000" w:themeColor="text1"/>
                      <w:kern w:val="28"/>
                      <w:szCs w:val="21"/>
                      <w:lang w:val="zh-CN"/>
                      <w14:textFill>
                        <w14:solidFill>
                          <w14:schemeClr w14:val="tx1"/>
                        </w14:solidFill>
                      </w14:textFill>
                    </w:rPr>
                    <w:t>年评价指标</w:t>
                  </w:r>
                </w:p>
              </w:tc>
              <w:tc>
                <w:tcPr>
                  <w:tcW w:w="918" w:type="pct"/>
                  <w:vAlign w:val="center"/>
                </w:tcPr>
                <w:p>
                  <w:pPr>
                    <w:snapToGrid w:val="0"/>
                    <w:spacing w:line="240" w:lineRule="auto"/>
                    <w:jc w:val="center"/>
                    <w:rPr>
                      <w:b/>
                      <w:bCs/>
                      <w:color w:val="000000" w:themeColor="text1"/>
                      <w:kern w:val="28"/>
                      <w:szCs w:val="21"/>
                      <w:lang w:val="zh-CN"/>
                      <w14:textFill>
                        <w14:solidFill>
                          <w14:schemeClr w14:val="tx1"/>
                        </w14:solidFill>
                      </w14:textFill>
                    </w:rPr>
                  </w:pPr>
                  <w:r>
                    <w:rPr>
                      <w:b/>
                      <w:bCs/>
                      <w:color w:val="000000" w:themeColor="text1"/>
                      <w:kern w:val="28"/>
                      <w:szCs w:val="21"/>
                      <w:lang w:val="zh-CN"/>
                      <w14:textFill>
                        <w14:solidFill>
                          <w14:schemeClr w14:val="tx1"/>
                        </w14:solidFill>
                      </w14:textFill>
                    </w:rPr>
                    <w:t>现状浓度（</w:t>
                  </w:r>
                  <w:r>
                    <w:rPr>
                      <w:b/>
                      <w:color w:val="000000" w:themeColor="text1"/>
                      <w:szCs w:val="21"/>
                      <w14:textFill>
                        <w14:solidFill>
                          <w14:schemeClr w14:val="tx1"/>
                        </w14:solidFill>
                      </w14:textFill>
                    </w:rPr>
                    <w:t>µg/m</w:t>
                  </w:r>
                  <w:r>
                    <w:rPr>
                      <w:b/>
                      <w:color w:val="000000" w:themeColor="text1"/>
                      <w:szCs w:val="21"/>
                      <w:vertAlign w:val="superscript"/>
                      <w14:textFill>
                        <w14:solidFill>
                          <w14:schemeClr w14:val="tx1"/>
                        </w14:solidFill>
                      </w14:textFill>
                    </w:rPr>
                    <w:t>3</w:t>
                  </w:r>
                  <w:r>
                    <w:rPr>
                      <w:b/>
                      <w:bCs/>
                      <w:color w:val="000000" w:themeColor="text1"/>
                      <w:kern w:val="28"/>
                      <w:szCs w:val="21"/>
                      <w:lang w:val="zh-CN"/>
                      <w14:textFill>
                        <w14:solidFill>
                          <w14:schemeClr w14:val="tx1"/>
                        </w14:solidFill>
                      </w14:textFill>
                    </w:rPr>
                    <w:t>）</w:t>
                  </w:r>
                </w:p>
              </w:tc>
              <w:tc>
                <w:tcPr>
                  <w:tcW w:w="662" w:type="pct"/>
                  <w:vAlign w:val="center"/>
                </w:tcPr>
                <w:p>
                  <w:pPr>
                    <w:snapToGrid w:val="0"/>
                    <w:spacing w:line="240" w:lineRule="auto"/>
                    <w:jc w:val="center"/>
                    <w:rPr>
                      <w:b/>
                      <w:bCs/>
                      <w:color w:val="000000" w:themeColor="text1"/>
                      <w:kern w:val="28"/>
                      <w:szCs w:val="21"/>
                      <w:lang w:val="zh-CN"/>
                      <w14:textFill>
                        <w14:solidFill>
                          <w14:schemeClr w14:val="tx1"/>
                        </w14:solidFill>
                      </w14:textFill>
                    </w:rPr>
                  </w:pPr>
                  <w:r>
                    <w:rPr>
                      <w:b/>
                      <w:bCs/>
                      <w:color w:val="000000" w:themeColor="text1"/>
                      <w:kern w:val="28"/>
                      <w:szCs w:val="21"/>
                      <w:lang w:val="zh-CN"/>
                      <w14:textFill>
                        <w14:solidFill>
                          <w14:schemeClr w14:val="tx1"/>
                        </w14:solidFill>
                      </w14:textFill>
                    </w:rPr>
                    <w:t>标准值（</w:t>
                  </w:r>
                  <w:r>
                    <w:rPr>
                      <w:b/>
                      <w:color w:val="000000" w:themeColor="text1"/>
                      <w:szCs w:val="21"/>
                      <w14:textFill>
                        <w14:solidFill>
                          <w14:schemeClr w14:val="tx1"/>
                        </w14:solidFill>
                      </w14:textFill>
                    </w:rPr>
                    <w:t>µg/m</w:t>
                  </w:r>
                  <w:r>
                    <w:rPr>
                      <w:b/>
                      <w:color w:val="000000" w:themeColor="text1"/>
                      <w:szCs w:val="21"/>
                      <w:vertAlign w:val="superscript"/>
                      <w14:textFill>
                        <w14:solidFill>
                          <w14:schemeClr w14:val="tx1"/>
                        </w14:solidFill>
                      </w14:textFill>
                    </w:rPr>
                    <w:t>3</w:t>
                  </w:r>
                  <w:r>
                    <w:rPr>
                      <w:b/>
                      <w:bCs/>
                      <w:color w:val="000000" w:themeColor="text1"/>
                      <w:kern w:val="28"/>
                      <w:szCs w:val="21"/>
                      <w:lang w:val="zh-CN"/>
                      <w14:textFill>
                        <w14:solidFill>
                          <w14:schemeClr w14:val="tx1"/>
                        </w14:solidFill>
                      </w14:textFill>
                    </w:rPr>
                    <w:t>）</w:t>
                  </w:r>
                </w:p>
              </w:tc>
              <w:tc>
                <w:tcPr>
                  <w:tcW w:w="579" w:type="pct"/>
                  <w:vAlign w:val="center"/>
                </w:tcPr>
                <w:p>
                  <w:pPr>
                    <w:snapToGrid w:val="0"/>
                    <w:spacing w:line="240" w:lineRule="auto"/>
                    <w:jc w:val="center"/>
                    <w:rPr>
                      <w:b/>
                      <w:bCs/>
                      <w:color w:val="000000" w:themeColor="text1"/>
                      <w:kern w:val="28"/>
                      <w:szCs w:val="21"/>
                      <w14:textFill>
                        <w14:solidFill>
                          <w14:schemeClr w14:val="tx1"/>
                        </w14:solidFill>
                      </w14:textFill>
                    </w:rPr>
                  </w:pPr>
                  <w:r>
                    <w:rPr>
                      <w:b/>
                      <w:bCs/>
                      <w:color w:val="000000" w:themeColor="text1"/>
                      <w:kern w:val="28"/>
                      <w:szCs w:val="21"/>
                      <w:lang w:val="zh-CN"/>
                      <w14:textFill>
                        <w14:solidFill>
                          <w14:schemeClr w14:val="tx1"/>
                        </w14:solidFill>
                      </w14:textFill>
                    </w:rPr>
                    <w:t>占标率</w:t>
                  </w:r>
                  <w:r>
                    <w:rPr>
                      <w:b/>
                      <w:bCs/>
                      <w:color w:val="000000" w:themeColor="text1"/>
                      <w:kern w:val="28"/>
                      <w:szCs w:val="21"/>
                      <w14:textFill>
                        <w14:solidFill>
                          <w14:schemeClr w14:val="tx1"/>
                        </w14:solidFill>
                      </w14:textFill>
                    </w:rPr>
                    <w:t>%</w:t>
                  </w:r>
                </w:p>
              </w:tc>
              <w:tc>
                <w:tcPr>
                  <w:tcW w:w="589" w:type="pct"/>
                  <w:vAlign w:val="center"/>
                </w:tcPr>
                <w:p>
                  <w:pPr>
                    <w:snapToGrid w:val="0"/>
                    <w:spacing w:line="240" w:lineRule="auto"/>
                    <w:jc w:val="center"/>
                    <w:rPr>
                      <w:b/>
                      <w:bCs/>
                      <w:color w:val="000000" w:themeColor="text1"/>
                      <w:kern w:val="28"/>
                      <w:szCs w:val="21"/>
                      <w:lang w:val="zh-CN"/>
                      <w14:textFill>
                        <w14:solidFill>
                          <w14:schemeClr w14:val="tx1"/>
                        </w14:solidFill>
                      </w14:textFill>
                    </w:rPr>
                  </w:pPr>
                  <w:r>
                    <w:rPr>
                      <w:b/>
                      <w:bCs/>
                      <w:color w:val="000000" w:themeColor="text1"/>
                      <w:kern w:val="28"/>
                      <w:szCs w:val="21"/>
                      <w:lang w:val="zh-CN"/>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89"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PM</w:t>
                  </w:r>
                  <w:r>
                    <w:rPr>
                      <w:bCs/>
                      <w:color w:val="000000" w:themeColor="text1"/>
                      <w:kern w:val="28"/>
                      <w:szCs w:val="21"/>
                      <w:vertAlign w:val="subscript"/>
                      <w14:textFill>
                        <w14:solidFill>
                          <w14:schemeClr w14:val="tx1"/>
                        </w14:solidFill>
                      </w14:textFill>
                    </w:rPr>
                    <w:t>10</w:t>
                  </w:r>
                </w:p>
              </w:tc>
              <w:tc>
                <w:tcPr>
                  <w:tcW w:w="1563" w:type="pct"/>
                  <w:vMerge w:val="restar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年平均质量浓度</w:t>
                  </w:r>
                </w:p>
              </w:tc>
              <w:tc>
                <w:tcPr>
                  <w:tcW w:w="918"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43</w:t>
                  </w:r>
                </w:p>
              </w:tc>
              <w:tc>
                <w:tcPr>
                  <w:tcW w:w="662"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70</w:t>
                  </w:r>
                </w:p>
              </w:tc>
              <w:tc>
                <w:tcPr>
                  <w:tcW w:w="579" w:type="pct"/>
                  <w:vAlign w:val="center"/>
                </w:tcPr>
                <w:p>
                  <w:pPr>
                    <w:snapToGrid w:val="0"/>
                    <w:spacing w:line="240" w:lineRule="auto"/>
                    <w:jc w:val="center"/>
                    <w:rPr>
                      <w:color w:val="000000" w:themeColor="text1"/>
                      <w14:textFill>
                        <w14:solidFill>
                          <w14:schemeClr w14:val="tx1"/>
                        </w14:solidFill>
                      </w14:textFill>
                    </w:rPr>
                  </w:pPr>
                  <w:r>
                    <w:rPr>
                      <w:rFonts w:hint="eastAsia"/>
                      <w:bCs/>
                      <w:color w:val="000000" w:themeColor="text1"/>
                      <w:kern w:val="28"/>
                      <w:szCs w:val="21"/>
                      <w14:textFill>
                        <w14:solidFill>
                          <w14:schemeClr w14:val="tx1"/>
                        </w14:solidFill>
                      </w14:textFill>
                    </w:rPr>
                    <w:t>61.4</w:t>
                  </w:r>
                </w:p>
              </w:tc>
              <w:tc>
                <w:tcPr>
                  <w:tcW w:w="589" w:type="pct"/>
                  <w:vAlign w:val="center"/>
                </w:tcPr>
                <w:p>
                  <w:pPr>
                    <w:snapToGrid w:val="0"/>
                    <w:spacing w:line="240" w:lineRule="auto"/>
                    <w:jc w:val="center"/>
                    <w:rPr>
                      <w:bCs/>
                      <w:color w:val="000000" w:themeColor="text1"/>
                      <w:kern w:val="28"/>
                      <w:szCs w:val="21"/>
                      <w:lang w:val="zh-CN"/>
                      <w14:textFill>
                        <w14:solidFill>
                          <w14:schemeClr w14:val="tx1"/>
                        </w14:solidFill>
                      </w14:textFill>
                    </w:rPr>
                  </w:pPr>
                  <w:r>
                    <w:rPr>
                      <w:bCs/>
                      <w:color w:val="000000" w:themeColor="text1"/>
                      <w:kern w:val="28"/>
                      <w:szCs w:val="21"/>
                      <w:lang w:val="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89"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SO</w:t>
                  </w:r>
                  <w:r>
                    <w:rPr>
                      <w:bCs/>
                      <w:color w:val="000000" w:themeColor="text1"/>
                      <w:kern w:val="28"/>
                      <w:szCs w:val="21"/>
                      <w:vertAlign w:val="subscript"/>
                      <w14:textFill>
                        <w14:solidFill>
                          <w14:schemeClr w14:val="tx1"/>
                        </w14:solidFill>
                      </w14:textFill>
                    </w:rPr>
                    <w:t>2</w:t>
                  </w:r>
                </w:p>
              </w:tc>
              <w:tc>
                <w:tcPr>
                  <w:tcW w:w="1563" w:type="pct"/>
                  <w:vMerge w:val="continue"/>
                  <w:vAlign w:val="center"/>
                </w:tcPr>
                <w:p>
                  <w:pPr>
                    <w:snapToGrid w:val="0"/>
                    <w:spacing w:line="240" w:lineRule="auto"/>
                    <w:jc w:val="center"/>
                    <w:rPr>
                      <w:bCs/>
                      <w:color w:val="000000" w:themeColor="text1"/>
                      <w:kern w:val="28"/>
                      <w:szCs w:val="21"/>
                      <w14:textFill>
                        <w14:solidFill>
                          <w14:schemeClr w14:val="tx1"/>
                        </w14:solidFill>
                      </w14:textFill>
                    </w:rPr>
                  </w:pPr>
                </w:p>
              </w:tc>
              <w:tc>
                <w:tcPr>
                  <w:tcW w:w="918"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1</w:t>
                  </w:r>
                  <w:r>
                    <w:rPr>
                      <w:rFonts w:hint="eastAsia"/>
                      <w:bCs/>
                      <w:color w:val="000000" w:themeColor="text1"/>
                      <w:kern w:val="28"/>
                      <w:szCs w:val="21"/>
                      <w14:textFill>
                        <w14:solidFill>
                          <w14:schemeClr w14:val="tx1"/>
                        </w14:solidFill>
                      </w14:textFill>
                    </w:rPr>
                    <w:t>2</w:t>
                  </w:r>
                </w:p>
              </w:tc>
              <w:tc>
                <w:tcPr>
                  <w:tcW w:w="662"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60</w:t>
                  </w:r>
                </w:p>
              </w:tc>
              <w:tc>
                <w:tcPr>
                  <w:tcW w:w="579" w:type="pct"/>
                  <w:vAlign w:val="center"/>
                </w:tcPr>
                <w:p>
                  <w:pPr>
                    <w:snapToGrid w:val="0"/>
                    <w:spacing w:line="240" w:lineRule="auto"/>
                    <w:jc w:val="center"/>
                    <w:rPr>
                      <w:color w:val="000000" w:themeColor="text1"/>
                      <w14:textFill>
                        <w14:solidFill>
                          <w14:schemeClr w14:val="tx1"/>
                        </w14:solidFill>
                      </w14:textFill>
                    </w:rPr>
                  </w:pPr>
                  <w:r>
                    <w:rPr>
                      <w:rFonts w:hint="eastAsia"/>
                      <w:bCs/>
                      <w:color w:val="000000" w:themeColor="text1"/>
                      <w:kern w:val="28"/>
                      <w:szCs w:val="21"/>
                      <w14:textFill>
                        <w14:solidFill>
                          <w14:schemeClr w14:val="tx1"/>
                        </w14:solidFill>
                      </w14:textFill>
                    </w:rPr>
                    <w:t>20.0</w:t>
                  </w:r>
                </w:p>
              </w:tc>
              <w:tc>
                <w:tcPr>
                  <w:tcW w:w="589" w:type="pct"/>
                  <w:vAlign w:val="center"/>
                </w:tcPr>
                <w:p>
                  <w:pPr>
                    <w:snapToGrid w:val="0"/>
                    <w:spacing w:line="240" w:lineRule="auto"/>
                    <w:jc w:val="center"/>
                    <w:rPr>
                      <w:bCs/>
                      <w:color w:val="000000" w:themeColor="text1"/>
                      <w:kern w:val="28"/>
                      <w:szCs w:val="21"/>
                      <w:lang w:val="zh-CN"/>
                      <w14:textFill>
                        <w14:solidFill>
                          <w14:schemeClr w14:val="tx1"/>
                        </w14:solidFill>
                      </w14:textFill>
                    </w:rPr>
                  </w:pPr>
                  <w:r>
                    <w:rPr>
                      <w:bCs/>
                      <w:color w:val="000000" w:themeColor="text1"/>
                      <w:kern w:val="28"/>
                      <w:szCs w:val="21"/>
                      <w:lang w:val="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89"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NO</w:t>
                  </w:r>
                  <w:r>
                    <w:rPr>
                      <w:bCs/>
                      <w:color w:val="000000" w:themeColor="text1"/>
                      <w:kern w:val="28"/>
                      <w:szCs w:val="21"/>
                      <w:vertAlign w:val="subscript"/>
                      <w14:textFill>
                        <w14:solidFill>
                          <w14:schemeClr w14:val="tx1"/>
                        </w14:solidFill>
                      </w14:textFill>
                    </w:rPr>
                    <w:t>2</w:t>
                  </w:r>
                </w:p>
              </w:tc>
              <w:tc>
                <w:tcPr>
                  <w:tcW w:w="1563" w:type="pct"/>
                  <w:vMerge w:val="continue"/>
                  <w:vAlign w:val="center"/>
                </w:tcPr>
                <w:p>
                  <w:pPr>
                    <w:snapToGrid w:val="0"/>
                    <w:spacing w:line="240" w:lineRule="auto"/>
                    <w:jc w:val="center"/>
                    <w:rPr>
                      <w:bCs/>
                      <w:color w:val="000000" w:themeColor="text1"/>
                      <w:kern w:val="28"/>
                      <w:szCs w:val="21"/>
                      <w14:textFill>
                        <w14:solidFill>
                          <w14:schemeClr w14:val="tx1"/>
                        </w14:solidFill>
                      </w14:textFill>
                    </w:rPr>
                  </w:pPr>
                </w:p>
              </w:tc>
              <w:tc>
                <w:tcPr>
                  <w:tcW w:w="918"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1</w:t>
                  </w:r>
                  <w:r>
                    <w:rPr>
                      <w:rFonts w:hint="eastAsia"/>
                      <w:bCs/>
                      <w:color w:val="000000" w:themeColor="text1"/>
                      <w:kern w:val="28"/>
                      <w:szCs w:val="21"/>
                      <w14:textFill>
                        <w14:solidFill>
                          <w14:schemeClr w14:val="tx1"/>
                        </w14:solidFill>
                      </w14:textFill>
                    </w:rPr>
                    <w:t>4</w:t>
                  </w:r>
                </w:p>
              </w:tc>
              <w:tc>
                <w:tcPr>
                  <w:tcW w:w="662"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40</w:t>
                  </w:r>
                </w:p>
              </w:tc>
              <w:tc>
                <w:tcPr>
                  <w:tcW w:w="579" w:type="pct"/>
                  <w:vAlign w:val="center"/>
                </w:tcPr>
                <w:p>
                  <w:pPr>
                    <w:snapToGrid w:val="0"/>
                    <w:spacing w:line="240" w:lineRule="auto"/>
                    <w:jc w:val="center"/>
                    <w:rPr>
                      <w:color w:val="000000" w:themeColor="text1"/>
                      <w14:textFill>
                        <w14:solidFill>
                          <w14:schemeClr w14:val="tx1"/>
                        </w14:solidFill>
                      </w14:textFill>
                    </w:rPr>
                  </w:pPr>
                  <w:r>
                    <w:rPr>
                      <w:rFonts w:hint="eastAsia"/>
                      <w:bCs/>
                      <w:color w:val="000000" w:themeColor="text1"/>
                      <w:kern w:val="28"/>
                      <w:szCs w:val="21"/>
                      <w14:textFill>
                        <w14:solidFill>
                          <w14:schemeClr w14:val="tx1"/>
                        </w14:solidFill>
                      </w14:textFill>
                    </w:rPr>
                    <w:t>35.0</w:t>
                  </w:r>
                </w:p>
              </w:tc>
              <w:tc>
                <w:tcPr>
                  <w:tcW w:w="589" w:type="pct"/>
                  <w:vAlign w:val="center"/>
                </w:tcPr>
                <w:p>
                  <w:pPr>
                    <w:snapToGrid w:val="0"/>
                    <w:spacing w:line="240" w:lineRule="auto"/>
                    <w:jc w:val="center"/>
                    <w:rPr>
                      <w:bCs/>
                      <w:color w:val="000000" w:themeColor="text1"/>
                      <w:kern w:val="28"/>
                      <w:szCs w:val="21"/>
                      <w:lang w:val="zh-CN"/>
                      <w14:textFill>
                        <w14:solidFill>
                          <w14:schemeClr w14:val="tx1"/>
                        </w14:solidFill>
                      </w14:textFill>
                    </w:rPr>
                  </w:pPr>
                  <w:r>
                    <w:rPr>
                      <w:bCs/>
                      <w:color w:val="000000" w:themeColor="text1"/>
                      <w:kern w:val="28"/>
                      <w:szCs w:val="21"/>
                      <w:lang w:val="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89"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PM</w:t>
                  </w:r>
                  <w:r>
                    <w:rPr>
                      <w:bCs/>
                      <w:color w:val="000000" w:themeColor="text1"/>
                      <w:kern w:val="28"/>
                      <w:szCs w:val="21"/>
                      <w:vertAlign w:val="subscript"/>
                      <w14:textFill>
                        <w14:solidFill>
                          <w14:schemeClr w14:val="tx1"/>
                        </w14:solidFill>
                      </w14:textFill>
                    </w:rPr>
                    <w:t>2.5</w:t>
                  </w:r>
                </w:p>
              </w:tc>
              <w:tc>
                <w:tcPr>
                  <w:tcW w:w="1563" w:type="pct"/>
                  <w:vMerge w:val="continue"/>
                  <w:vAlign w:val="center"/>
                </w:tcPr>
                <w:p>
                  <w:pPr>
                    <w:snapToGrid w:val="0"/>
                    <w:spacing w:line="240" w:lineRule="auto"/>
                    <w:jc w:val="center"/>
                    <w:rPr>
                      <w:bCs/>
                      <w:color w:val="000000" w:themeColor="text1"/>
                      <w:kern w:val="28"/>
                      <w:szCs w:val="21"/>
                      <w14:textFill>
                        <w14:solidFill>
                          <w14:schemeClr w14:val="tx1"/>
                        </w14:solidFill>
                      </w14:textFill>
                    </w:rPr>
                  </w:pPr>
                </w:p>
              </w:tc>
              <w:tc>
                <w:tcPr>
                  <w:tcW w:w="918" w:type="pct"/>
                  <w:vAlign w:val="center"/>
                </w:tcPr>
                <w:p>
                  <w:pPr>
                    <w:snapToGrid w:val="0"/>
                    <w:spacing w:line="240" w:lineRule="auto"/>
                    <w:jc w:val="center"/>
                    <w:rPr>
                      <w:bCs/>
                      <w:color w:val="000000" w:themeColor="text1"/>
                      <w:kern w:val="28"/>
                      <w:szCs w:val="21"/>
                      <w14:textFill>
                        <w14:solidFill>
                          <w14:schemeClr w14:val="tx1"/>
                        </w14:solidFill>
                      </w14:textFill>
                    </w:rPr>
                  </w:pPr>
                  <w:r>
                    <w:rPr>
                      <w:rFonts w:hint="eastAsia"/>
                      <w:bCs/>
                      <w:color w:val="000000" w:themeColor="text1"/>
                      <w:kern w:val="28"/>
                      <w:szCs w:val="21"/>
                      <w14:textFill>
                        <w14:solidFill>
                          <w14:schemeClr w14:val="tx1"/>
                        </w14:solidFill>
                      </w14:textFill>
                    </w:rPr>
                    <w:t>33</w:t>
                  </w:r>
                </w:p>
              </w:tc>
              <w:tc>
                <w:tcPr>
                  <w:tcW w:w="662"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35</w:t>
                  </w:r>
                </w:p>
              </w:tc>
              <w:tc>
                <w:tcPr>
                  <w:tcW w:w="579" w:type="pct"/>
                  <w:vAlign w:val="center"/>
                </w:tcPr>
                <w:p>
                  <w:pPr>
                    <w:snapToGrid w:val="0"/>
                    <w:spacing w:line="240" w:lineRule="auto"/>
                    <w:jc w:val="center"/>
                    <w:rPr>
                      <w:color w:val="000000" w:themeColor="text1"/>
                      <w14:textFill>
                        <w14:solidFill>
                          <w14:schemeClr w14:val="tx1"/>
                        </w14:solidFill>
                      </w14:textFill>
                    </w:rPr>
                  </w:pPr>
                  <w:r>
                    <w:rPr>
                      <w:rFonts w:hint="eastAsia"/>
                      <w:bCs/>
                      <w:color w:val="000000" w:themeColor="text1"/>
                      <w:kern w:val="28"/>
                      <w:szCs w:val="21"/>
                      <w14:textFill>
                        <w14:solidFill>
                          <w14:schemeClr w14:val="tx1"/>
                        </w14:solidFill>
                      </w14:textFill>
                    </w:rPr>
                    <w:t>94.3</w:t>
                  </w:r>
                </w:p>
              </w:tc>
              <w:tc>
                <w:tcPr>
                  <w:tcW w:w="589" w:type="pct"/>
                  <w:vAlign w:val="center"/>
                </w:tcPr>
                <w:p>
                  <w:pPr>
                    <w:snapToGrid w:val="0"/>
                    <w:spacing w:line="240" w:lineRule="auto"/>
                    <w:jc w:val="center"/>
                    <w:rPr>
                      <w:bCs/>
                      <w:color w:val="000000" w:themeColor="text1"/>
                      <w:kern w:val="28"/>
                      <w:szCs w:val="21"/>
                      <w:lang w:val="zh-CN"/>
                      <w14:textFill>
                        <w14:solidFill>
                          <w14:schemeClr w14:val="tx1"/>
                        </w14:solidFill>
                      </w14:textFill>
                    </w:rPr>
                  </w:pPr>
                  <w:r>
                    <w:rPr>
                      <w:bCs/>
                      <w:color w:val="000000" w:themeColor="text1"/>
                      <w:kern w:val="28"/>
                      <w:szCs w:val="21"/>
                      <w:lang w:val="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89"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O</w:t>
                  </w:r>
                  <w:r>
                    <w:rPr>
                      <w:bCs/>
                      <w:color w:val="000000" w:themeColor="text1"/>
                      <w:kern w:val="28"/>
                      <w:szCs w:val="21"/>
                      <w:vertAlign w:val="subscript"/>
                      <w14:textFill>
                        <w14:solidFill>
                          <w14:schemeClr w14:val="tx1"/>
                        </w14:solidFill>
                      </w14:textFill>
                    </w:rPr>
                    <w:t>3</w:t>
                  </w:r>
                </w:p>
              </w:tc>
              <w:tc>
                <w:tcPr>
                  <w:tcW w:w="1563"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日最大8h平均浓度的第90百分位数</w:t>
                  </w:r>
                </w:p>
              </w:tc>
              <w:tc>
                <w:tcPr>
                  <w:tcW w:w="918"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1</w:t>
                  </w:r>
                  <w:r>
                    <w:rPr>
                      <w:rFonts w:hint="eastAsia"/>
                      <w:bCs/>
                      <w:color w:val="000000" w:themeColor="text1"/>
                      <w:kern w:val="28"/>
                      <w:szCs w:val="21"/>
                      <w14:textFill>
                        <w14:solidFill>
                          <w14:schemeClr w14:val="tx1"/>
                        </w14:solidFill>
                      </w14:textFill>
                    </w:rPr>
                    <w:t>28</w:t>
                  </w:r>
                </w:p>
              </w:tc>
              <w:tc>
                <w:tcPr>
                  <w:tcW w:w="662"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160</w:t>
                  </w:r>
                </w:p>
              </w:tc>
              <w:tc>
                <w:tcPr>
                  <w:tcW w:w="579" w:type="pct"/>
                  <w:vAlign w:val="center"/>
                </w:tcPr>
                <w:p>
                  <w:pPr>
                    <w:snapToGrid w:val="0"/>
                    <w:spacing w:line="240" w:lineRule="auto"/>
                    <w:jc w:val="center"/>
                    <w:rPr>
                      <w:color w:val="000000" w:themeColor="text1"/>
                      <w14:textFill>
                        <w14:solidFill>
                          <w14:schemeClr w14:val="tx1"/>
                        </w14:solidFill>
                      </w14:textFill>
                    </w:rPr>
                  </w:pPr>
                  <w:r>
                    <w:rPr>
                      <w:rFonts w:hint="eastAsia"/>
                      <w:bCs/>
                      <w:color w:val="000000" w:themeColor="text1"/>
                      <w:kern w:val="28"/>
                      <w:szCs w:val="21"/>
                      <w14:textFill>
                        <w14:solidFill>
                          <w14:schemeClr w14:val="tx1"/>
                        </w14:solidFill>
                      </w14:textFill>
                    </w:rPr>
                    <w:t>80.0</w:t>
                  </w:r>
                </w:p>
              </w:tc>
              <w:tc>
                <w:tcPr>
                  <w:tcW w:w="589" w:type="pct"/>
                  <w:vAlign w:val="center"/>
                </w:tcPr>
                <w:p>
                  <w:pPr>
                    <w:snapToGrid w:val="0"/>
                    <w:spacing w:line="240" w:lineRule="auto"/>
                    <w:jc w:val="center"/>
                    <w:rPr>
                      <w:bCs/>
                      <w:color w:val="000000" w:themeColor="text1"/>
                      <w:kern w:val="28"/>
                      <w:szCs w:val="21"/>
                      <w:lang w:val="zh-CN"/>
                      <w14:textFill>
                        <w14:solidFill>
                          <w14:schemeClr w14:val="tx1"/>
                        </w14:solidFill>
                      </w14:textFill>
                    </w:rPr>
                  </w:pPr>
                  <w:r>
                    <w:rPr>
                      <w:bCs/>
                      <w:color w:val="000000" w:themeColor="text1"/>
                      <w:kern w:val="28"/>
                      <w:szCs w:val="21"/>
                      <w:lang w:val="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89"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CO</w:t>
                  </w:r>
                  <w:r>
                    <w:rPr>
                      <w:bCs/>
                      <w:color w:val="000000" w:themeColor="text1"/>
                      <w:kern w:val="28"/>
                      <w:szCs w:val="21"/>
                      <w:lang w:val="zh-CN"/>
                      <w14:textFill>
                        <w14:solidFill>
                          <w14:schemeClr w14:val="tx1"/>
                        </w14:solidFill>
                      </w14:textFill>
                    </w:rPr>
                    <w:t>（</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r>
                    <w:rPr>
                      <w:bCs/>
                      <w:color w:val="000000" w:themeColor="text1"/>
                      <w:kern w:val="28"/>
                      <w:szCs w:val="21"/>
                      <w:lang w:val="zh-CN"/>
                      <w14:textFill>
                        <w14:solidFill>
                          <w14:schemeClr w14:val="tx1"/>
                        </w14:solidFill>
                      </w14:textFill>
                    </w:rPr>
                    <w:t>）</w:t>
                  </w:r>
                </w:p>
              </w:tc>
              <w:tc>
                <w:tcPr>
                  <w:tcW w:w="1563"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日均浓度的第95百分位数</w:t>
                  </w:r>
                </w:p>
              </w:tc>
              <w:tc>
                <w:tcPr>
                  <w:tcW w:w="918" w:type="pct"/>
                  <w:vAlign w:val="center"/>
                </w:tcPr>
                <w:p>
                  <w:pPr>
                    <w:snapToGrid w:val="0"/>
                    <w:spacing w:line="240" w:lineRule="auto"/>
                    <w:jc w:val="center"/>
                    <w:rPr>
                      <w:bCs/>
                      <w:color w:val="000000" w:themeColor="text1"/>
                      <w:kern w:val="28"/>
                      <w:szCs w:val="21"/>
                      <w14:textFill>
                        <w14:solidFill>
                          <w14:schemeClr w14:val="tx1"/>
                        </w14:solidFill>
                      </w14:textFill>
                    </w:rPr>
                  </w:pPr>
                  <w:r>
                    <w:rPr>
                      <w:rFonts w:hint="eastAsia"/>
                      <w:bCs/>
                      <w:color w:val="000000" w:themeColor="text1"/>
                      <w:kern w:val="28"/>
                      <w:szCs w:val="21"/>
                      <w14:textFill>
                        <w14:solidFill>
                          <w14:schemeClr w14:val="tx1"/>
                        </w14:solidFill>
                      </w14:textFill>
                    </w:rPr>
                    <w:t>0.9</w:t>
                  </w:r>
                </w:p>
              </w:tc>
              <w:tc>
                <w:tcPr>
                  <w:tcW w:w="662" w:type="pct"/>
                  <w:vAlign w:val="center"/>
                </w:tcPr>
                <w:p>
                  <w:pPr>
                    <w:snapToGrid w:val="0"/>
                    <w:spacing w:line="240" w:lineRule="auto"/>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4</w:t>
                  </w:r>
                </w:p>
              </w:tc>
              <w:tc>
                <w:tcPr>
                  <w:tcW w:w="579" w:type="pct"/>
                  <w:vAlign w:val="center"/>
                </w:tcPr>
                <w:p>
                  <w:pPr>
                    <w:snapToGrid w:val="0"/>
                    <w:spacing w:line="240" w:lineRule="auto"/>
                    <w:jc w:val="center"/>
                    <w:rPr>
                      <w:color w:val="000000" w:themeColor="text1"/>
                      <w14:textFill>
                        <w14:solidFill>
                          <w14:schemeClr w14:val="tx1"/>
                        </w14:solidFill>
                      </w14:textFill>
                    </w:rPr>
                  </w:pPr>
                  <w:r>
                    <w:rPr>
                      <w:rFonts w:hint="eastAsia"/>
                      <w:bCs/>
                      <w:color w:val="000000" w:themeColor="text1"/>
                      <w:kern w:val="28"/>
                      <w:szCs w:val="21"/>
                      <w14:textFill>
                        <w14:solidFill>
                          <w14:schemeClr w14:val="tx1"/>
                        </w14:solidFill>
                      </w14:textFill>
                    </w:rPr>
                    <w:t>22.5</w:t>
                  </w:r>
                </w:p>
              </w:tc>
              <w:tc>
                <w:tcPr>
                  <w:tcW w:w="589" w:type="pct"/>
                  <w:vAlign w:val="center"/>
                </w:tcPr>
                <w:p>
                  <w:pPr>
                    <w:snapToGrid w:val="0"/>
                    <w:spacing w:line="240" w:lineRule="auto"/>
                    <w:jc w:val="center"/>
                    <w:rPr>
                      <w:bCs/>
                      <w:color w:val="000000" w:themeColor="text1"/>
                      <w:kern w:val="28"/>
                      <w:szCs w:val="21"/>
                      <w:lang w:val="zh-CN"/>
                      <w14:textFill>
                        <w14:solidFill>
                          <w14:schemeClr w14:val="tx1"/>
                        </w14:solidFill>
                      </w14:textFill>
                    </w:rPr>
                  </w:pPr>
                  <w:r>
                    <w:rPr>
                      <w:bCs/>
                      <w:color w:val="000000" w:themeColor="text1"/>
                      <w:kern w:val="28"/>
                      <w:szCs w:val="21"/>
                      <w:lang w:val="zh-CN"/>
                      <w14:textFill>
                        <w14:solidFill>
                          <w14:schemeClr w14:val="tx1"/>
                        </w14:solidFill>
                      </w14:textFill>
                    </w:rPr>
                    <w:t>达标</w:t>
                  </w:r>
                </w:p>
              </w:tc>
            </w:tr>
          </w:tbl>
          <w:p>
            <w:pPr>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由上表可知，</w:t>
            </w:r>
            <w:r>
              <w:rPr>
                <w:rFonts w:hint="eastAsia"/>
                <w:color w:val="000000" w:themeColor="text1"/>
                <w:kern w:val="0"/>
                <w:sz w:val="24"/>
                <w14:textFill>
                  <w14:solidFill>
                    <w14:schemeClr w14:val="tx1"/>
                  </w14:solidFill>
                </w14:textFill>
              </w:rPr>
              <w:t>大足区</w:t>
            </w:r>
            <w:r>
              <w:rPr>
                <w:color w:val="000000" w:themeColor="text1"/>
                <w:kern w:val="0"/>
                <w:sz w:val="24"/>
                <w14:textFill>
                  <w14:solidFill>
                    <w14:schemeClr w14:val="tx1"/>
                  </w14:solidFill>
                </w14:textFill>
              </w:rPr>
              <w:t>SO</w:t>
            </w:r>
            <w:r>
              <w:rPr>
                <w:color w:val="000000" w:themeColor="text1"/>
                <w:kern w:val="0"/>
                <w:sz w:val="24"/>
                <w:vertAlign w:val="subscript"/>
                <w14:textFill>
                  <w14:solidFill>
                    <w14:schemeClr w14:val="tx1"/>
                  </w14:solidFill>
                </w14:textFill>
              </w:rPr>
              <w:t>2</w:t>
            </w:r>
            <w:r>
              <w:rPr>
                <w:color w:val="000000" w:themeColor="text1"/>
                <w:kern w:val="0"/>
                <w:sz w:val="24"/>
                <w14:textFill>
                  <w14:solidFill>
                    <w14:schemeClr w14:val="tx1"/>
                  </w14:solidFill>
                </w14:textFill>
              </w:rPr>
              <w:t>、NO</w:t>
            </w:r>
            <w:r>
              <w:rPr>
                <w:color w:val="000000" w:themeColor="text1"/>
                <w:kern w:val="0"/>
                <w:sz w:val="24"/>
                <w:vertAlign w:val="subscript"/>
                <w14:textFill>
                  <w14:solidFill>
                    <w14:schemeClr w14:val="tx1"/>
                  </w14:solidFill>
                </w14:textFill>
              </w:rPr>
              <w:t>2</w:t>
            </w:r>
            <w:r>
              <w:rPr>
                <w:color w:val="000000" w:themeColor="text1"/>
                <w:kern w:val="0"/>
                <w:sz w:val="24"/>
                <w14:textFill>
                  <w14:solidFill>
                    <w14:schemeClr w14:val="tx1"/>
                  </w14:solidFill>
                </w14:textFill>
              </w:rPr>
              <w:t>、PM</w:t>
            </w:r>
            <w:r>
              <w:rPr>
                <w:color w:val="000000" w:themeColor="text1"/>
                <w:kern w:val="0"/>
                <w:sz w:val="24"/>
                <w:vertAlign w:val="subscript"/>
                <w14:textFill>
                  <w14:solidFill>
                    <w14:schemeClr w14:val="tx1"/>
                  </w14:solidFill>
                </w14:textFill>
              </w:rPr>
              <w:t>10</w:t>
            </w:r>
            <w:r>
              <w:rPr>
                <w:color w:val="000000" w:themeColor="text1"/>
                <w:kern w:val="0"/>
                <w:sz w:val="24"/>
                <w14:textFill>
                  <w14:solidFill>
                    <w14:schemeClr w14:val="tx1"/>
                  </w14:solidFill>
                </w14:textFill>
              </w:rPr>
              <w:t>、O</w:t>
            </w:r>
            <w:r>
              <w:rPr>
                <w:color w:val="000000" w:themeColor="text1"/>
                <w:kern w:val="0"/>
                <w:sz w:val="24"/>
                <w:vertAlign w:val="subscript"/>
                <w14:textFill>
                  <w14:solidFill>
                    <w14:schemeClr w14:val="tx1"/>
                  </w14:solidFill>
                </w14:textFill>
              </w:rPr>
              <w:t>3</w:t>
            </w:r>
            <w:r>
              <w:rPr>
                <w:color w:val="000000" w:themeColor="text1"/>
                <w:kern w:val="0"/>
                <w:sz w:val="24"/>
                <w14:textFill>
                  <w14:solidFill>
                    <w14:schemeClr w14:val="tx1"/>
                  </w14:solidFill>
                </w14:textFill>
              </w:rPr>
              <w:t>、CO</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PM</w:t>
            </w:r>
            <w:r>
              <w:rPr>
                <w:color w:val="000000" w:themeColor="text1"/>
                <w:kern w:val="0"/>
                <w:sz w:val="24"/>
                <w:vertAlign w:val="subscript"/>
                <w14:textFill>
                  <w14:solidFill>
                    <w14:schemeClr w14:val="tx1"/>
                  </w14:solidFill>
                </w14:textFill>
              </w:rPr>
              <w:t>2.5</w:t>
            </w:r>
            <w:r>
              <w:rPr>
                <w:color w:val="000000" w:themeColor="text1"/>
                <w:kern w:val="0"/>
                <w:sz w:val="24"/>
                <w14:textFill>
                  <w14:solidFill>
                    <w14:schemeClr w14:val="tx1"/>
                  </w14:solidFill>
                </w14:textFill>
              </w:rPr>
              <w:t>均能够满足《环境空气质量标准》（GB3095-2012）中的二级浓度限值要求</w:t>
            </w:r>
            <w:r>
              <w:rPr>
                <w:rFonts w:hint="eastAsia"/>
                <w:color w:val="000000" w:themeColor="text1"/>
                <w:kern w:val="0"/>
                <w:sz w:val="24"/>
                <w14:textFill>
                  <w14:solidFill>
                    <w14:schemeClr w14:val="tx1"/>
                  </w14:solidFill>
                </w14:textFill>
              </w:rPr>
              <w:t>。因此，本次评价认为项目所在区域为达标区</w:t>
            </w:r>
            <w:r>
              <w:rPr>
                <w:color w:val="000000" w:themeColor="text1"/>
                <w:kern w:val="0"/>
                <w:sz w:val="24"/>
                <w14:textFill>
                  <w14:solidFill>
                    <w14:schemeClr w14:val="tx1"/>
                  </w14:solidFill>
                </w14:textFill>
              </w:rPr>
              <w:t>。</w:t>
            </w:r>
          </w:p>
          <w:p>
            <w:pPr>
              <w:pStyle w:val="2"/>
              <w:spacing w:before="0" w:after="0" w:line="360" w:lineRule="auto"/>
              <w:ind w:firstLine="48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.1.2其他污染物环境质量现状</w:t>
            </w:r>
          </w:p>
          <w:p>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本次评价引用《重庆瀚渝再生资源有限公司危险废物资源化利用改扩建项目》（邮亭镇A1监测点、石盘村A2监测）和《煤炭集运中转站建设项目》（Q-1点）中的大气监测数据，来对项目所在区域的非甲烷总烃、T</w:t>
            </w:r>
            <w:r>
              <w:rPr>
                <w:color w:val="000000" w:themeColor="text1"/>
                <w:sz w:val="24"/>
                <w14:textFill>
                  <w14:solidFill>
                    <w14:schemeClr w14:val="tx1"/>
                  </w14:solidFill>
                </w14:textFill>
              </w:rPr>
              <w:t>VOC</w:t>
            </w:r>
            <w:r>
              <w:rPr>
                <w:rFonts w:hint="eastAsia"/>
                <w:color w:val="000000" w:themeColor="text1"/>
                <w:sz w:val="24"/>
                <w14:textFill>
                  <w14:solidFill>
                    <w14:schemeClr w14:val="tx1"/>
                  </w14:solidFill>
                </w14:textFill>
              </w:rPr>
              <w:t>、硫化氢、二噁英类、甲苯、二甲苯和</w:t>
            </w:r>
            <w:r>
              <w:rPr>
                <w:color w:val="000000" w:themeColor="text1"/>
                <w:sz w:val="24"/>
                <w14:textFill>
                  <w14:solidFill>
                    <w14:schemeClr w14:val="tx1"/>
                  </w14:solidFill>
                </w14:textFill>
              </w:rPr>
              <w:t>TSP</w:t>
            </w:r>
            <w:r>
              <w:rPr>
                <w:rFonts w:hint="eastAsia"/>
                <w:color w:val="000000" w:themeColor="text1"/>
                <w:sz w:val="24"/>
                <w14:textFill>
                  <w14:solidFill>
                    <w14:schemeClr w14:val="tx1"/>
                  </w14:solidFill>
                </w14:textFill>
              </w:rPr>
              <w:t>环境质量现状予以分析评价。监测报告详见附件3</w:t>
            </w:r>
            <w:r>
              <w:rPr>
                <w:color w:val="000000" w:themeColor="text1"/>
                <w:sz w:val="24"/>
                <w14:textFill>
                  <w14:solidFill>
                    <w14:schemeClr w14:val="tx1"/>
                  </w14:solidFill>
                </w14:textFill>
              </w:rPr>
              <w:t>.</w:t>
            </w:r>
          </w:p>
          <w:p>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石盘村A2位于项目所在地西南侧约1.8km处，邮亭镇A1位于项目所在地南侧约2.4km处。监测点Q-1位于项目东南侧约2.0km处。引用监测点距离项目距离小于3km；监测数据时间均在3年内。据调查，重庆瀚渝再生资源有限公司危险废物资源化利用改扩建项目正在建设，未投入运行。因此，本次评价引用的大气环境质量现状监测资料满足技术导则及报告表编制指南中的相关要求，引用监测数据合理、可行。</w:t>
            </w:r>
          </w:p>
          <w:p>
            <w:pPr>
              <w:ind w:firstLine="48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监测布点：本次评价引用监测点位详细情况见表3</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-2。</w:t>
            </w:r>
          </w:p>
          <w:p>
            <w:pPr>
              <w:spacing w:line="24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表3</w:t>
            </w:r>
            <w:r>
              <w:rPr>
                <w:b/>
                <w:bCs/>
                <w:color w:val="000000" w:themeColor="text1"/>
                <w:sz w:val="24"/>
                <w14:textFill>
                  <w14:solidFill>
                    <w14:schemeClr w14:val="tx1"/>
                  </w14:solidFill>
                </w14:textFill>
              </w:rPr>
              <w:t>.1</w:t>
            </w:r>
            <w:r>
              <w:rPr>
                <w:rFonts w:hint="eastAsia"/>
                <w:b/>
                <w:bCs/>
                <w:color w:val="000000" w:themeColor="text1"/>
                <w:sz w:val="24"/>
                <w14:textFill>
                  <w14:solidFill>
                    <w14:schemeClr w14:val="tx1"/>
                  </w14:solidFill>
                </w14:textFill>
              </w:rPr>
              <w:t>-2  环境空气监测布点情况一览表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883"/>
              <w:gridCol w:w="723"/>
              <w:gridCol w:w="706"/>
              <w:gridCol w:w="1753"/>
              <w:gridCol w:w="174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6"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编号</w:t>
                  </w:r>
                </w:p>
              </w:tc>
              <w:tc>
                <w:tcPr>
                  <w:tcW w:w="538"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监测点名称</w:t>
                  </w:r>
                </w:p>
              </w:tc>
              <w:tc>
                <w:tcPr>
                  <w:tcW w:w="853" w:type="pct"/>
                  <w:gridSpan w:val="2"/>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监测点坐标（m）</w:t>
                  </w:r>
                </w:p>
              </w:tc>
              <w:tc>
                <w:tcPr>
                  <w:tcW w:w="1059"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监测项目</w:t>
                  </w:r>
                </w:p>
              </w:tc>
              <w:tc>
                <w:tcPr>
                  <w:tcW w:w="1042"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监测时间</w:t>
                  </w:r>
                </w:p>
              </w:tc>
              <w:tc>
                <w:tcPr>
                  <w:tcW w:w="1203"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6"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38"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442" w:type="pc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X</w:t>
                  </w:r>
                </w:p>
              </w:tc>
              <w:tc>
                <w:tcPr>
                  <w:tcW w:w="411" w:type="pc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Y</w:t>
                  </w:r>
                </w:p>
              </w:tc>
              <w:tc>
                <w:tcPr>
                  <w:tcW w:w="105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1042"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1203"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06"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A</w:t>
                  </w:r>
                  <w:r>
                    <w:rPr>
                      <w:rFonts w:hint="eastAsia" w:ascii="Times New Roman"/>
                      <w:color w:val="000000" w:themeColor="text1"/>
                      <w:szCs w:val="21"/>
                      <w14:textFill>
                        <w14:solidFill>
                          <w14:schemeClr w14:val="tx1"/>
                        </w14:solidFill>
                      </w14:textFill>
                    </w:rPr>
                    <w:t>1</w:t>
                  </w:r>
                </w:p>
              </w:tc>
              <w:tc>
                <w:tcPr>
                  <w:tcW w:w="538"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邮亭镇</w:t>
                  </w:r>
                </w:p>
              </w:tc>
              <w:tc>
                <w:tcPr>
                  <w:tcW w:w="442"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411"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2400</w:t>
                  </w:r>
                </w:p>
              </w:tc>
              <w:tc>
                <w:tcPr>
                  <w:tcW w:w="1059"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非甲烷总烃、硫化氢（小时值）</w:t>
                  </w:r>
                </w:p>
              </w:tc>
              <w:tc>
                <w:tcPr>
                  <w:tcW w:w="1042"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2021.6.18</w:t>
                  </w:r>
                  <w:r>
                    <w:rPr>
                      <w:rFonts w:hint="eastAsia"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6.24</w:t>
                  </w:r>
                  <w:r>
                    <w:rPr>
                      <w:rFonts w:hint="eastAsia" w:ascii="Times New Roman"/>
                      <w:color w:val="000000" w:themeColor="text1"/>
                      <w:szCs w:val="21"/>
                      <w14:textFill>
                        <w14:solidFill>
                          <w14:schemeClr w14:val="tx1"/>
                        </w14:solidFill>
                      </w14:textFill>
                    </w:rPr>
                    <w:t>、2</w:t>
                  </w:r>
                  <w:r>
                    <w:rPr>
                      <w:rFonts w:ascii="Times New Roman"/>
                      <w:color w:val="000000" w:themeColor="text1"/>
                      <w:szCs w:val="21"/>
                      <w14:textFill>
                        <w14:solidFill>
                          <w14:schemeClr w14:val="tx1"/>
                        </w14:solidFill>
                      </w14:textFill>
                    </w:rPr>
                    <w:t>021.6.25</w:t>
                  </w:r>
                  <w:r>
                    <w:rPr>
                      <w:rFonts w:hint="eastAsia"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7.5</w:t>
                  </w:r>
                </w:p>
              </w:tc>
              <w:tc>
                <w:tcPr>
                  <w:tcW w:w="1203"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《检测报告》（新环（检）字[2021]第HP0069号）、</w:t>
                  </w:r>
                  <w:r>
                    <w:rPr>
                      <w:rFonts w:hint="eastAsia"/>
                      <w:color w:val="000000" w:themeColor="text1"/>
                      <w:szCs w:val="21"/>
                      <w14:textFill>
                        <w14:solidFill>
                          <w14:schemeClr w14:val="tx1"/>
                        </w14:solidFill>
                      </w14:textFill>
                    </w:rPr>
                    <w:t>新环（检）字[2021]第HP0069-</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号）</w:t>
                  </w:r>
                  <w:r>
                    <w:rPr>
                      <w:rFonts w:hint="eastAsia"/>
                      <w:color w:val="000000" w:themeColor="text1"/>
                      <w:sz w:val="24"/>
                      <w14:textFill>
                        <w14:solidFill>
                          <w14:schemeClr w14:val="tx1"/>
                        </w14:solidFill>
                      </w14:textFill>
                    </w:rPr>
                    <w:t>、</w:t>
                  </w:r>
                  <w:r>
                    <w:rPr>
                      <w:rFonts w:hint="eastAsia" w:ascii="Times New Roman"/>
                      <w:color w:val="000000" w:themeColor="text1"/>
                      <w:szCs w:val="21"/>
                      <w14:textFill>
                        <w14:solidFill>
                          <w14:schemeClr w14:val="tx1"/>
                        </w14:solidFill>
                      </w14:textFill>
                    </w:rPr>
                    <w:t>《检测报告》（JDK21050035）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6"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38"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442"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411"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1059"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T</w:t>
                  </w:r>
                  <w:r>
                    <w:rPr>
                      <w:rFonts w:ascii="Times New Roman"/>
                      <w:color w:val="000000" w:themeColor="text1"/>
                      <w:szCs w:val="21"/>
                      <w14:textFill>
                        <w14:solidFill>
                          <w14:schemeClr w14:val="tx1"/>
                        </w14:solidFill>
                      </w14:textFill>
                    </w:rPr>
                    <w:t>VOC</w:t>
                  </w:r>
                  <w:r>
                    <w:rPr>
                      <w:rFonts w:hint="eastAsia" w:ascii="Times New Roman"/>
                      <w:color w:val="000000" w:themeColor="text1"/>
                      <w:szCs w:val="21"/>
                      <w14:textFill>
                        <w14:solidFill>
                          <w14:schemeClr w14:val="tx1"/>
                        </w14:solidFill>
                      </w14:textFill>
                    </w:rPr>
                    <w:t>、二噁英类（日均值）</w:t>
                  </w:r>
                </w:p>
              </w:tc>
              <w:tc>
                <w:tcPr>
                  <w:tcW w:w="1042"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1203"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06"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38"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442"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411"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1059"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甲苯、二甲苯（小时值）</w:t>
                  </w:r>
                </w:p>
              </w:tc>
              <w:tc>
                <w:tcPr>
                  <w:tcW w:w="1042" w:type="pct"/>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2</w:t>
                  </w:r>
                  <w:r>
                    <w:rPr>
                      <w:rFonts w:ascii="Times New Roman"/>
                      <w:color w:val="000000" w:themeColor="text1"/>
                      <w:szCs w:val="21"/>
                      <w14:textFill>
                        <w14:solidFill>
                          <w14:schemeClr w14:val="tx1"/>
                        </w14:solidFill>
                      </w14:textFill>
                    </w:rPr>
                    <w:t>021.7.5</w:t>
                  </w:r>
                  <w:r>
                    <w:rPr>
                      <w:rFonts w:hint="eastAsia"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7.11</w:t>
                  </w:r>
                </w:p>
              </w:tc>
              <w:tc>
                <w:tcPr>
                  <w:tcW w:w="1203"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6"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A</w:t>
                  </w:r>
                  <w:r>
                    <w:rPr>
                      <w:rFonts w:hint="eastAsia" w:ascii="Times New Roman"/>
                      <w:color w:val="000000" w:themeColor="text1"/>
                      <w:szCs w:val="21"/>
                      <w14:textFill>
                        <w14:solidFill>
                          <w14:schemeClr w14:val="tx1"/>
                        </w14:solidFill>
                      </w14:textFill>
                    </w:rPr>
                    <w:t>2</w:t>
                  </w:r>
                </w:p>
              </w:tc>
              <w:tc>
                <w:tcPr>
                  <w:tcW w:w="538"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石盘村</w:t>
                  </w:r>
                </w:p>
              </w:tc>
              <w:tc>
                <w:tcPr>
                  <w:tcW w:w="442" w:type="pct"/>
                  <w:vMerge w:val="restart"/>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-1504</w:t>
                  </w:r>
                </w:p>
              </w:tc>
              <w:tc>
                <w:tcPr>
                  <w:tcW w:w="411" w:type="pct"/>
                  <w:vMerge w:val="restart"/>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989</w:t>
                  </w:r>
                </w:p>
              </w:tc>
              <w:tc>
                <w:tcPr>
                  <w:tcW w:w="1059"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非甲烷总烃、硫化氢（小时值）</w:t>
                  </w:r>
                </w:p>
              </w:tc>
              <w:tc>
                <w:tcPr>
                  <w:tcW w:w="1042" w:type="pct"/>
                  <w:vMerge w:val="restart"/>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2021.6.18</w:t>
                  </w:r>
                  <w:r>
                    <w:rPr>
                      <w:rFonts w:hint="eastAsia"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6.24</w:t>
                  </w:r>
                  <w:r>
                    <w:rPr>
                      <w:rFonts w:hint="eastAsia" w:ascii="Times New Roman"/>
                      <w:color w:val="000000" w:themeColor="text1"/>
                      <w:szCs w:val="21"/>
                      <w14:textFill>
                        <w14:solidFill>
                          <w14:schemeClr w14:val="tx1"/>
                        </w14:solidFill>
                      </w14:textFill>
                    </w:rPr>
                    <w:t>、2</w:t>
                  </w:r>
                  <w:r>
                    <w:rPr>
                      <w:rFonts w:ascii="Times New Roman"/>
                      <w:color w:val="000000" w:themeColor="text1"/>
                      <w:szCs w:val="21"/>
                      <w14:textFill>
                        <w14:solidFill>
                          <w14:schemeClr w14:val="tx1"/>
                        </w14:solidFill>
                      </w14:textFill>
                    </w:rPr>
                    <w:t>021.6.25</w:t>
                  </w:r>
                  <w:r>
                    <w:rPr>
                      <w:rFonts w:hint="eastAsia"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7.5</w:t>
                  </w:r>
                </w:p>
              </w:tc>
              <w:tc>
                <w:tcPr>
                  <w:tcW w:w="1203"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06"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38"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442"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411"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1059"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T</w:t>
                  </w:r>
                  <w:r>
                    <w:rPr>
                      <w:rFonts w:ascii="Times New Roman"/>
                      <w:color w:val="000000" w:themeColor="text1"/>
                      <w:szCs w:val="21"/>
                      <w14:textFill>
                        <w14:solidFill>
                          <w14:schemeClr w14:val="tx1"/>
                        </w14:solidFill>
                      </w14:textFill>
                    </w:rPr>
                    <w:t>VOC</w:t>
                  </w:r>
                  <w:r>
                    <w:rPr>
                      <w:rFonts w:hint="eastAsia" w:ascii="Times New Roman"/>
                      <w:color w:val="000000" w:themeColor="text1"/>
                      <w:szCs w:val="21"/>
                      <w14:textFill>
                        <w14:solidFill>
                          <w14:schemeClr w14:val="tx1"/>
                        </w14:solidFill>
                      </w14:textFill>
                    </w:rPr>
                    <w:t>、二噁英类（日均值）</w:t>
                  </w:r>
                </w:p>
              </w:tc>
              <w:tc>
                <w:tcPr>
                  <w:tcW w:w="1042"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1203"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6"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38"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442"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411"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1059"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甲苯、二甲苯（小时值）</w:t>
                  </w:r>
                </w:p>
              </w:tc>
              <w:tc>
                <w:tcPr>
                  <w:tcW w:w="1042" w:type="pct"/>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2</w:t>
                  </w:r>
                  <w:r>
                    <w:rPr>
                      <w:rFonts w:ascii="Times New Roman"/>
                      <w:color w:val="000000" w:themeColor="text1"/>
                      <w:szCs w:val="21"/>
                      <w14:textFill>
                        <w14:solidFill>
                          <w14:schemeClr w14:val="tx1"/>
                        </w14:solidFill>
                      </w14:textFill>
                    </w:rPr>
                    <w:t>021.7.5</w:t>
                  </w:r>
                  <w:r>
                    <w:rPr>
                      <w:rFonts w:hint="eastAsia"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7.11</w:t>
                  </w:r>
                </w:p>
              </w:tc>
              <w:tc>
                <w:tcPr>
                  <w:tcW w:w="1203"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06"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Q-1</w:t>
                  </w:r>
                </w:p>
              </w:tc>
              <w:tc>
                <w:tcPr>
                  <w:tcW w:w="538"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煤炭集运中转站建设项目</w:t>
                  </w:r>
                </w:p>
              </w:tc>
              <w:tc>
                <w:tcPr>
                  <w:tcW w:w="442" w:type="pct"/>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1040</w:t>
                  </w:r>
                </w:p>
              </w:tc>
              <w:tc>
                <w:tcPr>
                  <w:tcW w:w="411" w:type="pct"/>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1708</w:t>
                  </w:r>
                </w:p>
              </w:tc>
              <w:tc>
                <w:tcPr>
                  <w:tcW w:w="1059"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TSP（日均值）</w:t>
                  </w:r>
                </w:p>
              </w:tc>
              <w:tc>
                <w:tcPr>
                  <w:tcW w:w="1042"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2021</w:t>
                  </w:r>
                  <w:r>
                    <w:rPr>
                      <w:rFonts w:ascii="Times New Roman"/>
                      <w:color w:val="000000" w:themeColor="text1"/>
                      <w:szCs w:val="21"/>
                      <w14:textFill>
                        <w14:solidFill>
                          <w14:schemeClr w14:val="tx1"/>
                        </w14:solidFill>
                      </w14:textFill>
                    </w:rPr>
                    <w:t>.12.24</w:t>
                  </w:r>
                  <w:r>
                    <w:rPr>
                      <w:rFonts w:hint="eastAsia"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 xml:space="preserve">12.26 </w:t>
                  </w:r>
                </w:p>
              </w:tc>
              <w:tc>
                <w:tcPr>
                  <w:tcW w:w="1203"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《检测报告》（开创环（检）字[2021]第HP431号）</w:t>
                  </w:r>
                </w:p>
              </w:tc>
            </w:tr>
          </w:tbl>
          <w:p>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（2）监测时段和频次：监测点监测采样均按《环境空气质量标准》（GB3095-2012）要求进行，连续监测7天，监测小时值、日均值。</w:t>
            </w:r>
          </w:p>
          <w:p>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（3）评价方法：根据《环境影响评价技术导则 大气环境》（H</w:t>
            </w:r>
            <w:r>
              <w:rPr>
                <w:color w:val="000000" w:themeColor="text1"/>
                <w:sz w:val="24"/>
                <w14:textFill>
                  <w14:solidFill>
                    <w14:schemeClr w14:val="tx1"/>
                  </w14:solidFill>
                </w14:textFill>
              </w:rPr>
              <w:t>J 2.2-2018</w:t>
            </w:r>
            <w:r>
              <w:rPr>
                <w:rFonts w:hint="eastAsia"/>
                <w:color w:val="000000" w:themeColor="text1"/>
                <w:sz w:val="24"/>
                <w14:textFill>
                  <w14:solidFill>
                    <w14:schemeClr w14:val="tx1"/>
                  </w14:solidFill>
                </w14:textFill>
              </w:rPr>
              <w:t>），可通过计算污染物的占标率对其进行现状评价，具体的计算公式如下：</w:t>
            </w:r>
          </w:p>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P</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0i</w:t>
            </w:r>
            <w:r>
              <w:rPr>
                <w:color w:val="000000" w:themeColor="text1"/>
                <w:sz w:val="24"/>
                <w14:textFill>
                  <w14:solidFill>
                    <w14:schemeClr w14:val="tx1"/>
                  </w14:solidFill>
                </w14:textFill>
              </w:rPr>
              <w:t>×100%</w:t>
            </w:r>
          </w:p>
          <w:p>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pPr>
              <w:ind w:firstLine="960" w:firstLineChars="400"/>
              <w:rPr>
                <w:color w:val="000000" w:themeColor="text1"/>
                <w:sz w:val="24"/>
                <w14:textFill>
                  <w14:solidFill>
                    <w14:schemeClr w14:val="tx1"/>
                  </w14:solidFill>
                </w14:textFill>
              </w:rPr>
            </w:pPr>
            <w:r>
              <w:rPr>
                <w:color w:val="000000" w:themeColor="text1"/>
                <w:sz w:val="24"/>
                <w14:textFill>
                  <w14:solidFill>
                    <w14:schemeClr w14:val="tx1"/>
                  </w14:solidFill>
                </w14:textFill>
              </w:rPr>
              <w:t>P</w:t>
            </w:r>
            <w:r>
              <w:rPr>
                <w:color w:val="000000" w:themeColor="text1"/>
                <w:sz w:val="24"/>
                <w:vertAlign w:val="subscript"/>
                <w14:textFill>
                  <w14:solidFill>
                    <w14:schemeClr w14:val="tx1"/>
                  </w14:solidFill>
                </w14:textFill>
              </w:rPr>
              <w:t>i</w:t>
            </w:r>
            <w:r>
              <w:rPr>
                <w:rFonts w:hint="eastAsia"/>
                <w:color w:val="000000" w:themeColor="text1"/>
                <w:sz w:val="24"/>
                <w14:textFill>
                  <w14:solidFill>
                    <w14:schemeClr w14:val="tx1"/>
                  </w14:solidFill>
                </w14:textFill>
              </w:rPr>
              <w:t>—第</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个污染物的最大占标率，</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p>
            <w:pPr>
              <w:ind w:firstLine="960" w:firstLineChars="400"/>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i</w:t>
            </w:r>
            <w:r>
              <w:rPr>
                <w:rFonts w:hint="eastAsia"/>
                <w:color w:val="000000" w:themeColor="text1"/>
                <w:sz w:val="24"/>
                <w14:textFill>
                  <w14:solidFill>
                    <w14:schemeClr w14:val="tx1"/>
                  </w14:solidFill>
                </w14:textFill>
              </w:rPr>
              <w:t>—第</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个污染物的实测浓度，</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ind w:firstLine="960" w:firstLineChars="400"/>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0i</w:t>
            </w:r>
            <w:r>
              <w:rPr>
                <w:rFonts w:hint="eastAsia"/>
                <w:color w:val="000000" w:themeColor="text1"/>
                <w:sz w:val="24"/>
                <w14:textFill>
                  <w14:solidFill>
                    <w14:schemeClr w14:val="tx1"/>
                  </w14:solidFill>
                </w14:textFill>
              </w:rPr>
              <w:t>—第</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个污染物的环境空气质量标准，</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（4）评价标准</w:t>
            </w:r>
          </w:p>
          <w:p>
            <w:pPr>
              <w:pStyle w:val="2"/>
              <w:spacing w:before="0" w:after="0" w:line="360" w:lineRule="auto"/>
              <w:ind w:right="0"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非甲烷总烃参照河北省地方标准《环境空气质量 非甲烷总烃限值》（DB13/1577-2012）中的二级标准。甲苯、二甲苯、H</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S、T</w:t>
            </w:r>
            <w:r>
              <w:rPr>
                <w:color w:val="000000" w:themeColor="text1"/>
                <w:sz w:val="24"/>
                <w14:textFill>
                  <w14:solidFill>
                    <w14:schemeClr w14:val="tx1"/>
                  </w14:solidFill>
                </w14:textFill>
              </w:rPr>
              <w:t>VOC</w:t>
            </w:r>
            <w:r>
              <w:rPr>
                <w:rFonts w:hint="eastAsia"/>
                <w:color w:val="000000" w:themeColor="text1"/>
                <w:sz w:val="24"/>
                <w14:textFill>
                  <w14:solidFill>
                    <w14:schemeClr w14:val="tx1"/>
                  </w14:solidFill>
                </w14:textFill>
              </w:rPr>
              <w:t>s参照执行《环境影响评价技术导则 大气环境》（HJ2.2-2018）中的附录D“其他污染物空气质量浓度参考限值”（T</w:t>
            </w:r>
            <w:r>
              <w:rPr>
                <w:color w:val="000000" w:themeColor="text1"/>
                <w:sz w:val="24"/>
                <w14:textFill>
                  <w14:solidFill>
                    <w14:schemeClr w14:val="tx1"/>
                  </w14:solidFill>
                </w14:textFill>
              </w:rPr>
              <w:t>VOC</w:t>
            </w:r>
            <w:r>
              <w:rPr>
                <w:rFonts w:hint="eastAsia"/>
                <w:color w:val="000000" w:themeColor="text1"/>
                <w:sz w:val="24"/>
                <w14:textFill>
                  <w14:solidFill>
                    <w14:schemeClr w14:val="tx1"/>
                  </w14:solidFill>
                </w14:textFill>
              </w:rPr>
              <w:t>s</w:t>
            </w:r>
            <w:r>
              <w:rPr>
                <w:color w:val="000000" w:themeColor="text1"/>
                <w:sz w:val="24"/>
                <w14:textFill>
                  <w14:solidFill>
                    <w14:schemeClr w14:val="tx1"/>
                  </w14:solidFill>
                </w14:textFill>
              </w:rPr>
              <w:t>8</w:t>
            </w:r>
            <w:r>
              <w:rPr>
                <w:rFonts w:hint="eastAsia"/>
                <w:color w:val="000000" w:themeColor="text1"/>
                <w:sz w:val="24"/>
                <w14:textFill>
                  <w14:solidFill>
                    <w14:schemeClr w14:val="tx1"/>
                  </w14:solidFill>
                </w14:textFill>
              </w:rPr>
              <w:t>小时平均值为0</w:t>
            </w:r>
            <w:r>
              <w:rPr>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mg</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，换算得到日均值标准为0</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mg</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）。二噁英类质量标准参照根据日本年均值标准（0.6</w:t>
            </w:r>
            <w:r>
              <w:rPr>
                <w:color w:val="000000" w:themeColor="text1"/>
                <w:sz w:val="24"/>
                <w14:textFill>
                  <w14:solidFill>
                    <w14:schemeClr w14:val="tx1"/>
                  </w14:solidFill>
                </w14:textFill>
              </w:rPr>
              <w:t xml:space="preserve"> pg-TEQ/m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），按《环境影响评价技术导则 大气环境》（HJ 2.2-2018），换算得到的日均值标准1.8</w:t>
            </w:r>
            <w:r>
              <w:rPr>
                <w:color w:val="000000" w:themeColor="text1"/>
                <w:sz w:val="24"/>
                <w14:textFill>
                  <w14:solidFill>
                    <w14:schemeClr w14:val="tx1"/>
                  </w14:solidFill>
                </w14:textFill>
              </w:rPr>
              <w:t xml:space="preserve"> pg-TEQ/m</w:t>
            </w:r>
            <w:r>
              <w:rPr>
                <w:rFonts w:hint="eastAsia"/>
                <w:color w:val="000000" w:themeColor="text1"/>
                <w:sz w:val="24"/>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）监测结果及现状评价分析：环境空气质量现状监测结果及现状评价分析详见下表3</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-3。</w:t>
            </w:r>
          </w:p>
          <w:p>
            <w:pPr>
              <w:spacing w:line="24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表3</w:t>
            </w:r>
            <w:r>
              <w:rPr>
                <w:b/>
                <w:bCs/>
                <w:color w:val="000000" w:themeColor="text1"/>
                <w:sz w:val="24"/>
                <w14:textFill>
                  <w14:solidFill>
                    <w14:schemeClr w14:val="tx1"/>
                  </w14:solidFill>
                </w14:textFill>
              </w:rPr>
              <w:t>.1</w:t>
            </w:r>
            <w:r>
              <w:rPr>
                <w:rFonts w:hint="eastAsia"/>
                <w:b/>
                <w:bCs/>
                <w:color w:val="000000" w:themeColor="text1"/>
                <w:sz w:val="24"/>
                <w14:textFill>
                  <w14:solidFill>
                    <w14:schemeClr w14:val="tx1"/>
                  </w14:solidFill>
                </w14:textFill>
              </w:rPr>
              <w:t xml:space="preserve">-3 </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环境空气质量监测结果统计表</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706"/>
              <w:gridCol w:w="706"/>
              <w:gridCol w:w="788"/>
              <w:gridCol w:w="579"/>
              <w:gridCol w:w="938"/>
              <w:gridCol w:w="2253"/>
              <w:gridCol w:w="848"/>
              <w:gridCol w:w="566"/>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9"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点位名称</w:t>
                  </w:r>
                </w:p>
              </w:tc>
              <w:tc>
                <w:tcPr>
                  <w:tcW w:w="783" w:type="pct"/>
                  <w:gridSpan w:val="2"/>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监测点坐标</w:t>
                  </w:r>
                </w:p>
              </w:tc>
              <w:tc>
                <w:tcPr>
                  <w:tcW w:w="570"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污染物</w:t>
                  </w:r>
                </w:p>
              </w:tc>
              <w:tc>
                <w:tcPr>
                  <w:tcW w:w="471"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评价指标</w:t>
                  </w:r>
                </w:p>
              </w:tc>
              <w:tc>
                <w:tcPr>
                  <w:tcW w:w="578"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评价</w:t>
                  </w:r>
                </w:p>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标准(</w:t>
                  </w:r>
                  <w:r>
                    <w:rPr>
                      <w:rFonts w:ascii="Times New Roman"/>
                      <w:b/>
                      <w:color w:val="000000" w:themeColor="text1"/>
                      <w:szCs w:val="21"/>
                      <w14:textFill>
                        <w14:solidFill>
                          <w14:schemeClr w14:val="tx1"/>
                        </w14:solidFill>
                      </w14:textFill>
                    </w:rPr>
                    <w:t>mg/m</w:t>
                  </w:r>
                  <w:r>
                    <w:rPr>
                      <w:rFonts w:ascii="Times New Roman"/>
                      <w:b/>
                      <w:color w:val="000000" w:themeColor="text1"/>
                      <w:szCs w:val="21"/>
                      <w:vertAlign w:val="superscript"/>
                      <w14:textFill>
                        <w14:solidFill>
                          <w14:schemeClr w14:val="tx1"/>
                        </w14:solidFill>
                      </w14:textFill>
                    </w:rPr>
                    <w:t>3</w:t>
                  </w:r>
                  <w:r>
                    <w:rPr>
                      <w:rFonts w:hint="eastAsia" w:ascii="Times New Roman"/>
                      <w:b/>
                      <w:color w:val="000000" w:themeColor="text1"/>
                      <w:szCs w:val="21"/>
                      <w14:textFill>
                        <w14:solidFill>
                          <w14:schemeClr w14:val="tx1"/>
                        </w14:solidFill>
                      </w14:textFill>
                    </w:rPr>
                    <w:t>)</w:t>
                  </w:r>
                </w:p>
              </w:tc>
              <w:tc>
                <w:tcPr>
                  <w:tcW w:w="957"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现状</w:t>
                  </w:r>
                </w:p>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浓度(</w:t>
                  </w:r>
                  <w:r>
                    <w:rPr>
                      <w:rFonts w:ascii="Times New Roman"/>
                      <w:b/>
                      <w:color w:val="000000" w:themeColor="text1"/>
                      <w:szCs w:val="21"/>
                      <w14:textFill>
                        <w14:solidFill>
                          <w14:schemeClr w14:val="tx1"/>
                        </w14:solidFill>
                      </w14:textFill>
                    </w:rPr>
                    <w:t>mg/m</w:t>
                  </w:r>
                  <w:r>
                    <w:rPr>
                      <w:rFonts w:ascii="Times New Roman"/>
                      <w:b/>
                      <w:color w:val="000000" w:themeColor="text1"/>
                      <w:szCs w:val="21"/>
                      <w:vertAlign w:val="superscript"/>
                      <w14:textFill>
                        <w14:solidFill>
                          <w14:schemeClr w14:val="tx1"/>
                        </w14:solidFill>
                      </w14:textFill>
                    </w:rPr>
                    <w:t>3</w:t>
                  </w:r>
                  <w:r>
                    <w:rPr>
                      <w:rFonts w:hint="eastAsia" w:ascii="Times New Roman"/>
                      <w:b/>
                      <w:color w:val="000000" w:themeColor="text1"/>
                      <w:szCs w:val="21"/>
                      <w14:textFill>
                        <w14:solidFill>
                          <w14:schemeClr w14:val="tx1"/>
                        </w14:solidFill>
                      </w14:textFill>
                    </w:rPr>
                    <w:t>)</w:t>
                  </w:r>
                </w:p>
              </w:tc>
              <w:tc>
                <w:tcPr>
                  <w:tcW w:w="522"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最大浓度占标率（</w:t>
                  </w:r>
                  <w:r>
                    <w:rPr>
                      <w:rFonts w:ascii="Times New Roman"/>
                      <w:b/>
                      <w:color w:val="000000" w:themeColor="text1"/>
                      <w:szCs w:val="21"/>
                      <w14:textFill>
                        <w14:solidFill>
                          <w14:schemeClr w14:val="tx1"/>
                        </w14:solidFill>
                      </w14:textFill>
                    </w:rPr>
                    <w:t>%</w:t>
                  </w:r>
                  <w:r>
                    <w:rPr>
                      <w:rFonts w:hint="eastAsia" w:ascii="Times New Roman"/>
                      <w:b/>
                      <w:color w:val="000000" w:themeColor="text1"/>
                      <w:szCs w:val="21"/>
                      <w14:textFill>
                        <w14:solidFill>
                          <w14:schemeClr w14:val="tx1"/>
                        </w14:solidFill>
                      </w14:textFill>
                    </w:rPr>
                    <w:t>）</w:t>
                  </w:r>
                </w:p>
              </w:tc>
              <w:tc>
                <w:tcPr>
                  <w:tcW w:w="348"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超标率(</w:t>
                  </w:r>
                  <w:r>
                    <w:rPr>
                      <w:rFonts w:ascii="Times New Roman"/>
                      <w:b/>
                      <w:color w:val="000000" w:themeColor="text1"/>
                      <w:szCs w:val="21"/>
                      <w14:textFill>
                        <w14:solidFill>
                          <w14:schemeClr w14:val="tx1"/>
                        </w14:solidFill>
                      </w14:textFill>
                    </w:rPr>
                    <w:t>%</w:t>
                  </w:r>
                  <w:r>
                    <w:rPr>
                      <w:rFonts w:hint="eastAsia" w:ascii="Times New Roman"/>
                      <w:b/>
                      <w:color w:val="000000" w:themeColor="text1"/>
                      <w:szCs w:val="21"/>
                      <w14:textFill>
                        <w14:solidFill>
                          <w14:schemeClr w14:val="tx1"/>
                        </w14:solidFill>
                      </w14:textFill>
                    </w:rPr>
                    <w:t>)</w:t>
                  </w:r>
                </w:p>
              </w:tc>
              <w:tc>
                <w:tcPr>
                  <w:tcW w:w="351"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1"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X</w:t>
                  </w:r>
                </w:p>
              </w:tc>
              <w:tc>
                <w:tcPr>
                  <w:tcW w:w="379" w:type="pc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b/>
                      <w:color w:val="000000" w:themeColor="text1"/>
                      <w:szCs w:val="21"/>
                      <w14:textFill>
                        <w14:solidFill>
                          <w14:schemeClr w14:val="tx1"/>
                        </w14:solidFill>
                      </w14:textFill>
                    </w:rPr>
                  </w:pPr>
                  <w:r>
                    <w:rPr>
                      <w:rFonts w:hint="eastAsia" w:ascii="Times New Roman"/>
                      <w:b/>
                      <w:color w:val="000000" w:themeColor="text1"/>
                      <w:szCs w:val="21"/>
                      <w14:textFill>
                        <w14:solidFill>
                          <w14:schemeClr w14:val="tx1"/>
                        </w14:solidFill>
                      </w14:textFill>
                    </w:rPr>
                    <w:t>Y</w:t>
                  </w:r>
                </w:p>
              </w:tc>
              <w:tc>
                <w:tcPr>
                  <w:tcW w:w="582"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483"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87"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927"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06"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54"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1"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1"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邮亭镇A1</w:t>
                  </w:r>
                </w:p>
              </w:tc>
              <w:tc>
                <w:tcPr>
                  <w:tcW w:w="379" w:type="pct"/>
                  <w:vMerge w:val="restart"/>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379" w:type="pct"/>
                  <w:vMerge w:val="restart"/>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2400</w:t>
                  </w:r>
                </w:p>
              </w:tc>
              <w:tc>
                <w:tcPr>
                  <w:tcW w:w="582"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非甲烷总烃</w:t>
                  </w:r>
                </w:p>
              </w:tc>
              <w:tc>
                <w:tcPr>
                  <w:tcW w:w="483"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小时值</w:t>
                  </w:r>
                </w:p>
              </w:tc>
              <w:tc>
                <w:tcPr>
                  <w:tcW w:w="58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w:t>
                  </w:r>
                </w:p>
              </w:tc>
              <w:tc>
                <w:tcPr>
                  <w:tcW w:w="92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0.48~0.88</w:t>
                  </w:r>
                </w:p>
              </w:tc>
              <w:tc>
                <w:tcPr>
                  <w:tcW w:w="506"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44</w:t>
                  </w:r>
                </w:p>
              </w:tc>
              <w:tc>
                <w:tcPr>
                  <w:tcW w:w="354"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p>
              </w:tc>
              <w:tc>
                <w:tcPr>
                  <w:tcW w:w="371"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1"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82"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硫化氢</w:t>
                  </w:r>
                </w:p>
              </w:tc>
              <w:tc>
                <w:tcPr>
                  <w:tcW w:w="483"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小时值</w:t>
                  </w:r>
                </w:p>
              </w:tc>
              <w:tc>
                <w:tcPr>
                  <w:tcW w:w="58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.01</w:t>
                  </w:r>
                </w:p>
              </w:tc>
              <w:tc>
                <w:tcPr>
                  <w:tcW w:w="92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.001L</w:t>
                  </w:r>
                </w:p>
              </w:tc>
              <w:tc>
                <w:tcPr>
                  <w:tcW w:w="506"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w:t>
                  </w:r>
                </w:p>
              </w:tc>
              <w:tc>
                <w:tcPr>
                  <w:tcW w:w="354"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p>
              </w:tc>
              <w:tc>
                <w:tcPr>
                  <w:tcW w:w="371"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1"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82"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二噁英类</w:t>
                  </w:r>
                </w:p>
              </w:tc>
              <w:tc>
                <w:tcPr>
                  <w:tcW w:w="483"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日均值</w:t>
                  </w:r>
                </w:p>
              </w:tc>
              <w:tc>
                <w:tcPr>
                  <w:tcW w:w="58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1.8</w:t>
                  </w:r>
                </w:p>
              </w:tc>
              <w:tc>
                <w:tcPr>
                  <w:tcW w:w="92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.037</w:t>
                  </w:r>
                  <w:r>
                    <w:rPr>
                      <w:rFonts w:hint="eastAsia"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0.085</w:t>
                  </w:r>
                  <w:r>
                    <w:rPr>
                      <w:rFonts w:hint="eastAsia" w:ascii="Times New Roman"/>
                      <w:color w:val="000000" w:themeColor="text1"/>
                      <w:szCs w:val="21"/>
                      <w14:textFill>
                        <w14:solidFill>
                          <w14:schemeClr w14:val="tx1"/>
                        </w14:solidFill>
                      </w14:textFill>
                    </w:rPr>
                    <w:t>pg-</w:t>
                  </w:r>
                  <w:r>
                    <w:rPr>
                      <w:rFonts w:ascii="Times New Roman"/>
                      <w:color w:val="000000" w:themeColor="text1"/>
                      <w:szCs w:val="21"/>
                      <w14:textFill>
                        <w14:solidFill>
                          <w14:schemeClr w14:val="tx1"/>
                        </w14:solidFill>
                      </w14:textFill>
                    </w:rPr>
                    <w:t>TEQ/</w:t>
                  </w:r>
                  <w:r>
                    <w:rPr>
                      <w:rFonts w:hint="eastAsia" w:ascii="Times New Roman"/>
                      <w:color w:val="000000" w:themeColor="text1"/>
                      <w:szCs w:val="21"/>
                      <w14:textFill>
                        <w14:solidFill>
                          <w14:schemeClr w14:val="tx1"/>
                        </w14:solidFill>
                      </w14:textFill>
                    </w:rPr>
                    <w:t>m</w:t>
                  </w:r>
                  <w:r>
                    <w:rPr>
                      <w:rFonts w:ascii="Times New Roman"/>
                      <w:color w:val="000000" w:themeColor="text1"/>
                      <w:szCs w:val="21"/>
                      <w:vertAlign w:val="superscript"/>
                      <w14:textFill>
                        <w14:solidFill>
                          <w14:schemeClr w14:val="tx1"/>
                        </w14:solidFill>
                      </w14:textFill>
                    </w:rPr>
                    <w:t>3</w:t>
                  </w:r>
                </w:p>
              </w:tc>
              <w:tc>
                <w:tcPr>
                  <w:tcW w:w="506"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4.7</w:t>
                  </w:r>
                </w:p>
              </w:tc>
              <w:tc>
                <w:tcPr>
                  <w:tcW w:w="354"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371"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1"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82"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T</w:t>
                  </w:r>
                  <w:r>
                    <w:rPr>
                      <w:rFonts w:ascii="Times New Roman"/>
                      <w:color w:val="000000" w:themeColor="text1"/>
                      <w:szCs w:val="21"/>
                      <w14:textFill>
                        <w14:solidFill>
                          <w14:schemeClr w14:val="tx1"/>
                        </w14:solidFill>
                      </w14:textFill>
                    </w:rPr>
                    <w:t>VOC</w:t>
                  </w:r>
                </w:p>
              </w:tc>
              <w:tc>
                <w:tcPr>
                  <w:tcW w:w="483"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日均值</w:t>
                  </w:r>
                </w:p>
              </w:tc>
              <w:tc>
                <w:tcPr>
                  <w:tcW w:w="58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0.9</w:t>
                  </w:r>
                </w:p>
              </w:tc>
              <w:tc>
                <w:tcPr>
                  <w:tcW w:w="92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.001</w:t>
                  </w:r>
                  <w:r>
                    <w:rPr>
                      <w:rFonts w:hint="eastAsia"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0.0022</w:t>
                  </w:r>
                </w:p>
              </w:tc>
              <w:tc>
                <w:tcPr>
                  <w:tcW w:w="506"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0.24</w:t>
                  </w:r>
                </w:p>
              </w:tc>
              <w:tc>
                <w:tcPr>
                  <w:tcW w:w="354"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371"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1"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82"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甲苯</w:t>
                  </w:r>
                </w:p>
              </w:tc>
              <w:tc>
                <w:tcPr>
                  <w:tcW w:w="483"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小时值</w:t>
                  </w:r>
                </w:p>
              </w:tc>
              <w:tc>
                <w:tcPr>
                  <w:tcW w:w="58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.2</w:t>
                  </w:r>
                </w:p>
              </w:tc>
              <w:tc>
                <w:tcPr>
                  <w:tcW w:w="92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.003L</w:t>
                  </w:r>
                </w:p>
              </w:tc>
              <w:tc>
                <w:tcPr>
                  <w:tcW w:w="506"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w:t>
                  </w:r>
                </w:p>
              </w:tc>
              <w:tc>
                <w:tcPr>
                  <w:tcW w:w="354"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p>
              </w:tc>
              <w:tc>
                <w:tcPr>
                  <w:tcW w:w="371"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1"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82"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二甲苯</w:t>
                  </w:r>
                </w:p>
              </w:tc>
              <w:tc>
                <w:tcPr>
                  <w:tcW w:w="483"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小时值</w:t>
                  </w:r>
                </w:p>
              </w:tc>
              <w:tc>
                <w:tcPr>
                  <w:tcW w:w="58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.2</w:t>
                  </w:r>
                </w:p>
              </w:tc>
              <w:tc>
                <w:tcPr>
                  <w:tcW w:w="92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.003L</w:t>
                  </w:r>
                </w:p>
              </w:tc>
              <w:tc>
                <w:tcPr>
                  <w:tcW w:w="506"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w:t>
                  </w:r>
                </w:p>
              </w:tc>
              <w:tc>
                <w:tcPr>
                  <w:tcW w:w="354"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p>
              </w:tc>
              <w:tc>
                <w:tcPr>
                  <w:tcW w:w="371"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1" w:type="pct"/>
                  <w:vMerge w:val="restart"/>
                  <w:tcBorders>
                    <w:top w:val="single" w:color="auto" w:sz="4" w:space="0"/>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石盘村A2</w:t>
                  </w:r>
                </w:p>
              </w:tc>
              <w:tc>
                <w:tcPr>
                  <w:tcW w:w="379" w:type="pct"/>
                  <w:vMerge w:val="restart"/>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-1504</w:t>
                  </w:r>
                </w:p>
              </w:tc>
              <w:tc>
                <w:tcPr>
                  <w:tcW w:w="379" w:type="pct"/>
                  <w:vMerge w:val="restart"/>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989</w:t>
                  </w:r>
                </w:p>
              </w:tc>
              <w:tc>
                <w:tcPr>
                  <w:tcW w:w="582"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非甲烷总烃</w:t>
                  </w:r>
                </w:p>
              </w:tc>
              <w:tc>
                <w:tcPr>
                  <w:tcW w:w="483"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小时值</w:t>
                  </w:r>
                </w:p>
              </w:tc>
              <w:tc>
                <w:tcPr>
                  <w:tcW w:w="58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w:t>
                  </w:r>
                </w:p>
              </w:tc>
              <w:tc>
                <w:tcPr>
                  <w:tcW w:w="92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0.46~0.86</w:t>
                  </w:r>
                </w:p>
              </w:tc>
              <w:tc>
                <w:tcPr>
                  <w:tcW w:w="506"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43</w:t>
                  </w:r>
                </w:p>
              </w:tc>
              <w:tc>
                <w:tcPr>
                  <w:tcW w:w="354"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p>
              </w:tc>
              <w:tc>
                <w:tcPr>
                  <w:tcW w:w="371"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1"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82"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硫化氢</w:t>
                  </w:r>
                </w:p>
              </w:tc>
              <w:tc>
                <w:tcPr>
                  <w:tcW w:w="483"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小时值</w:t>
                  </w:r>
                </w:p>
              </w:tc>
              <w:tc>
                <w:tcPr>
                  <w:tcW w:w="58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.01</w:t>
                  </w:r>
                </w:p>
              </w:tc>
              <w:tc>
                <w:tcPr>
                  <w:tcW w:w="92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.001L</w:t>
                  </w:r>
                </w:p>
              </w:tc>
              <w:tc>
                <w:tcPr>
                  <w:tcW w:w="506"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w:t>
                  </w:r>
                </w:p>
              </w:tc>
              <w:tc>
                <w:tcPr>
                  <w:tcW w:w="354"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p>
              </w:tc>
              <w:tc>
                <w:tcPr>
                  <w:tcW w:w="371"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1"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82"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二噁英类</w:t>
                  </w:r>
                </w:p>
              </w:tc>
              <w:tc>
                <w:tcPr>
                  <w:tcW w:w="483"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日均值</w:t>
                  </w:r>
                </w:p>
              </w:tc>
              <w:tc>
                <w:tcPr>
                  <w:tcW w:w="58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1.8</w:t>
                  </w:r>
                </w:p>
              </w:tc>
              <w:tc>
                <w:tcPr>
                  <w:tcW w:w="92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.032</w:t>
                  </w:r>
                  <w:r>
                    <w:rPr>
                      <w:rFonts w:hint="eastAsia"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0.072</w:t>
                  </w:r>
                  <w:r>
                    <w:rPr>
                      <w:rFonts w:hint="eastAsia" w:ascii="Times New Roman"/>
                      <w:color w:val="000000" w:themeColor="text1"/>
                      <w:szCs w:val="21"/>
                      <w14:textFill>
                        <w14:solidFill>
                          <w14:schemeClr w14:val="tx1"/>
                        </w14:solidFill>
                      </w14:textFill>
                    </w:rPr>
                    <w:t>pg-</w:t>
                  </w:r>
                  <w:r>
                    <w:rPr>
                      <w:rFonts w:ascii="Times New Roman"/>
                      <w:color w:val="000000" w:themeColor="text1"/>
                      <w:szCs w:val="21"/>
                      <w14:textFill>
                        <w14:solidFill>
                          <w14:schemeClr w14:val="tx1"/>
                        </w14:solidFill>
                      </w14:textFill>
                    </w:rPr>
                    <w:t>TEQ/</w:t>
                  </w:r>
                  <w:r>
                    <w:rPr>
                      <w:rFonts w:hint="eastAsia" w:ascii="Times New Roman"/>
                      <w:color w:val="000000" w:themeColor="text1"/>
                      <w:szCs w:val="21"/>
                      <w14:textFill>
                        <w14:solidFill>
                          <w14:schemeClr w14:val="tx1"/>
                        </w14:solidFill>
                      </w14:textFill>
                    </w:rPr>
                    <w:t>m</w:t>
                  </w:r>
                  <w:r>
                    <w:rPr>
                      <w:rFonts w:ascii="Times New Roman"/>
                      <w:color w:val="000000" w:themeColor="text1"/>
                      <w:szCs w:val="21"/>
                      <w:vertAlign w:val="superscript"/>
                      <w14:textFill>
                        <w14:solidFill>
                          <w14:schemeClr w14:val="tx1"/>
                        </w14:solidFill>
                      </w14:textFill>
                    </w:rPr>
                    <w:t>3</w:t>
                  </w:r>
                </w:p>
              </w:tc>
              <w:tc>
                <w:tcPr>
                  <w:tcW w:w="506"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4</w:t>
                  </w:r>
                </w:p>
              </w:tc>
              <w:tc>
                <w:tcPr>
                  <w:tcW w:w="354"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371"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1"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82"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T</w:t>
                  </w:r>
                  <w:r>
                    <w:rPr>
                      <w:rFonts w:ascii="Times New Roman"/>
                      <w:color w:val="000000" w:themeColor="text1"/>
                      <w:szCs w:val="21"/>
                      <w14:textFill>
                        <w14:solidFill>
                          <w14:schemeClr w14:val="tx1"/>
                        </w14:solidFill>
                      </w14:textFill>
                    </w:rPr>
                    <w:t>VOC</w:t>
                  </w:r>
                </w:p>
              </w:tc>
              <w:tc>
                <w:tcPr>
                  <w:tcW w:w="483"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日均值</w:t>
                  </w:r>
                </w:p>
              </w:tc>
              <w:tc>
                <w:tcPr>
                  <w:tcW w:w="58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0.9</w:t>
                  </w:r>
                </w:p>
              </w:tc>
              <w:tc>
                <w:tcPr>
                  <w:tcW w:w="92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.0015</w:t>
                  </w:r>
                  <w:r>
                    <w:rPr>
                      <w:rFonts w:hint="eastAsia" w:ascii="Times New Roman"/>
                      <w:color w:val="000000" w:themeColor="text1"/>
                      <w:szCs w:val="21"/>
                      <w14:textFill>
                        <w14:solidFill>
                          <w14:schemeClr w14:val="tx1"/>
                        </w14:solidFill>
                      </w14:textFill>
                    </w:rPr>
                    <w:t>~</w:t>
                  </w:r>
                  <w:r>
                    <w:rPr>
                      <w:rFonts w:ascii="Times New Roman"/>
                      <w:color w:val="000000" w:themeColor="text1"/>
                      <w:szCs w:val="21"/>
                      <w14:textFill>
                        <w14:solidFill>
                          <w14:schemeClr w14:val="tx1"/>
                        </w14:solidFill>
                      </w14:textFill>
                    </w:rPr>
                    <w:t>0.004</w:t>
                  </w:r>
                </w:p>
              </w:tc>
              <w:tc>
                <w:tcPr>
                  <w:tcW w:w="506"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.44</w:t>
                  </w:r>
                </w:p>
              </w:tc>
              <w:tc>
                <w:tcPr>
                  <w:tcW w:w="354"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p>
              </w:tc>
              <w:tc>
                <w:tcPr>
                  <w:tcW w:w="371"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1"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82"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甲苯</w:t>
                  </w:r>
                </w:p>
              </w:tc>
              <w:tc>
                <w:tcPr>
                  <w:tcW w:w="483"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小时值</w:t>
                  </w:r>
                </w:p>
              </w:tc>
              <w:tc>
                <w:tcPr>
                  <w:tcW w:w="58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.2</w:t>
                  </w:r>
                </w:p>
              </w:tc>
              <w:tc>
                <w:tcPr>
                  <w:tcW w:w="92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.003L</w:t>
                  </w:r>
                </w:p>
              </w:tc>
              <w:tc>
                <w:tcPr>
                  <w:tcW w:w="506"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w:t>
                  </w:r>
                </w:p>
              </w:tc>
              <w:tc>
                <w:tcPr>
                  <w:tcW w:w="354"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p>
              </w:tc>
              <w:tc>
                <w:tcPr>
                  <w:tcW w:w="371"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1" w:type="pct"/>
                  <w:vMerge w:val="continue"/>
                  <w:tcBorders>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379" w:type="pct"/>
                  <w:vMerge w:val="continue"/>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p>
              </w:tc>
              <w:tc>
                <w:tcPr>
                  <w:tcW w:w="582"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二甲苯</w:t>
                  </w:r>
                </w:p>
              </w:tc>
              <w:tc>
                <w:tcPr>
                  <w:tcW w:w="483"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小时值</w:t>
                  </w:r>
                </w:p>
              </w:tc>
              <w:tc>
                <w:tcPr>
                  <w:tcW w:w="58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.2</w:t>
                  </w:r>
                </w:p>
              </w:tc>
              <w:tc>
                <w:tcPr>
                  <w:tcW w:w="927"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r>
                    <w:rPr>
                      <w:rFonts w:ascii="Times New Roman"/>
                      <w:color w:val="000000" w:themeColor="text1"/>
                      <w:szCs w:val="21"/>
                      <w14:textFill>
                        <w14:solidFill>
                          <w14:schemeClr w14:val="tx1"/>
                        </w14:solidFill>
                      </w14:textFill>
                    </w:rPr>
                    <w:t>.003L</w:t>
                  </w:r>
                </w:p>
              </w:tc>
              <w:tc>
                <w:tcPr>
                  <w:tcW w:w="506"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w:t>
                  </w:r>
                </w:p>
              </w:tc>
              <w:tc>
                <w:tcPr>
                  <w:tcW w:w="354"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w:t>
                  </w:r>
                </w:p>
              </w:tc>
              <w:tc>
                <w:tcPr>
                  <w:tcW w:w="371"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1" w:type="pct"/>
                  <w:tcBorders>
                    <w:top w:val="single" w:color="auto" w:sz="4" w:space="0"/>
                    <w:left w:val="single" w:color="auto" w:sz="4" w:space="0"/>
                    <w:bottom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煤炭集运中转站建设项目东南侧Q-1</w:t>
                  </w:r>
                </w:p>
              </w:tc>
              <w:tc>
                <w:tcPr>
                  <w:tcW w:w="379" w:type="pct"/>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1040</w:t>
                  </w:r>
                </w:p>
              </w:tc>
              <w:tc>
                <w:tcPr>
                  <w:tcW w:w="379" w:type="pct"/>
                  <w:tcBorders>
                    <w:left w:val="single" w:color="auto" w:sz="4" w:space="0"/>
                    <w:right w:val="single" w:color="auto" w:sz="4" w:space="0"/>
                  </w:tcBorders>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1708</w:t>
                  </w:r>
                </w:p>
              </w:tc>
              <w:tc>
                <w:tcPr>
                  <w:tcW w:w="582" w:type="pct"/>
                  <w:tcBorders>
                    <w:top w:val="single" w:color="auto" w:sz="4" w:space="0"/>
                    <w:left w:val="single" w:color="auto" w:sz="4" w:space="0"/>
                    <w:bottom w:val="single" w:color="auto" w:sz="4" w:space="0"/>
                    <w:right w:val="single" w:color="auto" w:sz="4" w:space="0"/>
                  </w:tcBorders>
                  <w:vAlign w:val="center"/>
                </w:tcPr>
                <w:p>
                  <w:pPr>
                    <w:pStyle w:val="2"/>
                    <w:widowControl w:val="0"/>
                    <w:adjustRightInd w:val="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TSP</w:t>
                  </w:r>
                </w:p>
              </w:tc>
              <w:tc>
                <w:tcPr>
                  <w:tcW w:w="483" w:type="pct"/>
                  <w:tcBorders>
                    <w:top w:val="single" w:color="auto" w:sz="4" w:space="0"/>
                    <w:left w:val="single" w:color="auto" w:sz="4" w:space="0"/>
                    <w:bottom w:val="single" w:color="auto" w:sz="4" w:space="0"/>
                    <w:right w:val="single" w:color="auto" w:sz="4" w:space="0"/>
                  </w:tcBorders>
                  <w:vAlign w:val="center"/>
                </w:tcPr>
                <w:p>
                  <w:pPr>
                    <w:pStyle w:val="2"/>
                    <w:widowControl w:val="0"/>
                    <w:adjustRightInd w:val="0"/>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24h平均</w:t>
                  </w:r>
                </w:p>
              </w:tc>
              <w:tc>
                <w:tcPr>
                  <w:tcW w:w="587" w:type="pct"/>
                  <w:tcBorders>
                    <w:top w:val="single" w:color="auto" w:sz="4" w:space="0"/>
                    <w:left w:val="single" w:color="auto" w:sz="4" w:space="0"/>
                    <w:bottom w:val="single" w:color="auto" w:sz="4" w:space="0"/>
                    <w:right w:val="single" w:color="auto" w:sz="4" w:space="0"/>
                  </w:tcBorders>
                  <w:vAlign w:val="center"/>
                </w:tcPr>
                <w:p>
                  <w:pPr>
                    <w:pStyle w:val="2"/>
                    <w:widowControl w:val="0"/>
                    <w:adjustRightInd w:val="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0.3</w:t>
                  </w:r>
                </w:p>
              </w:tc>
              <w:tc>
                <w:tcPr>
                  <w:tcW w:w="927" w:type="pct"/>
                  <w:tcBorders>
                    <w:top w:val="single" w:color="auto" w:sz="4" w:space="0"/>
                    <w:left w:val="single" w:color="auto" w:sz="4" w:space="0"/>
                    <w:bottom w:val="single" w:color="auto" w:sz="4" w:space="0"/>
                    <w:right w:val="single" w:color="auto" w:sz="4" w:space="0"/>
                  </w:tcBorders>
                  <w:vAlign w:val="center"/>
                </w:tcPr>
                <w:p>
                  <w:pPr>
                    <w:pStyle w:val="2"/>
                    <w:widowControl w:val="0"/>
                    <w:adjustRightInd w:val="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0.0993</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0.100</w:t>
                  </w:r>
                </w:p>
              </w:tc>
              <w:tc>
                <w:tcPr>
                  <w:tcW w:w="506" w:type="pct"/>
                  <w:tcBorders>
                    <w:top w:val="single" w:color="auto" w:sz="4" w:space="0"/>
                    <w:left w:val="single" w:color="auto" w:sz="4" w:space="0"/>
                    <w:bottom w:val="single" w:color="auto" w:sz="4" w:space="0"/>
                    <w:right w:val="single" w:color="auto" w:sz="4" w:space="0"/>
                  </w:tcBorders>
                  <w:vAlign w:val="center"/>
                </w:tcPr>
                <w:p>
                  <w:pPr>
                    <w:pStyle w:val="2"/>
                    <w:widowControl w:val="0"/>
                    <w:adjustRightInd w:val="0"/>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3.3</w:t>
                  </w:r>
                </w:p>
              </w:tc>
              <w:tc>
                <w:tcPr>
                  <w:tcW w:w="354" w:type="pct"/>
                  <w:tcBorders>
                    <w:top w:val="single" w:color="auto" w:sz="4" w:space="0"/>
                    <w:left w:val="single" w:color="auto" w:sz="4" w:space="0"/>
                    <w:bottom w:val="single" w:color="auto" w:sz="4" w:space="0"/>
                    <w:right w:val="single" w:color="auto" w:sz="4" w:space="0"/>
                  </w:tcBorders>
                  <w:vAlign w:val="center"/>
                </w:tcPr>
                <w:p>
                  <w:pPr>
                    <w:pStyle w:val="2"/>
                    <w:widowControl w:val="0"/>
                    <w:adjustRightInd w:val="0"/>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371" w:type="pct"/>
                  <w:tcBorders>
                    <w:top w:val="single" w:color="auto" w:sz="4" w:space="0"/>
                    <w:left w:val="single" w:color="auto" w:sz="4" w:space="0"/>
                    <w:bottom w:val="single" w:color="auto" w:sz="4" w:space="0"/>
                    <w:right w:val="single" w:color="auto" w:sz="4" w:space="0"/>
                  </w:tcBorders>
                  <w:vAlign w:val="center"/>
                </w:tcPr>
                <w:p>
                  <w:pPr>
                    <w:pStyle w:val="2"/>
                    <w:widowControl w:val="0"/>
                    <w:adjustRightInd w:val="0"/>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 w:type="pct"/>
                  <w:gridSpan w:val="10"/>
                  <w:tcBorders>
                    <w:top w:val="single" w:color="auto" w:sz="4" w:space="0"/>
                    <w:left w:val="single" w:color="auto" w:sz="4" w:space="0"/>
                    <w:bottom w:val="single" w:color="auto" w:sz="4" w:space="0"/>
                    <w:right w:val="single" w:color="auto" w:sz="4" w:space="0"/>
                  </w:tcBorders>
                  <w:vAlign w:val="center"/>
                </w:tcPr>
                <w:p>
                  <w:pPr>
                    <w:pStyle w:val="2"/>
                    <w:widowControl w:val="0"/>
                    <w:adjustRightInd w:val="0"/>
                    <w:spacing w:before="0" w:after="0" w:line="240" w:lineRule="auto"/>
                    <w:ind w:right="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注：以本项目厂址中心为坐标原点（0,0）。</w:t>
                  </w:r>
                </w:p>
              </w:tc>
            </w:tr>
          </w:tbl>
          <w:p>
            <w:pPr>
              <w:pStyle w:val="2"/>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由表3</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-3可知，非甲烷总烃监测结果满足《环境空气质量 非甲烷总烃限值》（DB13/1577-2012）中限值要求；</w:t>
            </w:r>
            <w:r>
              <w:rPr>
                <w:color w:val="000000" w:themeColor="text1"/>
                <w:sz w:val="24"/>
                <w14:textFill>
                  <w14:solidFill>
                    <w14:schemeClr w14:val="tx1"/>
                  </w14:solidFill>
                </w14:textFill>
              </w:rPr>
              <w:t>TSP</w:t>
            </w:r>
            <w:r>
              <w:rPr>
                <w:rFonts w:hint="eastAsia"/>
                <w:color w:val="000000" w:themeColor="text1"/>
                <w:sz w:val="24"/>
                <w14:textFill>
                  <w14:solidFill>
                    <w14:schemeClr w14:val="tx1"/>
                  </w14:solidFill>
                </w14:textFill>
              </w:rPr>
              <w:t>监测结果</w:t>
            </w:r>
            <w:r>
              <w:rPr>
                <w:color w:val="000000" w:themeColor="text1"/>
                <w:sz w:val="24"/>
                <w14:textFill>
                  <w14:solidFill>
                    <w14:schemeClr w14:val="tx1"/>
                  </w14:solidFill>
                </w14:textFill>
              </w:rPr>
              <w:t>满足《环境空气质量标准》（GB3095-2012）中二级</w:t>
            </w:r>
            <w:r>
              <w:rPr>
                <w:rFonts w:hint="eastAsia"/>
                <w:color w:val="000000" w:themeColor="text1"/>
                <w:sz w:val="24"/>
                <w14:textFill>
                  <w14:solidFill>
                    <w14:schemeClr w14:val="tx1"/>
                  </w14:solidFill>
                </w14:textFill>
              </w:rPr>
              <w:t>标准；T</w:t>
            </w:r>
            <w:r>
              <w:rPr>
                <w:color w:val="000000" w:themeColor="text1"/>
                <w:sz w:val="24"/>
                <w14:textFill>
                  <w14:solidFill>
                    <w14:schemeClr w14:val="tx1"/>
                  </w14:solidFill>
                </w14:textFill>
              </w:rPr>
              <w:t>VOC</w:t>
            </w:r>
            <w:r>
              <w:rPr>
                <w:rFonts w:hint="eastAsia"/>
                <w:color w:val="000000" w:themeColor="text1"/>
                <w:sz w:val="24"/>
                <w14:textFill>
                  <w14:solidFill>
                    <w14:schemeClr w14:val="tx1"/>
                  </w14:solidFill>
                </w14:textFill>
              </w:rPr>
              <w:t>s、硫化氢、甲苯、二甲苯监测结果满足《环境影响评价技术导则 大气环境》（H</w:t>
            </w:r>
            <w:r>
              <w:rPr>
                <w:color w:val="000000" w:themeColor="text1"/>
                <w:sz w:val="24"/>
                <w14:textFill>
                  <w14:solidFill>
                    <w14:schemeClr w14:val="tx1"/>
                  </w14:solidFill>
                </w14:textFill>
              </w:rPr>
              <w:t>J 2.2-2018</w:t>
            </w:r>
            <w:r>
              <w:rPr>
                <w:rFonts w:hint="eastAsia"/>
                <w:color w:val="000000" w:themeColor="text1"/>
                <w:sz w:val="24"/>
                <w14:textFill>
                  <w14:solidFill>
                    <w14:schemeClr w14:val="tx1"/>
                  </w14:solidFill>
                </w14:textFill>
              </w:rPr>
              <w:t>）附录D中浓度限值要求；</w:t>
            </w:r>
            <w:r>
              <w:rPr>
                <w:rFonts w:hint="eastAsia"/>
                <w:color w:val="000000" w:themeColor="text1"/>
                <w:spacing w:val="-4"/>
                <w:kern w:val="24"/>
                <w:sz w:val="24"/>
                <w14:textFill>
                  <w14:solidFill>
                    <w14:schemeClr w14:val="tx1"/>
                  </w14:solidFill>
                </w14:textFill>
              </w:rPr>
              <w:t>二噁英类满足日本的质量</w:t>
            </w:r>
            <w:r>
              <w:rPr>
                <w:rFonts w:hint="eastAsia"/>
                <w:color w:val="000000" w:themeColor="text1"/>
                <w:spacing w:val="-4"/>
                <w:kern w:val="24"/>
                <w:sz w:val="24"/>
                <w:lang w:eastAsia="zh-CN"/>
                <w14:textFill>
                  <w14:solidFill>
                    <w14:schemeClr w14:val="tx1"/>
                  </w14:solidFill>
                </w14:textFill>
              </w:rPr>
              <w:t>标准</w:t>
            </w:r>
            <w:r>
              <w:rPr>
                <w:rFonts w:hint="eastAsia"/>
                <w:color w:val="000000" w:themeColor="text1"/>
                <w:sz w:val="24"/>
                <w14:textFill>
                  <w14:solidFill>
                    <w14:schemeClr w14:val="tx1"/>
                  </w14:solidFill>
                </w14:textFill>
              </w:rPr>
              <w:t>。</w:t>
            </w:r>
          </w:p>
          <w:p>
            <w:pPr>
              <w:ind w:firstLine="48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.2地表水环境质量现状</w:t>
            </w:r>
          </w:p>
          <w:p>
            <w:pPr>
              <w:pStyle w:val="2"/>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bookmarkStart w:id="7" w:name="_Toc9939"/>
            <w:r>
              <w:rPr>
                <w:color w:val="000000" w:themeColor="text1"/>
                <w:sz w:val="24"/>
                <w:szCs w:val="24"/>
                <w14:textFill>
                  <w14:solidFill>
                    <w14:schemeClr w14:val="tx1"/>
                  </w14:solidFill>
                </w14:textFill>
              </w:rPr>
              <w:t>项目污水受纳水体为苦水河。</w:t>
            </w:r>
            <w:bookmarkEnd w:id="7"/>
            <w:r>
              <w:rPr>
                <w:color w:val="000000" w:themeColor="text1"/>
                <w:sz w:val="24"/>
                <w:szCs w:val="24"/>
                <w14:textFill>
                  <w14:solidFill>
                    <w14:schemeClr w14:val="tx1"/>
                  </w14:solidFill>
                </w14:textFill>
              </w:rPr>
              <w:t>根据《关于印发大足区苦水河适用水环境功能类别划分调整方案的通知》（大足府办发〔2016〕39号），苦水河评价段属Ⅳ类水域，执行《地表水环境质量标准》（GB3838-2002）Ⅳ类水域标准。</w:t>
            </w:r>
          </w:p>
          <w:p>
            <w:pPr>
              <w:pStyle w:val="2"/>
              <w:widowControl w:val="0"/>
              <w:adjustRightInd w:val="0"/>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本次</w:t>
            </w:r>
            <w:r>
              <w:rPr>
                <w:rFonts w:hint="eastAsia"/>
                <w:color w:val="000000" w:themeColor="text1"/>
                <w:sz w:val="24"/>
                <w14:textFill>
                  <w14:solidFill>
                    <w14:schemeClr w14:val="tx1"/>
                  </w14:solidFill>
                </w14:textFill>
              </w:rPr>
              <w:t>地表水环境质量现状评价引用重庆天航检测技术有限公司对《重庆智伦电镀有限公司大足表面处理加工区项目》的监测报告</w:t>
            </w:r>
            <w:r>
              <w:rPr>
                <w:color w:val="000000" w:themeColor="text1"/>
                <w:sz w:val="24"/>
                <w14:textFill>
                  <w14:solidFill>
                    <w14:schemeClr w14:val="tx1"/>
                  </w14:solidFill>
                </w14:textFill>
              </w:rPr>
              <w:t>（监测报告编号：</w:t>
            </w:r>
            <w:r>
              <w:rPr>
                <w:rFonts w:hint="eastAsia"/>
                <w:color w:val="000000" w:themeColor="text1"/>
                <w:sz w:val="24"/>
                <w14:textFill>
                  <w14:solidFill>
                    <w14:schemeClr w14:val="tx1"/>
                  </w14:solidFill>
                </w14:textFill>
              </w:rPr>
              <w:t>天航</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监</w:t>
            </w:r>
            <w:r>
              <w:rPr>
                <w:color w:val="000000" w:themeColor="text1"/>
                <w:sz w:val="24"/>
                <w14:textFill>
                  <w14:solidFill>
                    <w14:schemeClr w14:val="tx1"/>
                  </w14:solidFill>
                </w14:textFill>
              </w:rPr>
              <w:t>）字</w:t>
            </w:r>
            <w:r>
              <w:rPr>
                <w:rFonts w:hint="eastAsia"/>
                <w:color w:val="000000" w:themeColor="text1"/>
                <w:sz w:val="24"/>
                <w14:textFill>
                  <w14:solidFill>
                    <w14:schemeClr w14:val="tx1"/>
                  </w14:solidFill>
                </w14:textFill>
              </w:rPr>
              <w:t>[2020]</w:t>
            </w:r>
            <w:r>
              <w:rPr>
                <w:color w:val="000000" w:themeColor="text1"/>
                <w:sz w:val="24"/>
                <w14:textFill>
                  <w14:solidFill>
                    <w14:schemeClr w14:val="tx1"/>
                  </w14:solidFill>
                </w14:textFill>
              </w:rPr>
              <w:t>第</w:t>
            </w:r>
            <w:r>
              <w:rPr>
                <w:rFonts w:hint="eastAsia"/>
                <w:color w:val="000000" w:themeColor="text1"/>
                <w:sz w:val="24"/>
                <w14:textFill>
                  <w14:solidFill>
                    <w14:schemeClr w14:val="tx1"/>
                  </w14:solidFill>
                </w14:textFill>
              </w:rPr>
              <w:t>QTWT0101</w:t>
            </w:r>
            <w:r>
              <w:rPr>
                <w:color w:val="000000" w:themeColor="text1"/>
                <w:sz w:val="24"/>
                <w14:textFill>
                  <w14:solidFill>
                    <w14:schemeClr w14:val="tx1"/>
                  </w14:solidFill>
                </w14:textFill>
              </w:rPr>
              <w:t>号）监测数据</w:t>
            </w:r>
            <w:r>
              <w:rPr>
                <w:rFonts w:hint="eastAsia"/>
                <w:color w:val="000000" w:themeColor="text1"/>
                <w:sz w:val="24"/>
                <w14:textFill>
                  <w14:solidFill>
                    <w14:schemeClr w14:val="tx1"/>
                  </w14:solidFill>
                </w14:textFill>
              </w:rPr>
              <w:t>。</w:t>
            </w:r>
          </w:p>
          <w:p>
            <w:pPr>
              <w:ind w:firstLine="480" w:firstLineChars="200"/>
              <w:rPr>
                <w:bCs/>
                <w:color w:val="000000" w:themeColor="text1"/>
                <w:sz w:val="24"/>
                <w14:textFill>
                  <w14:solidFill>
                    <w14:schemeClr w14:val="tx1"/>
                  </w14:solidFill>
                </w14:textFill>
              </w:rPr>
            </w:pPr>
            <w:bookmarkStart w:id="8" w:name="_Toc4243"/>
            <w:r>
              <w:rPr>
                <w:rFonts w:hint="eastAsia"/>
                <w:color w:val="000000" w:themeColor="text1"/>
                <w:sz w:val="24"/>
                <w14:textFill>
                  <w14:solidFill>
                    <w14:schemeClr w14:val="tx1"/>
                  </w14:solidFill>
                </w14:textFill>
              </w:rPr>
              <w:t>据调查，至今评价河段内未新增地表水重大污染源；引用监测数据在3年内。因此，本次评价认为</w:t>
            </w:r>
            <w:r>
              <w:rPr>
                <w:color w:val="000000" w:themeColor="text1"/>
                <w:sz w:val="24"/>
                <w14:textFill>
                  <w14:solidFill>
                    <w14:schemeClr w14:val="tx1"/>
                  </w14:solidFill>
                </w14:textFill>
              </w:rPr>
              <w:t>引用该监测数据有效，具有代表性，引用监测数据满足指南要求。</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（1）监测方案</w:t>
            </w:r>
          </w:p>
          <w:p>
            <w:pPr>
              <w:adjustRightInd w:val="0"/>
              <w:snapToGrid w:val="0"/>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监测断面：</w:t>
            </w:r>
            <w:r>
              <w:rPr>
                <w:rFonts w:hint="eastAsia"/>
                <w:bCs/>
                <w:color w:val="000000" w:themeColor="text1"/>
                <w:sz w:val="24"/>
                <w14:textFill>
                  <w14:solidFill>
                    <w14:schemeClr w14:val="tx1"/>
                  </w14:solidFill>
                </w14:textFill>
              </w:rPr>
              <w:t>HS3电镀集中加工区污水处理站排污口下游1000m。</w:t>
            </w:r>
          </w:p>
          <w:p>
            <w:pPr>
              <w:adjustRightInd w:val="0"/>
              <w:snapToGrid w:val="0"/>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bCs/>
                <w:color w:val="000000" w:themeColor="text1"/>
                <w:sz w:val="24"/>
                <w14:textFill>
                  <w14:solidFill>
                    <w14:schemeClr w14:val="tx1"/>
                  </w14:solidFill>
                </w14:textFill>
              </w:rPr>
              <w:t>监测时间：20</w:t>
            </w:r>
            <w:r>
              <w:rPr>
                <w:rFonts w:hint="eastAsia"/>
                <w:bCs/>
                <w:color w:val="000000" w:themeColor="text1"/>
                <w:sz w:val="24"/>
                <w14:textFill>
                  <w14:solidFill>
                    <w14:schemeClr w14:val="tx1"/>
                  </w14:solidFill>
                </w14:textFill>
              </w:rPr>
              <w:t>20</w:t>
            </w:r>
            <w:r>
              <w:rPr>
                <w:bCs/>
                <w:color w:val="000000" w:themeColor="text1"/>
                <w:sz w:val="24"/>
                <w14:textFill>
                  <w14:solidFill>
                    <w14:schemeClr w14:val="tx1"/>
                  </w14:solidFill>
                </w14:textFill>
              </w:rPr>
              <w:t>年</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月</w:t>
            </w:r>
            <w:r>
              <w:rPr>
                <w:rFonts w:hint="eastAsia"/>
                <w:bCs/>
                <w:color w:val="000000" w:themeColor="text1"/>
                <w:sz w:val="24"/>
                <w14:textFill>
                  <w14:solidFill>
                    <w14:schemeClr w14:val="tx1"/>
                  </w14:solidFill>
                </w14:textFill>
              </w:rPr>
              <w:t>30</w:t>
            </w:r>
            <w:r>
              <w:rPr>
                <w:bCs/>
                <w:color w:val="000000" w:themeColor="text1"/>
                <w:sz w:val="24"/>
                <w14:textFill>
                  <w14:solidFill>
                    <w14:schemeClr w14:val="tx1"/>
                  </w14:solidFill>
                </w14:textFill>
              </w:rPr>
              <w:t>日~20</w:t>
            </w:r>
            <w:r>
              <w:rPr>
                <w:rFonts w:hint="eastAsia"/>
                <w:bCs/>
                <w:color w:val="000000" w:themeColor="text1"/>
                <w:sz w:val="24"/>
                <w14:textFill>
                  <w14:solidFill>
                    <w14:schemeClr w14:val="tx1"/>
                  </w14:solidFill>
                </w14:textFill>
              </w:rPr>
              <w:t>20</w:t>
            </w:r>
            <w:r>
              <w:rPr>
                <w:bCs/>
                <w:color w:val="000000" w:themeColor="text1"/>
                <w:sz w:val="24"/>
                <w14:textFill>
                  <w14:solidFill>
                    <w14:schemeClr w14:val="tx1"/>
                  </w14:solidFill>
                </w14:textFill>
              </w:rPr>
              <w:t>年</w:t>
            </w:r>
            <w:r>
              <w:rPr>
                <w:rFonts w:hint="eastAsia"/>
                <w:bCs/>
                <w:color w:val="000000" w:themeColor="text1"/>
                <w:sz w:val="24"/>
                <w14:textFill>
                  <w14:solidFill>
                    <w14:schemeClr w14:val="tx1"/>
                  </w14:solidFill>
                </w14:textFill>
              </w:rPr>
              <w:t>4</w:t>
            </w:r>
            <w:r>
              <w:rPr>
                <w:bCs/>
                <w:color w:val="000000" w:themeColor="text1"/>
                <w:sz w:val="24"/>
                <w14:textFill>
                  <w14:solidFill>
                    <w14:schemeClr w14:val="tx1"/>
                  </w14:solidFill>
                </w14:textFill>
              </w:rPr>
              <w:t>月</w:t>
            </w: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日。</w:t>
            </w:r>
          </w:p>
          <w:p>
            <w:pPr>
              <w:adjustRightInd w:val="0"/>
              <w:snapToGrid w:val="0"/>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③</w:t>
            </w:r>
            <w:r>
              <w:rPr>
                <w:bCs/>
                <w:color w:val="000000" w:themeColor="text1"/>
                <w:sz w:val="24"/>
                <w14:textFill>
                  <w14:solidFill>
                    <w14:schemeClr w14:val="tx1"/>
                  </w14:solidFill>
                </w14:textFill>
              </w:rPr>
              <w:t>监测因子：pH、COD、BOD</w:t>
            </w:r>
            <w:r>
              <w:rPr>
                <w:bCs/>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、NH</w:t>
            </w:r>
            <w:r>
              <w:rPr>
                <w:bCs/>
                <w:color w:val="000000" w:themeColor="text1"/>
                <w:sz w:val="24"/>
                <w:vertAlign w:val="subscript"/>
                <w14:textFill>
                  <w14:solidFill>
                    <w14:schemeClr w14:val="tx1"/>
                  </w14:solidFill>
                </w14:textFill>
              </w:rPr>
              <w:t>3</w:t>
            </w:r>
            <w:r>
              <w:rPr>
                <w:bCs/>
                <w:color w:val="000000" w:themeColor="text1"/>
                <w:sz w:val="24"/>
                <w14:textFill>
                  <w14:solidFill>
                    <w14:schemeClr w14:val="tx1"/>
                  </w14:solidFill>
                </w14:textFill>
              </w:rPr>
              <w:t>-N</w:t>
            </w:r>
            <w:r>
              <w:rPr>
                <w:rFonts w:hint="eastAsia"/>
                <w:bCs/>
                <w:color w:val="000000" w:themeColor="text1"/>
                <w:sz w:val="24"/>
                <w14:textFill>
                  <w14:solidFill>
                    <w14:schemeClr w14:val="tx1"/>
                  </w14:solidFill>
                </w14:textFill>
              </w:rPr>
              <w:t>、石油类、TP</w:t>
            </w:r>
            <w:r>
              <w:rPr>
                <w:bCs/>
                <w:color w:val="000000" w:themeColor="text1"/>
                <w:sz w:val="24"/>
                <w14:textFill>
                  <w14:solidFill>
                    <w14:schemeClr w14:val="tx1"/>
                  </w14:solidFill>
                </w14:textFill>
              </w:rPr>
              <w:t>；</w:t>
            </w:r>
          </w:p>
          <w:p>
            <w:pPr>
              <w:adjustRightInd w:val="0"/>
              <w:snapToGrid w:val="0"/>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④</w:t>
            </w:r>
            <w:r>
              <w:rPr>
                <w:bCs/>
                <w:color w:val="000000" w:themeColor="text1"/>
                <w:sz w:val="24"/>
                <w14:textFill>
                  <w14:solidFill>
                    <w14:schemeClr w14:val="tx1"/>
                  </w14:solidFill>
                </w14:textFill>
              </w:rPr>
              <w:t>监测频率：每天监测1次，连续监测3天；</w:t>
            </w:r>
          </w:p>
          <w:p>
            <w:pPr>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（2）评价方法</w:t>
            </w:r>
          </w:p>
          <w:p>
            <w:pPr>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按照</w:t>
            </w:r>
            <w:r>
              <w:rPr>
                <w:color w:val="000000" w:themeColor="text1"/>
                <w:sz w:val="24"/>
                <w14:textFill>
                  <w14:solidFill>
                    <w14:schemeClr w14:val="tx1"/>
                  </w14:solidFill>
                </w14:textFill>
              </w:rPr>
              <w:t>《环境影响评价技术导则 地表水环境》（HJ2.3-2018）中规定方法进行。评价采用单项水质参数水质指数法进行评价。水质指数法计算公式如下：</w:t>
            </w:r>
          </w:p>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S</w:t>
            </w:r>
            <w:r>
              <w:rPr>
                <w:color w:val="000000" w:themeColor="text1"/>
                <w:sz w:val="24"/>
                <w:vertAlign w:val="subscript"/>
                <w14:textFill>
                  <w14:solidFill>
                    <w14:schemeClr w14:val="tx1"/>
                  </w14:solidFill>
                </w14:textFill>
              </w:rPr>
              <w:t>i,j</w:t>
            </w:r>
            <w:r>
              <w:rPr>
                <w:color w:val="000000" w:themeColor="text1"/>
                <w:sz w:val="24"/>
                <w14:textFill>
                  <w14:solidFill>
                    <w14:schemeClr w14:val="tx1"/>
                  </w14:solidFill>
                </w14:textFill>
              </w:rPr>
              <w:t>= C</w:t>
            </w:r>
            <w:r>
              <w:rPr>
                <w:color w:val="000000" w:themeColor="text1"/>
                <w:sz w:val="24"/>
                <w:vertAlign w:val="subscript"/>
                <w14:textFill>
                  <w14:solidFill>
                    <w14:schemeClr w14:val="tx1"/>
                  </w14:solidFill>
                </w14:textFill>
              </w:rPr>
              <w:t>i</w:t>
            </w:r>
            <w:r>
              <w:rPr>
                <w:rFonts w:hint="eastAsia"/>
                <w:color w:val="000000" w:themeColor="text1"/>
                <w:sz w:val="24"/>
                <w:vertAlign w:val="subscript"/>
                <w14:textFill>
                  <w14:solidFill>
                    <w14:schemeClr w14:val="tx1"/>
                  </w14:solidFill>
                </w14:textFill>
              </w:rPr>
              <w:t>,</w:t>
            </w:r>
            <w:r>
              <w:rPr>
                <w:color w:val="000000" w:themeColor="text1"/>
                <w:sz w:val="24"/>
                <w:vertAlign w:val="subscript"/>
                <w14:textFill>
                  <w14:solidFill>
                    <w14:schemeClr w14:val="tx1"/>
                  </w14:solidFill>
                </w14:textFill>
              </w:rPr>
              <w:t>j</w:t>
            </w: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si</w:t>
            </w:r>
          </w:p>
          <w:p>
            <w:pPr>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式中：S</w:t>
            </w:r>
            <w:r>
              <w:rPr>
                <w:color w:val="000000" w:themeColor="text1"/>
                <w:sz w:val="24"/>
                <w:vertAlign w:val="subscript"/>
                <w14:textFill>
                  <w14:solidFill>
                    <w14:schemeClr w14:val="tx1"/>
                  </w14:solidFill>
                </w14:textFill>
              </w:rPr>
              <w:t>i,j</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评价因子i的水质指数，大于1表明该水质因子超标</w:t>
            </w:r>
            <w:r>
              <w:rPr>
                <w:color w:val="000000" w:themeColor="text1"/>
                <w:sz w:val="24"/>
                <w14:textFill>
                  <w14:solidFill>
                    <w14:schemeClr w14:val="tx1"/>
                  </w14:solidFill>
                </w14:textFill>
              </w:rPr>
              <w:t>；</w:t>
            </w:r>
          </w:p>
          <w:p>
            <w:pPr>
              <w:ind w:firstLine="1200" w:firstLineChars="5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i</w:t>
            </w:r>
            <w:r>
              <w:rPr>
                <w:rFonts w:hint="eastAsia"/>
                <w:color w:val="000000" w:themeColor="text1"/>
                <w:sz w:val="24"/>
                <w:vertAlign w:val="subscript"/>
                <w14:textFill>
                  <w14:solidFill>
                    <w14:schemeClr w14:val="tx1"/>
                  </w14:solidFill>
                </w14:textFill>
              </w:rPr>
              <w:t>,</w:t>
            </w:r>
            <w:r>
              <w:rPr>
                <w:color w:val="000000" w:themeColor="text1"/>
                <w:sz w:val="24"/>
                <w:vertAlign w:val="subscript"/>
                <w14:textFill>
                  <w14:solidFill>
                    <w14:schemeClr w14:val="tx1"/>
                  </w14:solidFill>
                </w14:textFill>
              </w:rPr>
              <w:t>j</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评价因子i在j点的实测统计代表值，mg</w:t>
            </w:r>
            <w:r>
              <w:rPr>
                <w:color w:val="000000" w:themeColor="text1"/>
                <w:sz w:val="24"/>
                <w14:textFill>
                  <w14:solidFill>
                    <w14:schemeClr w14:val="tx1"/>
                  </w14:solidFill>
                </w14:textFill>
              </w:rPr>
              <w:t>/L；</w:t>
            </w:r>
          </w:p>
          <w:p>
            <w:pPr>
              <w:ind w:firstLine="1200" w:firstLineChars="5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si</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评价因子i的水质评价标准限值，mg/</w:t>
            </w:r>
            <w:r>
              <w:rPr>
                <w:color w:val="000000" w:themeColor="text1"/>
                <w:sz w:val="24"/>
                <w14:textFill>
                  <w14:solidFill>
                    <w14:schemeClr w14:val="tx1"/>
                  </w14:solidFill>
                </w14:textFill>
              </w:rPr>
              <w:t>L。</w:t>
            </w:r>
          </w:p>
          <w:p>
            <w:pPr>
              <w:adjustRightInd w:val="0"/>
              <w:snapToGrid w:val="0"/>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特殊水质因子：pH标准指数</w:t>
            </w:r>
          </w:p>
          <w:p>
            <w:pPr>
              <w:adjustRightInd w:val="0"/>
              <w:snapToGrid w:val="0"/>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017395" cy="78232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017395" cy="782320"/>
                          </a:xfrm>
                          <a:prstGeom prst="rect">
                            <a:avLst/>
                          </a:prstGeom>
                          <a:noFill/>
                          <a:ln>
                            <a:noFill/>
                          </a:ln>
                        </pic:spPr>
                      </pic:pic>
                    </a:graphicData>
                  </a:graphic>
                </wp:inline>
              </w:drawing>
            </w:r>
          </w:p>
          <w:p>
            <w:pPr>
              <w:adjustRightInd w:val="0"/>
              <w:snapToGrid w:val="0"/>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式中：S</w:t>
            </w:r>
            <w:r>
              <w:rPr>
                <w:bCs/>
                <w:color w:val="000000" w:themeColor="text1"/>
                <w:sz w:val="24"/>
                <w:vertAlign w:val="subscript"/>
                <w14:textFill>
                  <w14:solidFill>
                    <w14:schemeClr w14:val="tx1"/>
                  </w14:solidFill>
                </w14:textFill>
              </w:rPr>
              <w:t>pH</w:t>
            </w:r>
            <w:r>
              <w:rPr>
                <w:rFonts w:hint="eastAsia"/>
                <w:bCs/>
                <w:color w:val="000000" w:themeColor="text1"/>
                <w:sz w:val="24"/>
                <w:vertAlign w:val="subscript"/>
                <w14:textFill>
                  <w14:solidFill>
                    <w14:schemeClr w14:val="tx1"/>
                  </w14:solidFill>
                </w14:textFill>
              </w:rPr>
              <w:t>,</w:t>
            </w:r>
            <w:r>
              <w:rPr>
                <w:bCs/>
                <w:color w:val="000000" w:themeColor="text1"/>
                <w:sz w:val="24"/>
                <w:vertAlign w:val="subscript"/>
                <w14:textFill>
                  <w14:solidFill>
                    <w14:schemeClr w14:val="tx1"/>
                  </w14:solidFill>
                </w14:textFill>
              </w:rPr>
              <w:t>j</w:t>
            </w:r>
            <w:r>
              <w:rPr>
                <w:bCs/>
                <w:color w:val="000000" w:themeColor="text1"/>
                <w:sz w:val="24"/>
                <w14:textFill>
                  <w14:solidFill>
                    <w14:schemeClr w14:val="tx1"/>
                  </w14:solidFill>
                </w14:textFill>
              </w:rPr>
              <w:t>——pH值的</w:t>
            </w:r>
            <w:r>
              <w:rPr>
                <w:rFonts w:hint="eastAsia"/>
                <w:bCs/>
                <w:color w:val="000000" w:themeColor="text1"/>
                <w:sz w:val="24"/>
                <w14:textFill>
                  <w14:solidFill>
                    <w14:schemeClr w14:val="tx1"/>
                  </w14:solidFill>
                </w14:textFill>
              </w:rPr>
              <w:t>指数，大于1表明该水质因子超标</w:t>
            </w:r>
            <w:r>
              <w:rPr>
                <w:bCs/>
                <w:color w:val="000000" w:themeColor="text1"/>
                <w:sz w:val="24"/>
                <w14:textFill>
                  <w14:solidFill>
                    <w14:schemeClr w14:val="tx1"/>
                  </w14:solidFill>
                </w14:textFill>
              </w:rPr>
              <w:t>；</w:t>
            </w:r>
          </w:p>
          <w:p>
            <w:pPr>
              <w:adjustRightInd w:val="0"/>
              <w:snapToGrid w:val="0"/>
              <w:ind w:firstLine="1200" w:firstLineChars="5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pH</w:t>
            </w:r>
            <w:r>
              <w:rPr>
                <w:bCs/>
                <w:color w:val="000000" w:themeColor="text1"/>
                <w:sz w:val="24"/>
                <w:vertAlign w:val="subscript"/>
                <w14:textFill>
                  <w14:solidFill>
                    <w14:schemeClr w14:val="tx1"/>
                  </w14:solidFill>
                </w14:textFill>
              </w:rPr>
              <w:t>j</w:t>
            </w:r>
            <w:r>
              <w:rPr>
                <w:bCs/>
                <w:color w:val="000000" w:themeColor="text1"/>
                <w:sz w:val="24"/>
                <w14:textFill>
                  <w14:solidFill>
                    <w14:schemeClr w14:val="tx1"/>
                  </w14:solidFill>
                </w14:textFill>
              </w:rPr>
              <w:t>——pH</w:t>
            </w:r>
            <w:r>
              <w:rPr>
                <w:rFonts w:hint="eastAsia"/>
                <w:bCs/>
                <w:color w:val="000000" w:themeColor="text1"/>
                <w:sz w:val="24"/>
                <w14:textFill>
                  <w14:solidFill>
                    <w14:schemeClr w14:val="tx1"/>
                  </w14:solidFill>
                </w14:textFill>
              </w:rPr>
              <w:t>值实测统计代表值</w:t>
            </w:r>
            <w:r>
              <w:rPr>
                <w:bCs/>
                <w:color w:val="000000" w:themeColor="text1"/>
                <w:sz w:val="24"/>
                <w14:textFill>
                  <w14:solidFill>
                    <w14:schemeClr w14:val="tx1"/>
                  </w14:solidFill>
                </w14:textFill>
              </w:rPr>
              <w:t>；</w:t>
            </w:r>
          </w:p>
          <w:p>
            <w:pPr>
              <w:adjustRightInd w:val="0"/>
              <w:snapToGrid w:val="0"/>
              <w:ind w:firstLine="1200" w:firstLineChars="5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pH</w:t>
            </w:r>
            <w:r>
              <w:rPr>
                <w:bCs/>
                <w:color w:val="000000" w:themeColor="text1"/>
                <w:sz w:val="24"/>
                <w:vertAlign w:val="subscript"/>
                <w14:textFill>
                  <w14:solidFill>
                    <w14:schemeClr w14:val="tx1"/>
                  </w14:solidFill>
                </w14:textFill>
              </w:rPr>
              <w:t>sd</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评价标准中p</w:t>
            </w:r>
            <w:r>
              <w:rPr>
                <w:bCs/>
                <w:color w:val="000000" w:themeColor="text1"/>
                <w:sz w:val="24"/>
                <w14:textFill>
                  <w14:solidFill>
                    <w14:schemeClr w14:val="tx1"/>
                  </w14:solidFill>
                </w14:textFill>
              </w:rPr>
              <w:t>H</w:t>
            </w:r>
            <w:r>
              <w:rPr>
                <w:rFonts w:hint="eastAsia"/>
                <w:bCs/>
                <w:color w:val="000000" w:themeColor="text1"/>
                <w:sz w:val="24"/>
                <w14:textFill>
                  <w14:solidFill>
                    <w14:schemeClr w14:val="tx1"/>
                  </w14:solidFill>
                </w14:textFill>
              </w:rPr>
              <w:t>值的下限值</w:t>
            </w:r>
            <w:r>
              <w:rPr>
                <w:bCs/>
                <w:color w:val="000000" w:themeColor="text1"/>
                <w:sz w:val="24"/>
                <w14:textFill>
                  <w14:solidFill>
                    <w14:schemeClr w14:val="tx1"/>
                  </w14:solidFill>
                </w14:textFill>
              </w:rPr>
              <w:t>；</w:t>
            </w:r>
          </w:p>
          <w:p>
            <w:pPr>
              <w:adjustRightInd w:val="0"/>
              <w:snapToGrid w:val="0"/>
              <w:ind w:firstLine="1200" w:firstLineChars="5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pH</w:t>
            </w:r>
            <w:r>
              <w:rPr>
                <w:bCs/>
                <w:color w:val="000000" w:themeColor="text1"/>
                <w:sz w:val="24"/>
                <w:vertAlign w:val="subscript"/>
                <w14:textFill>
                  <w14:solidFill>
                    <w14:schemeClr w14:val="tx1"/>
                  </w14:solidFill>
                </w14:textFill>
              </w:rPr>
              <w:t>su</w:t>
            </w:r>
            <w:r>
              <w:rPr>
                <w:bCs/>
                <w:color w:val="000000" w:themeColor="text1"/>
                <w:sz w:val="24"/>
                <w14:textFill>
                  <w14:solidFill>
                    <w14:schemeClr w14:val="tx1"/>
                  </w14:solidFill>
                </w14:textFill>
              </w:rPr>
              <w:t>——评价标准中pH</w:t>
            </w:r>
            <w:r>
              <w:rPr>
                <w:rFonts w:hint="eastAsia"/>
                <w:bCs/>
                <w:color w:val="000000" w:themeColor="text1"/>
                <w:sz w:val="24"/>
                <w14:textFill>
                  <w14:solidFill>
                    <w14:schemeClr w14:val="tx1"/>
                  </w14:solidFill>
                </w14:textFill>
              </w:rPr>
              <w:t>值</w:t>
            </w:r>
            <w:r>
              <w:rPr>
                <w:bCs/>
                <w:color w:val="000000" w:themeColor="text1"/>
                <w:sz w:val="24"/>
                <w14:textFill>
                  <w14:solidFill>
                    <w14:schemeClr w14:val="tx1"/>
                  </w14:solidFill>
                </w14:textFill>
              </w:rPr>
              <w:t>的上限值；</w:t>
            </w:r>
          </w:p>
          <w:p>
            <w:pPr>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（3）评价标准</w:t>
            </w:r>
          </w:p>
          <w:p>
            <w:pPr>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《地表水环境质量标准》（GB 3838-2002）中的</w:t>
            </w:r>
            <w:r>
              <w:rPr>
                <w:rFonts w:hint="eastAsia"/>
                <w:color w:val="000000" w:themeColor="text1"/>
                <w:sz w:val="24"/>
                <w14:textFill>
                  <w14:solidFill>
                    <w14:schemeClr w14:val="tx1"/>
                  </w14:solidFill>
                </w14:textFill>
              </w:rPr>
              <w:t>IV</w:t>
            </w:r>
            <w:r>
              <w:rPr>
                <w:color w:val="000000" w:themeColor="text1"/>
                <w:sz w:val="24"/>
                <w14:textFill>
                  <w14:solidFill>
                    <w14:schemeClr w14:val="tx1"/>
                  </w14:solidFill>
                </w14:textFill>
              </w:rPr>
              <w:t>类水质标准。</w:t>
            </w:r>
          </w:p>
          <w:p>
            <w:pPr>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（4）地表水环境质量现状评价</w:t>
            </w:r>
          </w:p>
          <w:p>
            <w:pPr>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地表水现状监测统计及标准指数法计算结果见表3.2</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p>
          <w:p>
            <w:pPr>
              <w:spacing w:line="24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表3.2</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1</w:t>
            </w:r>
            <w:r>
              <w:rPr>
                <w:rFonts w:hint="eastAsia"/>
                <w:b/>
                <w:bCs/>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地表水环境质量监测结果</w:t>
            </w:r>
          </w:p>
          <w:tbl>
            <w:tblPr>
              <w:tblStyle w:val="36"/>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74"/>
              <w:gridCol w:w="1569"/>
              <w:gridCol w:w="1507"/>
              <w:gridCol w:w="1468"/>
              <w:gridCol w:w="1497"/>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 w:hRule="atLeast"/>
                <w:jc w:val="center"/>
              </w:trPr>
              <w:tc>
                <w:tcPr>
                  <w:tcW w:w="109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b/>
                      <w:color w:val="000000" w:themeColor="text1"/>
                      <w:szCs w:val="21"/>
                      <w14:textFill>
                        <w14:solidFill>
                          <w14:schemeClr w14:val="tx1"/>
                        </w14:solidFill>
                      </w14:textFill>
                    </w:rPr>
                  </w:pPr>
                  <w:r>
                    <w:rPr>
                      <w:b/>
                      <w:color w:val="000000" w:themeColor="text1"/>
                      <w14:textFill>
                        <w14:solidFill>
                          <w14:schemeClr w14:val="tx1"/>
                        </w14:solidFill>
                      </w14:textFill>
                    </w:rPr>
                    <w:t>监测断面</w:t>
                  </w:r>
                </w:p>
              </w:tc>
              <w:tc>
                <w:tcPr>
                  <w:tcW w:w="1619" w:type="dxa"/>
                  <w:tcBorders>
                    <w:top w:val="single" w:color="auto" w:sz="4" w:space="0"/>
                    <w:left w:val="nil"/>
                    <w:bottom w:val="single" w:color="auto" w:sz="4" w:space="0"/>
                    <w:right w:val="single" w:color="auto" w:sz="4" w:space="0"/>
                  </w:tcBorders>
                  <w:vAlign w:val="center"/>
                </w:tcPr>
                <w:p>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监测项目</w:t>
                  </w:r>
                </w:p>
              </w:tc>
              <w:tc>
                <w:tcPr>
                  <w:tcW w:w="1528" w:type="dxa"/>
                  <w:tcBorders>
                    <w:top w:val="single" w:color="auto" w:sz="4" w:space="0"/>
                    <w:left w:val="nil"/>
                    <w:bottom w:val="single" w:color="auto" w:sz="4" w:space="0"/>
                    <w:right w:val="single" w:color="auto" w:sz="4" w:space="0"/>
                  </w:tcBorders>
                  <w:vAlign w:val="center"/>
                </w:tcPr>
                <w:p>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监测值（mg/L）</w:t>
                  </w:r>
                </w:p>
              </w:tc>
              <w:tc>
                <w:tcPr>
                  <w:tcW w:w="1495" w:type="dxa"/>
                  <w:tcBorders>
                    <w:top w:val="single" w:color="auto" w:sz="4" w:space="0"/>
                    <w:left w:val="nil"/>
                    <w:bottom w:val="single" w:color="auto" w:sz="4" w:space="0"/>
                    <w:right w:val="single" w:color="auto" w:sz="4" w:space="0"/>
                  </w:tcBorders>
                  <w:vAlign w:val="center"/>
                </w:tcPr>
                <w:p>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标准值（mg/L）</w:t>
                  </w:r>
                </w:p>
              </w:tc>
              <w:tc>
                <w:tcPr>
                  <w:tcW w:w="1550" w:type="dxa"/>
                  <w:tcBorders>
                    <w:top w:val="single" w:color="auto" w:sz="4" w:space="0"/>
                    <w:left w:val="nil"/>
                    <w:bottom w:val="single" w:color="auto" w:sz="4" w:space="0"/>
                    <w:right w:val="single" w:color="auto" w:sz="4" w:space="0"/>
                  </w:tcBorders>
                  <w:vAlign w:val="center"/>
                </w:tcPr>
                <w:p>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最大标准指数</w:t>
                  </w:r>
                </w:p>
              </w:tc>
              <w:tc>
                <w:tcPr>
                  <w:tcW w:w="1207" w:type="dxa"/>
                  <w:tcBorders>
                    <w:top w:val="single" w:color="auto" w:sz="4" w:space="0"/>
                    <w:left w:val="nil"/>
                    <w:bottom w:val="single" w:color="auto" w:sz="4" w:space="0"/>
                    <w:right w:val="single" w:color="auto" w:sz="4" w:space="0"/>
                  </w:tcBorders>
                  <w:vAlign w:val="center"/>
                </w:tcPr>
                <w:p>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 w:hRule="atLeast"/>
                <w:jc w:val="center"/>
              </w:trPr>
              <w:tc>
                <w:tcPr>
                  <w:tcW w:w="1098" w:type="dxa"/>
                  <w:vMerge w:val="restart"/>
                  <w:tcBorders>
                    <w:top w:val="nil"/>
                    <w:left w:val="single" w:color="auto" w:sz="4" w:space="0"/>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电镀集中加工区污水处理站排污口下游1000m</w:t>
                  </w:r>
                </w:p>
              </w:tc>
              <w:tc>
                <w:tcPr>
                  <w:tcW w:w="1619"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（无量纲）</w:t>
                  </w:r>
                </w:p>
              </w:tc>
              <w:tc>
                <w:tcPr>
                  <w:tcW w:w="1528"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6.47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8.13</w:t>
                  </w:r>
                </w:p>
              </w:tc>
              <w:tc>
                <w:tcPr>
                  <w:tcW w:w="1495"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6～9</w:t>
                  </w:r>
                </w:p>
              </w:tc>
              <w:tc>
                <w:tcPr>
                  <w:tcW w:w="1550"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0.57</w:t>
                  </w:r>
                </w:p>
              </w:tc>
              <w:tc>
                <w:tcPr>
                  <w:tcW w:w="1207"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 w:hRule="atLeast"/>
                <w:jc w:val="center"/>
              </w:trPr>
              <w:tc>
                <w:tcPr>
                  <w:tcW w:w="1098" w:type="dxa"/>
                  <w:vMerge w:val="continue"/>
                  <w:tcBorders>
                    <w:left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p>
              </w:tc>
              <w:tc>
                <w:tcPr>
                  <w:tcW w:w="1619"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1528"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9.9</w:t>
                  </w:r>
                  <w:r>
                    <w:rPr>
                      <w:color w:val="000000" w:themeColor="text1"/>
                      <w14:textFill>
                        <w14:solidFill>
                          <w14:schemeClr w14:val="tx1"/>
                        </w14:solidFill>
                      </w14:textFill>
                    </w:rPr>
                    <w:t>~13</w:t>
                  </w:r>
                  <w:r>
                    <w:rPr>
                      <w:rFonts w:hint="eastAsia"/>
                      <w:color w:val="000000" w:themeColor="text1"/>
                      <w14:textFill>
                        <w14:solidFill>
                          <w14:schemeClr w14:val="tx1"/>
                        </w14:solidFill>
                      </w14:textFill>
                    </w:rPr>
                    <w:t>.2</w:t>
                  </w:r>
                </w:p>
              </w:tc>
              <w:tc>
                <w:tcPr>
                  <w:tcW w:w="1495"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550" w:type="dxa"/>
                  <w:tcBorders>
                    <w:top w:val="single" w:color="auto" w:sz="4" w:space="0"/>
                    <w:left w:val="nil"/>
                    <w:bottom w:val="single" w:color="auto" w:sz="4" w:space="0"/>
                    <w:right w:val="single" w:color="auto" w:sz="4" w:space="0"/>
                  </w:tcBorders>
                  <w:vAlign w:val="center"/>
                </w:tcPr>
                <w:p>
                  <w:pPr>
                    <w:pStyle w:val="102"/>
                    <w:spacing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0.44</w:t>
                  </w:r>
                </w:p>
              </w:tc>
              <w:tc>
                <w:tcPr>
                  <w:tcW w:w="1207"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 w:hRule="atLeast"/>
                <w:jc w:val="center"/>
              </w:trPr>
              <w:tc>
                <w:tcPr>
                  <w:tcW w:w="1098" w:type="dxa"/>
                  <w:vMerge w:val="continue"/>
                  <w:tcBorders>
                    <w:top w:val="nil"/>
                    <w:left w:val="single" w:color="auto" w:sz="4" w:space="0"/>
                    <w:bottom w:val="single" w:color="auto" w:sz="4" w:space="0"/>
                    <w:right w:val="single" w:color="auto" w:sz="4" w:space="0"/>
                  </w:tcBorders>
                  <w:vAlign w:val="center"/>
                </w:tcPr>
                <w:p>
                  <w:pPr>
                    <w:spacing w:line="240" w:lineRule="auto"/>
                    <w:jc w:val="center"/>
                    <w:rPr>
                      <w:color w:val="000000" w:themeColor="text1"/>
                      <w:szCs w:val="21"/>
                      <w14:textFill>
                        <w14:solidFill>
                          <w14:schemeClr w14:val="tx1"/>
                        </w14:solidFill>
                      </w14:textFill>
                    </w:rPr>
                  </w:pPr>
                </w:p>
              </w:tc>
              <w:tc>
                <w:tcPr>
                  <w:tcW w:w="1619"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1528"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2.7</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w:t>
                  </w:r>
                </w:p>
              </w:tc>
              <w:tc>
                <w:tcPr>
                  <w:tcW w:w="1495"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6</w:t>
                  </w:r>
                </w:p>
              </w:tc>
              <w:tc>
                <w:tcPr>
                  <w:tcW w:w="1550" w:type="dxa"/>
                  <w:tcBorders>
                    <w:top w:val="single" w:color="auto" w:sz="4" w:space="0"/>
                    <w:left w:val="nil"/>
                    <w:bottom w:val="single" w:color="auto" w:sz="4" w:space="0"/>
                    <w:right w:val="single" w:color="auto" w:sz="4" w:space="0"/>
                  </w:tcBorders>
                  <w:vAlign w:val="center"/>
                </w:tcPr>
                <w:p>
                  <w:pPr>
                    <w:pStyle w:val="102"/>
                    <w:spacing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0"/>
                      <w:szCs w:val="20"/>
                      <w14:textFill>
                        <w14:solidFill>
                          <w14:schemeClr w14:val="tx1"/>
                        </w14:solidFill>
                      </w14:textFill>
                    </w:rPr>
                    <w:t>0.52</w:t>
                  </w:r>
                </w:p>
              </w:tc>
              <w:tc>
                <w:tcPr>
                  <w:tcW w:w="1207"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 w:hRule="atLeast"/>
                <w:jc w:val="center"/>
              </w:trPr>
              <w:tc>
                <w:tcPr>
                  <w:tcW w:w="1098" w:type="dxa"/>
                  <w:vMerge w:val="continue"/>
                  <w:tcBorders>
                    <w:top w:val="nil"/>
                    <w:left w:val="single" w:color="auto" w:sz="4" w:space="0"/>
                    <w:bottom w:val="single" w:color="auto" w:sz="4" w:space="0"/>
                    <w:right w:val="single" w:color="auto" w:sz="4" w:space="0"/>
                  </w:tcBorders>
                  <w:vAlign w:val="center"/>
                </w:tcPr>
                <w:p>
                  <w:pPr>
                    <w:spacing w:line="240" w:lineRule="auto"/>
                    <w:jc w:val="center"/>
                    <w:rPr>
                      <w:color w:val="000000" w:themeColor="text1"/>
                      <w:szCs w:val="21"/>
                      <w14:textFill>
                        <w14:solidFill>
                          <w14:schemeClr w14:val="tx1"/>
                        </w14:solidFill>
                      </w14:textFill>
                    </w:rPr>
                  </w:pPr>
                </w:p>
              </w:tc>
              <w:tc>
                <w:tcPr>
                  <w:tcW w:w="1619"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528"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w:t>
                  </w:r>
                  <w:r>
                    <w:rPr>
                      <w:rFonts w:hint="eastAsia"/>
                      <w:color w:val="000000" w:themeColor="text1"/>
                      <w14:textFill>
                        <w14:solidFill>
                          <w14:schemeClr w14:val="tx1"/>
                        </w14:solidFill>
                      </w14:textFill>
                    </w:rPr>
                    <w:t>087</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118</w:t>
                  </w:r>
                </w:p>
              </w:tc>
              <w:tc>
                <w:tcPr>
                  <w:tcW w:w="1495"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550"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sz w:val="20"/>
                      <w:szCs w:val="20"/>
                      <w14:textFill>
                        <w14:solidFill>
                          <w14:schemeClr w14:val="tx1"/>
                        </w14:solidFill>
                      </w14:textFill>
                    </w:rPr>
                    <w:t>0.08</w:t>
                  </w:r>
                </w:p>
              </w:tc>
              <w:tc>
                <w:tcPr>
                  <w:tcW w:w="1207"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 w:hRule="atLeast"/>
                <w:jc w:val="center"/>
              </w:trPr>
              <w:tc>
                <w:tcPr>
                  <w:tcW w:w="1098" w:type="dxa"/>
                  <w:vMerge w:val="continue"/>
                  <w:tcBorders>
                    <w:top w:val="nil"/>
                    <w:left w:val="single" w:color="auto" w:sz="4" w:space="0"/>
                    <w:bottom w:val="single" w:color="auto" w:sz="4" w:space="0"/>
                    <w:right w:val="single" w:color="auto" w:sz="4" w:space="0"/>
                  </w:tcBorders>
                  <w:vAlign w:val="center"/>
                </w:tcPr>
                <w:p>
                  <w:pPr>
                    <w:spacing w:line="240" w:lineRule="auto"/>
                    <w:jc w:val="center"/>
                    <w:rPr>
                      <w:color w:val="000000" w:themeColor="text1"/>
                      <w:szCs w:val="21"/>
                      <w14:textFill>
                        <w14:solidFill>
                          <w14:schemeClr w14:val="tx1"/>
                        </w14:solidFill>
                      </w14:textFill>
                    </w:rPr>
                  </w:pPr>
                </w:p>
              </w:tc>
              <w:tc>
                <w:tcPr>
                  <w:tcW w:w="1619"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TP</w:t>
                  </w:r>
                </w:p>
              </w:tc>
              <w:tc>
                <w:tcPr>
                  <w:tcW w:w="1528"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0.012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0.17</w:t>
                  </w:r>
                </w:p>
              </w:tc>
              <w:tc>
                <w:tcPr>
                  <w:tcW w:w="1495"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0.3</w:t>
                  </w:r>
                </w:p>
              </w:tc>
              <w:tc>
                <w:tcPr>
                  <w:tcW w:w="1550"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0.57</w:t>
                  </w:r>
                </w:p>
              </w:tc>
              <w:tc>
                <w:tcPr>
                  <w:tcW w:w="1207"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 w:hRule="atLeast"/>
                <w:jc w:val="center"/>
              </w:trPr>
              <w:tc>
                <w:tcPr>
                  <w:tcW w:w="1098" w:type="dxa"/>
                  <w:vMerge w:val="continue"/>
                  <w:tcBorders>
                    <w:top w:val="nil"/>
                    <w:left w:val="single" w:color="auto" w:sz="4" w:space="0"/>
                    <w:bottom w:val="single" w:color="auto" w:sz="4" w:space="0"/>
                    <w:right w:val="single" w:color="auto" w:sz="4" w:space="0"/>
                  </w:tcBorders>
                  <w:vAlign w:val="center"/>
                </w:tcPr>
                <w:p>
                  <w:pPr>
                    <w:spacing w:line="240" w:lineRule="auto"/>
                    <w:jc w:val="center"/>
                    <w:rPr>
                      <w:color w:val="000000" w:themeColor="text1"/>
                      <w:szCs w:val="21"/>
                      <w14:textFill>
                        <w14:solidFill>
                          <w14:schemeClr w14:val="tx1"/>
                        </w14:solidFill>
                      </w14:textFill>
                    </w:rPr>
                  </w:pPr>
                </w:p>
              </w:tc>
              <w:tc>
                <w:tcPr>
                  <w:tcW w:w="1619"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石油类</w:t>
                  </w:r>
                </w:p>
              </w:tc>
              <w:tc>
                <w:tcPr>
                  <w:tcW w:w="1528"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0.02-0.03</w:t>
                  </w:r>
                </w:p>
              </w:tc>
              <w:tc>
                <w:tcPr>
                  <w:tcW w:w="1495"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550"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c>
                <w:tcPr>
                  <w:tcW w:w="1207" w:type="dxa"/>
                  <w:tcBorders>
                    <w:top w:val="single" w:color="auto" w:sz="4" w:space="0"/>
                    <w:left w:val="nil"/>
                    <w:bottom w:val="single" w:color="auto" w:sz="4" w:space="0"/>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r>
          </w:tbl>
          <w:p>
            <w:pPr>
              <w:ind w:firstLine="480" w:firstLineChars="200"/>
              <w:rPr>
                <w:color w:val="000000" w:themeColor="text1"/>
                <w:sz w:val="24"/>
                <w:highlight w:val="yellow"/>
                <w14:textFill>
                  <w14:solidFill>
                    <w14:schemeClr w14:val="tx1"/>
                  </w14:solidFill>
                </w14:textFill>
              </w:rPr>
            </w:pPr>
            <w:r>
              <w:rPr>
                <w:color w:val="000000" w:themeColor="text1"/>
                <w:sz w:val="24"/>
                <w14:textFill>
                  <w14:solidFill>
                    <w14:schemeClr w14:val="tx1"/>
                  </w14:solidFill>
                </w14:textFill>
              </w:rPr>
              <w:t>由上表可知，苦水河</w:t>
            </w:r>
            <w:r>
              <w:rPr>
                <w:color w:val="000000" w:themeColor="text1"/>
                <w:kern w:val="0"/>
                <w:sz w:val="24"/>
                <w14:textFill>
                  <w14:solidFill>
                    <w14:schemeClr w14:val="tx1"/>
                  </w14:solidFill>
                </w14:textFill>
              </w:rPr>
              <w:t>监测断面</w:t>
            </w:r>
            <w:r>
              <w:rPr>
                <w:color w:val="000000" w:themeColor="text1"/>
                <w:sz w:val="24"/>
                <w14:textFill>
                  <w14:solidFill>
                    <w14:schemeClr w14:val="tx1"/>
                  </w14:solidFill>
                </w14:textFill>
              </w:rPr>
              <w:t>的各监测因子均可满足《地表水环境质量标准》（GB3838-2002）Ⅳ类标准要求。</w:t>
            </w:r>
          </w:p>
          <w:bookmarkEnd w:id="8"/>
          <w:p>
            <w:pPr>
              <w:pStyle w:val="224"/>
              <w:spacing w:line="360" w:lineRule="auto"/>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.3声环境质量现状</w:t>
            </w:r>
          </w:p>
          <w:p>
            <w:pPr>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根据《建设项目环境影响报告表编制技术指南》（污染影响类）（试行），项目位于双桥经开区邮亭片区A区内，周边50m范围内无声环境保护目标。因此，项目不开展声环境质量现状监测。</w:t>
            </w:r>
          </w:p>
          <w:p>
            <w:pPr>
              <w:pStyle w:val="224"/>
              <w:spacing w:line="360" w:lineRule="auto"/>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.4</w:t>
            </w:r>
            <w:r>
              <w:rPr>
                <w:rFonts w:hint="eastAsia"/>
                <w:b/>
                <w:bCs/>
                <w:color w:val="000000" w:themeColor="text1"/>
                <w14:textFill>
                  <w14:solidFill>
                    <w14:schemeClr w14:val="tx1"/>
                  </w14:solidFill>
                </w14:textFill>
              </w:rPr>
              <w:t>生态</w:t>
            </w:r>
            <w:r>
              <w:rPr>
                <w:b/>
                <w:bCs/>
                <w:color w:val="000000" w:themeColor="text1"/>
                <w14:textFill>
                  <w14:solidFill>
                    <w14:schemeClr w14:val="tx1"/>
                  </w14:solidFill>
                </w14:textFill>
              </w:rPr>
              <w:t>环境质量现状</w:t>
            </w:r>
          </w:p>
          <w:p>
            <w:pPr>
              <w:pStyle w:val="75"/>
              <w:ind w:firstLine="48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项目位于双桥经开区邮亭片区A区内，所在地块已平整。因此，项目不开展生态现状调查。</w:t>
            </w:r>
          </w:p>
          <w:p>
            <w:pPr>
              <w:pStyle w:val="224"/>
              <w:spacing w:line="360" w:lineRule="auto"/>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.5</w:t>
            </w:r>
            <w:r>
              <w:rPr>
                <w:rFonts w:hint="eastAsia"/>
                <w:b/>
                <w:bCs/>
                <w:color w:val="000000" w:themeColor="text1"/>
                <w14:textFill>
                  <w14:solidFill>
                    <w14:schemeClr w14:val="tx1"/>
                  </w14:solidFill>
                </w14:textFill>
              </w:rPr>
              <w:t>地下水</w:t>
            </w:r>
            <w:r>
              <w:rPr>
                <w:b/>
                <w:bCs/>
                <w:color w:val="000000" w:themeColor="text1"/>
                <w14:textFill>
                  <w14:solidFill>
                    <w14:schemeClr w14:val="tx1"/>
                  </w14:solidFill>
                </w14:textFill>
              </w:rPr>
              <w:t>环境质量现状</w:t>
            </w:r>
          </w:p>
          <w:p>
            <w:pPr>
              <w:pStyle w:val="75"/>
              <w:ind w:firstLine="48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kern w:val="0"/>
                <w:szCs w:val="22"/>
                <w14:textFill>
                  <w14:solidFill>
                    <w14:schemeClr w14:val="tx1"/>
                  </w14:solidFill>
                </w14:textFill>
              </w:rPr>
              <w:t>根据《建设项目环境影响报告表编制技术指南（污染影响类）（试行）》，原则上不开展地下水环境质量现状调查</w:t>
            </w:r>
            <w:r>
              <w:rPr>
                <w:rFonts w:hint="eastAsia" w:ascii="Times New Roman" w:hAnsi="Times New Roman" w:cs="Times New Roman"/>
                <w:color w:val="000000" w:themeColor="text1"/>
                <w:kern w:val="0"/>
                <w:szCs w:val="24"/>
                <w14:textFill>
                  <w14:solidFill>
                    <w14:schemeClr w14:val="tx1"/>
                  </w14:solidFill>
                </w14:textFill>
              </w:rPr>
              <w:t>。建设项目存在地下水环境污染途径的，应结合污染源、保护目标分布情况开展现状调查以留作背景值。本次评价委托重庆泰华环境监测有限</w:t>
            </w:r>
            <w:r>
              <w:rPr>
                <w:rFonts w:hint="eastAsia" w:ascii="Times New Roman" w:hAnsi="Times New Roman" w:cs="Times New Roman"/>
                <w:color w:val="000000" w:themeColor="text1"/>
                <w14:textFill>
                  <w14:solidFill>
                    <w14:schemeClr w14:val="tx1"/>
                  </w14:solidFill>
                </w14:textFill>
              </w:rPr>
              <w:t>公司于2</w:t>
            </w:r>
            <w:r>
              <w:rPr>
                <w:rFonts w:ascii="Times New Roman" w:hAnsi="Times New Roman" w:cs="Times New Roman"/>
                <w:color w:val="000000" w:themeColor="text1"/>
                <w14:textFill>
                  <w14:solidFill>
                    <w14:schemeClr w14:val="tx1"/>
                  </w14:solidFill>
                </w14:textFill>
              </w:rPr>
              <w:t>022</w:t>
            </w:r>
            <w:r>
              <w:rPr>
                <w:rFonts w:hint="eastAsia" w:ascii="Times New Roman" w:hAnsi="Times New Roman" w:cs="Times New Roman"/>
                <w:color w:val="000000" w:themeColor="text1"/>
                <w14:textFill>
                  <w14:solidFill>
                    <w14:schemeClr w14:val="tx1"/>
                  </w14:solidFill>
                </w14:textFill>
              </w:rPr>
              <w:t>年8月1</w:t>
            </w:r>
            <w:r>
              <w:rPr>
                <w:rFonts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日、2</w:t>
            </w:r>
            <w:r>
              <w:rPr>
                <w:rFonts w:ascii="Times New Roman" w:hAnsi="Times New Roman" w:cs="Times New Roman"/>
                <w:color w:val="000000" w:themeColor="text1"/>
                <w14:textFill>
                  <w14:solidFill>
                    <w14:schemeClr w14:val="tx1"/>
                  </w14:solidFill>
                </w14:textFill>
              </w:rPr>
              <w:t>022</w:t>
            </w:r>
            <w:r>
              <w:rPr>
                <w:rFonts w:hint="eastAsia" w:ascii="Times New Roman" w:hAnsi="Times New Roman" w:cs="Times New Roman"/>
                <w:color w:val="000000" w:themeColor="text1"/>
                <w14:textFill>
                  <w14:solidFill>
                    <w14:schemeClr w14:val="tx1"/>
                  </w14:solidFill>
                </w14:textFill>
              </w:rPr>
              <w:t>年9月2</w:t>
            </w:r>
            <w:r>
              <w:rPr>
                <w:rFonts w:ascii="Times New Roman" w:hAnsi="Times New Roman" w:cs="Times New Roman"/>
                <w:color w:val="000000" w:themeColor="text1"/>
                <w14:textFill>
                  <w14:solidFill>
                    <w14:schemeClr w14:val="tx1"/>
                  </w14:solidFill>
                </w14:textFill>
              </w:rPr>
              <w:t>9</w:t>
            </w:r>
            <w:r>
              <w:rPr>
                <w:rFonts w:hint="eastAsia" w:ascii="Times New Roman" w:hAnsi="Times New Roman" w:cs="Times New Roman"/>
                <w:color w:val="000000" w:themeColor="text1"/>
                <w14:textFill>
                  <w14:solidFill>
                    <w14:schemeClr w14:val="tx1"/>
                  </w14:solidFill>
                </w14:textFill>
              </w:rPr>
              <w:t>日分别开展了地下水环境质量现状监测。</w:t>
            </w:r>
          </w:p>
          <w:p>
            <w:pPr>
              <w:pStyle w:val="75"/>
              <w:ind w:firstLine="480" w:firstLineChars="200"/>
              <w:rPr>
                <w:rFonts w:ascii="Times New Roman" w:hAnsi="Times New Roman" w:cs="Times New Roman"/>
                <w:color w:val="000000" w:themeColor="text1"/>
                <w:kern w:val="0"/>
                <w:szCs w:val="24"/>
                <w14:textFill>
                  <w14:solidFill>
                    <w14:schemeClr w14:val="tx1"/>
                  </w14:solidFill>
                </w14:textFill>
              </w:rPr>
            </w:pPr>
            <w:r>
              <w:rPr>
                <w:rFonts w:hint="eastAsia" w:ascii="Times New Roman" w:hAnsi="Times New Roman" w:cs="Times New Roman"/>
                <w:color w:val="000000" w:themeColor="text1"/>
                <w:kern w:val="0"/>
                <w:szCs w:val="24"/>
                <w14:textFill>
                  <w14:solidFill>
                    <w14:schemeClr w14:val="tx1"/>
                  </w14:solidFill>
                </w14:textFill>
              </w:rPr>
              <w:t>（1）监测点位</w:t>
            </w:r>
          </w:p>
          <w:p>
            <w:pPr>
              <w:pStyle w:val="75"/>
              <w:ind w:firstLine="480" w:firstLineChars="200"/>
              <w:rPr>
                <w:rFonts w:ascii="Times New Roman" w:hAnsi="Times New Roman" w:cs="Times New Roman"/>
                <w:color w:val="000000" w:themeColor="text1"/>
                <w:kern w:val="0"/>
                <w:szCs w:val="24"/>
                <w14:textFill>
                  <w14:solidFill>
                    <w14:schemeClr w14:val="tx1"/>
                  </w14:solidFill>
                </w14:textFill>
              </w:rPr>
            </w:pPr>
            <w:r>
              <w:rPr>
                <w:rFonts w:hint="eastAsia" w:ascii="Times New Roman" w:hAnsi="Times New Roman" w:cs="Times New Roman"/>
                <w:color w:val="000000" w:themeColor="text1"/>
                <w:kern w:val="0"/>
                <w:szCs w:val="24"/>
                <w14:textFill>
                  <w14:solidFill>
                    <w14:schemeClr w14:val="tx1"/>
                  </w14:solidFill>
                </w14:textFill>
              </w:rPr>
              <w:t>D</w:t>
            </w:r>
            <w:r>
              <w:rPr>
                <w:rFonts w:ascii="Times New Roman" w:hAnsi="Times New Roman" w:cs="Times New Roman"/>
                <w:color w:val="000000" w:themeColor="text1"/>
                <w:kern w:val="0"/>
                <w:szCs w:val="24"/>
                <w14:textFill>
                  <w14:solidFill>
                    <w14:schemeClr w14:val="tx1"/>
                  </w14:solidFill>
                </w14:textFill>
              </w:rPr>
              <w:t>X1</w:t>
            </w:r>
            <w:r>
              <w:rPr>
                <w:rFonts w:hint="eastAsia" w:ascii="Times New Roman" w:hAnsi="Times New Roman" w:cs="Times New Roman"/>
                <w:color w:val="000000" w:themeColor="text1"/>
                <w:kern w:val="0"/>
                <w:szCs w:val="24"/>
                <w14:textFill>
                  <w14:solidFill>
                    <w14:schemeClr w14:val="tx1"/>
                  </w14:solidFill>
                </w14:textFill>
              </w:rPr>
              <w:t>（位于项目西侧约1</w:t>
            </w:r>
            <w:r>
              <w:rPr>
                <w:rFonts w:ascii="Times New Roman" w:hAnsi="Times New Roman" w:cs="Times New Roman"/>
                <w:color w:val="000000" w:themeColor="text1"/>
                <w:kern w:val="0"/>
                <w:szCs w:val="24"/>
                <w14:textFill>
                  <w14:solidFill>
                    <w14:schemeClr w14:val="tx1"/>
                  </w14:solidFill>
                </w14:textFill>
              </w:rPr>
              <w:t>.4</w:t>
            </w:r>
            <w:r>
              <w:rPr>
                <w:rFonts w:hint="eastAsia" w:ascii="Times New Roman" w:hAnsi="Times New Roman" w:cs="Times New Roman"/>
                <w:color w:val="000000" w:themeColor="text1"/>
                <w:kern w:val="0"/>
                <w:szCs w:val="24"/>
                <w14:textFill>
                  <w14:solidFill>
                    <w14:schemeClr w14:val="tx1"/>
                  </w14:solidFill>
                </w14:textFill>
              </w:rPr>
              <w:t>km），监测点位于项目地下水流向的下游，与项目区属于</w:t>
            </w:r>
            <w:r>
              <w:rPr>
                <w:rFonts w:hint="eastAsia"/>
                <w:color w:val="000000" w:themeColor="text1"/>
                <w14:textFill>
                  <w14:solidFill>
                    <w14:schemeClr w14:val="tx1"/>
                  </w14:solidFill>
                </w14:textFill>
              </w:rPr>
              <w:t>同一水文地质单元。</w:t>
            </w:r>
          </w:p>
          <w:p>
            <w:pPr>
              <w:pStyle w:val="75"/>
              <w:ind w:firstLine="480" w:firstLineChars="200"/>
              <w:rPr>
                <w:rFonts w:ascii="Times New Roman" w:hAnsi="Times New Roman" w:cs="Times New Roman"/>
                <w:color w:val="000000" w:themeColor="text1"/>
                <w:kern w:val="0"/>
                <w:szCs w:val="24"/>
                <w14:textFill>
                  <w14:solidFill>
                    <w14:schemeClr w14:val="tx1"/>
                  </w14:solidFill>
                </w14:textFill>
              </w:rPr>
            </w:pPr>
            <w:r>
              <w:rPr>
                <w:rFonts w:ascii="Times New Roman" w:hAnsi="Times New Roman" w:cs="Times New Roman"/>
                <w:color w:val="000000" w:themeColor="text1"/>
                <w:kern w:val="0"/>
                <w:szCs w:val="24"/>
                <w14:textFill>
                  <w14:solidFill>
                    <w14:schemeClr w14:val="tx1"/>
                  </w14:solidFill>
                </w14:textFill>
              </w:rPr>
              <w:t>（2）监测项目</w:t>
            </w:r>
          </w:p>
          <w:p>
            <w:pPr>
              <w:pStyle w:val="75"/>
              <w:ind w:firstLine="480" w:firstLineChars="200"/>
              <w:rPr>
                <w:rFonts w:ascii="Times New Roman" w:hAnsi="Times New Roman" w:cs="Times New Roman"/>
                <w:color w:val="000000" w:themeColor="text1"/>
                <w:kern w:val="0"/>
                <w:szCs w:val="24"/>
                <w:lang w:bidi="ar"/>
                <w14:textFill>
                  <w14:solidFill>
                    <w14:schemeClr w14:val="tx1"/>
                  </w14:solidFill>
                </w14:textFill>
              </w:rPr>
            </w:pPr>
            <w:r>
              <w:rPr>
                <w:rFonts w:ascii="Times New Roman" w:hAnsi="Times New Roman" w:cs="Times New Roman"/>
                <w:color w:val="000000" w:themeColor="text1"/>
                <w:kern w:val="0"/>
                <w:szCs w:val="24"/>
                <w:lang w:bidi="ar"/>
                <w14:textFill>
                  <w14:solidFill>
                    <w14:schemeClr w14:val="tx1"/>
                  </w14:solidFill>
                </w14:textFill>
              </w:rPr>
              <w:t>K</w:t>
            </w:r>
            <w:r>
              <w:rPr>
                <w:rFonts w:ascii="Times New Roman" w:hAnsi="Times New Roman" w:cs="Times New Roman"/>
                <w:color w:val="000000" w:themeColor="text1"/>
                <w:kern w:val="0"/>
                <w:szCs w:val="24"/>
                <w:vertAlign w:val="superscript"/>
                <w:lang w:bidi="ar"/>
                <w14:textFill>
                  <w14:solidFill>
                    <w14:schemeClr w14:val="tx1"/>
                  </w14:solidFill>
                </w14:textFill>
              </w:rPr>
              <w:t>+</w:t>
            </w:r>
            <w:r>
              <w:rPr>
                <w:rFonts w:ascii="Times New Roman" w:hAnsi="Times New Roman" w:cs="Times New Roman"/>
                <w:color w:val="000000" w:themeColor="text1"/>
                <w:kern w:val="0"/>
                <w:szCs w:val="24"/>
                <w:lang w:bidi="ar"/>
                <w14:textFill>
                  <w14:solidFill>
                    <w14:schemeClr w14:val="tx1"/>
                  </w14:solidFill>
                </w14:textFill>
              </w:rPr>
              <w:t>、Na</w:t>
            </w:r>
            <w:r>
              <w:rPr>
                <w:rFonts w:ascii="Times New Roman" w:hAnsi="Times New Roman" w:cs="Times New Roman"/>
                <w:color w:val="000000" w:themeColor="text1"/>
                <w:kern w:val="0"/>
                <w:szCs w:val="24"/>
                <w:vertAlign w:val="superscript"/>
                <w:lang w:bidi="ar"/>
                <w14:textFill>
                  <w14:solidFill>
                    <w14:schemeClr w14:val="tx1"/>
                  </w14:solidFill>
                </w14:textFill>
              </w:rPr>
              <w:t>+</w:t>
            </w:r>
            <w:r>
              <w:rPr>
                <w:rFonts w:ascii="Times New Roman" w:hAnsi="Times New Roman" w:cs="Times New Roman"/>
                <w:color w:val="000000" w:themeColor="text1"/>
                <w:kern w:val="0"/>
                <w:szCs w:val="24"/>
                <w:lang w:bidi="ar"/>
                <w14:textFill>
                  <w14:solidFill>
                    <w14:schemeClr w14:val="tx1"/>
                  </w14:solidFill>
                </w14:textFill>
              </w:rPr>
              <w:t>、Ca</w:t>
            </w:r>
            <w:r>
              <w:rPr>
                <w:rFonts w:ascii="Times New Roman" w:hAnsi="Times New Roman" w:cs="Times New Roman"/>
                <w:color w:val="000000" w:themeColor="text1"/>
                <w:kern w:val="0"/>
                <w:szCs w:val="24"/>
                <w:vertAlign w:val="superscript"/>
                <w:lang w:bidi="ar"/>
                <w14:textFill>
                  <w14:solidFill>
                    <w14:schemeClr w14:val="tx1"/>
                  </w14:solidFill>
                </w14:textFill>
              </w:rPr>
              <w:t>2+</w:t>
            </w:r>
            <w:r>
              <w:rPr>
                <w:rFonts w:ascii="Times New Roman" w:hAnsi="Times New Roman" w:cs="Times New Roman"/>
                <w:color w:val="000000" w:themeColor="text1"/>
                <w:kern w:val="0"/>
                <w:szCs w:val="24"/>
                <w:lang w:bidi="ar"/>
                <w14:textFill>
                  <w14:solidFill>
                    <w14:schemeClr w14:val="tx1"/>
                  </w14:solidFill>
                </w14:textFill>
              </w:rPr>
              <w:t>、Mg</w:t>
            </w:r>
            <w:r>
              <w:rPr>
                <w:rFonts w:ascii="Times New Roman" w:hAnsi="Times New Roman" w:cs="Times New Roman"/>
                <w:color w:val="000000" w:themeColor="text1"/>
                <w:kern w:val="0"/>
                <w:szCs w:val="24"/>
                <w:vertAlign w:val="superscript"/>
                <w:lang w:bidi="ar"/>
                <w14:textFill>
                  <w14:solidFill>
                    <w14:schemeClr w14:val="tx1"/>
                  </w14:solidFill>
                </w14:textFill>
              </w:rPr>
              <w:t>2+</w:t>
            </w:r>
            <w:r>
              <w:rPr>
                <w:rFonts w:ascii="Times New Roman" w:hAnsi="Times New Roman" w:cs="Times New Roman"/>
                <w:color w:val="000000" w:themeColor="text1"/>
                <w:kern w:val="0"/>
                <w:szCs w:val="24"/>
                <w:lang w:bidi="ar"/>
                <w14:textFill>
                  <w14:solidFill>
                    <w14:schemeClr w14:val="tx1"/>
                  </w14:solidFill>
                </w14:textFill>
              </w:rPr>
              <w:t>、CO</w:t>
            </w:r>
            <w:r>
              <w:rPr>
                <w:rFonts w:ascii="Times New Roman" w:hAnsi="Times New Roman" w:cs="Times New Roman"/>
                <w:color w:val="000000" w:themeColor="text1"/>
                <w:kern w:val="0"/>
                <w:szCs w:val="24"/>
                <w:vertAlign w:val="subscript"/>
                <w:lang w:bidi="ar"/>
                <w14:textFill>
                  <w14:solidFill>
                    <w14:schemeClr w14:val="tx1"/>
                  </w14:solidFill>
                </w14:textFill>
              </w:rPr>
              <w:t>3</w:t>
            </w:r>
            <w:r>
              <w:rPr>
                <w:rFonts w:ascii="Times New Roman" w:hAnsi="Times New Roman" w:cs="Times New Roman"/>
                <w:color w:val="000000" w:themeColor="text1"/>
                <w:kern w:val="0"/>
                <w:szCs w:val="24"/>
                <w:vertAlign w:val="superscript"/>
                <w:lang w:bidi="ar"/>
                <w14:textFill>
                  <w14:solidFill>
                    <w14:schemeClr w14:val="tx1"/>
                  </w14:solidFill>
                </w14:textFill>
              </w:rPr>
              <w:t>2-</w:t>
            </w:r>
            <w:r>
              <w:rPr>
                <w:rFonts w:ascii="Times New Roman" w:hAnsi="Times New Roman" w:cs="Times New Roman"/>
                <w:color w:val="000000" w:themeColor="text1"/>
                <w:kern w:val="0"/>
                <w:szCs w:val="24"/>
                <w:lang w:bidi="ar"/>
                <w14:textFill>
                  <w14:solidFill>
                    <w14:schemeClr w14:val="tx1"/>
                  </w14:solidFill>
                </w14:textFill>
              </w:rPr>
              <w:t>、HCO</w:t>
            </w:r>
            <w:r>
              <w:rPr>
                <w:rFonts w:ascii="Times New Roman" w:hAnsi="Times New Roman" w:cs="Times New Roman"/>
                <w:color w:val="000000" w:themeColor="text1"/>
                <w:kern w:val="0"/>
                <w:szCs w:val="24"/>
                <w:vertAlign w:val="subscript"/>
                <w:lang w:bidi="ar"/>
                <w14:textFill>
                  <w14:solidFill>
                    <w14:schemeClr w14:val="tx1"/>
                  </w14:solidFill>
                </w14:textFill>
              </w:rPr>
              <w:t>3</w:t>
            </w:r>
            <w:r>
              <w:rPr>
                <w:rFonts w:ascii="Times New Roman" w:hAnsi="Times New Roman" w:cs="Times New Roman"/>
                <w:color w:val="000000" w:themeColor="text1"/>
                <w:kern w:val="0"/>
                <w:szCs w:val="24"/>
                <w:vertAlign w:val="superscript"/>
                <w:lang w:bidi="ar"/>
                <w14:textFill>
                  <w14:solidFill>
                    <w14:schemeClr w14:val="tx1"/>
                  </w14:solidFill>
                </w14:textFill>
              </w:rPr>
              <w:t>-</w:t>
            </w:r>
            <w:r>
              <w:rPr>
                <w:rFonts w:ascii="Times New Roman" w:hAnsi="Times New Roman" w:cs="Times New Roman"/>
                <w:color w:val="000000" w:themeColor="text1"/>
                <w:kern w:val="0"/>
                <w:szCs w:val="24"/>
                <w:lang w:bidi="ar"/>
                <w14:textFill>
                  <w14:solidFill>
                    <w14:schemeClr w14:val="tx1"/>
                  </w14:solidFill>
                </w14:textFill>
              </w:rPr>
              <w:t>、Cl</w:t>
            </w:r>
            <w:r>
              <w:rPr>
                <w:rFonts w:ascii="Times New Roman" w:hAnsi="Times New Roman" w:cs="Times New Roman"/>
                <w:color w:val="000000" w:themeColor="text1"/>
                <w:kern w:val="0"/>
                <w:szCs w:val="24"/>
                <w:vertAlign w:val="superscript"/>
                <w:lang w:bidi="ar"/>
                <w14:textFill>
                  <w14:solidFill>
                    <w14:schemeClr w14:val="tx1"/>
                  </w14:solidFill>
                </w14:textFill>
              </w:rPr>
              <w:t>-</w:t>
            </w:r>
            <w:r>
              <w:rPr>
                <w:rFonts w:ascii="Times New Roman" w:hAnsi="Times New Roman" w:cs="Times New Roman"/>
                <w:color w:val="000000" w:themeColor="text1"/>
                <w:kern w:val="0"/>
                <w:szCs w:val="24"/>
                <w:lang w:bidi="ar"/>
                <w14:textFill>
                  <w14:solidFill>
                    <w14:schemeClr w14:val="tx1"/>
                  </w14:solidFill>
                </w14:textFill>
              </w:rPr>
              <w:t>、SO</w:t>
            </w:r>
            <w:r>
              <w:rPr>
                <w:rFonts w:ascii="Times New Roman" w:hAnsi="Times New Roman" w:cs="Times New Roman"/>
                <w:color w:val="000000" w:themeColor="text1"/>
                <w:kern w:val="0"/>
                <w:szCs w:val="24"/>
                <w:vertAlign w:val="subscript"/>
                <w:lang w:bidi="ar"/>
                <w14:textFill>
                  <w14:solidFill>
                    <w14:schemeClr w14:val="tx1"/>
                  </w14:solidFill>
                </w14:textFill>
              </w:rPr>
              <w:t>4</w:t>
            </w:r>
            <w:r>
              <w:rPr>
                <w:rFonts w:ascii="Times New Roman" w:hAnsi="Times New Roman" w:cs="Times New Roman"/>
                <w:color w:val="000000" w:themeColor="text1"/>
                <w:kern w:val="0"/>
                <w:szCs w:val="24"/>
                <w:vertAlign w:val="superscript"/>
                <w:lang w:bidi="ar"/>
                <w14:textFill>
                  <w14:solidFill>
                    <w14:schemeClr w14:val="tx1"/>
                  </w14:solidFill>
                </w14:textFill>
              </w:rPr>
              <w:t>2-</w:t>
            </w:r>
            <w:r>
              <w:rPr>
                <w:rFonts w:ascii="Times New Roman" w:hAnsi="Times New Roman" w:cs="Times New Roman"/>
                <w:color w:val="000000" w:themeColor="text1"/>
                <w:kern w:val="0"/>
                <w:szCs w:val="24"/>
                <w:lang w:bidi="ar"/>
                <w14:textFill>
                  <w14:solidFill>
                    <w14:schemeClr w14:val="tx1"/>
                  </w14:solidFill>
                </w14:textFill>
              </w:rPr>
              <w:t>、pH、氨氮、</w:t>
            </w:r>
            <w:r>
              <w:rPr>
                <w:rFonts w:hint="eastAsia" w:ascii="Times New Roman" w:hAnsi="Times New Roman" w:cs="Times New Roman"/>
                <w:color w:val="000000" w:themeColor="text1"/>
                <w:kern w:val="0"/>
                <w:szCs w:val="24"/>
                <w:lang w:bidi="ar"/>
                <w14:textFill>
                  <w14:solidFill>
                    <w14:schemeClr w14:val="tx1"/>
                  </w14:solidFill>
                </w14:textFill>
              </w:rPr>
              <w:t>耗氧量、六价铬、总汞、溶解性总固体、菌落总数、总硬度、硝酸盐、亚硝酸盐、氟化物、铅、氰化物、砷、挥发酚、总大肠菌群、镉、铁、锰、石油类。</w:t>
            </w:r>
          </w:p>
          <w:p>
            <w:pPr>
              <w:pStyle w:val="75"/>
              <w:ind w:firstLine="480" w:firstLineChars="200"/>
              <w:rPr>
                <w:rFonts w:ascii="Times New Roman" w:hAnsi="Times New Roman" w:cs="Times New Roman"/>
                <w:color w:val="000000" w:themeColor="text1"/>
                <w:kern w:val="0"/>
                <w:szCs w:val="24"/>
                <w:lang w:bidi="ar"/>
                <w14:textFill>
                  <w14:solidFill>
                    <w14:schemeClr w14:val="tx1"/>
                  </w14:solidFill>
                </w14:textFill>
              </w:rPr>
            </w:pPr>
            <w:r>
              <w:rPr>
                <w:rFonts w:hint="eastAsia" w:ascii="Times New Roman" w:hAnsi="Times New Roman" w:cs="Times New Roman"/>
                <w:color w:val="000000" w:themeColor="text1"/>
                <w:kern w:val="0"/>
                <w:szCs w:val="24"/>
                <w:lang w:bidi="ar"/>
                <w14:textFill>
                  <w14:solidFill>
                    <w14:schemeClr w14:val="tx1"/>
                  </w14:solidFill>
                </w14:textFill>
              </w:rPr>
              <w:t>（3）监测时间及监测频次</w:t>
            </w:r>
          </w:p>
          <w:p>
            <w:pPr>
              <w:pStyle w:val="75"/>
              <w:ind w:firstLine="480" w:firstLineChars="200"/>
              <w:rPr>
                <w:rFonts w:ascii="Times New Roman" w:hAnsi="Times New Roman" w:cs="Times New Roman"/>
                <w:color w:val="000000" w:themeColor="text1"/>
                <w:kern w:val="0"/>
                <w:szCs w:val="24"/>
                <w14:textFill>
                  <w14:solidFill>
                    <w14:schemeClr w14:val="tx1"/>
                  </w14:solidFill>
                </w14:textFill>
              </w:rPr>
            </w:pPr>
            <w:r>
              <w:rPr>
                <w:rFonts w:hint="eastAsia" w:ascii="Times New Roman" w:hAnsi="Times New Roman" w:cs="Times New Roman"/>
                <w:color w:val="000000" w:themeColor="text1"/>
                <w:kern w:val="0"/>
                <w:szCs w:val="24"/>
                <w14:textFill>
                  <w14:solidFill>
                    <w14:schemeClr w14:val="tx1"/>
                  </w14:solidFill>
                </w14:textFill>
              </w:rPr>
              <w:t>本次采样时间为2</w:t>
            </w:r>
            <w:r>
              <w:rPr>
                <w:rFonts w:ascii="Times New Roman" w:hAnsi="Times New Roman" w:cs="Times New Roman"/>
                <w:color w:val="000000" w:themeColor="text1"/>
                <w:kern w:val="0"/>
                <w:szCs w:val="24"/>
                <w14:textFill>
                  <w14:solidFill>
                    <w14:schemeClr w14:val="tx1"/>
                  </w14:solidFill>
                </w14:textFill>
              </w:rPr>
              <w:t>022</w:t>
            </w:r>
            <w:r>
              <w:rPr>
                <w:rFonts w:hint="eastAsia" w:ascii="Times New Roman" w:hAnsi="Times New Roman" w:cs="Times New Roman"/>
                <w:color w:val="000000" w:themeColor="text1"/>
                <w:kern w:val="0"/>
                <w:szCs w:val="24"/>
                <w14:textFill>
                  <w14:solidFill>
                    <w14:schemeClr w14:val="tx1"/>
                  </w14:solidFill>
                </w14:textFill>
              </w:rPr>
              <w:t>年8月1</w:t>
            </w:r>
            <w:r>
              <w:rPr>
                <w:rFonts w:ascii="Times New Roman" w:hAnsi="Times New Roman" w:cs="Times New Roman"/>
                <w:color w:val="000000" w:themeColor="text1"/>
                <w:kern w:val="0"/>
                <w:szCs w:val="24"/>
                <w14:textFill>
                  <w14:solidFill>
                    <w14:schemeClr w14:val="tx1"/>
                  </w14:solidFill>
                </w14:textFill>
              </w:rPr>
              <w:t>2</w:t>
            </w:r>
            <w:r>
              <w:rPr>
                <w:rFonts w:hint="eastAsia" w:ascii="Times New Roman" w:hAnsi="Times New Roman" w:cs="Times New Roman"/>
                <w:color w:val="000000" w:themeColor="text1"/>
                <w:kern w:val="0"/>
                <w:szCs w:val="24"/>
                <w14:textFill>
                  <w14:solidFill>
                    <w14:schemeClr w14:val="tx1"/>
                  </w14:solidFill>
                </w14:textFill>
              </w:rPr>
              <w:t>日，2</w:t>
            </w:r>
            <w:r>
              <w:rPr>
                <w:rFonts w:ascii="Times New Roman" w:hAnsi="Times New Roman" w:cs="Times New Roman"/>
                <w:color w:val="000000" w:themeColor="text1"/>
                <w:kern w:val="0"/>
                <w:szCs w:val="24"/>
                <w14:textFill>
                  <w14:solidFill>
                    <w14:schemeClr w14:val="tx1"/>
                  </w14:solidFill>
                </w14:textFill>
              </w:rPr>
              <w:t>022</w:t>
            </w:r>
            <w:r>
              <w:rPr>
                <w:rFonts w:hint="eastAsia" w:ascii="Times New Roman" w:hAnsi="Times New Roman" w:cs="Times New Roman"/>
                <w:color w:val="000000" w:themeColor="text1"/>
                <w:kern w:val="0"/>
                <w:szCs w:val="24"/>
                <w14:textFill>
                  <w14:solidFill>
                    <w14:schemeClr w14:val="tx1"/>
                  </w14:solidFill>
                </w14:textFill>
              </w:rPr>
              <w:t>年9月2</w:t>
            </w:r>
            <w:r>
              <w:rPr>
                <w:rFonts w:ascii="Times New Roman" w:hAnsi="Times New Roman" w:cs="Times New Roman"/>
                <w:color w:val="000000" w:themeColor="text1"/>
                <w:kern w:val="0"/>
                <w:szCs w:val="24"/>
                <w14:textFill>
                  <w14:solidFill>
                    <w14:schemeClr w14:val="tx1"/>
                  </w14:solidFill>
                </w14:textFill>
              </w:rPr>
              <w:t>9</w:t>
            </w:r>
            <w:r>
              <w:rPr>
                <w:rFonts w:hint="eastAsia" w:ascii="Times New Roman" w:hAnsi="Times New Roman" w:cs="Times New Roman"/>
                <w:color w:val="000000" w:themeColor="text1"/>
                <w:kern w:val="0"/>
                <w:szCs w:val="24"/>
                <w14:textFill>
                  <w14:solidFill>
                    <w14:schemeClr w14:val="tx1"/>
                  </w14:solidFill>
                </w14:textFill>
              </w:rPr>
              <w:t>日（补测），各监测1天，采样1次。</w:t>
            </w:r>
          </w:p>
          <w:p>
            <w:pPr>
              <w:pStyle w:val="75"/>
              <w:ind w:firstLine="480" w:firstLineChars="200"/>
              <w:rPr>
                <w:rFonts w:ascii="Times New Roman" w:hAnsi="Times New Roman" w:cs="Times New Roman"/>
                <w:color w:val="000000" w:themeColor="text1"/>
                <w:kern w:val="0"/>
                <w:szCs w:val="24"/>
                <w14:textFill>
                  <w14:solidFill>
                    <w14:schemeClr w14:val="tx1"/>
                  </w14:solidFill>
                </w14:textFill>
              </w:rPr>
            </w:pPr>
            <w:r>
              <w:rPr>
                <w:rFonts w:ascii="Times New Roman" w:hAnsi="Times New Roman" w:cs="Times New Roman"/>
                <w:color w:val="000000" w:themeColor="text1"/>
                <w:kern w:val="0"/>
                <w:szCs w:val="24"/>
                <w14:textFill>
                  <w14:solidFill>
                    <w14:schemeClr w14:val="tx1"/>
                  </w14:solidFill>
                </w14:textFill>
              </w:rPr>
              <w:t>（4）评价方法</w:t>
            </w:r>
          </w:p>
          <w:p>
            <w:pPr>
              <w:adjustRightInd w:val="0"/>
              <w:snapToGrid w:val="0"/>
              <w:ind w:firstLine="480" w:firstLineChars="200"/>
              <w:rPr>
                <w:color w:val="000000" w:themeColor="text1"/>
                <w14:textFill>
                  <w14:solidFill>
                    <w14:schemeClr w14:val="tx1"/>
                  </w14:solidFill>
                </w14:textFill>
              </w:rPr>
            </w:pPr>
            <w:r>
              <w:rPr>
                <w:color w:val="000000" w:themeColor="text1"/>
                <w:kern w:val="0"/>
                <w:sz w:val="24"/>
                <w:lang w:bidi="ar"/>
                <w14:textFill>
                  <w14:solidFill>
                    <w14:schemeClr w14:val="tx1"/>
                  </w14:solidFill>
                </w14:textFill>
              </w:rPr>
              <w:t>本评价采用单因子污染指数法评价地下水质量。</w:t>
            </w:r>
          </w:p>
          <w:p>
            <w:pPr>
              <w:adjustRightInd w:val="0"/>
              <w:snapToGrid w:val="0"/>
              <w:ind w:firstLine="480" w:firstLineChars="200"/>
              <w:rPr>
                <w:color w:val="000000" w:themeColor="text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①</w:t>
            </w:r>
            <w:r>
              <w:rPr>
                <w:color w:val="000000" w:themeColor="text1"/>
                <w:kern w:val="0"/>
                <w:sz w:val="24"/>
                <w:lang w:bidi="ar"/>
                <w14:textFill>
                  <w14:solidFill>
                    <w14:schemeClr w14:val="tx1"/>
                  </w14:solidFill>
                </w14:textFill>
              </w:rPr>
              <w:t>对于评价标准为定值的水质因子，其标准指数计算方法见公式如下：</w:t>
            </w:r>
          </w:p>
          <w:p>
            <w:pPr>
              <w:snapToGrid w:val="0"/>
              <w:jc w:val="center"/>
              <w:rPr>
                <w:i/>
                <w:iCs/>
                <w:color w:val="000000" w:themeColor="text1"/>
                <w:kern w:val="0"/>
                <w:sz w:val="24"/>
                <w14:textFill>
                  <w14:solidFill>
                    <w14:schemeClr w14:val="tx1"/>
                  </w14:solidFill>
                </w14:textFill>
              </w:rPr>
            </w:pPr>
            <w:r>
              <w:rPr>
                <w:i/>
                <w:iCs/>
                <w:color w:val="000000" w:themeColor="text1"/>
                <w:kern w:val="0"/>
                <w:sz w:val="24"/>
                <w14:textFill>
                  <w14:solidFill>
                    <w14:schemeClr w14:val="tx1"/>
                  </w14:solidFill>
                </w14:textFill>
              </w:rPr>
              <w:t>P</w:t>
            </w:r>
            <w:r>
              <w:rPr>
                <w:i/>
                <w:iCs/>
                <w:color w:val="000000" w:themeColor="text1"/>
                <w:kern w:val="0"/>
                <w:sz w:val="24"/>
                <w:vertAlign w:val="subscript"/>
                <w14:textFill>
                  <w14:solidFill>
                    <w14:schemeClr w14:val="tx1"/>
                  </w14:solidFill>
                </w14:textFill>
              </w:rPr>
              <w:t>i</w:t>
            </w:r>
            <w:r>
              <w:rPr>
                <w:i/>
                <w:iCs/>
                <w:color w:val="000000" w:themeColor="text1"/>
                <w:kern w:val="0"/>
                <w:sz w:val="24"/>
                <w14:textFill>
                  <w14:solidFill>
                    <w14:schemeClr w14:val="tx1"/>
                  </w14:solidFill>
                </w14:textFill>
              </w:rPr>
              <w:t>=C</w:t>
            </w:r>
            <w:r>
              <w:rPr>
                <w:i/>
                <w:iCs/>
                <w:color w:val="000000" w:themeColor="text1"/>
                <w:kern w:val="0"/>
                <w:sz w:val="24"/>
                <w:vertAlign w:val="subscript"/>
                <w14:textFill>
                  <w14:solidFill>
                    <w14:schemeClr w14:val="tx1"/>
                  </w14:solidFill>
                </w14:textFill>
              </w:rPr>
              <w:t>i</w:t>
            </w:r>
            <w:r>
              <w:rPr>
                <w:i/>
                <w:iCs/>
                <w:color w:val="000000" w:themeColor="text1"/>
                <w:kern w:val="0"/>
                <w:sz w:val="24"/>
                <w14:textFill>
                  <w14:solidFill>
                    <w14:schemeClr w14:val="tx1"/>
                  </w14:solidFill>
                </w14:textFill>
              </w:rPr>
              <w:t>/C</w:t>
            </w:r>
            <w:r>
              <w:rPr>
                <w:i/>
                <w:iCs/>
                <w:color w:val="000000" w:themeColor="text1"/>
                <w:kern w:val="0"/>
                <w:sz w:val="24"/>
                <w:vertAlign w:val="subscript"/>
                <w14:textFill>
                  <w14:solidFill>
                    <w14:schemeClr w14:val="tx1"/>
                  </w14:solidFill>
                </w14:textFill>
              </w:rPr>
              <w:t>si</w:t>
            </w:r>
          </w:p>
          <w:p>
            <w:pPr>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r>
              <w:rPr>
                <w:i/>
                <w:iCs/>
                <w:color w:val="000000" w:themeColor="text1"/>
                <w:sz w:val="24"/>
                <w14:textFill>
                  <w14:solidFill>
                    <w14:schemeClr w14:val="tx1"/>
                  </w14:solidFill>
                </w14:textFill>
              </w:rPr>
              <w:t>P</w:t>
            </w:r>
            <w:r>
              <w:rPr>
                <w:i/>
                <w:iCs/>
                <w:color w:val="000000" w:themeColor="text1"/>
                <w:sz w:val="24"/>
                <w:vertAlign w:val="subscript"/>
                <w14:textFill>
                  <w14:solidFill>
                    <w14:schemeClr w14:val="tx1"/>
                  </w14:solidFill>
                </w14:textFill>
              </w:rPr>
              <w:t xml:space="preserve">i </w:t>
            </w:r>
            <w:r>
              <w:rPr>
                <w:color w:val="000000" w:themeColor="text1"/>
                <w:sz w:val="24"/>
                <w14:textFill>
                  <w14:solidFill>
                    <w14:schemeClr w14:val="tx1"/>
                  </w14:solidFill>
                </w14:textFill>
              </w:rPr>
              <w:t>—第i个水质因子的标准指数，无量纲；</w:t>
            </w:r>
          </w:p>
          <w:p>
            <w:pPr>
              <w:snapToGrid w:val="0"/>
              <w:ind w:firstLine="1200" w:firstLineChars="500"/>
              <w:rPr>
                <w:color w:val="000000" w:themeColor="text1"/>
                <w:sz w:val="24"/>
                <w14:textFill>
                  <w14:solidFill>
                    <w14:schemeClr w14:val="tx1"/>
                  </w14:solidFill>
                </w14:textFill>
              </w:rPr>
            </w:pPr>
            <w:r>
              <w:rPr>
                <w:i/>
                <w:iCs/>
                <w:color w:val="000000" w:themeColor="text1"/>
                <w:sz w:val="24"/>
                <w14:textFill>
                  <w14:solidFill>
                    <w14:schemeClr w14:val="tx1"/>
                  </w14:solidFill>
                </w14:textFill>
              </w:rPr>
              <w:t>C</w:t>
            </w:r>
            <w:r>
              <w:rPr>
                <w:i/>
                <w:iCs/>
                <w:color w:val="000000" w:themeColor="text1"/>
                <w:sz w:val="24"/>
                <w:vertAlign w:val="subscript"/>
                <w14:textFill>
                  <w14:solidFill>
                    <w14:schemeClr w14:val="tx1"/>
                  </w14:solidFill>
                </w14:textFill>
              </w:rPr>
              <w:t xml:space="preserve">i </w:t>
            </w:r>
            <w:r>
              <w:rPr>
                <w:color w:val="000000" w:themeColor="text1"/>
                <w:sz w:val="24"/>
                <w14:textFill>
                  <w14:solidFill>
                    <w14:schemeClr w14:val="tx1"/>
                  </w14:solidFill>
                </w14:textFill>
              </w:rPr>
              <w:t>—第i个水质因子的监测浓度值，mg/L；</w:t>
            </w:r>
          </w:p>
          <w:p>
            <w:pPr>
              <w:snapToGrid w:val="0"/>
              <w:ind w:firstLine="1200" w:firstLineChars="500"/>
              <w:rPr>
                <w:color w:val="000000" w:themeColor="text1"/>
                <w:sz w:val="24"/>
                <w14:textFill>
                  <w14:solidFill>
                    <w14:schemeClr w14:val="tx1"/>
                  </w14:solidFill>
                </w14:textFill>
              </w:rPr>
            </w:pPr>
            <w:r>
              <w:rPr>
                <w:i/>
                <w:iCs/>
                <w:color w:val="000000" w:themeColor="text1"/>
                <w:sz w:val="24"/>
                <w14:textFill>
                  <w14:solidFill>
                    <w14:schemeClr w14:val="tx1"/>
                  </w14:solidFill>
                </w14:textFill>
              </w:rPr>
              <w:t>C</w:t>
            </w:r>
            <w:r>
              <w:rPr>
                <w:i/>
                <w:iCs/>
                <w:color w:val="000000" w:themeColor="text1"/>
                <w:sz w:val="24"/>
                <w:vertAlign w:val="subscript"/>
                <w14:textFill>
                  <w14:solidFill>
                    <w14:schemeClr w14:val="tx1"/>
                  </w14:solidFill>
                </w14:textFill>
              </w:rPr>
              <w:t>si</w:t>
            </w:r>
            <w:r>
              <w:rPr>
                <w:color w:val="000000" w:themeColor="text1"/>
                <w:sz w:val="24"/>
                <w14:textFill>
                  <w14:solidFill>
                    <w14:schemeClr w14:val="tx1"/>
                  </w14:solidFill>
                </w14:textFill>
              </w:rPr>
              <w:t>—第i个水质因子的标准浓度值，mg/L。</w:t>
            </w:r>
          </w:p>
          <w:p>
            <w:pPr>
              <w:snapToGrid w:val="0"/>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kern w:val="0"/>
                <w:sz w:val="24"/>
                <w:lang w:bidi="ar"/>
                <w14:textFill>
                  <w14:solidFill>
                    <w14:schemeClr w14:val="tx1"/>
                  </w14:solidFill>
                </w14:textFill>
              </w:rPr>
              <w:t xml:space="preserve">对于评价标准为区间的水质因子（如 </w:t>
            </w:r>
            <w:r>
              <w:rPr>
                <w:rFonts w:eastAsia="TimesNewRomanPSMT"/>
                <w:color w:val="000000" w:themeColor="text1"/>
                <w:kern w:val="0"/>
                <w:sz w:val="24"/>
                <w:lang w:bidi="ar"/>
                <w14:textFill>
                  <w14:solidFill>
                    <w14:schemeClr w14:val="tx1"/>
                  </w14:solidFill>
                </w14:textFill>
              </w:rPr>
              <w:t>pH</w:t>
            </w:r>
            <w:r>
              <w:rPr>
                <w:color w:val="000000" w:themeColor="text1"/>
                <w:kern w:val="0"/>
                <w:sz w:val="24"/>
                <w:lang w:bidi="ar"/>
                <w14:textFill>
                  <w14:solidFill>
                    <w14:schemeClr w14:val="tx1"/>
                  </w14:solidFill>
                </w14:textFill>
              </w:rPr>
              <w:t>值），其标准指数计算方法见公式如下：</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drawing>
                <wp:inline distT="0" distB="0" distL="0" distR="0">
                  <wp:extent cx="659765" cy="358140"/>
                  <wp:effectExtent l="0" t="0" r="0" b="0"/>
                  <wp:docPr id="18" name="对象 13"/>
                  <wp:cNvGraphicFramePr/>
                  <a:graphic xmlns:a="http://schemas.openxmlformats.org/drawingml/2006/main">
                    <a:graphicData uri="http://schemas.openxmlformats.org/drawingml/2006/picture">
                      <pic:pic xmlns:pic="http://schemas.openxmlformats.org/drawingml/2006/picture">
                        <pic:nvPicPr>
                          <pic:cNvPr id="18" name="对象 13"/>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59765" cy="358140"/>
                          </a:xfrm>
                          <a:prstGeom prst="rect">
                            <a:avLst/>
                          </a:prstGeom>
                          <a:noFill/>
                          <a:ln>
                            <a:noFill/>
                          </a:ln>
                        </pic:spPr>
                      </pic:pic>
                    </a:graphicData>
                  </a:graphic>
                </wp:inline>
              </w:drawing>
            </w:r>
            <w:r>
              <w:rPr>
                <w:color w:val="000000" w:themeColor="text1"/>
                <w:sz w:val="24"/>
                <w14:textFill>
                  <w14:solidFill>
                    <w14:schemeClr w14:val="tx1"/>
                  </w14:solidFill>
                </w14:textFill>
              </w:rPr>
              <w:t xml:space="preserve">              pH≤7时</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drawing>
                <wp:inline distT="0" distB="0" distL="0" distR="0">
                  <wp:extent cx="640715" cy="358140"/>
                  <wp:effectExtent l="0" t="0" r="0" b="0"/>
                  <wp:docPr id="19" name="对象 14"/>
                  <wp:cNvGraphicFramePr/>
                  <a:graphic xmlns:a="http://schemas.openxmlformats.org/drawingml/2006/main">
                    <a:graphicData uri="http://schemas.openxmlformats.org/drawingml/2006/picture">
                      <pic:pic xmlns:pic="http://schemas.openxmlformats.org/drawingml/2006/picture">
                        <pic:nvPicPr>
                          <pic:cNvPr id="19" name="对象 14"/>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0715" cy="358140"/>
                          </a:xfrm>
                          <a:prstGeom prst="rect">
                            <a:avLst/>
                          </a:prstGeom>
                          <a:noFill/>
                          <a:ln>
                            <a:noFill/>
                          </a:ln>
                        </pic:spPr>
                      </pic:pic>
                    </a:graphicData>
                  </a:graphic>
                </wp:inline>
              </w:drawing>
            </w:r>
            <w:r>
              <w:rPr>
                <w:color w:val="000000" w:themeColor="text1"/>
                <w:sz w:val="24"/>
                <w14:textFill>
                  <w14:solidFill>
                    <w14:schemeClr w14:val="tx1"/>
                  </w14:solidFill>
                </w14:textFill>
              </w:rPr>
              <w:t xml:space="preserve">              pH＞7时</w:t>
            </w:r>
          </w:p>
          <w:p>
            <w:pPr>
              <w:snapToGrid w:val="0"/>
              <w:ind w:firstLine="480" w:firstLineChars="200"/>
              <w:rPr>
                <w:color w:val="000000" w:themeColor="text1"/>
                <w:kern w:val="0"/>
                <w:sz w:val="24"/>
                <w14:textFill>
                  <w14:solidFill>
                    <w14:schemeClr w14:val="tx1"/>
                  </w14:solidFill>
                </w14:textFill>
              </w:rPr>
            </w:pPr>
            <w:r>
              <w:rPr>
                <w:snapToGrid w:val="0"/>
                <w:color w:val="000000" w:themeColor="text1"/>
                <w:sz w:val="24"/>
                <w14:textFill>
                  <w14:solidFill>
                    <w14:schemeClr w14:val="tx1"/>
                  </w14:solidFill>
                </w14:textFill>
              </w:rPr>
              <w:t>式中：</w:t>
            </w:r>
            <w:r>
              <w:rPr>
                <w:i/>
                <w:iCs/>
                <w:color w:val="000000" w:themeColor="text1"/>
                <w:sz w:val="24"/>
                <w14:textFill>
                  <w14:solidFill>
                    <w14:schemeClr w14:val="tx1"/>
                  </w14:solidFill>
                </w14:textFill>
              </w:rPr>
              <w:t>P</w:t>
            </w:r>
            <w:r>
              <w:rPr>
                <w:i/>
                <w:iCs/>
                <w:color w:val="000000" w:themeColor="text1"/>
                <w:sz w:val="24"/>
                <w:vertAlign w:val="subscript"/>
                <w14:textFill>
                  <w14:solidFill>
                    <w14:schemeClr w14:val="tx1"/>
                  </w14:solidFill>
                </w14:textFill>
              </w:rPr>
              <w:t>pH</w:t>
            </w:r>
            <w:r>
              <w:rPr>
                <w:color w:val="000000" w:themeColor="text1"/>
                <w:kern w:val="0"/>
                <w:sz w:val="24"/>
                <w14:textFill>
                  <w14:solidFill>
                    <w14:schemeClr w14:val="tx1"/>
                  </w14:solidFill>
                </w14:textFill>
              </w:rPr>
              <w:t>—pH的标准指数，无量纲；</w:t>
            </w:r>
          </w:p>
          <w:p>
            <w:pPr>
              <w:snapToGrid w:val="0"/>
              <w:ind w:firstLine="1200" w:firstLineChars="500"/>
              <w:rPr>
                <w:color w:val="000000" w:themeColor="text1"/>
                <w:kern w:val="0"/>
                <w:sz w:val="24"/>
                <w14:textFill>
                  <w14:solidFill>
                    <w14:schemeClr w14:val="tx1"/>
                  </w14:solidFill>
                </w14:textFill>
              </w:rPr>
            </w:pPr>
            <w:r>
              <w:rPr>
                <w:i/>
                <w:iCs/>
                <w:color w:val="000000" w:themeColor="text1"/>
                <w:sz w:val="24"/>
                <w14:textFill>
                  <w14:solidFill>
                    <w14:schemeClr w14:val="tx1"/>
                  </w14:solidFill>
                </w14:textFill>
              </w:rPr>
              <w:t>pH</w:t>
            </w:r>
            <w:r>
              <w:rPr>
                <w:color w:val="000000" w:themeColor="text1"/>
                <w:sz w:val="24"/>
                <w14:textFill>
                  <w14:solidFill>
                    <w14:schemeClr w14:val="tx1"/>
                  </w14:solidFill>
                </w14:textFill>
              </w:rPr>
              <w:t>—pH监测值；</w:t>
            </w:r>
          </w:p>
          <w:p>
            <w:pPr>
              <w:snapToGrid w:val="0"/>
              <w:ind w:firstLine="1200" w:firstLineChars="500"/>
              <w:rPr>
                <w:color w:val="000000" w:themeColor="text1"/>
                <w:sz w:val="24"/>
                <w14:textFill>
                  <w14:solidFill>
                    <w14:schemeClr w14:val="tx1"/>
                  </w14:solidFill>
                </w14:textFill>
              </w:rPr>
            </w:pPr>
            <w:r>
              <w:rPr>
                <w:i/>
                <w:iCs/>
                <w:color w:val="000000" w:themeColor="text1"/>
                <w:sz w:val="24"/>
                <w14:textFill>
                  <w14:solidFill>
                    <w14:schemeClr w14:val="tx1"/>
                  </w14:solidFill>
                </w14:textFill>
              </w:rPr>
              <w:t>pH</w:t>
            </w:r>
            <w:r>
              <w:rPr>
                <w:i/>
                <w:iCs/>
                <w:color w:val="000000" w:themeColor="text1"/>
                <w:sz w:val="24"/>
                <w:vertAlign w:val="subscript"/>
                <w14:textFill>
                  <w14:solidFill>
                    <w14:schemeClr w14:val="tx1"/>
                  </w14:solidFill>
                </w14:textFill>
              </w:rPr>
              <w:t>su</w:t>
            </w:r>
            <w:r>
              <w:rPr>
                <w:color w:val="000000" w:themeColor="text1"/>
                <w:sz w:val="24"/>
                <w14:textFill>
                  <w14:solidFill>
                    <w14:schemeClr w14:val="tx1"/>
                  </w14:solidFill>
                </w14:textFill>
              </w:rPr>
              <w:t>—标准中pH的上限值；</w:t>
            </w:r>
          </w:p>
          <w:p>
            <w:pPr>
              <w:snapToGrid w:val="0"/>
              <w:ind w:firstLine="1200" w:firstLineChars="500"/>
              <w:rPr>
                <w:color w:val="000000" w:themeColor="text1"/>
                <w:sz w:val="24"/>
                <w14:textFill>
                  <w14:solidFill>
                    <w14:schemeClr w14:val="tx1"/>
                  </w14:solidFill>
                </w14:textFill>
              </w:rPr>
            </w:pPr>
            <w:r>
              <w:rPr>
                <w:i/>
                <w:iCs/>
                <w:color w:val="000000" w:themeColor="text1"/>
                <w:sz w:val="24"/>
                <w14:textFill>
                  <w14:solidFill>
                    <w14:schemeClr w14:val="tx1"/>
                  </w14:solidFill>
                </w14:textFill>
              </w:rPr>
              <w:t>pH</w:t>
            </w:r>
            <w:r>
              <w:rPr>
                <w:i/>
                <w:iCs/>
                <w:color w:val="000000" w:themeColor="text1"/>
                <w:sz w:val="24"/>
                <w:vertAlign w:val="subscript"/>
                <w14:textFill>
                  <w14:solidFill>
                    <w14:schemeClr w14:val="tx1"/>
                  </w14:solidFill>
                </w14:textFill>
              </w:rPr>
              <w:t>sd</w:t>
            </w:r>
            <w:r>
              <w:rPr>
                <w:color w:val="000000" w:themeColor="text1"/>
                <w:sz w:val="24"/>
                <w14:textFill>
                  <w14:solidFill>
                    <w14:schemeClr w14:val="tx1"/>
                  </w14:solidFill>
                </w14:textFill>
              </w:rPr>
              <w:t>—标准中pH的下限值。</w:t>
            </w:r>
          </w:p>
          <w:p>
            <w:pPr>
              <w:pStyle w:val="75"/>
              <w:ind w:firstLine="480" w:firstLineChars="200"/>
              <w:rPr>
                <w:rFonts w:ascii="Times New Roman" w:hAnsi="Times New Roman" w:cs="Times New Roman"/>
                <w:color w:val="000000" w:themeColor="text1"/>
                <w:kern w:val="0"/>
                <w:szCs w:val="24"/>
                <w14:textFill>
                  <w14:solidFill>
                    <w14:schemeClr w14:val="tx1"/>
                  </w14:solidFill>
                </w14:textFill>
              </w:rPr>
            </w:pPr>
            <w:r>
              <w:rPr>
                <w:rFonts w:hint="eastAsia" w:ascii="Times New Roman" w:hAnsi="Times New Roman" w:cs="Times New Roman"/>
                <w:color w:val="000000" w:themeColor="text1"/>
                <w:kern w:val="0"/>
                <w:szCs w:val="24"/>
                <w14:textFill>
                  <w14:solidFill>
                    <w14:schemeClr w14:val="tx1"/>
                  </w14:solidFill>
                </w14:textFill>
              </w:rPr>
              <w:t>（5）监测结果</w:t>
            </w:r>
          </w:p>
          <w:p>
            <w:pPr>
              <w:adjustRightInd w:val="0"/>
              <w:snapToGrid w:val="0"/>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监测结果统计，见表3.5</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1和表3.5</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2。</w:t>
            </w:r>
          </w:p>
          <w:p>
            <w:pPr>
              <w:adjustRightInd w:val="0"/>
              <w:snapToGrid w:val="0"/>
              <w:spacing w:line="240" w:lineRule="auto"/>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表3.5</w:t>
            </w:r>
            <w:r>
              <w:rPr>
                <w:rFonts w:hint="eastAsia"/>
                <w:b/>
                <w:bCs/>
                <w:color w:val="000000" w:themeColor="text1"/>
                <w:kern w:val="0"/>
                <w:sz w:val="24"/>
                <w14:textFill>
                  <w14:solidFill>
                    <w14:schemeClr w14:val="tx1"/>
                  </w14:solidFill>
                </w14:textFill>
              </w:rPr>
              <w:t>-</w:t>
            </w:r>
            <w:r>
              <w:rPr>
                <w:b/>
                <w:bCs/>
                <w:color w:val="000000" w:themeColor="text1"/>
                <w:kern w:val="0"/>
                <w:sz w:val="24"/>
                <w14:textFill>
                  <w14:solidFill>
                    <w14:schemeClr w14:val="tx1"/>
                  </w14:solidFill>
                </w14:textFill>
              </w:rPr>
              <w:t>1  地下水（八大离子）现状监测结果统计表  单位：mg/L</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6"/>
              <w:gridCol w:w="783"/>
              <w:gridCol w:w="783"/>
              <w:gridCol w:w="783"/>
              <w:gridCol w:w="783"/>
              <w:gridCol w:w="783"/>
              <w:gridCol w:w="783"/>
              <w:gridCol w:w="784"/>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监测项目</w:t>
                  </w:r>
                </w:p>
              </w:tc>
              <w:tc>
                <w:tcPr>
                  <w:tcW w:w="469" w:type="pct"/>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K</w:t>
                  </w:r>
                  <w:r>
                    <w:rPr>
                      <w:color w:val="000000" w:themeColor="text1"/>
                      <w:szCs w:val="21"/>
                      <w:vertAlign w:val="superscript"/>
                      <w14:textFill>
                        <w14:solidFill>
                          <w14:schemeClr w14:val="tx1"/>
                        </w14:solidFill>
                      </w14:textFill>
                    </w:rPr>
                    <w:t>+</w:t>
                  </w:r>
                </w:p>
              </w:tc>
              <w:tc>
                <w:tcPr>
                  <w:tcW w:w="469" w:type="pct"/>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Na</w:t>
                  </w:r>
                  <w:r>
                    <w:rPr>
                      <w:color w:val="000000" w:themeColor="text1"/>
                      <w:szCs w:val="21"/>
                      <w:vertAlign w:val="superscript"/>
                      <w14:textFill>
                        <w14:solidFill>
                          <w14:schemeClr w14:val="tx1"/>
                        </w14:solidFill>
                      </w14:textFill>
                    </w:rPr>
                    <w:t>+</w:t>
                  </w:r>
                </w:p>
              </w:tc>
              <w:tc>
                <w:tcPr>
                  <w:tcW w:w="469" w:type="pct"/>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Ca</w:t>
                  </w:r>
                  <w:r>
                    <w:rPr>
                      <w:color w:val="000000" w:themeColor="text1"/>
                      <w:szCs w:val="21"/>
                      <w:vertAlign w:val="superscript"/>
                      <w14:textFill>
                        <w14:solidFill>
                          <w14:schemeClr w14:val="tx1"/>
                        </w14:solidFill>
                      </w14:textFill>
                    </w:rPr>
                    <w:t>2+</w:t>
                  </w:r>
                </w:p>
              </w:tc>
              <w:tc>
                <w:tcPr>
                  <w:tcW w:w="469" w:type="pct"/>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Mg</w:t>
                  </w:r>
                  <w:r>
                    <w:rPr>
                      <w:color w:val="000000" w:themeColor="text1"/>
                      <w:szCs w:val="21"/>
                      <w:vertAlign w:val="superscript"/>
                      <w14:textFill>
                        <w14:solidFill>
                          <w14:schemeClr w14:val="tx1"/>
                        </w14:solidFill>
                      </w14:textFill>
                    </w:rPr>
                    <w:t>2+</w:t>
                  </w:r>
                </w:p>
              </w:tc>
              <w:tc>
                <w:tcPr>
                  <w:tcW w:w="469" w:type="pct"/>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CO</w:t>
                  </w:r>
                  <w:r>
                    <w:rPr>
                      <w:color w:val="000000" w:themeColor="text1"/>
                      <w:szCs w:val="21"/>
                      <w:vertAlign w:val="subscript"/>
                      <w14:textFill>
                        <w14:solidFill>
                          <w14:schemeClr w14:val="tx1"/>
                        </w14:solidFill>
                      </w14:textFill>
                    </w:rPr>
                    <w:t>3</w:t>
                  </w:r>
                  <w:r>
                    <w:rPr>
                      <w:color w:val="000000" w:themeColor="text1"/>
                      <w:szCs w:val="21"/>
                      <w:vertAlign w:val="superscript"/>
                      <w14:textFill>
                        <w14:solidFill>
                          <w14:schemeClr w14:val="tx1"/>
                        </w14:solidFill>
                      </w14:textFill>
                    </w:rPr>
                    <w:t>2-</w:t>
                  </w:r>
                </w:p>
              </w:tc>
              <w:tc>
                <w:tcPr>
                  <w:tcW w:w="469" w:type="pct"/>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HCO</w:t>
                  </w:r>
                  <w:r>
                    <w:rPr>
                      <w:color w:val="000000" w:themeColor="text1"/>
                      <w:szCs w:val="21"/>
                      <w:vertAlign w:val="subscript"/>
                      <w14:textFill>
                        <w14:solidFill>
                          <w14:schemeClr w14:val="tx1"/>
                        </w14:solidFill>
                      </w14:textFill>
                    </w:rPr>
                    <w:t>3</w:t>
                  </w:r>
                  <w:r>
                    <w:rPr>
                      <w:color w:val="000000" w:themeColor="text1"/>
                      <w:szCs w:val="21"/>
                      <w:vertAlign w:val="superscript"/>
                      <w14:textFill>
                        <w14:solidFill>
                          <w14:schemeClr w14:val="tx1"/>
                        </w14:solidFill>
                      </w14:textFill>
                    </w:rPr>
                    <w:t>-</w:t>
                  </w:r>
                </w:p>
              </w:tc>
              <w:tc>
                <w:tcPr>
                  <w:tcW w:w="469" w:type="pct"/>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Cl</w:t>
                  </w:r>
                  <w:r>
                    <w:rPr>
                      <w:color w:val="000000" w:themeColor="text1"/>
                      <w:szCs w:val="21"/>
                      <w:vertAlign w:val="superscript"/>
                      <w14:textFill>
                        <w14:solidFill>
                          <w14:schemeClr w14:val="tx1"/>
                        </w14:solidFill>
                      </w14:textFill>
                    </w:rPr>
                    <w:t>-</w:t>
                  </w:r>
                </w:p>
              </w:tc>
              <w:tc>
                <w:tcPr>
                  <w:tcW w:w="467" w:type="pct"/>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4</w:t>
                  </w:r>
                  <w:r>
                    <w:rPr>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监测结果</w:t>
                  </w:r>
                </w:p>
              </w:tc>
              <w:tc>
                <w:tcPr>
                  <w:tcW w:w="469"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.20</w:t>
                  </w:r>
                </w:p>
              </w:tc>
              <w:tc>
                <w:tcPr>
                  <w:tcW w:w="469"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.42</w:t>
                  </w:r>
                </w:p>
              </w:tc>
              <w:tc>
                <w:tcPr>
                  <w:tcW w:w="469"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4.0</w:t>
                  </w:r>
                </w:p>
              </w:tc>
              <w:tc>
                <w:tcPr>
                  <w:tcW w:w="469"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1.0</w:t>
                  </w:r>
                </w:p>
              </w:tc>
              <w:tc>
                <w:tcPr>
                  <w:tcW w:w="469"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90</w:t>
                  </w:r>
                </w:p>
              </w:tc>
              <w:tc>
                <w:tcPr>
                  <w:tcW w:w="469"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72</w:t>
                  </w:r>
                </w:p>
              </w:tc>
              <w:tc>
                <w:tcPr>
                  <w:tcW w:w="469"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.57</w:t>
                  </w:r>
                </w:p>
              </w:tc>
              <w:tc>
                <w:tcPr>
                  <w:tcW w:w="467"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8.4</w:t>
                  </w:r>
                </w:p>
              </w:tc>
            </w:tr>
          </w:tbl>
          <w:p>
            <w:pPr>
              <w:adjustRightInd w:val="0"/>
              <w:snapToGrid w:val="0"/>
              <w:spacing w:line="240" w:lineRule="auto"/>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表3.5</w:t>
            </w:r>
            <w:r>
              <w:rPr>
                <w:rFonts w:hint="eastAsia"/>
                <w:b/>
                <w:bCs/>
                <w:color w:val="000000" w:themeColor="text1"/>
                <w:kern w:val="0"/>
                <w:sz w:val="24"/>
                <w14:textFill>
                  <w14:solidFill>
                    <w14:schemeClr w14:val="tx1"/>
                  </w14:solidFill>
                </w14:textFill>
              </w:rPr>
              <w:t>-</w:t>
            </w:r>
            <w:r>
              <w:rPr>
                <w:b/>
                <w:bCs/>
                <w:color w:val="000000" w:themeColor="text1"/>
                <w:kern w:val="0"/>
                <w:sz w:val="24"/>
                <w14:textFill>
                  <w14:solidFill>
                    <w14:schemeClr w14:val="tx1"/>
                  </w14:solidFill>
                </w14:textFill>
              </w:rPr>
              <w:t>2</w:t>
            </w:r>
            <w:r>
              <w:rPr>
                <w:rFonts w:hint="eastAsia"/>
                <w:b/>
                <w:bCs/>
                <w:color w:val="000000" w:themeColor="text1"/>
                <w:kern w:val="0"/>
                <w:sz w:val="24"/>
                <w14:textFill>
                  <w14:solidFill>
                    <w14:schemeClr w14:val="tx1"/>
                  </w14:solidFill>
                </w14:textFill>
              </w:rPr>
              <w:t xml:space="preserve"> </w:t>
            </w:r>
            <w:r>
              <w:rPr>
                <w:b/>
                <w:bCs/>
                <w:color w:val="000000" w:themeColor="text1"/>
                <w:kern w:val="0"/>
                <w:sz w:val="24"/>
                <w14:textFill>
                  <w14:solidFill>
                    <w14:schemeClr w14:val="tx1"/>
                  </w14:solidFill>
                </w14:textFill>
              </w:rPr>
              <w:t xml:space="preserve"> 地下水环境质量现状监测结果表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2207"/>
              <w:gridCol w:w="1233"/>
              <w:gridCol w:w="965"/>
              <w:gridCol w:w="1529"/>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监测点位</w:t>
                  </w:r>
                </w:p>
              </w:tc>
              <w:tc>
                <w:tcPr>
                  <w:tcW w:w="2207"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监测项目</w:t>
                  </w:r>
                </w:p>
              </w:tc>
              <w:tc>
                <w:tcPr>
                  <w:tcW w:w="1233"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监测结果</w:t>
                  </w:r>
                </w:p>
              </w:tc>
              <w:tc>
                <w:tcPr>
                  <w:tcW w:w="965"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Pi</w:t>
                  </w:r>
                </w:p>
              </w:tc>
              <w:tc>
                <w:tcPr>
                  <w:tcW w:w="1529"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标准值</w:t>
                  </w:r>
                  <w:r>
                    <w:rPr>
                      <w:rFonts w:hint="eastAsia"/>
                      <w:b/>
                      <w:bCs/>
                      <w:color w:val="000000" w:themeColor="text1"/>
                      <w:szCs w:val="21"/>
                      <w14:textFill>
                        <w14:solidFill>
                          <w14:schemeClr w14:val="tx1"/>
                        </w14:solidFill>
                      </w14:textFill>
                    </w:rPr>
                    <w:t>（mg</w:t>
                  </w:r>
                  <w:r>
                    <w:rPr>
                      <w:b/>
                      <w:bCs/>
                      <w:color w:val="000000" w:themeColor="text1"/>
                      <w:szCs w:val="21"/>
                      <w14:textFill>
                        <w14:solidFill>
                          <w14:schemeClr w14:val="tx1"/>
                        </w14:solidFill>
                      </w14:textFill>
                    </w:rPr>
                    <w:t>/L</w:t>
                  </w:r>
                  <w:r>
                    <w:rPr>
                      <w:rFonts w:hint="eastAsia"/>
                      <w:b/>
                      <w:bCs/>
                      <w:color w:val="000000" w:themeColor="text1"/>
                      <w:szCs w:val="21"/>
                      <w14:textFill>
                        <w14:solidFill>
                          <w14:schemeClr w14:val="tx1"/>
                        </w14:solidFill>
                      </w14:textFill>
                    </w:rPr>
                    <w:t>）</w:t>
                  </w:r>
                </w:p>
              </w:tc>
              <w:tc>
                <w:tcPr>
                  <w:tcW w:w="1115"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restart"/>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D</w:t>
                  </w:r>
                  <w:r>
                    <w:rPr>
                      <w:color w:val="000000" w:themeColor="text1"/>
                      <w:szCs w:val="21"/>
                      <w14:textFill>
                        <w14:solidFill>
                          <w14:schemeClr w14:val="tx1"/>
                        </w14:solidFill>
                      </w14:textFill>
                    </w:rPr>
                    <w:t>X1</w:t>
                  </w: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pH</w:t>
                  </w:r>
                  <w:r>
                    <w:rPr>
                      <w:rFonts w:hint="eastAsia"/>
                      <w:color w:val="000000" w:themeColor="text1"/>
                      <w:szCs w:val="21"/>
                      <w14:textFill>
                        <w14:solidFill>
                          <w14:schemeClr w14:val="tx1"/>
                        </w14:solidFill>
                      </w14:textFill>
                    </w:rPr>
                    <w:t>（无量纲）</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7</w:t>
                  </w:r>
                  <w:r>
                    <w:rPr>
                      <w:bCs/>
                      <w:color w:val="000000" w:themeColor="text1"/>
                      <w:kern w:val="0"/>
                      <w:szCs w:val="21"/>
                      <w14:textFill>
                        <w14:solidFill>
                          <w14:schemeClr w14:val="tx1"/>
                        </w14:solidFill>
                      </w14:textFill>
                    </w:rPr>
                    <w:t>.9</w:t>
                  </w:r>
                </w:p>
              </w:tc>
              <w:tc>
                <w:tcPr>
                  <w:tcW w:w="965"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.6</w:t>
                  </w:r>
                </w:p>
              </w:tc>
              <w:tc>
                <w:tcPr>
                  <w:tcW w:w="1529"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6.5-8.5</w:t>
                  </w:r>
                </w:p>
              </w:tc>
              <w:tc>
                <w:tcPr>
                  <w:tcW w:w="1115"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耗氧量（mg/L）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2</w:t>
                  </w:r>
                  <w:r>
                    <w:rPr>
                      <w:bCs/>
                      <w:color w:val="000000" w:themeColor="text1"/>
                      <w:kern w:val="0"/>
                      <w:szCs w:val="21"/>
                      <w14:textFill>
                        <w14:solidFill>
                          <w14:schemeClr w14:val="tx1"/>
                        </w14:solidFill>
                      </w14:textFill>
                    </w:rPr>
                    <w:t>.80</w:t>
                  </w:r>
                </w:p>
              </w:tc>
              <w:tc>
                <w:tcPr>
                  <w:tcW w:w="965"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.93</w:t>
                  </w:r>
                </w:p>
              </w:tc>
              <w:tc>
                <w:tcPr>
                  <w:tcW w:w="1529"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≤3.0</w:t>
                  </w:r>
                </w:p>
              </w:tc>
              <w:tc>
                <w:tcPr>
                  <w:tcW w:w="1115"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总硬度（mg/L）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2</w:t>
                  </w:r>
                  <w:r>
                    <w:rPr>
                      <w:bCs/>
                      <w:color w:val="000000" w:themeColor="text1"/>
                      <w:kern w:val="0"/>
                      <w:szCs w:val="21"/>
                      <w14:textFill>
                        <w14:solidFill>
                          <w14:schemeClr w14:val="tx1"/>
                        </w14:solidFill>
                      </w14:textFill>
                    </w:rPr>
                    <w:t>32</w:t>
                  </w:r>
                </w:p>
              </w:tc>
              <w:tc>
                <w:tcPr>
                  <w:tcW w:w="965"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.516</w:t>
                  </w:r>
                </w:p>
              </w:tc>
              <w:tc>
                <w:tcPr>
                  <w:tcW w:w="1529"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≤450</w:t>
                  </w:r>
                </w:p>
              </w:tc>
              <w:tc>
                <w:tcPr>
                  <w:tcW w:w="1115"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溶解性总固体（mg/L）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4</w:t>
                  </w:r>
                  <w:r>
                    <w:rPr>
                      <w:bCs/>
                      <w:color w:val="000000" w:themeColor="text1"/>
                      <w:kern w:val="0"/>
                      <w:szCs w:val="21"/>
                      <w14:textFill>
                        <w14:solidFill>
                          <w14:schemeClr w14:val="tx1"/>
                        </w14:solidFill>
                      </w14:textFill>
                    </w:rPr>
                    <w:t>01</w:t>
                  </w:r>
                </w:p>
              </w:tc>
              <w:tc>
                <w:tcPr>
                  <w:tcW w:w="965"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.401</w:t>
                  </w:r>
                </w:p>
              </w:tc>
              <w:tc>
                <w:tcPr>
                  <w:tcW w:w="1529"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w:t>
                  </w:r>
                  <w:r>
                    <w:rPr>
                      <w:bCs/>
                      <w:color w:val="000000" w:themeColor="text1"/>
                      <w:kern w:val="0"/>
                      <w:szCs w:val="21"/>
                      <w14:textFill>
                        <w14:solidFill>
                          <w14:schemeClr w14:val="tx1"/>
                        </w14:solidFill>
                      </w14:textFill>
                    </w:rPr>
                    <w:t>1000</w:t>
                  </w:r>
                </w:p>
              </w:tc>
              <w:tc>
                <w:tcPr>
                  <w:tcW w:w="1115"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氨氮（mg/L）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.259</w:t>
                  </w:r>
                </w:p>
              </w:tc>
              <w:tc>
                <w:tcPr>
                  <w:tcW w:w="965"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.518</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≤0.50</w:t>
                  </w:r>
                </w:p>
              </w:tc>
              <w:tc>
                <w:tcPr>
                  <w:tcW w:w="1115"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六价铬（mg/L）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.011</w:t>
                  </w:r>
                </w:p>
              </w:tc>
              <w:tc>
                <w:tcPr>
                  <w:tcW w:w="965"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.22</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1115"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挥发酚（mg/L）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.003L</w:t>
                  </w:r>
                </w:p>
              </w:tc>
              <w:tc>
                <w:tcPr>
                  <w:tcW w:w="965"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w:t>
                  </w:r>
                </w:p>
              </w:tc>
              <w:tc>
                <w:tcPr>
                  <w:tcW w:w="1115"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镉（</w:t>
                  </w:r>
                  <w:r>
                    <w:rPr>
                      <w:bCs/>
                      <w:color w:val="000000" w:themeColor="text1"/>
                      <w:kern w:val="0"/>
                      <w:szCs w:val="21"/>
                      <w14:textFill>
                        <w14:solidFill>
                          <w14:schemeClr w14:val="tx1"/>
                        </w14:solidFill>
                      </w14:textFill>
                    </w:rPr>
                    <w:t>μ</w:t>
                  </w:r>
                  <w:r>
                    <w:rPr>
                      <w:rFonts w:hint="eastAsia"/>
                      <w:bCs/>
                      <w:color w:val="000000" w:themeColor="text1"/>
                      <w:kern w:val="0"/>
                      <w:szCs w:val="21"/>
                      <w14:textFill>
                        <w14:solidFill>
                          <w14:schemeClr w14:val="tx1"/>
                        </w14:solidFill>
                      </w14:textFill>
                    </w:rPr>
                    <w:t>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.03L</w:t>
                  </w:r>
                </w:p>
              </w:tc>
              <w:tc>
                <w:tcPr>
                  <w:tcW w:w="965"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≤0.005</w:t>
                  </w:r>
                </w:p>
              </w:tc>
              <w:tc>
                <w:tcPr>
                  <w:tcW w:w="1115"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铁（mg/L）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.05</w:t>
                  </w:r>
                </w:p>
              </w:tc>
              <w:tc>
                <w:tcPr>
                  <w:tcW w:w="965"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.167</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w:t>
                  </w:r>
                </w:p>
              </w:tc>
              <w:tc>
                <w:tcPr>
                  <w:tcW w:w="1115"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锰（mg/L）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.01L</w:t>
                  </w:r>
                </w:p>
              </w:tc>
              <w:tc>
                <w:tcPr>
                  <w:tcW w:w="965"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≤0.10</w:t>
                  </w:r>
                </w:p>
              </w:tc>
              <w:tc>
                <w:tcPr>
                  <w:tcW w:w="1115"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总汞（</w:t>
                  </w:r>
                  <w:r>
                    <w:rPr>
                      <w:bCs/>
                      <w:color w:val="000000" w:themeColor="text1"/>
                      <w:kern w:val="0"/>
                      <w:szCs w:val="21"/>
                      <w14:textFill>
                        <w14:solidFill>
                          <w14:schemeClr w14:val="tx1"/>
                        </w14:solidFill>
                      </w14:textFill>
                    </w:rPr>
                    <w:t>μg/L）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.04L</w:t>
                  </w:r>
                </w:p>
              </w:tc>
              <w:tc>
                <w:tcPr>
                  <w:tcW w:w="965"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w:t>
                  </w:r>
                </w:p>
              </w:tc>
              <w:tc>
                <w:tcPr>
                  <w:tcW w:w="1115"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砷（</w:t>
                  </w:r>
                  <w:r>
                    <w:rPr>
                      <w:bCs/>
                      <w:color w:val="000000" w:themeColor="text1"/>
                      <w:kern w:val="0"/>
                      <w:szCs w:val="21"/>
                      <w14:textFill>
                        <w14:solidFill>
                          <w14:schemeClr w14:val="tx1"/>
                        </w14:solidFill>
                      </w14:textFill>
                    </w:rPr>
                    <w:t>μg/L）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.3L</w:t>
                  </w:r>
                </w:p>
              </w:tc>
              <w:tc>
                <w:tcPr>
                  <w:tcW w:w="965"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115"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铅（</w:t>
                  </w:r>
                  <w:r>
                    <w:rPr>
                      <w:bCs/>
                      <w:color w:val="000000" w:themeColor="text1"/>
                      <w:kern w:val="0"/>
                      <w:szCs w:val="21"/>
                      <w14:textFill>
                        <w14:solidFill>
                          <w14:schemeClr w14:val="tx1"/>
                        </w14:solidFill>
                      </w14:textFill>
                    </w:rPr>
                    <w:t>μg/L）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.40L</w:t>
                  </w:r>
                </w:p>
              </w:tc>
              <w:tc>
                <w:tcPr>
                  <w:tcW w:w="965"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115" w:type="dxa"/>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氯化物（mg/L）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5</w:t>
                  </w:r>
                  <w:r>
                    <w:rPr>
                      <w:bCs/>
                      <w:color w:val="000000" w:themeColor="text1"/>
                      <w:kern w:val="0"/>
                      <w:szCs w:val="21"/>
                      <w14:textFill>
                        <w14:solidFill>
                          <w14:schemeClr w14:val="tx1"/>
                        </w14:solidFill>
                      </w14:textFill>
                    </w:rPr>
                    <w:t>.57</w:t>
                  </w:r>
                </w:p>
              </w:tc>
              <w:tc>
                <w:tcPr>
                  <w:tcW w:w="965" w:type="dxa"/>
                  <w:shd w:val="clear" w:color="auto" w:fill="auto"/>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.0255</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w:t>
                  </w:r>
                </w:p>
              </w:tc>
              <w:tc>
                <w:tcPr>
                  <w:tcW w:w="1115"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硫酸盐（mg/L）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w:t>
                  </w:r>
                  <w:r>
                    <w:rPr>
                      <w:bCs/>
                      <w:color w:val="000000" w:themeColor="text1"/>
                      <w:kern w:val="0"/>
                      <w:szCs w:val="21"/>
                      <w14:textFill>
                        <w14:solidFill>
                          <w14:schemeClr w14:val="tx1"/>
                        </w14:solidFill>
                      </w14:textFill>
                    </w:rPr>
                    <w:t>8.4</w:t>
                  </w:r>
                </w:p>
              </w:tc>
              <w:tc>
                <w:tcPr>
                  <w:tcW w:w="965" w:type="dxa"/>
                  <w:shd w:val="clear" w:color="auto" w:fill="auto"/>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.074</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w:t>
                  </w:r>
                </w:p>
              </w:tc>
              <w:tc>
                <w:tcPr>
                  <w:tcW w:w="1115"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硝酸盐（mg/L）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.23</w:t>
                  </w:r>
                </w:p>
              </w:tc>
              <w:tc>
                <w:tcPr>
                  <w:tcW w:w="965" w:type="dxa"/>
                  <w:shd w:val="clear" w:color="auto" w:fill="auto"/>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.012</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1115"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亚硝酸盐（mg/L）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.16</w:t>
                  </w:r>
                </w:p>
              </w:tc>
              <w:tc>
                <w:tcPr>
                  <w:tcW w:w="965" w:type="dxa"/>
                  <w:shd w:val="clear" w:color="auto" w:fill="auto"/>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.16</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1115"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氟化物（mg/L）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.20</w:t>
                  </w:r>
                </w:p>
              </w:tc>
              <w:tc>
                <w:tcPr>
                  <w:tcW w:w="965" w:type="dxa"/>
                  <w:shd w:val="clear" w:color="auto" w:fill="auto"/>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.20</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115"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氰化物（mg/L）</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.002L</w:t>
                  </w:r>
                </w:p>
              </w:tc>
              <w:tc>
                <w:tcPr>
                  <w:tcW w:w="965" w:type="dxa"/>
                  <w:shd w:val="clear" w:color="auto" w:fill="auto"/>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1115"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菌落总数（C</w:t>
                  </w:r>
                  <w:r>
                    <w:rPr>
                      <w:bCs/>
                      <w:color w:val="000000" w:themeColor="text1"/>
                      <w:kern w:val="0"/>
                      <w:szCs w:val="21"/>
                      <w14:textFill>
                        <w14:solidFill>
                          <w14:schemeClr w14:val="tx1"/>
                        </w14:solidFill>
                      </w14:textFill>
                    </w:rPr>
                    <w:t>PU/</w:t>
                  </w:r>
                  <w:r>
                    <w:rPr>
                      <w:rFonts w:hint="eastAsia"/>
                      <w:bCs/>
                      <w:color w:val="000000" w:themeColor="text1"/>
                      <w:kern w:val="0"/>
                      <w:szCs w:val="21"/>
                      <w14:textFill>
                        <w14:solidFill>
                          <w14:schemeClr w14:val="tx1"/>
                        </w14:solidFill>
                      </w14:textFill>
                    </w:rPr>
                    <w:t>m</w:t>
                  </w:r>
                  <w:r>
                    <w:rPr>
                      <w:bCs/>
                      <w:color w:val="000000" w:themeColor="text1"/>
                      <w:kern w:val="0"/>
                      <w:szCs w:val="21"/>
                      <w14:textFill>
                        <w14:solidFill>
                          <w14:schemeClr w14:val="tx1"/>
                        </w14:solidFill>
                      </w14:textFill>
                    </w:rPr>
                    <w:t>L</w:t>
                  </w:r>
                  <w:r>
                    <w:rPr>
                      <w:rFonts w:hint="eastAsia"/>
                      <w:bCs/>
                      <w:color w:val="000000" w:themeColor="text1"/>
                      <w:kern w:val="0"/>
                      <w:szCs w:val="21"/>
                      <w14:textFill>
                        <w14:solidFill>
                          <w14:schemeClr w14:val="tx1"/>
                        </w14:solidFill>
                      </w14:textFill>
                    </w:rPr>
                    <w:t>）</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6</w:t>
                  </w:r>
                  <w:r>
                    <w:rPr>
                      <w:bCs/>
                      <w:color w:val="000000" w:themeColor="text1"/>
                      <w:kern w:val="0"/>
                      <w:szCs w:val="21"/>
                      <w14:textFill>
                        <w14:solidFill>
                          <w14:schemeClr w14:val="tx1"/>
                        </w14:solidFill>
                      </w14:textFill>
                    </w:rPr>
                    <w:t>2</w:t>
                  </w:r>
                </w:p>
              </w:tc>
              <w:tc>
                <w:tcPr>
                  <w:tcW w:w="965" w:type="dxa"/>
                  <w:shd w:val="clear" w:color="auto" w:fill="auto"/>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.62</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1115"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总大肠菌群（M</w:t>
                  </w:r>
                  <w:r>
                    <w:rPr>
                      <w:bCs/>
                      <w:color w:val="000000" w:themeColor="text1"/>
                      <w:kern w:val="0"/>
                      <w:szCs w:val="21"/>
                      <w14:textFill>
                        <w14:solidFill>
                          <w14:schemeClr w14:val="tx1"/>
                        </w14:solidFill>
                      </w14:textFill>
                    </w:rPr>
                    <w:t>PN/100</w:t>
                  </w:r>
                  <w:r>
                    <w:rPr>
                      <w:rFonts w:hint="eastAsia"/>
                      <w:bCs/>
                      <w:color w:val="000000" w:themeColor="text1"/>
                      <w:kern w:val="0"/>
                      <w:szCs w:val="21"/>
                      <w14:textFill>
                        <w14:solidFill>
                          <w14:schemeClr w14:val="tx1"/>
                        </w14:solidFill>
                      </w14:textFill>
                    </w:rPr>
                    <w:t>m</w:t>
                  </w:r>
                  <w:r>
                    <w:rPr>
                      <w:bCs/>
                      <w:color w:val="000000" w:themeColor="text1"/>
                      <w:kern w:val="0"/>
                      <w:szCs w:val="21"/>
                      <w14:textFill>
                        <w14:solidFill>
                          <w14:schemeClr w14:val="tx1"/>
                        </w14:solidFill>
                      </w14:textFill>
                    </w:rPr>
                    <w:t>L</w:t>
                  </w:r>
                  <w:r>
                    <w:rPr>
                      <w:rFonts w:hint="eastAsia"/>
                      <w:bCs/>
                      <w:color w:val="000000" w:themeColor="text1"/>
                      <w:kern w:val="0"/>
                      <w:szCs w:val="21"/>
                      <w14:textFill>
                        <w14:solidFill>
                          <w14:schemeClr w14:val="tx1"/>
                        </w14:solidFill>
                      </w14:textFill>
                    </w:rPr>
                    <w:t>）</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未检出</w:t>
                  </w:r>
                </w:p>
              </w:tc>
              <w:tc>
                <w:tcPr>
                  <w:tcW w:w="965" w:type="dxa"/>
                  <w:shd w:val="clear" w:color="auto" w:fill="auto"/>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1115" w:type="dxa"/>
                  <w:shd w:val="clear" w:color="auto" w:fill="auto"/>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77" w:type="dxa"/>
                  <w:vMerge w:val="continue"/>
                  <w:shd w:val="clear" w:color="auto" w:fill="auto"/>
                  <w:vAlign w:val="center"/>
                </w:tcPr>
                <w:p>
                  <w:pPr>
                    <w:adjustRightInd w:val="0"/>
                    <w:snapToGrid w:val="0"/>
                    <w:spacing w:line="240" w:lineRule="auto"/>
                    <w:jc w:val="center"/>
                    <w:rPr>
                      <w:b/>
                      <w:bCs/>
                      <w:color w:val="000000" w:themeColor="text1"/>
                      <w:kern w:val="0"/>
                      <w:szCs w:val="21"/>
                      <w14:textFill>
                        <w14:solidFill>
                          <w14:schemeClr w14:val="tx1"/>
                        </w14:solidFill>
                      </w14:textFill>
                    </w:rPr>
                  </w:pPr>
                </w:p>
              </w:tc>
              <w:tc>
                <w:tcPr>
                  <w:tcW w:w="2207"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石油类</w:t>
                  </w:r>
                </w:p>
              </w:tc>
              <w:tc>
                <w:tcPr>
                  <w:tcW w:w="1233" w:type="dxa"/>
                  <w:shd w:val="clear" w:color="auto" w:fill="auto"/>
                  <w:vAlign w:val="center"/>
                </w:tcPr>
                <w:p>
                  <w:pPr>
                    <w:adjustRightInd w:val="0"/>
                    <w:snapToGrid w:val="0"/>
                    <w:spacing w:line="240" w:lineRule="auto"/>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r>
                    <w:rPr>
                      <w:bCs/>
                      <w:color w:val="000000" w:themeColor="text1"/>
                      <w:kern w:val="0"/>
                      <w:szCs w:val="21"/>
                      <w14:textFill>
                        <w14:solidFill>
                          <w14:schemeClr w14:val="tx1"/>
                        </w14:solidFill>
                      </w14:textFill>
                    </w:rPr>
                    <w:t>.03</w:t>
                  </w:r>
                </w:p>
              </w:tc>
              <w:tc>
                <w:tcPr>
                  <w:tcW w:w="965" w:type="dxa"/>
                  <w:shd w:val="clear" w:color="auto" w:fill="auto"/>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29" w:type="dxa"/>
                  <w:shd w:val="clear" w:color="auto" w:fill="auto"/>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15" w:type="dxa"/>
                  <w:shd w:val="clear" w:color="auto" w:fill="auto"/>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pPr>
              <w:adjustRightInd w:val="0"/>
              <w:snapToGrid w:val="0"/>
              <w:spacing w:before="120" w:beforeLines="50"/>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由表</w:t>
            </w:r>
            <w:r>
              <w:rPr>
                <w:rFonts w:hint="eastAsia" w:eastAsia="TimesNewRomanPSMT"/>
                <w:color w:val="000000" w:themeColor="text1"/>
                <w:kern w:val="0"/>
                <w:sz w:val="24"/>
                <w:lang w:bidi="ar"/>
                <w14:textFill>
                  <w14:solidFill>
                    <w14:schemeClr w14:val="tx1"/>
                  </w14:solidFill>
                </w14:textFill>
              </w:rPr>
              <w:t>3</w:t>
            </w:r>
            <w:r>
              <w:rPr>
                <w:rFonts w:eastAsia="TimesNewRomanPSMT"/>
                <w:color w:val="000000" w:themeColor="text1"/>
                <w:kern w:val="0"/>
                <w:sz w:val="24"/>
                <w:lang w:bidi="ar"/>
                <w14:textFill>
                  <w14:solidFill>
                    <w14:schemeClr w14:val="tx1"/>
                  </w14:solidFill>
                </w14:textFill>
              </w:rPr>
              <w:t>.5-1</w:t>
            </w:r>
            <w:r>
              <w:rPr>
                <w:color w:val="000000" w:themeColor="text1"/>
                <w:kern w:val="0"/>
                <w:sz w:val="24"/>
                <w:lang w:bidi="ar"/>
                <w14:textFill>
                  <w14:solidFill>
                    <w14:schemeClr w14:val="tx1"/>
                  </w14:solidFill>
                </w14:textFill>
              </w:rPr>
              <w:t>中各监测点的阳离子（</w:t>
            </w:r>
            <w:r>
              <w:rPr>
                <w:rFonts w:eastAsia="TimesNewRomanPSMT"/>
                <w:color w:val="000000" w:themeColor="text1"/>
                <w:kern w:val="0"/>
                <w:sz w:val="24"/>
                <w:lang w:bidi="ar"/>
                <w14:textFill>
                  <w14:solidFill>
                    <w14:schemeClr w14:val="tx1"/>
                  </w14:solidFill>
                </w14:textFill>
              </w:rPr>
              <w:t>K</w:t>
            </w:r>
            <w:r>
              <w:rPr>
                <w:rFonts w:eastAsia="TimesNewRomanPSMT"/>
                <w:color w:val="000000" w:themeColor="text1"/>
                <w:kern w:val="0"/>
                <w:sz w:val="24"/>
                <w:vertAlign w:val="superscript"/>
                <w:lang w:bidi="ar"/>
                <w14:textFill>
                  <w14:solidFill>
                    <w14:schemeClr w14:val="tx1"/>
                  </w14:solidFill>
                </w14:textFill>
              </w:rPr>
              <w:t>+</w:t>
            </w:r>
            <w:r>
              <w:rPr>
                <w:color w:val="000000" w:themeColor="text1"/>
                <w:kern w:val="0"/>
                <w:sz w:val="24"/>
                <w:lang w:bidi="ar"/>
                <w14:textFill>
                  <w14:solidFill>
                    <w14:schemeClr w14:val="tx1"/>
                  </w14:solidFill>
                </w14:textFill>
              </w:rPr>
              <w:t>、</w:t>
            </w:r>
            <w:r>
              <w:rPr>
                <w:rFonts w:eastAsia="TimesNewRomanPSMT"/>
                <w:color w:val="000000" w:themeColor="text1"/>
                <w:kern w:val="0"/>
                <w:sz w:val="24"/>
                <w:lang w:bidi="ar"/>
                <w14:textFill>
                  <w14:solidFill>
                    <w14:schemeClr w14:val="tx1"/>
                  </w14:solidFill>
                </w14:textFill>
              </w:rPr>
              <w:t>Na</w:t>
            </w:r>
            <w:r>
              <w:rPr>
                <w:rFonts w:eastAsia="TimesNewRomanPSMT"/>
                <w:color w:val="000000" w:themeColor="text1"/>
                <w:kern w:val="0"/>
                <w:sz w:val="24"/>
                <w:vertAlign w:val="superscript"/>
                <w:lang w:bidi="ar"/>
                <w14:textFill>
                  <w14:solidFill>
                    <w14:schemeClr w14:val="tx1"/>
                  </w14:solidFill>
                </w14:textFill>
              </w:rPr>
              <w:t>+</w:t>
            </w:r>
            <w:r>
              <w:rPr>
                <w:color w:val="000000" w:themeColor="text1"/>
                <w:kern w:val="0"/>
                <w:sz w:val="24"/>
                <w:lang w:bidi="ar"/>
                <w14:textFill>
                  <w14:solidFill>
                    <w14:schemeClr w14:val="tx1"/>
                  </w14:solidFill>
                </w14:textFill>
              </w:rPr>
              <w:t>、</w:t>
            </w:r>
            <w:r>
              <w:rPr>
                <w:rFonts w:eastAsia="TimesNewRomanPSMT"/>
                <w:color w:val="000000" w:themeColor="text1"/>
                <w:kern w:val="0"/>
                <w:sz w:val="24"/>
                <w:lang w:bidi="ar"/>
                <w14:textFill>
                  <w14:solidFill>
                    <w14:schemeClr w14:val="tx1"/>
                  </w14:solidFill>
                </w14:textFill>
              </w:rPr>
              <w:t>Ca</w:t>
            </w:r>
            <w:r>
              <w:rPr>
                <w:rFonts w:eastAsia="TimesNewRomanPSMT"/>
                <w:color w:val="000000" w:themeColor="text1"/>
                <w:kern w:val="0"/>
                <w:sz w:val="24"/>
                <w:vertAlign w:val="superscript"/>
                <w:lang w:bidi="ar"/>
                <w14:textFill>
                  <w14:solidFill>
                    <w14:schemeClr w14:val="tx1"/>
                  </w14:solidFill>
                </w14:textFill>
              </w:rPr>
              <w:t>2+</w:t>
            </w:r>
            <w:r>
              <w:rPr>
                <w:color w:val="000000" w:themeColor="text1"/>
                <w:kern w:val="0"/>
                <w:sz w:val="24"/>
                <w:lang w:bidi="ar"/>
                <w14:textFill>
                  <w14:solidFill>
                    <w14:schemeClr w14:val="tx1"/>
                  </w14:solidFill>
                </w14:textFill>
              </w:rPr>
              <w:t>、</w:t>
            </w:r>
            <w:r>
              <w:rPr>
                <w:rFonts w:eastAsia="TimesNewRomanPSMT"/>
                <w:color w:val="000000" w:themeColor="text1"/>
                <w:kern w:val="0"/>
                <w:sz w:val="24"/>
                <w:lang w:bidi="ar"/>
                <w14:textFill>
                  <w14:solidFill>
                    <w14:schemeClr w14:val="tx1"/>
                  </w14:solidFill>
                </w14:textFill>
              </w:rPr>
              <w:t>Mg</w:t>
            </w:r>
            <w:r>
              <w:rPr>
                <w:rFonts w:eastAsia="TimesNewRomanPSMT"/>
                <w:color w:val="000000" w:themeColor="text1"/>
                <w:kern w:val="0"/>
                <w:sz w:val="24"/>
                <w:vertAlign w:val="superscript"/>
                <w:lang w:bidi="ar"/>
                <w14:textFill>
                  <w14:solidFill>
                    <w14:schemeClr w14:val="tx1"/>
                  </w14:solidFill>
                </w14:textFill>
              </w:rPr>
              <w:t>2+</w:t>
            </w:r>
            <w:r>
              <w:rPr>
                <w:color w:val="000000" w:themeColor="text1"/>
                <w:kern w:val="0"/>
                <w:sz w:val="24"/>
                <w:lang w:bidi="ar"/>
                <w14:textFill>
                  <w14:solidFill>
                    <w14:schemeClr w14:val="tx1"/>
                  </w14:solidFill>
                </w14:textFill>
              </w:rPr>
              <w:t>）和阴离子（</w:t>
            </w:r>
            <w:r>
              <w:rPr>
                <w:rFonts w:eastAsia="TimesNewRomanPSMT"/>
                <w:color w:val="000000" w:themeColor="text1"/>
                <w:kern w:val="0"/>
                <w:sz w:val="24"/>
                <w:lang w:bidi="ar"/>
                <w14:textFill>
                  <w14:solidFill>
                    <w14:schemeClr w14:val="tx1"/>
                  </w14:solidFill>
                </w14:textFill>
              </w:rPr>
              <w:t>CO</w:t>
            </w:r>
            <w:r>
              <w:rPr>
                <w:rFonts w:eastAsia="TimesNewRomanPSMT"/>
                <w:color w:val="000000" w:themeColor="text1"/>
                <w:kern w:val="0"/>
                <w:sz w:val="24"/>
                <w:vertAlign w:val="subscript"/>
                <w:lang w:bidi="ar"/>
                <w14:textFill>
                  <w14:solidFill>
                    <w14:schemeClr w14:val="tx1"/>
                  </w14:solidFill>
                </w14:textFill>
              </w:rPr>
              <w:t>3</w:t>
            </w:r>
            <w:r>
              <w:rPr>
                <w:rFonts w:eastAsia="TimesNewRomanPSMT"/>
                <w:color w:val="000000" w:themeColor="text1"/>
                <w:kern w:val="0"/>
                <w:sz w:val="24"/>
                <w:vertAlign w:val="superscript"/>
                <w:lang w:bidi="ar"/>
                <w14:textFill>
                  <w14:solidFill>
                    <w14:schemeClr w14:val="tx1"/>
                  </w14:solidFill>
                </w14:textFill>
              </w:rPr>
              <w:t>2-</w:t>
            </w:r>
            <w:r>
              <w:rPr>
                <w:color w:val="000000" w:themeColor="text1"/>
                <w:kern w:val="0"/>
                <w:sz w:val="24"/>
                <w:lang w:bidi="ar"/>
                <w14:textFill>
                  <w14:solidFill>
                    <w14:schemeClr w14:val="tx1"/>
                  </w14:solidFill>
                </w14:textFill>
              </w:rPr>
              <w:t>、</w:t>
            </w:r>
            <w:r>
              <w:rPr>
                <w:rFonts w:eastAsia="TimesNewRomanPSMT"/>
                <w:color w:val="000000" w:themeColor="text1"/>
                <w:kern w:val="0"/>
                <w:sz w:val="24"/>
                <w:lang w:bidi="ar"/>
                <w14:textFill>
                  <w14:solidFill>
                    <w14:schemeClr w14:val="tx1"/>
                  </w14:solidFill>
                </w14:textFill>
              </w:rPr>
              <w:t>HCO</w:t>
            </w:r>
            <w:r>
              <w:rPr>
                <w:rFonts w:eastAsia="TimesNewRomanPSMT"/>
                <w:color w:val="000000" w:themeColor="text1"/>
                <w:kern w:val="0"/>
                <w:sz w:val="24"/>
                <w:vertAlign w:val="subscript"/>
                <w:lang w:bidi="ar"/>
                <w14:textFill>
                  <w14:solidFill>
                    <w14:schemeClr w14:val="tx1"/>
                  </w14:solidFill>
                </w14:textFill>
              </w:rPr>
              <w:t>3</w:t>
            </w:r>
            <w:r>
              <w:rPr>
                <w:rFonts w:eastAsia="TimesNewRomanPSMT"/>
                <w:color w:val="000000" w:themeColor="text1"/>
                <w:kern w:val="0"/>
                <w:sz w:val="24"/>
                <w:vertAlign w:val="superscript"/>
                <w:lang w:bidi="ar"/>
                <w14:textFill>
                  <w14:solidFill>
                    <w14:schemeClr w14:val="tx1"/>
                  </w14:solidFill>
                </w14:textFill>
              </w:rPr>
              <w:t>-</w:t>
            </w:r>
            <w:r>
              <w:rPr>
                <w:color w:val="000000" w:themeColor="text1"/>
                <w:kern w:val="0"/>
                <w:sz w:val="24"/>
                <w:lang w:bidi="ar"/>
                <w14:textFill>
                  <w14:solidFill>
                    <w14:schemeClr w14:val="tx1"/>
                  </w14:solidFill>
                </w14:textFill>
              </w:rPr>
              <w:t>、</w:t>
            </w:r>
            <w:r>
              <w:rPr>
                <w:rFonts w:eastAsia="TimesNewRomanPSMT"/>
                <w:color w:val="000000" w:themeColor="text1"/>
                <w:kern w:val="0"/>
                <w:sz w:val="24"/>
                <w:lang w:bidi="ar"/>
                <w14:textFill>
                  <w14:solidFill>
                    <w14:schemeClr w14:val="tx1"/>
                  </w14:solidFill>
                </w14:textFill>
              </w:rPr>
              <w:t>Cl</w:t>
            </w:r>
            <w:r>
              <w:rPr>
                <w:rFonts w:eastAsia="TimesNewRomanPSMT"/>
                <w:color w:val="000000" w:themeColor="text1"/>
                <w:kern w:val="0"/>
                <w:sz w:val="24"/>
                <w:vertAlign w:val="superscript"/>
                <w:lang w:bidi="ar"/>
                <w14:textFill>
                  <w14:solidFill>
                    <w14:schemeClr w14:val="tx1"/>
                  </w14:solidFill>
                </w14:textFill>
              </w:rPr>
              <w:t>-</w:t>
            </w:r>
            <w:r>
              <w:rPr>
                <w:color w:val="000000" w:themeColor="text1"/>
                <w:kern w:val="0"/>
                <w:sz w:val="24"/>
                <w:lang w:bidi="ar"/>
                <w14:textFill>
                  <w14:solidFill>
                    <w14:schemeClr w14:val="tx1"/>
                  </w14:solidFill>
                </w14:textFill>
              </w:rPr>
              <w:t>、</w:t>
            </w:r>
            <w:r>
              <w:rPr>
                <w:rFonts w:eastAsia="TimesNewRomanPSMT"/>
                <w:color w:val="000000" w:themeColor="text1"/>
                <w:kern w:val="0"/>
                <w:sz w:val="24"/>
                <w:lang w:bidi="ar"/>
                <w14:textFill>
                  <w14:solidFill>
                    <w14:schemeClr w14:val="tx1"/>
                  </w14:solidFill>
                </w14:textFill>
              </w:rPr>
              <w:t>SO</w:t>
            </w:r>
            <w:r>
              <w:rPr>
                <w:rFonts w:eastAsia="TimesNewRomanPSMT"/>
                <w:color w:val="000000" w:themeColor="text1"/>
                <w:kern w:val="0"/>
                <w:sz w:val="24"/>
                <w:vertAlign w:val="subscript"/>
                <w:lang w:bidi="ar"/>
                <w14:textFill>
                  <w14:solidFill>
                    <w14:schemeClr w14:val="tx1"/>
                  </w14:solidFill>
                </w14:textFill>
              </w:rPr>
              <w:t>4</w:t>
            </w:r>
            <w:r>
              <w:rPr>
                <w:rFonts w:eastAsia="TimesNewRomanPSMT"/>
                <w:color w:val="000000" w:themeColor="text1"/>
                <w:kern w:val="0"/>
                <w:sz w:val="24"/>
                <w:vertAlign w:val="superscript"/>
                <w:lang w:bidi="ar"/>
                <w14:textFill>
                  <w14:solidFill>
                    <w14:schemeClr w14:val="tx1"/>
                  </w14:solidFill>
                </w14:textFill>
              </w:rPr>
              <w:t>2-</w:t>
            </w:r>
            <w:r>
              <w:rPr>
                <w:color w:val="000000" w:themeColor="text1"/>
                <w:kern w:val="0"/>
                <w:sz w:val="24"/>
                <w:lang w:bidi="ar"/>
                <w14:textFill>
                  <w14:solidFill>
                    <w14:schemeClr w14:val="tx1"/>
                  </w14:solidFill>
                </w14:textFill>
              </w:rPr>
              <w:t>）监测浓度的计算和分析，矿化度为</w:t>
            </w:r>
            <w:r>
              <w:rPr>
                <w:rFonts w:eastAsia="TimesNewRomanPSMT"/>
                <w:color w:val="000000" w:themeColor="text1"/>
                <w:kern w:val="0"/>
                <w:sz w:val="24"/>
                <w:lang w:bidi="ar"/>
                <w14:textFill>
                  <w14:solidFill>
                    <w14:schemeClr w14:val="tx1"/>
                  </w14:solidFill>
                </w14:textFill>
              </w:rPr>
              <w:t>651.59mg/L</w:t>
            </w:r>
            <w:r>
              <w:rPr>
                <w:color w:val="000000" w:themeColor="text1"/>
                <w:kern w:val="0"/>
                <w:sz w:val="24"/>
                <w:lang w:bidi="ar"/>
                <w14:textFill>
                  <w14:solidFill>
                    <w14:schemeClr w14:val="tx1"/>
                  </w14:solidFill>
                </w14:textFill>
              </w:rPr>
              <w:t>，区域地下水化学类型为</w:t>
            </w:r>
            <w:r>
              <w:rPr>
                <w:rFonts w:hint="eastAsia" w:eastAsia="TimesNewRomanPSMT"/>
                <w:color w:val="000000" w:themeColor="text1"/>
                <w:kern w:val="0"/>
                <w:sz w:val="24"/>
                <w:lang w:bidi="ar"/>
                <w14:textFill>
                  <w14:solidFill>
                    <w14:schemeClr w14:val="tx1"/>
                  </w14:solidFill>
                </w14:textFill>
              </w:rPr>
              <w:t>2</w:t>
            </w:r>
            <w:r>
              <w:rPr>
                <w:rFonts w:eastAsia="TimesNewRomanPSMT"/>
                <w:color w:val="000000" w:themeColor="text1"/>
                <w:kern w:val="0"/>
                <w:sz w:val="24"/>
                <w:lang w:bidi="ar"/>
                <w14:textFill>
                  <w14:solidFill>
                    <w14:schemeClr w14:val="tx1"/>
                  </w14:solidFill>
                </w14:textFill>
              </w:rPr>
              <w:t>-A</w:t>
            </w:r>
            <w:r>
              <w:rPr>
                <w:color w:val="000000" w:themeColor="text1"/>
                <w:kern w:val="0"/>
                <w:sz w:val="24"/>
                <w:lang w:bidi="ar"/>
                <w14:textFill>
                  <w14:solidFill>
                    <w14:schemeClr w14:val="tx1"/>
                  </w14:solidFill>
                </w14:textFill>
              </w:rPr>
              <w:t>型（矿化度不大于1.5g/L的</w:t>
            </w:r>
            <w:r>
              <w:rPr>
                <w:rFonts w:hint="eastAsia"/>
                <w:color w:val="000000" w:themeColor="text1"/>
                <w:kern w:val="0"/>
                <w:sz w:val="24"/>
                <w:lang w:bidi="ar"/>
                <w14:textFill>
                  <w14:solidFill>
                    <w14:schemeClr w14:val="tx1"/>
                  </w14:solidFill>
                </w14:textFill>
              </w:rPr>
              <w:t>重碳酸盐-钙镁</w:t>
            </w:r>
            <w:r>
              <w:rPr>
                <w:color w:val="000000" w:themeColor="text1"/>
                <w:kern w:val="0"/>
                <w:sz w:val="24"/>
                <w:lang w:bidi="ar"/>
                <w14:textFill>
                  <w14:solidFill>
                    <w14:schemeClr w14:val="tx1"/>
                  </w14:solidFill>
                </w14:textFill>
              </w:rPr>
              <w:t>水）。</w:t>
            </w:r>
          </w:p>
          <w:p>
            <w:pPr>
              <w:pStyle w:val="75"/>
              <w:ind w:firstLine="480" w:firstLineChars="200"/>
              <w:rPr>
                <w:rFonts w:ascii="Times New Roman" w:hAnsi="Times New Roman" w:cs="Times New Roman"/>
                <w:color w:val="000000" w:themeColor="text1"/>
                <w:kern w:val="0"/>
                <w:szCs w:val="24"/>
                <w14:textFill>
                  <w14:solidFill>
                    <w14:schemeClr w14:val="tx1"/>
                  </w14:solidFill>
                </w14:textFill>
              </w:rPr>
            </w:pPr>
            <w:r>
              <w:rPr>
                <w:rFonts w:ascii="Times New Roman" w:hAnsi="Times New Roman" w:cs="Times New Roman"/>
                <w:color w:val="000000" w:themeColor="text1"/>
                <w:kern w:val="0"/>
                <w:szCs w:val="24"/>
                <w:lang w:bidi="ar"/>
                <w14:textFill>
                  <w14:solidFill>
                    <w14:schemeClr w14:val="tx1"/>
                  </w14:solidFill>
                </w14:textFill>
              </w:rPr>
              <w:t>根据表3.5-2，地下水监测断面各监测因子标准指数均小于</w:t>
            </w:r>
            <w:r>
              <w:rPr>
                <w:rFonts w:ascii="Times New Roman" w:hAnsi="Times New Roman" w:eastAsia="TimesNewRomanPSMT" w:cs="Times New Roman"/>
                <w:color w:val="000000" w:themeColor="text1"/>
                <w:kern w:val="0"/>
                <w:szCs w:val="24"/>
                <w:lang w:bidi="ar"/>
                <w14:textFill>
                  <w14:solidFill>
                    <w14:schemeClr w14:val="tx1"/>
                  </w14:solidFill>
                </w14:textFill>
              </w:rPr>
              <w:t>1</w:t>
            </w:r>
            <w:r>
              <w:rPr>
                <w:rFonts w:ascii="Times New Roman" w:hAnsi="Times New Roman" w:cs="Times New Roman"/>
                <w:color w:val="000000" w:themeColor="text1"/>
                <w:kern w:val="0"/>
                <w:szCs w:val="24"/>
                <w:lang w:bidi="ar"/>
                <w14:textFill>
                  <w14:solidFill>
                    <w14:schemeClr w14:val="tx1"/>
                  </w14:solidFill>
                </w14:textFill>
              </w:rPr>
              <w:t>，均满足《地下水质量标准》（</w:t>
            </w:r>
            <w:r>
              <w:rPr>
                <w:rFonts w:ascii="Times New Roman" w:hAnsi="Times New Roman" w:eastAsia="TimesNewRomanPSMT" w:cs="Times New Roman"/>
                <w:color w:val="000000" w:themeColor="text1"/>
                <w:kern w:val="0"/>
                <w:szCs w:val="24"/>
                <w:lang w:bidi="ar"/>
                <w14:textFill>
                  <w14:solidFill>
                    <w14:schemeClr w14:val="tx1"/>
                  </w14:solidFill>
                </w14:textFill>
              </w:rPr>
              <w:t>GB/T14848-2017</w:t>
            </w:r>
            <w:r>
              <w:rPr>
                <w:rFonts w:ascii="Times New Roman" w:hAnsi="Times New Roman" w:cs="Times New Roman"/>
                <w:color w:val="000000" w:themeColor="text1"/>
                <w:kern w:val="0"/>
                <w:szCs w:val="24"/>
                <w:lang w:bidi="ar"/>
                <w14:textFill>
                  <w14:solidFill>
                    <w14:schemeClr w14:val="tx1"/>
                  </w14:solidFill>
                </w14:textFill>
              </w:rPr>
              <w:t>）Ⅲ类标准要求。</w:t>
            </w:r>
          </w:p>
          <w:p>
            <w:pPr>
              <w:pStyle w:val="224"/>
              <w:spacing w:line="360" w:lineRule="auto"/>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.6</w:t>
            </w:r>
            <w:r>
              <w:rPr>
                <w:rFonts w:hint="eastAsia"/>
                <w:b/>
                <w:bCs/>
                <w:color w:val="000000" w:themeColor="text1"/>
                <w14:textFill>
                  <w14:solidFill>
                    <w14:schemeClr w14:val="tx1"/>
                  </w14:solidFill>
                </w14:textFill>
              </w:rPr>
              <w:t>土壤环境质量现状</w:t>
            </w:r>
          </w:p>
          <w:p>
            <w:pPr>
              <w:pStyle w:val="75"/>
              <w:ind w:firstLine="48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建设单位委托重庆开创环境监测有限公司于2</w:t>
            </w:r>
            <w:r>
              <w:rPr>
                <w:rFonts w:ascii="Times New Roman" w:hAnsi="Times New Roman" w:cs="Times New Roman"/>
                <w:color w:val="000000" w:themeColor="text1"/>
                <w14:textFill>
                  <w14:solidFill>
                    <w14:schemeClr w14:val="tx1"/>
                  </w14:solidFill>
                </w14:textFill>
              </w:rPr>
              <w:t>022</w:t>
            </w:r>
            <w:r>
              <w:rPr>
                <w:rFonts w:hint="eastAsia" w:ascii="Times New Roman" w:hAnsi="Times New Roman" w:cs="Times New Roman"/>
                <w:color w:val="000000" w:themeColor="text1"/>
                <w14:textFill>
                  <w14:solidFill>
                    <w14:schemeClr w14:val="tx1"/>
                  </w14:solidFill>
                </w14:textFill>
              </w:rPr>
              <w:t>年8月</w:t>
            </w:r>
            <w:r>
              <w:rPr>
                <w:rFonts w:ascii="Times New Roman" w:hAnsi="Times New Roman" w:cs="Times New Roman"/>
                <w:color w:val="000000" w:themeColor="text1"/>
                <w14:textFill>
                  <w14:solidFill>
                    <w14:schemeClr w14:val="tx1"/>
                  </w14:solidFill>
                </w14:textFill>
              </w:rPr>
              <w:t>9</w:t>
            </w:r>
            <w:r>
              <w:rPr>
                <w:rFonts w:hint="eastAsia" w:ascii="Times New Roman" w:hAnsi="Times New Roman" w:cs="Times New Roman"/>
                <w:color w:val="000000" w:themeColor="text1"/>
                <w14:textFill>
                  <w14:solidFill>
                    <w14:schemeClr w14:val="tx1"/>
                  </w14:solidFill>
                </w14:textFill>
              </w:rPr>
              <w:t>日进行了土壤环境质量现状监测。</w:t>
            </w:r>
          </w:p>
          <w:p>
            <w:pPr>
              <w:pStyle w:val="75"/>
              <w:ind w:firstLine="48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（1）监测点位</w:t>
            </w:r>
          </w:p>
          <w:p>
            <w:pPr>
              <w:pStyle w:val="75"/>
              <w:ind w:firstLine="48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在项目厂区内储油罐区域布设1个表层样点，取样深度</w:t>
            </w:r>
            <w:r>
              <w:rPr>
                <w:rFonts w:ascii="Times New Roman" w:hAnsi="Times New Roman" w:cs="Times New Roman"/>
                <w:color w:val="000000" w:themeColor="text1"/>
                <w14:textFill>
                  <w14:solidFill>
                    <w14:schemeClr w14:val="tx1"/>
                  </w14:solidFill>
                </w14:textFill>
              </w:rPr>
              <w:t>20</w:t>
            </w:r>
            <w:r>
              <w:rPr>
                <w:rFonts w:hint="eastAsia" w:ascii="Times New Roman" w:hAnsi="Times New Roman" w:cs="Times New Roman"/>
                <w:color w:val="000000" w:themeColor="text1"/>
                <w14:textFill>
                  <w14:solidFill>
                    <w14:schemeClr w14:val="tx1"/>
                  </w14:solidFill>
                </w14:textFill>
              </w:rPr>
              <w:t>cm。</w:t>
            </w:r>
          </w:p>
          <w:p>
            <w:pPr>
              <w:pStyle w:val="75"/>
              <w:ind w:firstLine="48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（2）监测项目</w:t>
            </w:r>
          </w:p>
          <w:p>
            <w:pPr>
              <w:pStyle w:val="75"/>
              <w:ind w:firstLine="480" w:firstLineChars="200"/>
              <w:rPr>
                <w:rFonts w:ascii="Times New Roman" w:hAnsi="Times New Roman" w:cs="Times New Roman"/>
                <w:color w:val="000000" w:themeColor="text1"/>
                <w:kern w:val="0"/>
                <w:szCs w:val="24"/>
                <w14:textFill>
                  <w14:solidFill>
                    <w14:schemeClr w14:val="tx1"/>
                  </w14:solidFill>
                </w14:textFill>
              </w:rPr>
            </w:pPr>
            <w:r>
              <w:rPr>
                <w:rFonts w:ascii="Times New Roman" w:hAnsi="Times New Roman" w:cs="Times New Roman"/>
                <w:color w:val="000000" w:themeColor="text1"/>
                <w14:textFill>
                  <w14:solidFill>
                    <w14:schemeClr w14:val="tx1"/>
                  </w14:solidFill>
                </w14:textFill>
              </w:rPr>
              <w:t>基本因子：《土壤环境质量 建设用地土壤污染风险标准（试行）》（GB36600-2018），监测基本项目45项：</w:t>
            </w:r>
            <w:r>
              <w:rPr>
                <w:rFonts w:ascii="Times New Roman" w:hAnsi="Times New Roman" w:cs="Times New Roman"/>
                <w:color w:val="000000" w:themeColor="text1"/>
                <w:kern w:val="0"/>
                <w:szCs w:val="24"/>
                <w14:textFill>
                  <w14:solidFill>
                    <w14:schemeClr w14:val="tx1"/>
                  </w14:solidFill>
                </w14:textFill>
              </w:rPr>
              <w:t>镉、汞、铬（六价）、砷、铅、铜、镍，四氯化碳、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萘、苯并[a]蒽、苯并[a]芘、苯并[b]荧蒽、苯并[k]荧蒽、䓛、二苯并[a,h]蒽、茚并[1,2,3-c,d]芘</w:t>
            </w:r>
            <w:r>
              <w:rPr>
                <w:rFonts w:hint="eastAsia" w:ascii="Times New Roman" w:hAnsi="Times New Roman" w:cs="Times New Roman"/>
                <w:color w:val="000000" w:themeColor="text1"/>
                <w:kern w:val="0"/>
                <w:szCs w:val="24"/>
                <w14:textFill>
                  <w14:solidFill>
                    <w14:schemeClr w14:val="tx1"/>
                  </w14:solidFill>
                </w14:textFill>
              </w:rPr>
              <w:t>。</w:t>
            </w:r>
          </w:p>
          <w:p>
            <w:pPr>
              <w:pStyle w:val="75"/>
              <w:ind w:firstLine="480" w:firstLineChars="200"/>
              <w:rPr>
                <w:rFonts w:ascii="Times New Roman" w:hAnsi="Times New Roman" w:cs="Times New Roman"/>
                <w:color w:val="000000" w:themeColor="text1"/>
                <w:kern w:val="0"/>
                <w:szCs w:val="24"/>
                <w14:textFill>
                  <w14:solidFill>
                    <w14:schemeClr w14:val="tx1"/>
                  </w14:solidFill>
                </w14:textFill>
              </w:rPr>
            </w:pPr>
            <w:r>
              <w:rPr>
                <w:rFonts w:hint="eastAsia" w:ascii="Times New Roman" w:hAnsi="Times New Roman" w:cs="Times New Roman"/>
                <w:color w:val="000000" w:themeColor="text1"/>
                <w:kern w:val="0"/>
                <w:szCs w:val="24"/>
                <w14:textFill>
                  <w14:solidFill>
                    <w14:schemeClr w14:val="tx1"/>
                  </w14:solidFill>
                </w14:textFill>
              </w:rPr>
              <w:t>特征因子：石油烃（C</w:t>
            </w:r>
            <w:r>
              <w:rPr>
                <w:rFonts w:ascii="Times New Roman" w:hAnsi="Times New Roman" w:cs="Times New Roman"/>
                <w:color w:val="000000" w:themeColor="text1"/>
                <w:kern w:val="0"/>
                <w:szCs w:val="24"/>
                <w:vertAlign w:val="subscript"/>
                <w14:textFill>
                  <w14:solidFill>
                    <w14:schemeClr w14:val="tx1"/>
                  </w14:solidFill>
                </w14:textFill>
              </w:rPr>
              <w:t>10</w:t>
            </w:r>
            <w:r>
              <w:rPr>
                <w:rFonts w:ascii="Times New Roman" w:hAnsi="Times New Roman" w:cs="Times New Roman"/>
                <w:color w:val="000000" w:themeColor="text1"/>
                <w:kern w:val="0"/>
                <w:szCs w:val="24"/>
                <w14:textFill>
                  <w14:solidFill>
                    <w14:schemeClr w14:val="tx1"/>
                  </w14:solidFill>
                </w14:textFill>
              </w:rPr>
              <w:t>-C</w:t>
            </w:r>
            <w:r>
              <w:rPr>
                <w:rFonts w:ascii="Times New Roman" w:hAnsi="Times New Roman" w:cs="Times New Roman"/>
                <w:color w:val="000000" w:themeColor="text1"/>
                <w:kern w:val="0"/>
                <w:szCs w:val="24"/>
                <w:vertAlign w:val="subscript"/>
                <w14:textFill>
                  <w14:solidFill>
                    <w14:schemeClr w14:val="tx1"/>
                  </w14:solidFill>
                </w14:textFill>
              </w:rPr>
              <w:t>40</w:t>
            </w:r>
            <w:r>
              <w:rPr>
                <w:rFonts w:hint="eastAsia" w:ascii="Times New Roman" w:hAnsi="Times New Roman" w:cs="Times New Roman"/>
                <w:color w:val="000000" w:themeColor="text1"/>
                <w:kern w:val="0"/>
                <w:szCs w:val="24"/>
                <w14:textFill>
                  <w14:solidFill>
                    <w14:schemeClr w14:val="tx1"/>
                  </w14:solidFill>
                </w14:textFill>
              </w:rPr>
              <w:t>）</w:t>
            </w:r>
          </w:p>
          <w:p>
            <w:pPr>
              <w:pStyle w:val="75"/>
              <w:ind w:firstLine="480" w:firstLineChars="200"/>
              <w:rPr>
                <w:rFonts w:ascii="Times New Roman" w:hAnsi="Times New Roman" w:cs="Times New Roman"/>
                <w:color w:val="000000" w:themeColor="text1"/>
                <w:kern w:val="0"/>
                <w:szCs w:val="24"/>
                <w14:textFill>
                  <w14:solidFill>
                    <w14:schemeClr w14:val="tx1"/>
                  </w14:solidFill>
                </w14:textFill>
              </w:rPr>
            </w:pPr>
            <w:r>
              <w:rPr>
                <w:rFonts w:hint="eastAsia" w:ascii="Times New Roman" w:hAnsi="Times New Roman" w:cs="Times New Roman"/>
                <w:color w:val="000000" w:themeColor="text1"/>
                <w:kern w:val="0"/>
                <w:szCs w:val="24"/>
                <w14:textFill>
                  <w14:solidFill>
                    <w14:schemeClr w14:val="tx1"/>
                  </w14:solidFill>
                </w14:textFill>
              </w:rPr>
              <w:t>（3）监测时间及频率</w:t>
            </w:r>
          </w:p>
          <w:p>
            <w:pPr>
              <w:pStyle w:val="75"/>
              <w:ind w:firstLine="480" w:firstLineChars="200"/>
              <w:rPr>
                <w:rFonts w:ascii="Times New Roman" w:hAnsi="Times New Roman" w:cs="Times New Roman"/>
                <w:color w:val="000000" w:themeColor="text1"/>
                <w:kern w:val="0"/>
                <w:szCs w:val="24"/>
                <w14:textFill>
                  <w14:solidFill>
                    <w14:schemeClr w14:val="tx1"/>
                  </w14:solidFill>
                </w14:textFill>
              </w:rPr>
            </w:pPr>
            <w:r>
              <w:rPr>
                <w:rFonts w:hint="eastAsia" w:ascii="Times New Roman" w:hAnsi="Times New Roman" w:cs="Times New Roman"/>
                <w:color w:val="000000" w:themeColor="text1"/>
                <w:kern w:val="0"/>
                <w:szCs w:val="24"/>
                <w14:textFill>
                  <w14:solidFill>
                    <w14:schemeClr w14:val="tx1"/>
                  </w14:solidFill>
                </w14:textFill>
              </w:rPr>
              <w:t>本次土壤采样时间为2</w:t>
            </w:r>
            <w:r>
              <w:rPr>
                <w:rFonts w:ascii="Times New Roman" w:hAnsi="Times New Roman" w:cs="Times New Roman"/>
                <w:color w:val="000000" w:themeColor="text1"/>
                <w:kern w:val="0"/>
                <w:szCs w:val="24"/>
                <w14:textFill>
                  <w14:solidFill>
                    <w14:schemeClr w14:val="tx1"/>
                  </w14:solidFill>
                </w14:textFill>
              </w:rPr>
              <w:t>022</w:t>
            </w:r>
            <w:r>
              <w:rPr>
                <w:rFonts w:hint="eastAsia" w:ascii="Times New Roman" w:hAnsi="Times New Roman" w:cs="Times New Roman"/>
                <w:color w:val="000000" w:themeColor="text1"/>
                <w:kern w:val="0"/>
                <w:szCs w:val="24"/>
                <w14:textFill>
                  <w14:solidFill>
                    <w14:schemeClr w14:val="tx1"/>
                  </w14:solidFill>
                </w14:textFill>
              </w:rPr>
              <w:t>年8月</w:t>
            </w:r>
            <w:r>
              <w:rPr>
                <w:rFonts w:ascii="Times New Roman" w:hAnsi="Times New Roman" w:cs="Times New Roman"/>
                <w:color w:val="000000" w:themeColor="text1"/>
                <w:kern w:val="0"/>
                <w:szCs w:val="24"/>
                <w14:textFill>
                  <w14:solidFill>
                    <w14:schemeClr w14:val="tx1"/>
                  </w14:solidFill>
                </w14:textFill>
              </w:rPr>
              <w:t>9</w:t>
            </w:r>
            <w:r>
              <w:rPr>
                <w:rFonts w:hint="eastAsia" w:ascii="Times New Roman" w:hAnsi="Times New Roman" w:cs="Times New Roman"/>
                <w:color w:val="000000" w:themeColor="text1"/>
                <w:kern w:val="0"/>
                <w:szCs w:val="24"/>
                <w14:textFill>
                  <w14:solidFill>
                    <w14:schemeClr w14:val="tx1"/>
                  </w14:solidFill>
                </w14:textFill>
              </w:rPr>
              <w:t>日，监测1天，采样1次。</w:t>
            </w:r>
          </w:p>
          <w:p>
            <w:pPr>
              <w:ind w:firstLine="420" w:firstLineChars="200"/>
              <w:rPr>
                <w:color w:val="000000" w:themeColor="text1"/>
                <w:kern w:val="0"/>
                <w:sz w:val="24"/>
                <w14:textFill>
                  <w14:solidFill>
                    <w14:schemeClr w14:val="tx1"/>
                  </w14:solidFill>
                </w14:textFill>
              </w:rPr>
            </w:pPr>
            <w:r>
              <w:rPr>
                <w:rFonts w:hint="eastAsia"/>
                <w:color w:val="000000" w:themeColor="text1"/>
                <w:kern w:val="0"/>
                <w14:textFill>
                  <w14:solidFill>
                    <w14:schemeClr w14:val="tx1"/>
                  </w14:solidFill>
                </w14:textFill>
              </w:rPr>
              <w:t>（4）</w:t>
            </w:r>
            <w:r>
              <w:rPr>
                <w:rFonts w:hint="eastAsia"/>
                <w:color w:val="000000" w:themeColor="text1"/>
                <w:kern w:val="0"/>
                <w:sz w:val="24"/>
                <w14:textFill>
                  <w14:solidFill>
                    <w14:schemeClr w14:val="tx1"/>
                  </w14:solidFill>
                </w14:textFill>
              </w:rPr>
              <w:t>监测和分析方法</w:t>
            </w:r>
          </w:p>
          <w:p>
            <w:pPr>
              <w:pStyle w:val="75"/>
              <w:ind w:firstLine="480" w:firstLineChars="200"/>
              <w:rPr>
                <w:rFonts w:ascii="Times New Roman" w:hAnsi="Times New Roman" w:cs="Times New Roman"/>
                <w:color w:val="000000" w:themeColor="text1"/>
                <w:kern w:val="0"/>
                <w:szCs w:val="24"/>
                <w14:textFill>
                  <w14:solidFill>
                    <w14:schemeClr w14:val="tx1"/>
                  </w14:solidFill>
                </w14:textFill>
              </w:rPr>
            </w:pPr>
            <w:r>
              <w:rPr>
                <w:rFonts w:ascii="Times New Roman" w:hAnsi="Times New Roman" w:cs="Times New Roman"/>
                <w:color w:val="000000" w:themeColor="text1"/>
                <w:kern w:val="0"/>
                <w:szCs w:val="24"/>
                <w14:textFill>
                  <w14:solidFill>
                    <w14:schemeClr w14:val="tx1"/>
                  </w14:solidFill>
                </w14:textFill>
              </w:rPr>
              <w:t>采样和分析方法按生态环境部颁发的《环境监测分析办法》和中国环境监测总站编制的《土壤元素的近代分析方法》及《土壤环境监测技术规范》（HJ/T 166-2004）进行。</w:t>
            </w:r>
          </w:p>
          <w:p>
            <w:pPr>
              <w:pStyle w:val="75"/>
              <w:ind w:firstLine="480" w:firstLineChars="200"/>
              <w:rPr>
                <w:rFonts w:ascii="Times New Roman" w:hAnsi="Times New Roman" w:cs="Times New Roman"/>
                <w:color w:val="000000" w:themeColor="text1"/>
                <w:kern w:val="0"/>
                <w:szCs w:val="24"/>
                <w14:textFill>
                  <w14:solidFill>
                    <w14:schemeClr w14:val="tx1"/>
                  </w14:solidFill>
                </w14:textFill>
              </w:rPr>
            </w:pPr>
            <w:r>
              <w:rPr>
                <w:rFonts w:hint="eastAsia" w:ascii="Times New Roman" w:hAnsi="Times New Roman" w:cs="Times New Roman"/>
                <w:color w:val="000000" w:themeColor="text1"/>
                <w:kern w:val="0"/>
                <w:szCs w:val="24"/>
                <w14:textFill>
                  <w14:solidFill>
                    <w14:schemeClr w14:val="tx1"/>
                  </w14:solidFill>
                </w14:textFill>
              </w:rPr>
              <w:t>（5）评价方法</w:t>
            </w:r>
          </w:p>
          <w:p>
            <w:pPr>
              <w:pStyle w:val="75"/>
              <w:ind w:firstLine="480" w:firstLineChars="200"/>
              <w:rPr>
                <w:rFonts w:ascii="Times New Roman" w:hAnsi="Times New Roman" w:cs="Times New Roman"/>
                <w:color w:val="000000" w:themeColor="text1"/>
                <w:kern w:val="0"/>
                <w:szCs w:val="24"/>
                <w14:textFill>
                  <w14:solidFill>
                    <w14:schemeClr w14:val="tx1"/>
                  </w14:solidFill>
                </w14:textFill>
              </w:rPr>
            </w:pPr>
            <w:r>
              <w:rPr>
                <w:rFonts w:hint="eastAsia"/>
                <w:color w:val="000000" w:themeColor="text1"/>
                <w:kern w:val="0"/>
                <w:szCs w:val="24"/>
                <w14:textFill>
                  <w14:solidFill>
                    <w14:schemeClr w14:val="tx1"/>
                  </w14:solidFill>
                </w14:textFill>
              </w:rPr>
              <w:t>本次土壤环境质量现状评价采用比标法，即将监测结果与评价标准对比比较，低于评价标准现状即为达标。</w:t>
            </w:r>
          </w:p>
          <w:p>
            <w:pPr>
              <w:pStyle w:val="75"/>
              <w:ind w:firstLine="480" w:firstLineChars="200"/>
              <w:rPr>
                <w:rFonts w:ascii="Times New Roman" w:hAnsi="Times New Roman" w:cs="Times New Roman"/>
                <w:color w:val="000000" w:themeColor="text1"/>
                <w:kern w:val="0"/>
                <w:szCs w:val="24"/>
                <w14:textFill>
                  <w14:solidFill>
                    <w14:schemeClr w14:val="tx1"/>
                  </w14:solidFill>
                </w14:textFill>
              </w:rPr>
            </w:pPr>
            <w:r>
              <w:rPr>
                <w:rFonts w:hint="eastAsia" w:ascii="Times New Roman" w:hAnsi="Times New Roman" w:cs="Times New Roman"/>
                <w:color w:val="000000" w:themeColor="text1"/>
                <w:kern w:val="0"/>
                <w:szCs w:val="24"/>
                <w14:textFill>
                  <w14:solidFill>
                    <w14:schemeClr w14:val="tx1"/>
                  </w14:solidFill>
                </w14:textFill>
              </w:rPr>
              <w:t>（6）监测结果</w:t>
            </w:r>
          </w:p>
          <w:p>
            <w:pPr>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监测点土壤环境评价因子监测结果见表</w:t>
            </w:r>
            <w:r>
              <w:rPr>
                <w:color w:val="000000" w:themeColor="text1"/>
                <w:kern w:val="0"/>
                <w:sz w:val="24"/>
                <w14:textFill>
                  <w14:solidFill>
                    <w14:schemeClr w14:val="tx1"/>
                  </w14:solidFill>
                </w14:textFill>
              </w:rPr>
              <w:t>3.6</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1</w:t>
            </w:r>
            <w:r>
              <w:rPr>
                <w:rFonts w:hint="eastAsia"/>
                <w:color w:val="000000" w:themeColor="text1"/>
                <w:kern w:val="0"/>
                <w:sz w:val="24"/>
                <w14:textFill>
                  <w14:solidFill>
                    <w14:schemeClr w14:val="tx1"/>
                  </w14:solidFill>
                </w14:textFill>
              </w:rPr>
              <w:t>。</w:t>
            </w:r>
          </w:p>
          <w:p>
            <w:pPr>
              <w:spacing w:line="240" w:lineRule="auto"/>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3.6</w:t>
            </w:r>
            <w:r>
              <w:rPr>
                <w:rFonts w:hint="eastAsia"/>
                <w:b/>
                <w:bCs/>
                <w:color w:val="000000" w:themeColor="text1"/>
                <w:kern w:val="0"/>
                <w:sz w:val="24"/>
                <w14:textFill>
                  <w14:solidFill>
                    <w14:schemeClr w14:val="tx1"/>
                  </w14:solidFill>
                </w14:textFill>
              </w:rPr>
              <w:t>-</w:t>
            </w:r>
            <w:r>
              <w:rPr>
                <w:b/>
                <w:bCs/>
                <w:color w:val="000000" w:themeColor="text1"/>
                <w:kern w:val="0"/>
                <w:sz w:val="24"/>
                <w14:textFill>
                  <w14:solidFill>
                    <w14:schemeClr w14:val="tx1"/>
                  </w14:solidFill>
                </w14:textFill>
              </w:rPr>
              <w:t xml:space="preserve">1  </w:t>
            </w:r>
            <w:r>
              <w:rPr>
                <w:rFonts w:hint="eastAsia"/>
                <w:b/>
                <w:bCs/>
                <w:color w:val="000000" w:themeColor="text1"/>
                <w:kern w:val="0"/>
                <w:sz w:val="24"/>
                <w14:textFill>
                  <w14:solidFill>
                    <w14:schemeClr w14:val="tx1"/>
                  </w14:solidFill>
                </w14:textFill>
              </w:rPr>
              <w:t xml:space="preserve">土壤环境质量现状监测结果统计表 </w:t>
            </w:r>
            <w:r>
              <w:rPr>
                <w:b/>
                <w:bCs/>
                <w:color w:val="000000" w:themeColor="text1"/>
                <w:kern w:val="0"/>
                <w:sz w:val="24"/>
                <w14:textFill>
                  <w14:solidFill>
                    <w14:schemeClr w14:val="tx1"/>
                  </w14:solidFill>
                </w14:textFill>
              </w:rPr>
              <w:t xml:space="preserve"> </w:t>
            </w:r>
            <w:r>
              <w:rPr>
                <w:rFonts w:hint="eastAsia"/>
                <w:b/>
                <w:bCs/>
                <w:color w:val="000000" w:themeColor="text1"/>
                <w:kern w:val="0"/>
                <w:sz w:val="24"/>
                <w14:textFill>
                  <w14:solidFill>
                    <w14:schemeClr w14:val="tx1"/>
                  </w14:solidFill>
                </w14:textFill>
              </w:rPr>
              <w:t>单位：mg</w:t>
            </w:r>
            <w:r>
              <w:rPr>
                <w:b/>
                <w:bCs/>
                <w:color w:val="000000" w:themeColor="text1"/>
                <w:kern w:val="0"/>
                <w:sz w:val="24"/>
                <w14:textFill>
                  <w14:solidFill>
                    <w14:schemeClr w14:val="tx1"/>
                  </w14:solidFill>
                </w14:textFill>
              </w:rPr>
              <w:t>/</w:t>
            </w:r>
            <w:r>
              <w:rPr>
                <w:rFonts w:hint="eastAsia"/>
                <w:b/>
                <w:bCs/>
                <w:color w:val="000000" w:themeColor="text1"/>
                <w:kern w:val="0"/>
                <w:sz w:val="24"/>
                <w14:textFill>
                  <w14:solidFill>
                    <w14:schemeClr w14:val="tx1"/>
                  </w14:solidFill>
                </w14:textFill>
              </w:rPr>
              <w:t>kg</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1474"/>
              <w:gridCol w:w="2338"/>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Merge w:val="restart"/>
                  <w:vAlign w:val="center"/>
                </w:tcPr>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检测项目</w:t>
                  </w:r>
                </w:p>
              </w:tc>
              <w:tc>
                <w:tcPr>
                  <w:tcW w:w="883" w:type="pct"/>
                  <w:vAlign w:val="center"/>
                </w:tcPr>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监测结果</w:t>
                  </w:r>
                </w:p>
              </w:tc>
              <w:tc>
                <w:tcPr>
                  <w:tcW w:w="2646" w:type="pct"/>
                  <w:gridSpan w:val="2"/>
                </w:tcPr>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Merge w:val="continue"/>
                  <w:vAlign w:val="center"/>
                </w:tcPr>
                <w:p>
                  <w:pPr>
                    <w:spacing w:line="240" w:lineRule="auto"/>
                    <w:jc w:val="center"/>
                    <w:rPr>
                      <w:b/>
                      <w:bCs/>
                      <w:color w:val="000000" w:themeColor="text1"/>
                      <w:kern w:val="0"/>
                      <w:szCs w:val="21"/>
                      <w14:textFill>
                        <w14:solidFill>
                          <w14:schemeClr w14:val="tx1"/>
                        </w14:solidFill>
                      </w14:textFill>
                    </w:rPr>
                  </w:pPr>
                </w:p>
              </w:tc>
              <w:tc>
                <w:tcPr>
                  <w:tcW w:w="883" w:type="pct"/>
                  <w:vAlign w:val="center"/>
                </w:tcPr>
                <w:p>
                  <w:pPr>
                    <w:spacing w:line="240" w:lineRule="auto"/>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T1</w:t>
                  </w:r>
                </w:p>
              </w:tc>
              <w:tc>
                <w:tcPr>
                  <w:tcW w:w="1400" w:type="pct"/>
                </w:tcPr>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筛选值（第二类用地）</w:t>
                  </w:r>
                </w:p>
              </w:tc>
              <w:tc>
                <w:tcPr>
                  <w:tcW w:w="1246" w:type="pct"/>
                </w:tcPr>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管制值（第二类用地）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4"/>
                  <w:vAlign w:val="center"/>
                </w:tcPr>
                <w:p>
                  <w:pPr>
                    <w:spacing w:line="240" w:lineRule="auto"/>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砷</w:t>
                  </w:r>
                </w:p>
              </w:tc>
              <w:tc>
                <w:tcPr>
                  <w:tcW w:w="883" w:type="pct"/>
                  <w:vAlign w:val="center"/>
                </w:tcPr>
                <w:p>
                  <w:pPr>
                    <w:spacing w:line="240" w:lineRule="auto"/>
                    <w:jc w:val="center"/>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1.86</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rFonts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镉</w:t>
                  </w:r>
                </w:p>
              </w:tc>
              <w:tc>
                <w:tcPr>
                  <w:tcW w:w="883" w:type="pct"/>
                  <w:vAlign w:val="center"/>
                </w:tcPr>
                <w:p>
                  <w:pPr>
                    <w:spacing w:line="240" w:lineRule="auto"/>
                    <w:jc w:val="center"/>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0.01L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rFonts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六价铬</w:t>
                  </w:r>
                </w:p>
              </w:tc>
              <w:tc>
                <w:tcPr>
                  <w:tcW w:w="883" w:type="pct"/>
                  <w:vAlign w:val="center"/>
                </w:tcPr>
                <w:p>
                  <w:pPr>
                    <w:spacing w:line="240" w:lineRule="auto"/>
                    <w:jc w:val="center"/>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0.5L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rFonts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铜</w:t>
                  </w:r>
                </w:p>
              </w:tc>
              <w:tc>
                <w:tcPr>
                  <w:tcW w:w="883" w:type="pct"/>
                  <w:vAlign w:val="center"/>
                </w:tcPr>
                <w:p>
                  <w:pPr>
                    <w:spacing w:line="240" w:lineRule="auto"/>
                    <w:jc w:val="center"/>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13</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000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rFonts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铅</w:t>
                  </w:r>
                </w:p>
              </w:tc>
              <w:tc>
                <w:tcPr>
                  <w:tcW w:w="883" w:type="pct"/>
                  <w:vAlign w:val="center"/>
                </w:tcPr>
                <w:p>
                  <w:pPr>
                    <w:spacing w:line="240" w:lineRule="auto"/>
                    <w:jc w:val="center"/>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9.2</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00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r>
                    <w:rPr>
                      <w:color w:val="000000" w:themeColor="text1"/>
                      <w:kern w:val="0"/>
                      <w:szCs w:val="21"/>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rFonts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汞</w:t>
                  </w:r>
                </w:p>
              </w:tc>
              <w:tc>
                <w:tcPr>
                  <w:tcW w:w="883" w:type="pct"/>
                  <w:vAlign w:val="center"/>
                </w:tcPr>
                <w:p>
                  <w:pPr>
                    <w:spacing w:line="240" w:lineRule="auto"/>
                    <w:jc w:val="center"/>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0.020</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rFonts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镍</w:t>
                  </w:r>
                </w:p>
              </w:tc>
              <w:tc>
                <w:tcPr>
                  <w:tcW w:w="883" w:type="pct"/>
                  <w:vAlign w:val="center"/>
                </w:tcPr>
                <w:p>
                  <w:pPr>
                    <w:spacing w:line="240" w:lineRule="auto"/>
                    <w:jc w:val="center"/>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10</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4"/>
                  <w:vAlign w:val="center"/>
                </w:tcPr>
                <w:p>
                  <w:pPr>
                    <w:spacing w:line="240" w:lineRule="auto"/>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四氯化碳</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1.3×10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.8</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氯仿</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1.1×10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.9</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氯甲烷</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1.0×10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7</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1,1-二氯乙烷</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1.2×10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1,2-二氯乙烷</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1.3×10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1,1-二氯乙烯</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1.0×10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6</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顺-1,2-二氯乙烯</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1.3×10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96</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反-1,2-二氯乙烯</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1.4×10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4</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二氯甲烷</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1.5×10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16</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1,2-二氯丙烷</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1.1×10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1,1,1,2-四氯乙烷</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1.2×10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1,1,2,2-四氯乙烷</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1.2×10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.8</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四氯乙烯</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1.4×10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3</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1,1,1,-三氯乙烷</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1.3×10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r>
                    <w:rPr>
                      <w:color w:val="000000" w:themeColor="text1"/>
                      <w:kern w:val="0"/>
                      <w:szCs w:val="21"/>
                      <w14:textFill>
                        <w14:solidFill>
                          <w14:schemeClr w14:val="tx1"/>
                        </w14:solidFill>
                      </w14:textFill>
                    </w:rPr>
                    <w:t>40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r>
                    <w:rPr>
                      <w:color w:val="000000" w:themeColor="text1"/>
                      <w:kern w:val="0"/>
                      <w:szCs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1,1,2-三氯乙烷</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1.2×10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.8</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三氯乙烯</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1.2×10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.8</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1,2,3-三氯丙烷</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1.2×10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.5</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氯乙烯</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1.0×10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.43</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苯</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1.9×10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氯苯</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1.2×10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70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,2-二氯苯</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1.5×10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60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1,4-二氯苯</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1.5×10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乙苯</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1.2×10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8</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苯乙烯</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1.1×10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290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甲苯</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1.3×10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200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间二甲苯+对二甲苯</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1.2×10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70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邻二甲苯</w:t>
                  </w:r>
                </w:p>
              </w:tc>
              <w:tc>
                <w:tcPr>
                  <w:tcW w:w="883" w:type="pct"/>
                  <w:vAlign w:val="center"/>
                </w:tcPr>
                <w:p>
                  <w:pPr>
                    <w:spacing w:line="240" w:lineRule="auto"/>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1.2×10</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40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4"/>
                  <w:vAlign w:val="center"/>
                </w:tcPr>
                <w:p>
                  <w:pPr>
                    <w:spacing w:line="240" w:lineRule="auto"/>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硝基苯</w:t>
                  </w:r>
                </w:p>
              </w:tc>
              <w:tc>
                <w:tcPr>
                  <w:tcW w:w="883" w:type="pct"/>
                  <w:vAlign w:val="center"/>
                </w:tcPr>
                <w:p>
                  <w:pPr>
                    <w:spacing w:line="240" w:lineRule="auto"/>
                    <w:jc w:val="center"/>
                    <w:rPr>
                      <w:rFonts w:cs="等线"/>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r>
                    <w:rPr>
                      <w:color w:val="000000" w:themeColor="text1"/>
                      <w:kern w:val="0"/>
                      <w:szCs w:val="21"/>
                      <w14:textFill>
                        <w14:solidFill>
                          <w14:schemeClr w14:val="tx1"/>
                        </w14:solidFill>
                      </w14:textFill>
                    </w:rPr>
                    <w:t>6</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r>
                    <w:rPr>
                      <w:color w:val="000000" w:themeColor="text1"/>
                      <w:kern w:val="0"/>
                      <w:szCs w:val="2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苯胺</w:t>
                  </w:r>
                </w:p>
              </w:tc>
              <w:tc>
                <w:tcPr>
                  <w:tcW w:w="883" w:type="pct"/>
                  <w:vAlign w:val="center"/>
                </w:tcPr>
                <w:p>
                  <w:pPr>
                    <w:spacing w:line="240" w:lineRule="auto"/>
                    <w:jc w:val="center"/>
                    <w:rPr>
                      <w:rFonts w:cs="等线"/>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60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氯酚</w:t>
                  </w:r>
                </w:p>
              </w:tc>
              <w:tc>
                <w:tcPr>
                  <w:tcW w:w="883" w:type="pct"/>
                  <w:vAlign w:val="center"/>
                </w:tcPr>
                <w:p>
                  <w:pPr>
                    <w:spacing w:line="240" w:lineRule="auto"/>
                    <w:jc w:val="center"/>
                    <w:rPr>
                      <w:rFonts w:cs="等线"/>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0.06L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256</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苯并</w:t>
                  </w:r>
                  <w:r>
                    <w:rPr>
                      <w:color w:val="000000" w:themeColor="text1"/>
                      <w:kern w:val="0"/>
                      <w:szCs w:val="21"/>
                      <w14:textFill>
                        <w14:solidFill>
                          <w14:schemeClr w14:val="tx1"/>
                        </w14:solidFill>
                      </w14:textFill>
                    </w:rPr>
                    <w:t>[a]</w:t>
                  </w:r>
                  <w:r>
                    <w:rPr>
                      <w:rFonts w:hint="eastAsia"/>
                      <w:color w:val="000000" w:themeColor="text1"/>
                      <w:kern w:val="0"/>
                      <w:szCs w:val="21"/>
                      <w14:textFill>
                        <w14:solidFill>
                          <w14:schemeClr w14:val="tx1"/>
                        </w14:solidFill>
                      </w14:textFill>
                    </w:rPr>
                    <w:t>蒽</w:t>
                  </w:r>
                </w:p>
              </w:tc>
              <w:tc>
                <w:tcPr>
                  <w:tcW w:w="883" w:type="pct"/>
                  <w:vAlign w:val="center"/>
                </w:tcPr>
                <w:p>
                  <w:pPr>
                    <w:spacing w:line="240" w:lineRule="auto"/>
                    <w:jc w:val="center"/>
                    <w:rPr>
                      <w:rFonts w:cs="等线"/>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苯并</w:t>
                  </w:r>
                  <w:r>
                    <w:rPr>
                      <w:color w:val="000000" w:themeColor="text1"/>
                      <w:kern w:val="0"/>
                      <w:szCs w:val="21"/>
                      <w14:textFill>
                        <w14:solidFill>
                          <w14:schemeClr w14:val="tx1"/>
                        </w14:solidFill>
                      </w14:textFill>
                    </w:rPr>
                    <w:t>[a]</w:t>
                  </w:r>
                  <w:r>
                    <w:rPr>
                      <w:rFonts w:hint="eastAsia"/>
                      <w:color w:val="000000" w:themeColor="text1"/>
                      <w:kern w:val="0"/>
                      <w:szCs w:val="21"/>
                      <w14:textFill>
                        <w14:solidFill>
                          <w14:schemeClr w14:val="tx1"/>
                        </w14:solidFill>
                      </w14:textFill>
                    </w:rPr>
                    <w:t>芘</w:t>
                  </w:r>
                </w:p>
              </w:tc>
              <w:tc>
                <w:tcPr>
                  <w:tcW w:w="883" w:type="pct"/>
                  <w:vAlign w:val="center"/>
                </w:tcPr>
                <w:p>
                  <w:pPr>
                    <w:spacing w:line="240" w:lineRule="auto"/>
                    <w:jc w:val="center"/>
                    <w:rPr>
                      <w:rFonts w:cs="等线"/>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苯并</w:t>
                  </w:r>
                  <w:r>
                    <w:rPr>
                      <w:color w:val="000000" w:themeColor="text1"/>
                      <w:kern w:val="0"/>
                      <w:szCs w:val="21"/>
                      <w14:textFill>
                        <w14:solidFill>
                          <w14:schemeClr w14:val="tx1"/>
                        </w14:solidFill>
                      </w14:textFill>
                    </w:rPr>
                    <w:t>[b]</w:t>
                  </w:r>
                  <w:r>
                    <w:rPr>
                      <w:rFonts w:hint="eastAsia"/>
                      <w:color w:val="000000" w:themeColor="text1"/>
                      <w:kern w:val="0"/>
                      <w:szCs w:val="21"/>
                      <w14:textFill>
                        <w14:solidFill>
                          <w14:schemeClr w14:val="tx1"/>
                        </w14:solidFill>
                      </w14:textFill>
                    </w:rPr>
                    <w:t>荧蒽</w:t>
                  </w:r>
                </w:p>
              </w:tc>
              <w:tc>
                <w:tcPr>
                  <w:tcW w:w="883" w:type="pct"/>
                  <w:vAlign w:val="center"/>
                </w:tcPr>
                <w:p>
                  <w:pPr>
                    <w:spacing w:line="240" w:lineRule="auto"/>
                    <w:jc w:val="center"/>
                    <w:rPr>
                      <w:rFonts w:cs="等线"/>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苯并</w:t>
                  </w:r>
                  <w:r>
                    <w:rPr>
                      <w:color w:val="000000" w:themeColor="text1"/>
                      <w:kern w:val="0"/>
                      <w:szCs w:val="21"/>
                      <w14:textFill>
                        <w14:solidFill>
                          <w14:schemeClr w14:val="tx1"/>
                        </w14:solidFill>
                      </w14:textFill>
                    </w:rPr>
                    <w:t>[k]</w:t>
                  </w:r>
                  <w:r>
                    <w:rPr>
                      <w:rFonts w:hint="eastAsia"/>
                      <w:color w:val="000000" w:themeColor="text1"/>
                      <w:kern w:val="0"/>
                      <w:szCs w:val="21"/>
                      <w14:textFill>
                        <w14:solidFill>
                          <w14:schemeClr w14:val="tx1"/>
                        </w14:solidFill>
                      </w14:textFill>
                    </w:rPr>
                    <w:t>荧蒽</w:t>
                  </w:r>
                </w:p>
              </w:tc>
              <w:tc>
                <w:tcPr>
                  <w:tcW w:w="883" w:type="pct"/>
                  <w:vAlign w:val="center"/>
                </w:tcPr>
                <w:p>
                  <w:pPr>
                    <w:spacing w:line="240" w:lineRule="auto"/>
                    <w:jc w:val="center"/>
                    <w:rPr>
                      <w:rFonts w:cs="等线"/>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51</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䓛</w:t>
                  </w:r>
                </w:p>
              </w:tc>
              <w:tc>
                <w:tcPr>
                  <w:tcW w:w="883" w:type="pct"/>
                  <w:vAlign w:val="center"/>
                </w:tcPr>
                <w:p>
                  <w:pPr>
                    <w:spacing w:line="240" w:lineRule="auto"/>
                    <w:jc w:val="center"/>
                    <w:rPr>
                      <w:rFonts w:cs="等线"/>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900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二苯并</w:t>
                  </w:r>
                  <w:r>
                    <w:rPr>
                      <w:color w:val="000000" w:themeColor="text1"/>
                      <w:kern w:val="0"/>
                      <w:szCs w:val="21"/>
                      <w14:textFill>
                        <w14:solidFill>
                          <w14:schemeClr w14:val="tx1"/>
                        </w14:solidFill>
                      </w14:textFill>
                    </w:rPr>
                    <w:t>[a,h]</w:t>
                  </w:r>
                  <w:r>
                    <w:rPr>
                      <w:rFonts w:hint="eastAsia"/>
                      <w:color w:val="000000" w:themeColor="text1"/>
                      <w:kern w:val="0"/>
                      <w:szCs w:val="21"/>
                      <w14:textFill>
                        <w14:solidFill>
                          <w14:schemeClr w14:val="tx1"/>
                        </w14:solidFill>
                      </w14:textFill>
                    </w:rPr>
                    <w:t>蒽</w:t>
                  </w:r>
                </w:p>
              </w:tc>
              <w:tc>
                <w:tcPr>
                  <w:tcW w:w="883" w:type="pct"/>
                  <w:vAlign w:val="center"/>
                </w:tcPr>
                <w:p>
                  <w:pPr>
                    <w:spacing w:line="240" w:lineRule="auto"/>
                    <w:jc w:val="center"/>
                    <w:rPr>
                      <w:rFonts w:cs="等线"/>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茚并</w:t>
                  </w:r>
                  <w:r>
                    <w:rPr>
                      <w:color w:val="000000" w:themeColor="text1"/>
                      <w:kern w:val="0"/>
                      <w:szCs w:val="21"/>
                      <w14:textFill>
                        <w14:solidFill>
                          <w14:schemeClr w14:val="tx1"/>
                        </w14:solidFill>
                      </w14:textFill>
                    </w:rPr>
                    <w:t>[1,2,3-c,d]</w:t>
                  </w:r>
                  <w:r>
                    <w:rPr>
                      <w:rFonts w:hint="eastAsia"/>
                      <w:color w:val="000000" w:themeColor="text1"/>
                      <w:kern w:val="0"/>
                      <w:szCs w:val="21"/>
                      <w14:textFill>
                        <w14:solidFill>
                          <w14:schemeClr w14:val="tx1"/>
                        </w14:solidFill>
                      </w14:textFill>
                    </w:rPr>
                    <w:t>芘</w:t>
                  </w:r>
                </w:p>
              </w:tc>
              <w:tc>
                <w:tcPr>
                  <w:tcW w:w="883" w:type="pct"/>
                  <w:vAlign w:val="center"/>
                </w:tcPr>
                <w:p>
                  <w:pPr>
                    <w:spacing w:line="240" w:lineRule="auto"/>
                    <w:jc w:val="center"/>
                    <w:rPr>
                      <w:rFonts w:cs="等线"/>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萘</w:t>
                  </w:r>
                </w:p>
              </w:tc>
              <w:tc>
                <w:tcPr>
                  <w:tcW w:w="883" w:type="pct"/>
                  <w:vAlign w:val="center"/>
                </w:tcPr>
                <w:p>
                  <w:pPr>
                    <w:spacing w:line="240" w:lineRule="auto"/>
                    <w:jc w:val="center"/>
                    <w:rPr>
                      <w:rFonts w:cs="等线"/>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0.09L</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r>
                    <w:rPr>
                      <w:color w:val="000000" w:themeColor="text1"/>
                      <w:kern w:val="0"/>
                      <w:szCs w:val="21"/>
                      <w14:textFill>
                        <w14:solidFill>
                          <w14:schemeClr w14:val="tx1"/>
                        </w14:solidFill>
                      </w14:textFill>
                    </w:rPr>
                    <w:t>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r>
                    <w:rPr>
                      <w:color w:val="000000" w:themeColor="text1"/>
                      <w:kern w:val="0"/>
                      <w:szCs w:val="21"/>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4"/>
                  <w:vAlign w:val="center"/>
                </w:tcPr>
                <w:p>
                  <w:pPr>
                    <w:spacing w:line="240" w:lineRule="auto"/>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特征污染物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石油烃（C</w:t>
                  </w:r>
                  <w:r>
                    <w:rPr>
                      <w:color w:val="000000" w:themeColor="text1"/>
                      <w:kern w:val="0"/>
                      <w:szCs w:val="21"/>
                      <w:vertAlign w:val="subscript"/>
                      <w14:textFill>
                        <w14:solidFill>
                          <w14:schemeClr w14:val="tx1"/>
                        </w14:solidFill>
                      </w14:textFill>
                    </w:rPr>
                    <w:t>10</w:t>
                  </w:r>
                  <w:r>
                    <w:rPr>
                      <w:color w:val="000000" w:themeColor="text1"/>
                      <w:kern w:val="0"/>
                      <w:szCs w:val="21"/>
                      <w14:textFill>
                        <w14:solidFill>
                          <w14:schemeClr w14:val="tx1"/>
                        </w14:solidFill>
                      </w14:textFill>
                    </w:rPr>
                    <w:t>-C</w:t>
                  </w:r>
                  <w:r>
                    <w:rPr>
                      <w:color w:val="000000" w:themeColor="text1"/>
                      <w:kern w:val="0"/>
                      <w:szCs w:val="21"/>
                      <w:vertAlign w:val="subscript"/>
                      <w14:textFill>
                        <w14:solidFill>
                          <w14:schemeClr w14:val="tx1"/>
                        </w14:solidFill>
                      </w14:textFill>
                    </w:rPr>
                    <w:t>40</w:t>
                  </w:r>
                  <w:r>
                    <w:rPr>
                      <w:rFonts w:hint="eastAsia"/>
                      <w:color w:val="000000" w:themeColor="text1"/>
                      <w:kern w:val="0"/>
                      <w:szCs w:val="21"/>
                      <w14:textFill>
                        <w14:solidFill>
                          <w14:schemeClr w14:val="tx1"/>
                        </w14:solidFill>
                      </w14:textFill>
                    </w:rPr>
                    <w:t>）</w:t>
                  </w:r>
                </w:p>
              </w:tc>
              <w:tc>
                <w:tcPr>
                  <w:tcW w:w="883"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w:t>
                  </w:r>
                </w:p>
              </w:tc>
              <w:tc>
                <w:tcPr>
                  <w:tcW w:w="1400"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500</w:t>
                  </w:r>
                </w:p>
              </w:tc>
              <w:tc>
                <w:tcPr>
                  <w:tcW w:w="1246" w:type="pct"/>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000</w:t>
                  </w:r>
                </w:p>
              </w:tc>
            </w:tr>
          </w:tbl>
          <w:p>
            <w:pPr>
              <w:pStyle w:val="75"/>
              <w:ind w:firstLine="48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kern w:val="0"/>
                <w:szCs w:val="24"/>
                <w14:textFill>
                  <w14:solidFill>
                    <w14:schemeClr w14:val="tx1"/>
                  </w14:solidFill>
                </w14:textFill>
              </w:rPr>
              <w:t>由上表可知</w:t>
            </w:r>
            <w:r>
              <w:rPr>
                <w:rFonts w:ascii="Times New Roman" w:hAnsi="Times New Roman" w:cs="Times New Roman"/>
                <w:color w:val="000000" w:themeColor="text1"/>
                <w:kern w:val="0"/>
                <w:szCs w:val="24"/>
                <w14:textFill>
                  <w14:solidFill>
                    <w14:schemeClr w14:val="tx1"/>
                  </w14:solidFill>
                </w14:textFill>
              </w:rPr>
              <w:t>，项目区域土壤现状质量能够达到《土壤环境质量 建设用地土壤污染风险管控标准（试行）》（GB36600-2018）表1中第二类用地筛选值要求，区域土壤环境质量较好。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保护</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目标</w:t>
            </w:r>
          </w:p>
        </w:tc>
        <w:tc>
          <w:tcPr>
            <w:tcW w:w="4732" w:type="pct"/>
            <w:vAlign w:val="center"/>
          </w:tcPr>
          <w:p>
            <w:pP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.7</w:t>
            </w:r>
            <w:r>
              <w:rPr>
                <w:rFonts w:hint="eastAsia"/>
                <w:b/>
                <w:color w:val="000000" w:themeColor="text1"/>
                <w:sz w:val="24"/>
                <w14:textFill>
                  <w14:solidFill>
                    <w14:schemeClr w14:val="tx1"/>
                  </w14:solidFill>
                </w14:textFill>
              </w:rPr>
              <w:t>环境保护目标</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项目位于双桥经开区邮亭片区A区。根据现场踏勘，项目周边均为在建或已建成的工业企业。项目东侧紧邻威立雅油气环境治理（重庆）有限公司，北侧为园区道路（红林路）、北侧约3</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m为重庆资源综合利用静脉产业园项目（在建），西侧3</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m为重庆华新再生资源利用有限公司（在建），南侧为园区道路（在建）、南侧3</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m为重庆鼎盛环保科技有限公司（规划建设）。</w:t>
            </w:r>
          </w:p>
          <w:p>
            <w:pPr>
              <w:ind w:firstLine="480" w:firstLineChars="200"/>
              <w:rPr>
                <w:color w:val="000000" w:themeColor="text1"/>
                <w:kern w:val="0"/>
                <w:sz w:val="24"/>
                <w14:textFill>
                  <w14:solidFill>
                    <w14:schemeClr w14:val="tx1"/>
                  </w14:solidFill>
                </w14:textFill>
              </w:rPr>
            </w:pPr>
            <w:r>
              <w:rPr>
                <w:rFonts w:hint="eastAsia"/>
                <w:color w:val="FF0000"/>
                <w:kern w:val="0"/>
                <w:sz w:val="24"/>
              </w:rPr>
              <w:t>项目南侧厂界外约3</w:t>
            </w:r>
            <w:r>
              <w:rPr>
                <w:color w:val="FF0000"/>
                <w:kern w:val="0"/>
                <w:sz w:val="24"/>
              </w:rPr>
              <w:t>40</w:t>
            </w:r>
            <w:r>
              <w:rPr>
                <w:rFonts w:hint="eastAsia"/>
                <w:color w:val="FF0000"/>
                <w:kern w:val="0"/>
                <w:sz w:val="24"/>
              </w:rPr>
              <w:t>m为园区边界。根据现场实地踏勘，距项目南侧厂界外5</w:t>
            </w:r>
            <w:r>
              <w:rPr>
                <w:color w:val="FF0000"/>
                <w:kern w:val="0"/>
                <w:sz w:val="24"/>
              </w:rPr>
              <w:t>20</w:t>
            </w:r>
            <w:r>
              <w:rPr>
                <w:rFonts w:hint="eastAsia"/>
                <w:color w:val="FF0000"/>
                <w:kern w:val="0"/>
                <w:sz w:val="24"/>
              </w:rPr>
              <w:t>m~</w:t>
            </w:r>
            <w:r>
              <w:rPr>
                <w:color w:val="FF0000"/>
                <w:kern w:val="0"/>
                <w:sz w:val="24"/>
              </w:rPr>
              <w:t>600</w:t>
            </w:r>
            <w:r>
              <w:rPr>
                <w:rFonts w:hint="eastAsia"/>
                <w:color w:val="FF0000"/>
                <w:kern w:val="0"/>
                <w:sz w:val="24"/>
              </w:rPr>
              <w:t>m有零星</w:t>
            </w:r>
            <w:r>
              <w:rPr>
                <w:color w:val="FF0000"/>
                <w:kern w:val="0"/>
                <w:sz w:val="24"/>
              </w:rPr>
              <w:t>5</w:t>
            </w:r>
            <w:r>
              <w:rPr>
                <w:rFonts w:hint="eastAsia"/>
                <w:color w:val="FF0000"/>
                <w:kern w:val="0"/>
                <w:sz w:val="24"/>
              </w:rPr>
              <w:t>户居民，厂界外5</w:t>
            </w:r>
            <w:r>
              <w:rPr>
                <w:color w:val="FF0000"/>
                <w:kern w:val="0"/>
                <w:sz w:val="24"/>
              </w:rPr>
              <w:t>00</w:t>
            </w:r>
            <w:r>
              <w:rPr>
                <w:rFonts w:hint="eastAsia"/>
                <w:color w:val="FF0000"/>
                <w:kern w:val="0"/>
                <w:sz w:val="24"/>
              </w:rPr>
              <w:t>m范围内无居民点存在，现场实地调查照片详见附图3-</w:t>
            </w:r>
            <w:r>
              <w:rPr>
                <w:color w:val="FF0000"/>
                <w:kern w:val="0"/>
                <w:sz w:val="24"/>
              </w:rPr>
              <w:t>1</w:t>
            </w:r>
            <w:r>
              <w:rPr>
                <w:rFonts w:hint="eastAsia"/>
                <w:color w:val="000000" w:themeColor="text1"/>
                <w:kern w:val="0"/>
                <w:sz w:val="24"/>
                <w14:textFill>
                  <w14:solidFill>
                    <w14:schemeClr w14:val="tx1"/>
                  </w14:solidFill>
                </w14:textFill>
              </w:rPr>
              <w:t>。</w:t>
            </w:r>
          </w:p>
          <w:p>
            <w:pPr>
              <w:ind w:firstLine="480" w:firstLineChars="2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经核实，项目周边均为规划建设、在建及已建成的工业企业，厂界外5</w:t>
            </w:r>
            <w:r>
              <w:rPr>
                <w:color w:val="000000" w:themeColor="text1"/>
                <w:kern w:val="0"/>
                <w:sz w:val="24"/>
                <w14:textFill>
                  <w14:solidFill>
                    <w14:schemeClr w14:val="tx1"/>
                  </w14:solidFill>
                </w14:textFill>
              </w:rPr>
              <w:t>00</w:t>
            </w:r>
            <w:r>
              <w:rPr>
                <w:rFonts w:hint="eastAsia"/>
                <w:color w:val="000000" w:themeColor="text1"/>
                <w:kern w:val="0"/>
                <w:sz w:val="24"/>
                <w14:textFill>
                  <w14:solidFill>
                    <w14:schemeClr w14:val="tx1"/>
                  </w14:solidFill>
                </w14:textFill>
              </w:rPr>
              <w:t>m范围内无自然保护区、风景名胜区、居住区、文化区和农村地区中人群较集中的区域等环境空气保护目标</w:t>
            </w:r>
            <w:r>
              <w:rPr>
                <w:rFonts w:hint="eastAsia"/>
                <w:color w:val="000000" w:themeColor="text1"/>
                <w:sz w:val="24"/>
                <w14:textFill>
                  <w14:solidFill>
                    <w14:schemeClr w14:val="tx1"/>
                  </w14:solidFill>
                </w14:textFill>
              </w:rPr>
              <w:t>，项目外环境关系图见附图3-</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w:t>
            </w:r>
            <w:r>
              <w:rPr>
                <w:rFonts w:hint="eastAsia"/>
                <w:color w:val="000000" w:themeColor="text1"/>
                <w:kern w:val="0"/>
                <w:sz w:val="24"/>
                <w14:textFill>
                  <w14:solidFill>
                    <w14:schemeClr w14:val="tx1"/>
                  </w14:solidFill>
                </w14:textFill>
              </w:rPr>
              <w:t>环境保护目标见表3</w:t>
            </w:r>
            <w:r>
              <w:rPr>
                <w:color w:val="000000" w:themeColor="text1"/>
                <w:kern w:val="0"/>
                <w:sz w:val="24"/>
                <w14:textFill>
                  <w14:solidFill>
                    <w14:schemeClr w14:val="tx1"/>
                  </w14:solidFill>
                </w14:textFill>
              </w:rPr>
              <w:t>.7</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1</w:t>
            </w:r>
            <w:r>
              <w:rPr>
                <w:rFonts w:hint="eastAsia"/>
                <w:color w:val="000000" w:themeColor="text1"/>
                <w:kern w:val="0"/>
                <w:sz w:val="24"/>
                <w14:textFill>
                  <w14:solidFill>
                    <w14:schemeClr w14:val="tx1"/>
                  </w14:solidFill>
                </w14:textFill>
              </w:rPr>
              <w:t>。</w:t>
            </w:r>
          </w:p>
          <w:p>
            <w:pPr>
              <w:spacing w:line="240" w:lineRule="auto"/>
              <w:jc w:val="center"/>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表3</w:t>
            </w:r>
            <w:r>
              <w:rPr>
                <w:b/>
                <w:color w:val="000000" w:themeColor="text1"/>
                <w:kern w:val="0"/>
                <w:sz w:val="24"/>
                <w14:textFill>
                  <w14:solidFill>
                    <w14:schemeClr w14:val="tx1"/>
                  </w14:solidFill>
                </w14:textFill>
              </w:rPr>
              <w:t>.7</w:t>
            </w:r>
            <w:r>
              <w:rPr>
                <w:rFonts w:hint="eastAsia"/>
                <w:b/>
                <w:color w:val="000000" w:themeColor="text1"/>
                <w:kern w:val="0"/>
                <w:sz w:val="24"/>
                <w14:textFill>
                  <w14:solidFill>
                    <w14:schemeClr w14:val="tx1"/>
                  </w14:solidFill>
                </w14:textFill>
              </w:rPr>
              <w:t>-</w:t>
            </w:r>
            <w:r>
              <w:rPr>
                <w:b/>
                <w:color w:val="000000" w:themeColor="text1"/>
                <w:kern w:val="0"/>
                <w:sz w:val="24"/>
                <w14:textFill>
                  <w14:solidFill>
                    <w14:schemeClr w14:val="tx1"/>
                  </w14:solidFill>
                </w14:textFill>
              </w:rPr>
              <w:t xml:space="preserve">1  </w:t>
            </w:r>
            <w:r>
              <w:rPr>
                <w:rFonts w:hint="eastAsia"/>
                <w:b/>
                <w:color w:val="000000" w:themeColor="text1"/>
                <w:kern w:val="0"/>
                <w:sz w:val="24"/>
                <w14:textFill>
                  <w14:solidFill>
                    <w14:schemeClr w14:val="tx1"/>
                  </w14:solidFill>
                </w14:textFill>
              </w:rPr>
              <w:t>环境保护目标</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1282"/>
              <w:gridCol w:w="8"/>
              <w:gridCol w:w="601"/>
              <w:gridCol w:w="538"/>
              <w:gridCol w:w="1565"/>
              <w:gridCol w:w="900"/>
              <w:gridCol w:w="723"/>
              <w:gridCol w:w="786"/>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625" w:type="pct"/>
                  <w:vMerge w:val="restart"/>
                  <w:vAlign w:val="center"/>
                </w:tcPr>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敏感</w:t>
                  </w:r>
                </w:p>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要素</w:t>
                  </w:r>
                </w:p>
              </w:tc>
              <w:tc>
                <w:tcPr>
                  <w:tcW w:w="773" w:type="pct"/>
                  <w:gridSpan w:val="2"/>
                  <w:vMerge w:val="restart"/>
                  <w:vAlign w:val="center"/>
                </w:tcPr>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名称</w:t>
                  </w:r>
                </w:p>
              </w:tc>
              <w:tc>
                <w:tcPr>
                  <w:tcW w:w="682" w:type="pct"/>
                  <w:gridSpan w:val="2"/>
                  <w:vAlign w:val="center"/>
                </w:tcPr>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坐标/m</w:t>
                  </w:r>
                </w:p>
              </w:tc>
              <w:tc>
                <w:tcPr>
                  <w:tcW w:w="937" w:type="pct"/>
                  <w:vMerge w:val="restart"/>
                  <w:vAlign w:val="center"/>
                </w:tcPr>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保护</w:t>
                  </w:r>
                </w:p>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对象</w:t>
                  </w:r>
                </w:p>
              </w:tc>
              <w:tc>
                <w:tcPr>
                  <w:tcW w:w="538" w:type="pct"/>
                  <w:vMerge w:val="restart"/>
                  <w:vAlign w:val="center"/>
                </w:tcPr>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保护</w:t>
                  </w:r>
                </w:p>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内容</w:t>
                  </w:r>
                </w:p>
              </w:tc>
              <w:tc>
                <w:tcPr>
                  <w:tcW w:w="433" w:type="pct"/>
                  <w:vMerge w:val="restart"/>
                  <w:vAlign w:val="center"/>
                </w:tcPr>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环境</w:t>
                  </w:r>
                </w:p>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功能</w:t>
                  </w:r>
                </w:p>
              </w:tc>
              <w:tc>
                <w:tcPr>
                  <w:tcW w:w="471" w:type="pct"/>
                  <w:vMerge w:val="restart"/>
                  <w:vAlign w:val="center"/>
                </w:tcPr>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相对厂址方位</w:t>
                  </w:r>
                </w:p>
              </w:tc>
              <w:tc>
                <w:tcPr>
                  <w:tcW w:w="540" w:type="pct"/>
                  <w:vMerge w:val="restart"/>
                  <w:vAlign w:val="center"/>
                </w:tcPr>
                <w:p>
                  <w:pPr>
                    <w:spacing w:line="24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相对厂界距/m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5" w:type="pct"/>
                  <w:vMerge w:val="continue"/>
                  <w:vAlign w:val="center"/>
                </w:tcPr>
                <w:p>
                  <w:pPr>
                    <w:spacing w:line="240" w:lineRule="auto"/>
                    <w:jc w:val="center"/>
                    <w:rPr>
                      <w:color w:val="000000" w:themeColor="text1"/>
                      <w14:textFill>
                        <w14:solidFill>
                          <w14:schemeClr w14:val="tx1"/>
                        </w14:solidFill>
                      </w14:textFill>
                    </w:rPr>
                  </w:pPr>
                </w:p>
              </w:tc>
              <w:tc>
                <w:tcPr>
                  <w:tcW w:w="773" w:type="pct"/>
                  <w:gridSpan w:val="2"/>
                  <w:vMerge w:val="continue"/>
                  <w:vAlign w:val="center"/>
                </w:tcPr>
                <w:p>
                  <w:pPr>
                    <w:spacing w:line="240" w:lineRule="auto"/>
                    <w:jc w:val="center"/>
                    <w:rPr>
                      <w:color w:val="000000" w:themeColor="text1"/>
                      <w14:textFill>
                        <w14:solidFill>
                          <w14:schemeClr w14:val="tx1"/>
                        </w14:solidFill>
                      </w14:textFill>
                    </w:rPr>
                  </w:pPr>
                </w:p>
              </w:tc>
              <w:tc>
                <w:tcPr>
                  <w:tcW w:w="360" w:type="pct"/>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X</w:t>
                  </w:r>
                </w:p>
              </w:tc>
              <w:tc>
                <w:tcPr>
                  <w:tcW w:w="321" w:type="pct"/>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Y</w:t>
                  </w:r>
                </w:p>
              </w:tc>
              <w:tc>
                <w:tcPr>
                  <w:tcW w:w="937" w:type="pct"/>
                  <w:vMerge w:val="continue"/>
                  <w:vAlign w:val="center"/>
                </w:tcPr>
                <w:p>
                  <w:pPr>
                    <w:spacing w:line="240" w:lineRule="auto"/>
                    <w:jc w:val="center"/>
                    <w:rPr>
                      <w:color w:val="000000" w:themeColor="text1"/>
                      <w14:textFill>
                        <w14:solidFill>
                          <w14:schemeClr w14:val="tx1"/>
                        </w14:solidFill>
                      </w14:textFill>
                    </w:rPr>
                  </w:pPr>
                </w:p>
              </w:tc>
              <w:tc>
                <w:tcPr>
                  <w:tcW w:w="538" w:type="pct"/>
                  <w:vMerge w:val="continue"/>
                  <w:vAlign w:val="center"/>
                </w:tcPr>
                <w:p>
                  <w:pPr>
                    <w:spacing w:line="240" w:lineRule="auto"/>
                    <w:jc w:val="center"/>
                    <w:rPr>
                      <w:color w:val="000000" w:themeColor="text1"/>
                      <w14:textFill>
                        <w14:solidFill>
                          <w14:schemeClr w14:val="tx1"/>
                        </w14:solidFill>
                      </w14:textFill>
                    </w:rPr>
                  </w:pPr>
                </w:p>
              </w:tc>
              <w:tc>
                <w:tcPr>
                  <w:tcW w:w="433" w:type="pct"/>
                  <w:vMerge w:val="continue"/>
                  <w:vAlign w:val="center"/>
                </w:tcPr>
                <w:p>
                  <w:pPr>
                    <w:spacing w:line="240" w:lineRule="auto"/>
                    <w:jc w:val="center"/>
                    <w:rPr>
                      <w:color w:val="000000" w:themeColor="text1"/>
                      <w14:textFill>
                        <w14:solidFill>
                          <w14:schemeClr w14:val="tx1"/>
                        </w14:solidFill>
                      </w14:textFill>
                    </w:rPr>
                  </w:pPr>
                </w:p>
              </w:tc>
              <w:tc>
                <w:tcPr>
                  <w:tcW w:w="471" w:type="pct"/>
                  <w:vMerge w:val="continue"/>
                  <w:vAlign w:val="center"/>
                </w:tcPr>
                <w:p>
                  <w:pPr>
                    <w:spacing w:line="240" w:lineRule="auto"/>
                    <w:jc w:val="center"/>
                    <w:rPr>
                      <w:color w:val="000000" w:themeColor="text1"/>
                      <w14:textFill>
                        <w14:solidFill>
                          <w14:schemeClr w14:val="tx1"/>
                        </w14:solidFill>
                      </w14:textFill>
                    </w:rPr>
                  </w:pPr>
                </w:p>
              </w:tc>
              <w:tc>
                <w:tcPr>
                  <w:tcW w:w="540" w:type="pct"/>
                  <w:vMerge w:val="continue"/>
                  <w:vAlign w:val="center"/>
                </w:tcPr>
                <w:p>
                  <w:pPr>
                    <w:spacing w:line="240" w:lineRule="auto"/>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5"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大气环境</w:t>
                  </w:r>
                </w:p>
              </w:tc>
              <w:tc>
                <w:tcPr>
                  <w:tcW w:w="2930" w:type="pct"/>
                  <w:gridSpan w:val="6"/>
                  <w:vAlign w:val="center"/>
                </w:tcPr>
                <w:p>
                  <w:pPr>
                    <w:spacing w:line="240" w:lineRule="auto"/>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项目周边均为规划建设或在建或已建成的工业企业，厂界外500m范围内无自然保护区、风景名胜区、居住区、文化区和农村地区中人群较集中的区域等环境空气保护目标。</w:t>
                  </w:r>
                </w:p>
              </w:tc>
              <w:tc>
                <w:tcPr>
                  <w:tcW w:w="433"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二类区</w:t>
                  </w:r>
                </w:p>
              </w:tc>
              <w:tc>
                <w:tcPr>
                  <w:tcW w:w="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40"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625"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声环境</w:t>
                  </w:r>
                </w:p>
              </w:tc>
              <w:tc>
                <w:tcPr>
                  <w:tcW w:w="2930" w:type="pct"/>
                  <w:gridSpan w:val="6"/>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项目厂界5</w:t>
                  </w:r>
                  <w:r>
                    <w:rPr>
                      <w:color w:val="000000" w:themeColor="text1"/>
                      <w:kern w:val="0"/>
                      <w:szCs w:val="21"/>
                      <w14:textFill>
                        <w14:solidFill>
                          <w14:schemeClr w14:val="tx1"/>
                        </w14:solidFill>
                      </w14:textFill>
                    </w:rPr>
                    <w:t>0</w:t>
                  </w:r>
                  <w:r>
                    <w:rPr>
                      <w:rFonts w:hint="eastAsia"/>
                      <w:color w:val="000000" w:themeColor="text1"/>
                      <w:kern w:val="0"/>
                      <w:szCs w:val="21"/>
                      <w14:textFill>
                        <w14:solidFill>
                          <w14:schemeClr w14:val="tx1"/>
                        </w14:solidFill>
                      </w14:textFill>
                    </w:rPr>
                    <w:t>m范围内无居民点</w:t>
                  </w:r>
                </w:p>
              </w:tc>
              <w:tc>
                <w:tcPr>
                  <w:tcW w:w="433"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40"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625"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地表水环境</w:t>
                  </w:r>
                </w:p>
              </w:tc>
              <w:tc>
                <w:tcPr>
                  <w:tcW w:w="768"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苦水河</w:t>
                  </w:r>
                </w:p>
              </w:tc>
              <w:tc>
                <w:tcPr>
                  <w:tcW w:w="365" w:type="pct"/>
                  <w:gridSpan w:val="2"/>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32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937"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地表水</w:t>
                  </w:r>
                </w:p>
              </w:tc>
              <w:tc>
                <w:tcPr>
                  <w:tcW w:w="538"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水环境</w:t>
                  </w:r>
                </w:p>
              </w:tc>
              <w:tc>
                <w:tcPr>
                  <w:tcW w:w="433" w:type="pct"/>
                  <w:vAlign w:val="center"/>
                </w:tcPr>
                <w:p>
                  <w:pPr>
                    <w:spacing w:line="240" w:lineRule="auto"/>
                    <w:jc w:val="center"/>
                    <w:rPr>
                      <w:color w:val="000000" w:themeColor="text1"/>
                      <w:kern w:val="0"/>
                      <w:szCs w:val="21"/>
                      <w14:textFill>
                        <w14:solidFill>
                          <w14:schemeClr w14:val="tx1"/>
                        </w14:solidFill>
                      </w14:textFill>
                    </w:rPr>
                  </w:pPr>
                  <w:r>
                    <w:rPr>
                      <w:snapToGrid w:val="0"/>
                      <w:color w:val="000000" w:themeColor="text1"/>
                      <w14:textFill>
                        <w14:solidFill>
                          <w14:schemeClr w14:val="tx1"/>
                        </w14:solidFill>
                      </w14:textFill>
                    </w:rPr>
                    <w:t>IV类</w:t>
                  </w:r>
                </w:p>
              </w:tc>
              <w:tc>
                <w:tcPr>
                  <w:tcW w:w="47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NE</w:t>
                  </w:r>
                </w:p>
              </w:tc>
              <w:tc>
                <w:tcPr>
                  <w:tcW w:w="540" w:type="pct"/>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625"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地下水环境</w:t>
                  </w:r>
                </w:p>
              </w:tc>
              <w:tc>
                <w:tcPr>
                  <w:tcW w:w="4375" w:type="pct"/>
                  <w:gridSpan w:val="9"/>
                  <w:vAlign w:val="center"/>
                </w:tcPr>
                <w:p>
                  <w:pPr>
                    <w:spacing w:line="240" w:lineRule="auto"/>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项目厂界5</w:t>
                  </w:r>
                  <w:r>
                    <w:rPr>
                      <w:color w:val="000000" w:themeColor="text1"/>
                      <w:kern w:val="0"/>
                      <w:szCs w:val="21"/>
                      <w14:textFill>
                        <w14:solidFill>
                          <w14:schemeClr w14:val="tx1"/>
                        </w14:solidFill>
                      </w14:textFill>
                    </w:rPr>
                    <w:t>00</w:t>
                  </w:r>
                  <w:r>
                    <w:rPr>
                      <w:rFonts w:hint="eastAsia"/>
                      <w:color w:val="000000" w:themeColor="text1"/>
                      <w:kern w:val="0"/>
                      <w:szCs w:val="21"/>
                      <w14:textFill>
                        <w14:solidFill>
                          <w14:schemeClr w14:val="tx1"/>
                        </w14:solidFill>
                      </w14:textFill>
                    </w:rPr>
                    <w:t>m范围内无地下水集中式饮用水水源和热水、矿泉水、温泉等特殊地下水资源。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625"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生态</w:t>
                  </w:r>
                </w:p>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环境</w:t>
                  </w:r>
                </w:p>
              </w:tc>
              <w:tc>
                <w:tcPr>
                  <w:tcW w:w="4375" w:type="pct"/>
                  <w:gridSpan w:val="9"/>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项目位于双桥经开区邮亭片区A区，无产业园区外新增用地。</w:t>
                  </w:r>
                </w:p>
              </w:tc>
            </w:tr>
          </w:tbl>
          <w:p>
            <w:pPr>
              <w:adjustRightInd w:val="0"/>
              <w:snapToGrid w:val="0"/>
              <w:ind w:firstLine="420"/>
              <w:jc w:val="center"/>
              <w:rPr>
                <w:color w:val="000000" w:themeColor="text1"/>
                <w:kern w:val="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tcMar>
              <w:left w:w="28" w:type="dxa"/>
              <w:right w:w="28"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物排</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放控</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制标</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准</w:t>
            </w:r>
          </w:p>
        </w:tc>
        <w:tc>
          <w:tcPr>
            <w:tcW w:w="4732" w:type="pct"/>
            <w:vAlign w:val="center"/>
          </w:tcPr>
          <w:p>
            <w:pPr>
              <w:adjustRightInd w:val="0"/>
              <w:snapToGrid w:val="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.8</w:t>
            </w:r>
            <w:r>
              <w:rPr>
                <w:rFonts w:hint="eastAsia"/>
                <w:b/>
                <w:bCs/>
                <w:color w:val="000000" w:themeColor="text1"/>
                <w:sz w:val="24"/>
                <w14:textFill>
                  <w14:solidFill>
                    <w14:schemeClr w14:val="tx1"/>
                  </w14:solidFill>
                </w14:textFill>
              </w:rPr>
              <w:t>污染物排放控制标准</w:t>
            </w:r>
          </w:p>
          <w:p>
            <w:pPr>
              <w:adjustRightInd w:val="0"/>
              <w:snapToGrid w:val="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.8.1废气排放标准</w:t>
            </w:r>
          </w:p>
          <w:p>
            <w:pPr>
              <w:pStyle w:val="72"/>
              <w:ind w:firstLine="480"/>
              <w:rPr>
                <w:rFonts w:cs="Times New Roman"/>
                <w:color w:val="000000" w:themeColor="text1"/>
                <w14:textFill>
                  <w14:solidFill>
                    <w14:schemeClr w14:val="tx1"/>
                  </w14:solidFill>
                </w14:textFill>
              </w:rPr>
            </w:pPr>
            <w:r>
              <w:rPr>
                <w:rFonts w:hint="eastAsia"/>
                <w:color w:val="000000" w:themeColor="text1"/>
                <w:szCs w:val="24"/>
                <w14:textFill>
                  <w14:solidFill>
                    <w14:schemeClr w14:val="tx1"/>
                  </w14:solidFill>
                </w14:textFill>
              </w:rPr>
              <w:t>根据《排污许可证申请与核发技术规范 废弃资源加工工业》（H</w:t>
            </w:r>
            <w:r>
              <w:rPr>
                <w:color w:val="000000" w:themeColor="text1"/>
                <w:szCs w:val="24"/>
                <w14:textFill>
                  <w14:solidFill>
                    <w14:schemeClr w14:val="tx1"/>
                  </w14:solidFill>
                </w14:textFill>
              </w:rPr>
              <w:t>J 1034-2019</w:t>
            </w:r>
            <w:r>
              <w:rPr>
                <w:rFonts w:hint="eastAsia"/>
                <w:color w:val="000000" w:themeColor="text1"/>
                <w:szCs w:val="24"/>
                <w14:textFill>
                  <w14:solidFill>
                    <w14:schemeClr w14:val="tx1"/>
                  </w14:solidFill>
                </w14:textFill>
              </w:rPr>
              <w:t>），本项目颗粒物、S</w:t>
            </w:r>
            <w:r>
              <w:rPr>
                <w:color w:val="000000" w:themeColor="text1"/>
                <w:szCs w:val="24"/>
                <w14:textFill>
                  <w14:solidFill>
                    <w14:schemeClr w14:val="tx1"/>
                  </w14:solidFill>
                </w14:textFill>
              </w:rPr>
              <w:t>O</w:t>
            </w:r>
            <w:r>
              <w:rPr>
                <w:color w:val="000000" w:themeColor="text1"/>
                <w:szCs w:val="24"/>
                <w:vertAlign w:val="subscript"/>
                <w14:textFill>
                  <w14:solidFill>
                    <w14:schemeClr w14:val="tx1"/>
                  </w14:solidFill>
                </w14:textFill>
              </w:rPr>
              <w:t>2</w:t>
            </w:r>
            <w:r>
              <w:rPr>
                <w:rFonts w:hint="eastAsia"/>
                <w:color w:val="000000" w:themeColor="text1"/>
                <w:szCs w:val="24"/>
                <w14:textFill>
                  <w14:solidFill>
                    <w14:schemeClr w14:val="tx1"/>
                  </w14:solidFill>
                </w14:textFill>
              </w:rPr>
              <w:t>、N</w:t>
            </w:r>
            <w:r>
              <w:rPr>
                <w:color w:val="000000" w:themeColor="text1"/>
                <w:szCs w:val="24"/>
                <w14:textFill>
                  <w14:solidFill>
                    <w14:schemeClr w14:val="tx1"/>
                  </w14:solidFill>
                </w14:textFill>
              </w:rPr>
              <w:t>O</w:t>
            </w:r>
            <w:r>
              <w:rPr>
                <w:color w:val="000000" w:themeColor="text1"/>
                <w:szCs w:val="24"/>
                <w:vertAlign w:val="subscript"/>
                <w14:textFill>
                  <w14:solidFill>
                    <w14:schemeClr w14:val="tx1"/>
                  </w14:solidFill>
                </w14:textFill>
              </w:rPr>
              <w:t>X</w:t>
            </w:r>
            <w:r>
              <w:rPr>
                <w:rFonts w:hint="eastAsia"/>
                <w:color w:val="000000" w:themeColor="text1"/>
                <w:szCs w:val="24"/>
                <w14:textFill>
                  <w14:solidFill>
                    <w14:schemeClr w14:val="tx1"/>
                  </w14:solidFill>
                </w14:textFill>
              </w:rPr>
              <w:t>、非甲烷总烃、甲苯、二甲苯、二噁英类执行《石油化学工业污染物排放标准》（G</w:t>
            </w:r>
            <w:r>
              <w:rPr>
                <w:color w:val="000000" w:themeColor="text1"/>
                <w:szCs w:val="24"/>
                <w14:textFill>
                  <w14:solidFill>
                    <w14:schemeClr w14:val="tx1"/>
                  </w14:solidFill>
                </w14:textFill>
              </w:rPr>
              <w:t>B31571-2015</w:t>
            </w:r>
            <w:r>
              <w:rPr>
                <w:rFonts w:hint="eastAsia"/>
                <w:color w:val="000000" w:themeColor="text1"/>
                <w:szCs w:val="24"/>
                <w14:textFill>
                  <w14:solidFill>
                    <w14:schemeClr w14:val="tx1"/>
                  </w14:solidFill>
                </w14:textFill>
              </w:rPr>
              <w:t>）中表</w:t>
            </w:r>
            <w:r>
              <w:rPr>
                <w:color w:val="000000" w:themeColor="text1"/>
                <w:szCs w:val="24"/>
                <w14:textFill>
                  <w14:solidFill>
                    <w14:schemeClr w14:val="tx1"/>
                  </w14:solidFill>
                </w14:textFill>
              </w:rPr>
              <w:t>4</w:t>
            </w:r>
            <w:r>
              <w:rPr>
                <w:rFonts w:hint="eastAsia"/>
                <w:color w:val="000000" w:themeColor="text1"/>
                <w:szCs w:val="24"/>
                <w14:textFill>
                  <w14:solidFill>
                    <w14:schemeClr w14:val="tx1"/>
                  </w14:solidFill>
                </w14:textFill>
              </w:rPr>
              <w:t>限值要求。炭黑加工过程产生的炭黑尘执行《大气污染物综合排放标准》（D</w:t>
            </w:r>
            <w:r>
              <w:rPr>
                <w:color w:val="000000" w:themeColor="text1"/>
                <w:szCs w:val="24"/>
                <w14:textFill>
                  <w14:solidFill>
                    <w14:schemeClr w14:val="tx1"/>
                  </w14:solidFill>
                </w14:textFill>
              </w:rPr>
              <w:t>B 50/418-2016</w:t>
            </w:r>
            <w:r>
              <w:rPr>
                <w:rFonts w:hint="eastAsia"/>
                <w:color w:val="000000" w:themeColor="text1"/>
                <w:szCs w:val="24"/>
                <w14:textFill>
                  <w14:solidFill>
                    <w14:schemeClr w14:val="tx1"/>
                  </w14:solidFill>
                </w14:textFill>
              </w:rPr>
              <w:t>）中炭黑尘限值要求。恶臭执行《恶臭污染物排放标准》（G</w:t>
            </w:r>
            <w:r>
              <w:rPr>
                <w:color w:val="000000" w:themeColor="text1"/>
                <w:szCs w:val="24"/>
                <w14:textFill>
                  <w14:solidFill>
                    <w14:schemeClr w14:val="tx1"/>
                  </w14:solidFill>
                </w14:textFill>
              </w:rPr>
              <w:t>B14554-93</w:t>
            </w:r>
            <w:r>
              <w:rPr>
                <w:rFonts w:hint="eastAsia"/>
                <w:color w:val="000000" w:themeColor="text1"/>
                <w:szCs w:val="24"/>
                <w14:textFill>
                  <w14:solidFill>
                    <w14:schemeClr w14:val="tx1"/>
                  </w14:solidFill>
                </w14:textFill>
              </w:rPr>
              <w:t>）中限值要求。食堂油烟执行《餐饮业大气污染物排放标准》（DB50/859-2018）中限值要求。</w:t>
            </w:r>
          </w:p>
          <w:p>
            <w:pPr>
              <w:spacing w:line="24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表3</w:t>
            </w:r>
            <w:r>
              <w:rPr>
                <w:b/>
                <w:bCs/>
                <w:color w:val="000000" w:themeColor="text1"/>
                <w:sz w:val="24"/>
                <w14:textFill>
                  <w14:solidFill>
                    <w14:schemeClr w14:val="tx1"/>
                  </w14:solidFill>
                </w14:textFill>
              </w:rPr>
              <w:t>.8</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 xml:space="preserve">1  </w:t>
            </w:r>
            <w:r>
              <w:rPr>
                <w:rFonts w:hint="eastAsia"/>
                <w:b/>
                <w:bCs/>
                <w:color w:val="000000" w:themeColor="text1"/>
                <w:sz w:val="24"/>
                <w14:textFill>
                  <w14:solidFill>
                    <w14:schemeClr w14:val="tx1"/>
                  </w14:solidFill>
                </w14:textFill>
              </w:rPr>
              <w:t>大气污染物排放标准</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1501"/>
              <w:gridCol w:w="1035"/>
              <w:gridCol w:w="928"/>
              <w:gridCol w:w="1093"/>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058" w:type="pct"/>
                  <w:vMerge w:val="restar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925" w:type="pct"/>
                  <w:vMerge w:val="restar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最高允许排放浓度</w:t>
                  </w:r>
                  <w:r>
                    <w:rPr>
                      <w:b/>
                      <w:color w:val="000000" w:themeColor="text1"/>
                      <w:spacing w:val="-12"/>
                      <w:szCs w:val="21"/>
                      <w14:textFill>
                        <w14:solidFill>
                          <w14:schemeClr w14:val="tx1"/>
                        </w14:solidFill>
                      </w14:textFill>
                    </w:rPr>
                    <w:t>（mg/m</w:t>
                  </w:r>
                  <w:r>
                    <w:rPr>
                      <w:b/>
                      <w:color w:val="000000" w:themeColor="text1"/>
                      <w:spacing w:val="-12"/>
                      <w:szCs w:val="21"/>
                      <w:vertAlign w:val="superscript"/>
                      <w14:textFill>
                        <w14:solidFill>
                          <w14:schemeClr w14:val="tx1"/>
                        </w14:solidFill>
                      </w14:textFill>
                    </w:rPr>
                    <w:t>3</w:t>
                  </w:r>
                  <w:r>
                    <w:rPr>
                      <w:b/>
                      <w:color w:val="000000" w:themeColor="text1"/>
                      <w:spacing w:val="-12"/>
                      <w:szCs w:val="21"/>
                      <w14:textFill>
                        <w14:solidFill>
                          <w14:schemeClr w14:val="tx1"/>
                        </w14:solidFill>
                      </w14:textFill>
                    </w:rPr>
                    <w:t>）</w:t>
                  </w:r>
                </w:p>
              </w:tc>
              <w:tc>
                <w:tcPr>
                  <w:tcW w:w="637" w:type="pct"/>
                  <w:vMerge w:val="restart"/>
                  <w:vAlign w:val="center"/>
                </w:tcPr>
                <w:p>
                  <w:pPr>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排放速率（kg</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h）</w:t>
                  </w:r>
                </w:p>
              </w:tc>
              <w:tc>
                <w:tcPr>
                  <w:tcW w:w="1114" w:type="pct"/>
                  <w:gridSpan w:val="2"/>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无组织排放监控浓度限值</w:t>
                  </w:r>
                </w:p>
              </w:tc>
              <w:tc>
                <w:tcPr>
                  <w:tcW w:w="1265" w:type="pct"/>
                  <w:vMerge w:val="restar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依  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058" w:type="pct"/>
                  <w:vMerge w:val="continue"/>
                  <w:vAlign w:val="center"/>
                </w:tcPr>
                <w:p>
                  <w:pPr>
                    <w:spacing w:line="240" w:lineRule="auto"/>
                    <w:jc w:val="center"/>
                    <w:rPr>
                      <w:b/>
                      <w:color w:val="000000" w:themeColor="text1"/>
                      <w:szCs w:val="21"/>
                      <w14:textFill>
                        <w14:solidFill>
                          <w14:schemeClr w14:val="tx1"/>
                        </w14:solidFill>
                      </w14:textFill>
                    </w:rPr>
                  </w:pPr>
                </w:p>
              </w:tc>
              <w:tc>
                <w:tcPr>
                  <w:tcW w:w="925" w:type="pct"/>
                  <w:vMerge w:val="continue"/>
                  <w:vAlign w:val="center"/>
                </w:tcPr>
                <w:p>
                  <w:pPr>
                    <w:spacing w:line="240" w:lineRule="auto"/>
                    <w:jc w:val="center"/>
                    <w:rPr>
                      <w:b/>
                      <w:color w:val="000000" w:themeColor="text1"/>
                      <w:szCs w:val="21"/>
                      <w14:textFill>
                        <w14:solidFill>
                          <w14:schemeClr w14:val="tx1"/>
                        </w14:solidFill>
                      </w14:textFill>
                    </w:rPr>
                  </w:pPr>
                </w:p>
              </w:tc>
              <w:tc>
                <w:tcPr>
                  <w:tcW w:w="637" w:type="pct"/>
                  <w:vMerge w:val="continue"/>
                  <w:vAlign w:val="center"/>
                </w:tcPr>
                <w:p>
                  <w:pPr>
                    <w:spacing w:line="240" w:lineRule="auto"/>
                    <w:jc w:val="center"/>
                    <w:rPr>
                      <w:color w:val="000000" w:themeColor="text1"/>
                      <w:szCs w:val="21"/>
                      <w14:textFill>
                        <w14:solidFill>
                          <w14:schemeClr w14:val="tx1"/>
                        </w14:solidFill>
                      </w14:textFill>
                    </w:rPr>
                  </w:pPr>
                </w:p>
              </w:tc>
              <w:tc>
                <w:tcPr>
                  <w:tcW w:w="591" w:type="pc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监控点</w:t>
                  </w:r>
                </w:p>
              </w:tc>
              <w:tc>
                <w:tcPr>
                  <w:tcW w:w="524" w:type="pc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浓度</w:t>
                  </w:r>
                  <w:r>
                    <w:rPr>
                      <w:b/>
                      <w:color w:val="000000" w:themeColor="text1"/>
                      <w:spacing w:val="-14"/>
                      <w:szCs w:val="21"/>
                      <w14:textFill>
                        <w14:solidFill>
                          <w14:schemeClr w14:val="tx1"/>
                        </w14:solidFill>
                      </w14:textFill>
                    </w:rPr>
                    <w:t>（mg/m</w:t>
                  </w:r>
                  <w:r>
                    <w:rPr>
                      <w:b/>
                      <w:color w:val="000000" w:themeColor="text1"/>
                      <w:spacing w:val="-14"/>
                      <w:szCs w:val="21"/>
                      <w:vertAlign w:val="superscript"/>
                      <w14:textFill>
                        <w14:solidFill>
                          <w14:schemeClr w14:val="tx1"/>
                        </w14:solidFill>
                      </w14:textFill>
                    </w:rPr>
                    <w:t>3</w:t>
                  </w:r>
                  <w:r>
                    <w:rPr>
                      <w:b/>
                      <w:color w:val="000000" w:themeColor="text1"/>
                      <w:spacing w:val="-14"/>
                      <w:szCs w:val="21"/>
                      <w14:textFill>
                        <w14:solidFill>
                          <w14:schemeClr w14:val="tx1"/>
                        </w14:solidFill>
                      </w14:textFill>
                    </w:rPr>
                    <w:t>）</w:t>
                  </w:r>
                </w:p>
              </w:tc>
              <w:tc>
                <w:tcPr>
                  <w:tcW w:w="1265" w:type="pct"/>
                  <w:vMerge w:val="continue"/>
                  <w:vAlign w:val="center"/>
                </w:tcPr>
                <w:p>
                  <w:pPr>
                    <w:spacing w:line="240" w:lineRule="auto"/>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05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925"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63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91" w:type="pct"/>
                  <w:vMerge w:val="restar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w:t>
                  </w:r>
                  <w:r>
                    <w:rPr>
                      <w:color w:val="000000" w:themeColor="text1"/>
                      <w:szCs w:val="21"/>
                      <w14:textFill>
                        <w14:solidFill>
                          <w14:schemeClr w14:val="tx1"/>
                        </w14:solidFill>
                      </w14:textFill>
                    </w:rPr>
                    <w:t>界</w:t>
                  </w:r>
                </w:p>
              </w:tc>
              <w:tc>
                <w:tcPr>
                  <w:tcW w:w="524"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265" w:type="pct"/>
                  <w:vMerge w:val="restar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《石油化学工业污染物排放标准》（GB31571-2015）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05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SO</w:t>
                  </w:r>
                  <w:r>
                    <w:rPr>
                      <w:rFonts w:hint="eastAsia"/>
                      <w:color w:val="000000" w:themeColor="text1"/>
                      <w:szCs w:val="21"/>
                      <w:vertAlign w:val="subscript"/>
                      <w14:textFill>
                        <w14:solidFill>
                          <w14:schemeClr w14:val="tx1"/>
                        </w14:solidFill>
                      </w14:textFill>
                    </w:rPr>
                    <w:t>2</w:t>
                  </w:r>
                </w:p>
              </w:tc>
              <w:tc>
                <w:tcPr>
                  <w:tcW w:w="925"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63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91" w:type="pct"/>
                  <w:vMerge w:val="continue"/>
                  <w:vAlign w:val="center"/>
                </w:tcPr>
                <w:p>
                  <w:pPr>
                    <w:spacing w:line="240" w:lineRule="auto"/>
                    <w:jc w:val="center"/>
                    <w:rPr>
                      <w:color w:val="000000" w:themeColor="text1"/>
                      <w:szCs w:val="21"/>
                      <w14:textFill>
                        <w14:solidFill>
                          <w14:schemeClr w14:val="tx1"/>
                        </w14:solidFill>
                      </w14:textFill>
                    </w:rPr>
                  </w:pPr>
                </w:p>
              </w:tc>
              <w:tc>
                <w:tcPr>
                  <w:tcW w:w="524"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65" w:type="pct"/>
                  <w:vMerge w:val="continue"/>
                  <w:vAlign w:val="center"/>
                </w:tcPr>
                <w:p>
                  <w:pPr>
                    <w:spacing w:line="240" w:lineRule="auto"/>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05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NO</w:t>
                  </w:r>
                  <w:r>
                    <w:rPr>
                      <w:rFonts w:hint="eastAsia"/>
                      <w:color w:val="000000" w:themeColor="text1"/>
                      <w:szCs w:val="21"/>
                      <w:vertAlign w:val="subscript"/>
                      <w14:textFill>
                        <w14:solidFill>
                          <w14:schemeClr w14:val="tx1"/>
                        </w14:solidFill>
                      </w14:textFill>
                    </w:rPr>
                    <w:t>X</w:t>
                  </w:r>
                </w:p>
              </w:tc>
              <w:tc>
                <w:tcPr>
                  <w:tcW w:w="925"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w:t>
                  </w:r>
                </w:p>
              </w:tc>
              <w:tc>
                <w:tcPr>
                  <w:tcW w:w="63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91" w:type="pct"/>
                  <w:vMerge w:val="continue"/>
                  <w:vAlign w:val="center"/>
                </w:tcPr>
                <w:p>
                  <w:pPr>
                    <w:spacing w:line="240" w:lineRule="auto"/>
                    <w:jc w:val="center"/>
                    <w:rPr>
                      <w:color w:val="000000" w:themeColor="text1"/>
                      <w:szCs w:val="21"/>
                      <w14:textFill>
                        <w14:solidFill>
                          <w14:schemeClr w14:val="tx1"/>
                        </w14:solidFill>
                      </w14:textFill>
                    </w:rPr>
                  </w:pPr>
                </w:p>
              </w:tc>
              <w:tc>
                <w:tcPr>
                  <w:tcW w:w="524"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65" w:type="pct"/>
                  <w:vMerge w:val="continue"/>
                  <w:vAlign w:val="center"/>
                </w:tcPr>
                <w:p>
                  <w:pPr>
                    <w:spacing w:line="240" w:lineRule="auto"/>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05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925"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120（去除效率≥95%）</w:t>
                  </w:r>
                </w:p>
              </w:tc>
              <w:tc>
                <w:tcPr>
                  <w:tcW w:w="63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91" w:type="pct"/>
                  <w:vMerge w:val="continue"/>
                  <w:vAlign w:val="center"/>
                </w:tcPr>
                <w:p>
                  <w:pPr>
                    <w:spacing w:line="240" w:lineRule="auto"/>
                    <w:jc w:val="center"/>
                    <w:rPr>
                      <w:color w:val="000000" w:themeColor="text1"/>
                      <w:szCs w:val="21"/>
                      <w14:textFill>
                        <w14:solidFill>
                          <w14:schemeClr w14:val="tx1"/>
                        </w14:solidFill>
                      </w14:textFill>
                    </w:rPr>
                  </w:pPr>
                </w:p>
              </w:tc>
              <w:tc>
                <w:tcPr>
                  <w:tcW w:w="524"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1265" w:type="pct"/>
                  <w:vMerge w:val="continue"/>
                  <w:vAlign w:val="center"/>
                </w:tcPr>
                <w:p>
                  <w:pPr>
                    <w:spacing w:line="240" w:lineRule="auto"/>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05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二甲苯</w:t>
                  </w:r>
                </w:p>
              </w:tc>
              <w:tc>
                <w:tcPr>
                  <w:tcW w:w="925"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63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91" w:type="pct"/>
                  <w:vMerge w:val="continue"/>
                  <w:vAlign w:val="center"/>
                </w:tcPr>
                <w:p>
                  <w:pPr>
                    <w:spacing w:line="240" w:lineRule="auto"/>
                    <w:jc w:val="center"/>
                    <w:rPr>
                      <w:color w:val="000000" w:themeColor="text1"/>
                      <w:szCs w:val="21"/>
                      <w14:textFill>
                        <w14:solidFill>
                          <w14:schemeClr w14:val="tx1"/>
                        </w14:solidFill>
                      </w14:textFill>
                    </w:rPr>
                  </w:pPr>
                </w:p>
              </w:tc>
              <w:tc>
                <w:tcPr>
                  <w:tcW w:w="524"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w:t>
                  </w:r>
                </w:p>
              </w:tc>
              <w:tc>
                <w:tcPr>
                  <w:tcW w:w="1265" w:type="pct"/>
                  <w:vMerge w:val="continue"/>
                  <w:vAlign w:val="center"/>
                </w:tcPr>
                <w:p>
                  <w:pPr>
                    <w:spacing w:line="240" w:lineRule="auto"/>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05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甲苯</w:t>
                  </w:r>
                </w:p>
              </w:tc>
              <w:tc>
                <w:tcPr>
                  <w:tcW w:w="925"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63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91" w:type="pct"/>
                  <w:vMerge w:val="continue"/>
                  <w:vAlign w:val="center"/>
                </w:tcPr>
                <w:p>
                  <w:pPr>
                    <w:spacing w:line="240" w:lineRule="auto"/>
                    <w:jc w:val="center"/>
                    <w:rPr>
                      <w:color w:val="000000" w:themeColor="text1"/>
                      <w:szCs w:val="21"/>
                      <w14:textFill>
                        <w14:solidFill>
                          <w14:schemeClr w14:val="tx1"/>
                        </w14:solidFill>
                      </w14:textFill>
                    </w:rPr>
                  </w:pPr>
                </w:p>
              </w:tc>
              <w:tc>
                <w:tcPr>
                  <w:tcW w:w="524"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w:t>
                  </w:r>
                </w:p>
              </w:tc>
              <w:tc>
                <w:tcPr>
                  <w:tcW w:w="1265" w:type="pct"/>
                  <w:vMerge w:val="continue"/>
                  <w:vAlign w:val="center"/>
                </w:tcPr>
                <w:p>
                  <w:pPr>
                    <w:spacing w:line="240" w:lineRule="auto"/>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05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二噁英类</w:t>
                  </w:r>
                </w:p>
              </w:tc>
              <w:tc>
                <w:tcPr>
                  <w:tcW w:w="925"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0.1ng-TEQ/m</w:t>
                  </w:r>
                  <w:r>
                    <w:rPr>
                      <w:rFonts w:hint="eastAsia"/>
                      <w:color w:val="000000" w:themeColor="text1"/>
                      <w:szCs w:val="21"/>
                      <w:vertAlign w:val="superscript"/>
                      <w14:textFill>
                        <w14:solidFill>
                          <w14:schemeClr w14:val="tx1"/>
                        </w14:solidFill>
                      </w14:textFill>
                    </w:rPr>
                    <w:t>3</w:t>
                  </w:r>
                </w:p>
              </w:tc>
              <w:tc>
                <w:tcPr>
                  <w:tcW w:w="63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91" w:type="pct"/>
                  <w:vMerge w:val="continue"/>
                  <w:vAlign w:val="center"/>
                </w:tcPr>
                <w:p>
                  <w:pPr>
                    <w:spacing w:line="240" w:lineRule="auto"/>
                    <w:jc w:val="center"/>
                    <w:rPr>
                      <w:color w:val="000000" w:themeColor="text1"/>
                      <w:szCs w:val="21"/>
                      <w14:textFill>
                        <w14:solidFill>
                          <w14:schemeClr w14:val="tx1"/>
                        </w14:solidFill>
                      </w14:textFill>
                    </w:rPr>
                  </w:pPr>
                </w:p>
              </w:tc>
              <w:tc>
                <w:tcPr>
                  <w:tcW w:w="524"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65" w:type="pct"/>
                  <w:vMerge w:val="continue"/>
                  <w:vAlign w:val="center"/>
                </w:tcPr>
                <w:p>
                  <w:pPr>
                    <w:spacing w:line="240" w:lineRule="auto"/>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058"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炭黑尘（炭黑加工粉尘）</w:t>
                  </w:r>
                </w:p>
              </w:tc>
              <w:tc>
                <w:tcPr>
                  <w:tcW w:w="925"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8</w:t>
                  </w:r>
                </w:p>
              </w:tc>
              <w:tc>
                <w:tcPr>
                  <w:tcW w:w="63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.51</w:t>
                  </w:r>
                </w:p>
              </w:tc>
              <w:tc>
                <w:tcPr>
                  <w:tcW w:w="591" w:type="pct"/>
                  <w:vMerge w:val="continue"/>
                  <w:vAlign w:val="center"/>
                </w:tcPr>
                <w:p>
                  <w:pPr>
                    <w:spacing w:line="240" w:lineRule="auto"/>
                    <w:jc w:val="center"/>
                    <w:rPr>
                      <w:color w:val="000000" w:themeColor="text1"/>
                      <w:szCs w:val="21"/>
                      <w14:textFill>
                        <w14:solidFill>
                          <w14:schemeClr w14:val="tx1"/>
                        </w14:solidFill>
                      </w14:textFill>
                    </w:rPr>
                  </w:pPr>
                </w:p>
              </w:tc>
              <w:tc>
                <w:tcPr>
                  <w:tcW w:w="524"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肉眼不可见</w:t>
                  </w:r>
                </w:p>
              </w:tc>
              <w:tc>
                <w:tcPr>
                  <w:tcW w:w="1265"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《大气污染物综合排放标准》（DB 50/418-2016）</w:t>
                  </w:r>
                </w:p>
              </w:tc>
            </w:tr>
          </w:tbl>
          <w:p>
            <w:pPr>
              <w:pStyle w:val="2"/>
              <w:rPr>
                <w:color w:val="000000" w:themeColor="text1"/>
                <w:sz w:val="21"/>
                <w:szCs w:val="21"/>
                <w14:textFill>
                  <w14:solidFill>
                    <w14:schemeClr w14:val="tx1"/>
                  </w14:solidFill>
                </w14:textFill>
              </w:rPr>
            </w:pPr>
            <w:r>
              <w:rPr>
                <w:rFonts w:hint="eastAsia"/>
                <w:b/>
                <w:color w:val="000000" w:themeColor="text1"/>
                <w:sz w:val="21"/>
                <w:szCs w:val="21"/>
                <w:lang w:val="zh-CN"/>
                <w14:textFill>
                  <w14:solidFill>
                    <w14:schemeClr w14:val="tx1"/>
                  </w14:solidFill>
                </w14:textFill>
              </w:rPr>
              <w:t>注</w:t>
            </w:r>
            <w:r>
              <w:rPr>
                <w:b/>
                <w:color w:val="000000" w:themeColor="text1"/>
                <w:sz w:val="21"/>
                <w:szCs w:val="21"/>
                <w:lang w:val="zh-CN"/>
                <w14:textFill>
                  <w14:solidFill>
                    <w14:schemeClr w14:val="tx1"/>
                  </w14:solidFill>
                </w14:textFill>
              </w:rPr>
              <w:t>*：</w:t>
            </w:r>
            <w:r>
              <w:rPr>
                <w:color w:val="000000" w:themeColor="text1"/>
                <w:sz w:val="21"/>
                <w:szCs w:val="21"/>
                <w:lang w:val="zh-CN"/>
                <w14:textFill>
                  <w14:solidFill>
                    <w14:schemeClr w14:val="tx1"/>
                  </w14:solidFill>
                </w14:textFill>
              </w:rPr>
              <w:t>其中，GB31571</w:t>
            </w:r>
            <w:r>
              <w:rPr>
                <w:rFonts w:hint="eastAsia"/>
                <w:color w:val="000000" w:themeColor="text1"/>
                <w:sz w:val="21"/>
                <w:szCs w:val="21"/>
                <w:lang w:val="zh-CN"/>
                <w14:textFill>
                  <w14:solidFill>
                    <w14:schemeClr w14:val="tx1"/>
                  </w14:solidFill>
                </w14:textFill>
              </w:rPr>
              <w:t>中</w:t>
            </w:r>
            <w:r>
              <w:rPr>
                <w:color w:val="000000" w:themeColor="text1"/>
                <w:sz w:val="21"/>
                <w:szCs w:val="21"/>
                <w:lang w:val="zh-CN"/>
                <w14:textFill>
                  <w14:solidFill>
                    <w14:schemeClr w14:val="tx1"/>
                  </w14:solidFill>
                </w14:textFill>
              </w:rPr>
              <w:t>对</w:t>
            </w:r>
            <w:r>
              <w:rPr>
                <w:rFonts w:hint="eastAsia"/>
                <w:color w:val="000000" w:themeColor="text1"/>
                <w:sz w:val="21"/>
                <w:szCs w:val="21"/>
                <w:lang w:val="zh-CN"/>
                <w14:textFill>
                  <w14:solidFill>
                    <w14:schemeClr w14:val="tx1"/>
                  </w14:solidFill>
                </w14:textFill>
              </w:rPr>
              <w:t>“其他</w:t>
            </w:r>
            <w:r>
              <w:rPr>
                <w:color w:val="000000" w:themeColor="text1"/>
                <w:sz w:val="21"/>
                <w:szCs w:val="21"/>
                <w:lang w:val="zh-CN"/>
                <w14:textFill>
                  <w14:solidFill>
                    <w14:schemeClr w14:val="tx1"/>
                  </w14:solidFill>
                </w14:textFill>
              </w:rPr>
              <w:t>有机废气</w:t>
            </w:r>
            <w:r>
              <w:rPr>
                <w:rFonts w:hint="eastAsia"/>
                <w:color w:val="000000" w:themeColor="text1"/>
                <w:sz w:val="21"/>
                <w:szCs w:val="21"/>
                <w:lang w:val="zh-CN"/>
                <w14:textFill>
                  <w14:solidFill>
                    <w14:schemeClr w14:val="tx1"/>
                  </w14:solidFill>
                </w14:textFill>
              </w:rPr>
              <w:t>”</w:t>
            </w:r>
            <w:r>
              <w:rPr>
                <w:color w:val="000000" w:themeColor="text1"/>
                <w:sz w:val="21"/>
                <w:szCs w:val="21"/>
                <w:lang w:val="zh-CN"/>
                <w14:textFill>
                  <w14:solidFill>
                    <w14:schemeClr w14:val="tx1"/>
                  </w14:solidFill>
                </w14:textFill>
              </w:rPr>
              <w:t>中的非甲烷总烃仅有</w:t>
            </w:r>
            <w:r>
              <w:rPr>
                <w:rFonts w:hint="eastAsia"/>
                <w:color w:val="000000" w:themeColor="text1"/>
                <w:sz w:val="21"/>
                <w:szCs w:val="21"/>
                <w:lang w:val="zh-CN"/>
                <w14:textFill>
                  <w14:solidFill>
                    <w14:schemeClr w14:val="tx1"/>
                  </w14:solidFill>
                </w14:textFill>
              </w:rPr>
              <w:t>去除</w:t>
            </w:r>
            <w:r>
              <w:rPr>
                <w:color w:val="000000" w:themeColor="text1"/>
                <w:sz w:val="21"/>
                <w:szCs w:val="21"/>
                <w:lang w:val="zh-CN"/>
                <w14:textFill>
                  <w14:solidFill>
                    <w14:schemeClr w14:val="tx1"/>
                  </w14:solidFill>
                </w14:textFill>
              </w:rPr>
              <w:t>效率</w:t>
            </w:r>
            <w:r>
              <w:rPr>
                <w:rFonts w:hint="eastAsia"/>
                <w:color w:val="000000" w:themeColor="text1"/>
                <w:sz w:val="21"/>
                <w:szCs w:val="21"/>
                <w:lang w:val="zh-CN"/>
                <w14:textFill>
                  <w14:solidFill>
                    <w14:schemeClr w14:val="tx1"/>
                  </w14:solidFill>
                </w14:textFill>
              </w:rPr>
              <w:t>≥95</w:t>
            </w:r>
            <w:r>
              <w:rPr>
                <w:color w:val="000000" w:themeColor="text1"/>
                <w:sz w:val="21"/>
                <w:szCs w:val="21"/>
                <w:lang w:val="zh-CN"/>
                <w14:textFill>
                  <w14:solidFill>
                    <w14:schemeClr w14:val="tx1"/>
                  </w14:solidFill>
                </w14:textFill>
              </w:rPr>
              <w:t>%的要求，</w:t>
            </w:r>
            <w:r>
              <w:rPr>
                <w:rFonts w:hint="eastAsia"/>
                <w:color w:val="000000" w:themeColor="text1"/>
                <w:sz w:val="21"/>
                <w:szCs w:val="21"/>
                <w:lang w:val="zh-CN"/>
                <w14:textFill>
                  <w14:solidFill>
                    <w14:schemeClr w14:val="tx1"/>
                  </w14:solidFill>
                </w14:textFill>
              </w:rPr>
              <w:t>而</w:t>
            </w:r>
            <w:r>
              <w:rPr>
                <w:color w:val="000000" w:themeColor="text1"/>
                <w:sz w:val="21"/>
                <w:szCs w:val="21"/>
                <w:lang w:val="zh-CN"/>
                <w14:textFill>
                  <w14:solidFill>
                    <w14:schemeClr w14:val="tx1"/>
                  </w14:solidFill>
                </w14:textFill>
              </w:rPr>
              <w:t>无浓度</w:t>
            </w:r>
            <w:r>
              <w:rPr>
                <w:rFonts w:hint="eastAsia"/>
                <w:color w:val="000000" w:themeColor="text1"/>
                <w:sz w:val="21"/>
                <w:szCs w:val="21"/>
                <w:lang w:val="zh-CN"/>
                <w14:textFill>
                  <w14:solidFill>
                    <w14:schemeClr w14:val="tx1"/>
                  </w14:solidFill>
                </w14:textFill>
              </w:rPr>
              <w:t>限值。为强化</w:t>
            </w:r>
            <w:r>
              <w:rPr>
                <w:color w:val="000000" w:themeColor="text1"/>
                <w:sz w:val="21"/>
                <w:szCs w:val="21"/>
                <w:lang w:val="zh-CN"/>
                <w14:textFill>
                  <w14:solidFill>
                    <w14:schemeClr w14:val="tx1"/>
                  </w14:solidFill>
                </w14:textFill>
              </w:rPr>
              <w:t>废气管理，降低对周边环境影响，</w:t>
            </w:r>
            <w:r>
              <w:rPr>
                <w:rFonts w:hint="eastAsia"/>
                <w:color w:val="000000" w:themeColor="text1"/>
                <w:sz w:val="21"/>
                <w:szCs w:val="21"/>
                <w:lang w:val="zh-CN"/>
                <w14:textFill>
                  <w14:solidFill>
                    <w14:schemeClr w14:val="tx1"/>
                  </w14:solidFill>
                </w14:textFill>
              </w:rPr>
              <w:t>参照重庆市同类</w:t>
            </w:r>
            <w:r>
              <w:rPr>
                <w:color w:val="000000" w:themeColor="text1"/>
                <w:sz w:val="21"/>
                <w:szCs w:val="21"/>
                <w:lang w:val="zh-CN"/>
                <w14:textFill>
                  <w14:solidFill>
                    <w14:schemeClr w14:val="tx1"/>
                  </w14:solidFill>
                </w14:textFill>
              </w:rPr>
              <w:t>项目</w:t>
            </w:r>
            <w:r>
              <w:rPr>
                <w:rFonts w:hint="eastAsia"/>
                <w:color w:val="000000" w:themeColor="text1"/>
                <w:sz w:val="21"/>
                <w:szCs w:val="21"/>
                <w:lang w:val="zh-CN"/>
                <w14:textFill>
                  <w14:solidFill>
                    <w14:schemeClr w14:val="tx1"/>
                  </w14:solidFill>
                </w14:textFill>
              </w:rPr>
              <w:t>，</w:t>
            </w:r>
            <w:r>
              <w:rPr>
                <w:color w:val="000000" w:themeColor="text1"/>
                <w:sz w:val="21"/>
                <w:szCs w:val="21"/>
                <w:lang w:val="zh-CN"/>
                <w14:textFill>
                  <w14:solidFill>
                    <w14:schemeClr w14:val="tx1"/>
                  </w14:solidFill>
                </w14:textFill>
              </w:rPr>
              <w:t>非甲烷总烃</w:t>
            </w:r>
            <w:r>
              <w:rPr>
                <w:rFonts w:hint="eastAsia"/>
                <w:color w:val="000000" w:themeColor="text1"/>
                <w:sz w:val="21"/>
                <w:szCs w:val="21"/>
                <w:lang w:val="zh-CN"/>
                <w14:textFill>
                  <w14:solidFill>
                    <w14:schemeClr w14:val="tx1"/>
                  </w14:solidFill>
                </w14:textFill>
              </w:rPr>
              <w:t>参照GB31571中“废水</w:t>
            </w:r>
            <w:r>
              <w:rPr>
                <w:color w:val="000000" w:themeColor="text1"/>
                <w:sz w:val="21"/>
                <w:szCs w:val="21"/>
                <w:lang w:val="zh-CN"/>
                <w14:textFill>
                  <w14:solidFill>
                    <w14:schemeClr w14:val="tx1"/>
                  </w14:solidFill>
                </w14:textFill>
              </w:rPr>
              <w:t>处理</w:t>
            </w:r>
            <w:r>
              <w:rPr>
                <w:rFonts w:hint="eastAsia"/>
                <w:color w:val="000000" w:themeColor="text1"/>
                <w:sz w:val="21"/>
                <w:szCs w:val="21"/>
                <w:lang w:val="zh-CN"/>
                <w14:textFill>
                  <w14:solidFill>
                    <w14:schemeClr w14:val="tx1"/>
                  </w14:solidFill>
                </w14:textFill>
              </w:rPr>
              <w:t>有机废气</w:t>
            </w:r>
            <w:r>
              <w:rPr>
                <w:color w:val="000000" w:themeColor="text1"/>
                <w:sz w:val="21"/>
                <w:szCs w:val="21"/>
                <w:lang w:val="zh-CN"/>
                <w14:textFill>
                  <w14:solidFill>
                    <w14:schemeClr w14:val="tx1"/>
                  </w14:solidFill>
                </w14:textFill>
              </w:rPr>
              <w:t>收集装置</w:t>
            </w:r>
            <w:r>
              <w:rPr>
                <w:rFonts w:hint="eastAsia"/>
                <w:color w:val="000000" w:themeColor="text1"/>
                <w:sz w:val="21"/>
                <w:szCs w:val="21"/>
                <w:lang w:val="zh-CN"/>
                <w14:textFill>
                  <w14:solidFill>
                    <w14:schemeClr w14:val="tx1"/>
                  </w14:solidFill>
                </w14:textFill>
              </w:rPr>
              <w:t>”浓度</w:t>
            </w:r>
            <w:r>
              <w:rPr>
                <w:color w:val="000000" w:themeColor="text1"/>
                <w:sz w:val="21"/>
                <w:szCs w:val="21"/>
                <w:lang w:val="zh-CN"/>
                <w14:textFill>
                  <w14:solidFill>
                    <w14:schemeClr w14:val="tx1"/>
                  </w14:solidFill>
                </w14:textFill>
              </w:rPr>
              <w:t>限值120mg/m</w:t>
            </w:r>
            <w:r>
              <w:rPr>
                <w:color w:val="000000" w:themeColor="text1"/>
                <w:sz w:val="21"/>
                <w:szCs w:val="21"/>
                <w:vertAlign w:val="superscript"/>
                <w:lang w:val="zh-CN"/>
                <w14:textFill>
                  <w14:solidFill>
                    <w14:schemeClr w14:val="tx1"/>
                  </w14:solidFill>
                </w14:textFill>
              </w:rPr>
              <w:t>3</w:t>
            </w:r>
            <w:r>
              <w:rPr>
                <w:rFonts w:hint="eastAsia"/>
                <w:color w:val="000000" w:themeColor="text1"/>
                <w:sz w:val="21"/>
                <w:szCs w:val="21"/>
                <w:lang w:val="zh-CN"/>
                <w14:textFill>
                  <w14:solidFill>
                    <w14:schemeClr w14:val="tx1"/>
                  </w14:solidFill>
                </w14:textFill>
              </w:rPr>
              <w:t>从严</w:t>
            </w:r>
            <w:r>
              <w:rPr>
                <w:color w:val="000000" w:themeColor="text1"/>
                <w:sz w:val="21"/>
                <w:szCs w:val="21"/>
                <w:lang w:val="zh-CN"/>
                <w14:textFill>
                  <w14:solidFill>
                    <w14:schemeClr w14:val="tx1"/>
                  </w14:solidFill>
                </w14:textFill>
              </w:rPr>
              <w:t>执行</w:t>
            </w:r>
            <w:r>
              <w:rPr>
                <w:rFonts w:hint="eastAsia"/>
                <w:color w:val="000000" w:themeColor="text1"/>
                <w:sz w:val="21"/>
                <w:szCs w:val="21"/>
                <w:lang w:val="zh-CN"/>
                <w14:textFill>
                  <w14:solidFill>
                    <w14:schemeClr w14:val="tx1"/>
                  </w14:solidFill>
                </w14:textFill>
              </w:rPr>
              <w:t>。</w:t>
            </w:r>
          </w:p>
          <w:p>
            <w:pPr>
              <w:spacing w:line="24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w:t>
            </w:r>
            <w:r>
              <w:rPr>
                <w:b/>
                <w:bCs/>
                <w:color w:val="000000" w:themeColor="text1"/>
                <w:sz w:val="24"/>
                <w14:textFill>
                  <w14:solidFill>
                    <w14:schemeClr w14:val="tx1"/>
                  </w14:solidFill>
                </w14:textFill>
              </w:rPr>
              <w:t xml:space="preserve">3.8-2  </w:t>
            </w:r>
            <w:r>
              <w:rPr>
                <w:rFonts w:hint="eastAsia"/>
                <w:b/>
                <w:bCs/>
                <w:color w:val="000000" w:themeColor="text1"/>
                <w:sz w:val="24"/>
                <w14:textFill>
                  <w14:solidFill>
                    <w14:schemeClr w14:val="tx1"/>
                  </w14:solidFill>
                </w14:textFill>
              </w:rPr>
              <w:t>恶臭污染物排放标准</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3"/>
              <w:gridCol w:w="2784"/>
              <w:gridCol w:w="2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7" w:type="pct"/>
                  <w:shd w:val="clear" w:color="auto" w:fill="auto"/>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污染物</w:t>
                  </w:r>
                </w:p>
              </w:tc>
              <w:tc>
                <w:tcPr>
                  <w:tcW w:w="1667" w:type="pct"/>
                  <w:shd w:val="clear" w:color="auto" w:fill="auto"/>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排放量（kg</w:t>
                  </w:r>
                  <w:r>
                    <w:rPr>
                      <w:b/>
                      <w:color w:val="000000" w:themeColor="text1"/>
                      <w:sz w:val="21"/>
                      <w:szCs w:val="21"/>
                      <w14:textFill>
                        <w14:solidFill>
                          <w14:schemeClr w14:val="tx1"/>
                        </w14:solidFill>
                      </w14:textFill>
                    </w:rPr>
                    <w:t>/</w:t>
                  </w:r>
                  <w:r>
                    <w:rPr>
                      <w:rFonts w:hint="eastAsia"/>
                      <w:b/>
                      <w:color w:val="000000" w:themeColor="text1"/>
                      <w:sz w:val="21"/>
                      <w:szCs w:val="21"/>
                      <w14:textFill>
                        <w14:solidFill>
                          <w14:schemeClr w14:val="tx1"/>
                        </w14:solidFill>
                      </w14:textFill>
                    </w:rPr>
                    <w:t>h）</w:t>
                  </w:r>
                </w:p>
              </w:tc>
              <w:tc>
                <w:tcPr>
                  <w:tcW w:w="1667" w:type="pct"/>
                  <w:shd w:val="clear" w:color="auto" w:fill="auto"/>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厂界标准值（mg</w:t>
                  </w:r>
                  <w:r>
                    <w:rPr>
                      <w:b/>
                      <w:color w:val="000000" w:themeColor="text1"/>
                      <w:sz w:val="21"/>
                      <w:szCs w:val="21"/>
                      <w14:textFill>
                        <w14:solidFill>
                          <w14:schemeClr w14:val="tx1"/>
                        </w14:solidFill>
                      </w14:textFill>
                    </w:rPr>
                    <w:t>/</w:t>
                  </w:r>
                  <w:r>
                    <w:rPr>
                      <w:rFonts w:hint="eastAsia"/>
                      <w:b/>
                      <w:color w:val="000000" w:themeColor="text1"/>
                      <w:sz w:val="21"/>
                      <w:szCs w:val="21"/>
                      <w14:textFill>
                        <w14:solidFill>
                          <w14:schemeClr w14:val="tx1"/>
                        </w14:solidFill>
                      </w14:textFill>
                    </w:rPr>
                    <w:t>m</w:t>
                  </w:r>
                  <w:r>
                    <w:rPr>
                      <w:b/>
                      <w:color w:val="000000" w:themeColor="text1"/>
                      <w:sz w:val="21"/>
                      <w:szCs w:val="21"/>
                      <w:vertAlign w:val="superscript"/>
                      <w14:textFill>
                        <w14:solidFill>
                          <w14:schemeClr w14:val="tx1"/>
                        </w14:solidFill>
                      </w14:textFill>
                    </w:rPr>
                    <w:t>3</w:t>
                  </w:r>
                  <w:r>
                    <w:rPr>
                      <w:rFonts w:hint="eastAsia"/>
                      <w:b/>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7" w:type="pct"/>
                  <w:shd w:val="clear" w:color="auto" w:fill="auto"/>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硫化氢</w:t>
                  </w:r>
                </w:p>
              </w:tc>
              <w:tc>
                <w:tcPr>
                  <w:tcW w:w="1667" w:type="pct"/>
                  <w:shd w:val="clear" w:color="auto" w:fill="auto"/>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.33</w:t>
                  </w:r>
                </w:p>
              </w:tc>
              <w:tc>
                <w:tcPr>
                  <w:tcW w:w="1667" w:type="pct"/>
                  <w:shd w:val="clear" w:color="auto" w:fill="auto"/>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7" w:type="pct"/>
                  <w:shd w:val="clear" w:color="auto" w:fill="auto"/>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臭气浓度（无量纲）</w:t>
                  </w:r>
                </w:p>
              </w:tc>
              <w:tc>
                <w:tcPr>
                  <w:tcW w:w="1667" w:type="pct"/>
                  <w:shd w:val="clear" w:color="auto" w:fill="auto"/>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000</w:t>
                  </w:r>
                </w:p>
              </w:tc>
              <w:tc>
                <w:tcPr>
                  <w:tcW w:w="1667" w:type="pct"/>
                  <w:shd w:val="clear" w:color="auto" w:fill="auto"/>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w:t>
                  </w:r>
                </w:p>
              </w:tc>
            </w:tr>
          </w:tbl>
          <w:p>
            <w:pPr>
              <w:spacing w:line="24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.8</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3  餐饮业大气污染物排放标准</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3"/>
              <w:gridCol w:w="5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002" w:type="pct"/>
                  <w:vAlign w:val="center"/>
                </w:tcPr>
                <w:p>
                  <w:pPr>
                    <w:pStyle w:val="235"/>
                    <w:spacing w:line="240" w:lineRule="auto"/>
                    <w:rPr>
                      <w:rFonts w:ascii="Times New Roman"/>
                      <w:b/>
                      <w:color w:val="000000" w:themeColor="text1"/>
                      <w14:textFill>
                        <w14:solidFill>
                          <w14:schemeClr w14:val="tx1"/>
                        </w14:solidFill>
                      </w14:textFill>
                    </w:rPr>
                  </w:pPr>
                  <w:r>
                    <w:rPr>
                      <w:rFonts w:hint="eastAsia" w:ascii="Times New Roman"/>
                      <w:b/>
                      <w:color w:val="000000" w:themeColor="text1"/>
                      <w14:textFill>
                        <w14:solidFill>
                          <w14:schemeClr w14:val="tx1"/>
                        </w14:solidFill>
                      </w14:textFill>
                    </w:rPr>
                    <w:t>污染物项目</w:t>
                  </w:r>
                </w:p>
              </w:tc>
              <w:tc>
                <w:tcPr>
                  <w:tcW w:w="2998" w:type="pct"/>
                  <w:vAlign w:val="center"/>
                </w:tcPr>
                <w:p>
                  <w:pPr>
                    <w:pStyle w:val="235"/>
                    <w:spacing w:line="240" w:lineRule="auto"/>
                    <w:rPr>
                      <w:rFonts w:ascii="Times New Roman"/>
                      <w:b/>
                      <w:color w:val="000000" w:themeColor="text1"/>
                      <w14:textFill>
                        <w14:solidFill>
                          <w14:schemeClr w14:val="tx1"/>
                        </w14:solidFill>
                      </w14:textFill>
                    </w:rPr>
                  </w:pPr>
                  <w:r>
                    <w:rPr>
                      <w:rFonts w:hint="eastAsia" w:ascii="Times New Roman"/>
                      <w:b/>
                      <w:color w:val="000000" w:themeColor="text1"/>
                      <w14:textFill>
                        <w14:solidFill>
                          <w14:schemeClr w14:val="tx1"/>
                        </w14:solidFill>
                      </w14:textFill>
                    </w:rPr>
                    <w:t>最高允许排放浓度</w:t>
                  </w:r>
                  <w:r>
                    <w:rPr>
                      <w:rFonts w:ascii="Times New Roman"/>
                      <w:b/>
                      <w:bCs/>
                      <w:color w:val="000000" w:themeColor="text1"/>
                      <w:szCs w:val="21"/>
                      <w14:textFill>
                        <w14:solidFill>
                          <w14:schemeClr w14:val="tx1"/>
                        </w14:solidFill>
                      </w14:textFill>
                    </w:rPr>
                    <w:t>（mg/m</w:t>
                  </w:r>
                  <w:r>
                    <w:rPr>
                      <w:rFonts w:ascii="Times New Roman"/>
                      <w:b/>
                      <w:bCs/>
                      <w:color w:val="000000" w:themeColor="text1"/>
                      <w:szCs w:val="21"/>
                      <w:vertAlign w:val="superscript"/>
                      <w14:textFill>
                        <w14:solidFill>
                          <w14:schemeClr w14:val="tx1"/>
                        </w14:solidFill>
                      </w14:textFill>
                    </w:rPr>
                    <w:t>3</w:t>
                  </w:r>
                  <w:r>
                    <w:rPr>
                      <w:rFonts w:ascii="Times New Roman"/>
                      <w:b/>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02" w:type="pct"/>
                  <w:vAlign w:val="center"/>
                </w:tcPr>
                <w:p>
                  <w:pPr>
                    <w:pStyle w:val="235"/>
                    <w:spacing w:line="24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油烟</w:t>
                  </w:r>
                </w:p>
              </w:tc>
              <w:tc>
                <w:tcPr>
                  <w:tcW w:w="2998" w:type="pct"/>
                  <w:vAlign w:val="center"/>
                </w:tcPr>
                <w:p>
                  <w:pPr>
                    <w:pStyle w:val="235"/>
                    <w:spacing w:line="24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02" w:type="pct"/>
                  <w:vAlign w:val="center"/>
                </w:tcPr>
                <w:p>
                  <w:pPr>
                    <w:pStyle w:val="235"/>
                    <w:spacing w:line="24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非甲烷总烃</w:t>
                  </w:r>
                </w:p>
              </w:tc>
              <w:tc>
                <w:tcPr>
                  <w:tcW w:w="2998" w:type="pct"/>
                  <w:vAlign w:val="center"/>
                </w:tcPr>
                <w:p>
                  <w:pPr>
                    <w:pStyle w:val="235"/>
                    <w:spacing w:line="24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02" w:type="pct"/>
                  <w:vAlign w:val="center"/>
                </w:tcPr>
                <w:p>
                  <w:pPr>
                    <w:pStyle w:val="235"/>
                    <w:spacing w:line="24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臭气浓度</w:t>
                  </w:r>
                </w:p>
              </w:tc>
              <w:tc>
                <w:tcPr>
                  <w:tcW w:w="2998" w:type="pct"/>
                  <w:vAlign w:val="center"/>
                </w:tcPr>
                <w:p>
                  <w:pPr>
                    <w:pStyle w:val="235"/>
                    <w:spacing w:line="24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≤80（无量纲）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000" w:type="pct"/>
                  <w:gridSpan w:val="2"/>
                  <w:vAlign w:val="center"/>
                </w:tcPr>
                <w:p>
                  <w:pPr>
                    <w:pStyle w:val="235"/>
                    <w:spacing w:line="240" w:lineRule="auto"/>
                    <w:jc w:val="left"/>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注：最高允许排放浓度指任何1小时浓度均值不得超</w:t>
                  </w:r>
                  <w:r>
                    <w:rPr>
                      <w:rFonts w:ascii="Times New Roman"/>
                      <w:color w:val="000000" w:themeColor="text1"/>
                      <w14:textFill>
                        <w14:solidFill>
                          <w14:schemeClr w14:val="tx1"/>
                        </w14:solidFill>
                      </w14:textFill>
                    </w:rPr>
                    <w:t>过的浓度。本项目餐饮单位规模为小型，油烟去除效率须≥90%、非甲烷总烃去除效率须≥65%。</w:t>
                  </w:r>
                </w:p>
              </w:tc>
            </w:tr>
          </w:tbl>
          <w:p>
            <w:pPr>
              <w:pStyle w:val="72"/>
              <w:spacing w:before="120" w:beforeLines="50"/>
              <w:ind w:firstLine="0" w:firstLineChars="0"/>
              <w:rPr>
                <w:rFonts w:cs="Times New Roman"/>
                <w:b/>
                <w:bCs/>
                <w:color w:val="000000" w:themeColor="text1"/>
                <w:szCs w:val="24"/>
                <w14:textFill>
                  <w14:solidFill>
                    <w14:schemeClr w14:val="tx1"/>
                  </w14:solidFill>
                </w14:textFill>
              </w:rPr>
            </w:pPr>
            <w:r>
              <w:rPr>
                <w:rFonts w:hint="eastAsia" w:cs="Times New Roman"/>
                <w:b/>
                <w:bCs/>
                <w:color w:val="000000" w:themeColor="text1"/>
                <w:szCs w:val="24"/>
                <w14:textFill>
                  <w14:solidFill>
                    <w14:schemeClr w14:val="tx1"/>
                  </w14:solidFill>
                </w14:textFill>
              </w:rPr>
              <w:t>3.</w:t>
            </w:r>
            <w:r>
              <w:rPr>
                <w:rFonts w:cs="Times New Roman"/>
                <w:b/>
                <w:bCs/>
                <w:color w:val="000000" w:themeColor="text1"/>
                <w:szCs w:val="24"/>
                <w14:textFill>
                  <w14:solidFill>
                    <w14:schemeClr w14:val="tx1"/>
                  </w14:solidFill>
                </w14:textFill>
              </w:rPr>
              <w:t>8.2废水排放标准</w:t>
            </w:r>
          </w:p>
          <w:p>
            <w:pPr>
              <w:pStyle w:val="72"/>
              <w:ind w:firstLine="480"/>
              <w:rPr>
                <w:rFonts w:cs="Times New Roman"/>
                <w:color w:val="000000" w:themeColor="text1"/>
                <w:sz w:val="21"/>
                <w:szCs w:val="16"/>
                <w14:textFill>
                  <w14:solidFill>
                    <w14:schemeClr w14:val="tx1"/>
                  </w14:solidFill>
                </w14:textFill>
              </w:rPr>
            </w:pPr>
            <w:r>
              <w:rPr>
                <w:rFonts w:hint="eastAsia" w:cs="Times New Roman"/>
                <w:bCs/>
                <w:color w:val="000000" w:themeColor="text1"/>
                <w14:textFill>
                  <w14:solidFill>
                    <w14:schemeClr w14:val="tx1"/>
                  </w14:solidFill>
                </w14:textFill>
              </w:rPr>
              <w:t>项目生产废水经生产废水处理设施预处理、食堂废水经隔油池预处理后和生活污水一起排入厂区生化池，经处理达《污水综合排放标准》(GB8978-1996)三级标准（氨氮、总磷参照执行《污水排入城镇下水道水质标准》（GB/T31962-2015）B等级标准；石油类执行《石油化学工业污染物排放标准》（G</w:t>
            </w:r>
            <w:r>
              <w:rPr>
                <w:rFonts w:cs="Times New Roman"/>
                <w:bCs/>
                <w:color w:val="000000" w:themeColor="text1"/>
                <w14:textFill>
                  <w14:solidFill>
                    <w14:schemeClr w14:val="tx1"/>
                  </w14:solidFill>
                </w14:textFill>
              </w:rPr>
              <w:t>B31571-2015</w:t>
            </w:r>
            <w:r>
              <w:rPr>
                <w:rFonts w:hint="eastAsia" w:cs="Times New Roman"/>
                <w:bCs/>
                <w:color w:val="000000" w:themeColor="text1"/>
                <w14:textFill>
                  <w14:solidFill>
                    <w14:schemeClr w14:val="tx1"/>
                  </w14:solidFill>
                </w14:textFill>
              </w:rPr>
              <w:t>）中间接排放标准）后经市政污水管网进入双桥园区污水处理厂，处理达《城镇污水处理厂污染物排放标准》（GB18918-2002）一级</w:t>
            </w:r>
            <w:r>
              <w:rPr>
                <w:rFonts w:cs="Times New Roman"/>
                <w:bCs/>
                <w:color w:val="000000" w:themeColor="text1"/>
                <w14:textFill>
                  <w14:solidFill>
                    <w14:schemeClr w14:val="tx1"/>
                  </w14:solidFill>
                </w14:textFill>
              </w:rPr>
              <w:t>A</w:t>
            </w:r>
            <w:r>
              <w:rPr>
                <w:rFonts w:hint="eastAsia" w:cs="Times New Roman"/>
                <w:bCs/>
                <w:color w:val="000000" w:themeColor="text1"/>
                <w14:textFill>
                  <w14:solidFill>
                    <w14:schemeClr w14:val="tx1"/>
                  </w14:solidFill>
                </w14:textFill>
              </w:rPr>
              <w:t>标准后排入高洞子水库下的泄洪槽，再汇入苦水河。</w:t>
            </w:r>
            <w:r>
              <w:rPr>
                <w:rFonts w:cs="Times New Roman"/>
                <w:bCs/>
                <w:color w:val="000000" w:themeColor="text1"/>
                <w14:textFill>
                  <w14:solidFill>
                    <w14:schemeClr w14:val="tx1"/>
                  </w14:solidFill>
                </w14:textFill>
              </w:rPr>
              <w:t>废水排放标准限值见表</w:t>
            </w:r>
            <w:r>
              <w:rPr>
                <w:rFonts w:hint="eastAsia" w:cs="Times New Roman"/>
                <w:bCs/>
                <w:color w:val="000000" w:themeColor="text1"/>
                <w14:textFill>
                  <w14:solidFill>
                    <w14:schemeClr w14:val="tx1"/>
                  </w14:solidFill>
                </w14:textFill>
              </w:rPr>
              <w:t>3</w:t>
            </w:r>
            <w:r>
              <w:rPr>
                <w:rFonts w:cs="Times New Roman"/>
                <w:bCs/>
                <w:color w:val="000000" w:themeColor="text1"/>
                <w14:textFill>
                  <w14:solidFill>
                    <w14:schemeClr w14:val="tx1"/>
                  </w14:solidFill>
                </w14:textFill>
              </w:rPr>
              <w:t>.8</w:t>
            </w:r>
            <w:r>
              <w:rPr>
                <w:rFonts w:hint="eastAsia" w:cs="Times New Roman"/>
                <w:bCs/>
                <w:color w:val="000000" w:themeColor="text1"/>
                <w14:textFill>
                  <w14:solidFill>
                    <w14:schemeClr w14:val="tx1"/>
                  </w14:solidFill>
                </w14:textFill>
              </w:rPr>
              <w:t>-</w:t>
            </w:r>
            <w:r>
              <w:rPr>
                <w:rFonts w:cs="Times New Roman"/>
                <w:bCs/>
                <w:color w:val="000000" w:themeColor="text1"/>
                <w14:textFill>
                  <w14:solidFill>
                    <w14:schemeClr w14:val="tx1"/>
                  </w14:solidFill>
                </w14:textFill>
              </w:rPr>
              <w:t>4。</w:t>
            </w:r>
          </w:p>
          <w:p>
            <w:pPr>
              <w:spacing w:line="24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.8</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4  水污染物排放标准   单位：mg/L</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546"/>
              <w:gridCol w:w="2845"/>
              <w:gridCol w:w="3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24" w:type="pct"/>
                  <w:vAlign w:val="center"/>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926" w:type="pct"/>
                  <w:vAlign w:val="center"/>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污染物项目</w:t>
                  </w:r>
                </w:p>
              </w:tc>
              <w:tc>
                <w:tcPr>
                  <w:tcW w:w="1704" w:type="pct"/>
                  <w:vAlign w:val="center"/>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《污水综合排放标准》(GB8978-1996)三级标准</w:t>
                  </w:r>
                </w:p>
              </w:tc>
              <w:tc>
                <w:tcPr>
                  <w:tcW w:w="1946" w:type="pct"/>
                  <w:vAlign w:val="center"/>
                </w:tcPr>
                <w:p>
                  <w:pPr>
                    <w:pStyle w:val="2"/>
                    <w:spacing w:before="0" w:after="0" w:line="240" w:lineRule="auto"/>
                    <w:ind w:right="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《城镇污水处理厂污染物排放标准》（GB18918-2002）一级</w:t>
                  </w:r>
                  <w:r>
                    <w:rPr>
                      <w:b/>
                      <w:color w:val="000000" w:themeColor="text1"/>
                      <w:sz w:val="21"/>
                      <w:szCs w:val="21"/>
                      <w14:textFill>
                        <w14:solidFill>
                          <w14:schemeClr w14:val="tx1"/>
                        </w14:solidFill>
                      </w14:textFill>
                    </w:rPr>
                    <w:t>A</w:t>
                  </w:r>
                  <w:r>
                    <w:rPr>
                      <w:rFonts w:hint="eastAsia"/>
                      <w:b/>
                      <w:color w:val="000000" w:themeColor="text1"/>
                      <w:sz w:val="21"/>
                      <w:szCs w:val="21"/>
                      <w14:textFill>
                        <w14:solidFill>
                          <w14:schemeClr w14:val="tx1"/>
                        </w14:solidFill>
                      </w14:textFill>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926"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pH值(无纲量)</w:t>
                  </w:r>
                </w:p>
              </w:tc>
              <w:tc>
                <w:tcPr>
                  <w:tcW w:w="1704"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6～9</w:t>
                  </w:r>
                </w:p>
              </w:tc>
              <w:tc>
                <w:tcPr>
                  <w:tcW w:w="1946"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24"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926"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1704"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500</w:t>
                  </w:r>
                </w:p>
              </w:tc>
              <w:tc>
                <w:tcPr>
                  <w:tcW w:w="1946"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24"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926"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tc>
              <w:tc>
                <w:tcPr>
                  <w:tcW w:w="1704"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400</w:t>
                  </w:r>
                </w:p>
              </w:tc>
              <w:tc>
                <w:tcPr>
                  <w:tcW w:w="1946"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24"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926"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BOD</w:t>
                  </w:r>
                  <w:r>
                    <w:rPr>
                      <w:color w:val="000000" w:themeColor="text1"/>
                      <w:sz w:val="21"/>
                      <w:szCs w:val="21"/>
                      <w:vertAlign w:val="subscript"/>
                      <w14:textFill>
                        <w14:solidFill>
                          <w14:schemeClr w14:val="tx1"/>
                        </w14:solidFill>
                      </w14:textFill>
                    </w:rPr>
                    <w:t>5</w:t>
                  </w:r>
                </w:p>
              </w:tc>
              <w:tc>
                <w:tcPr>
                  <w:tcW w:w="1704"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300</w:t>
                  </w:r>
                </w:p>
              </w:tc>
              <w:tc>
                <w:tcPr>
                  <w:tcW w:w="1946"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24"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926"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氨氮</w:t>
                  </w:r>
                </w:p>
              </w:tc>
              <w:tc>
                <w:tcPr>
                  <w:tcW w:w="1704"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45</w:t>
                  </w:r>
                  <w:r>
                    <w:rPr>
                      <w:rFonts w:hint="eastAsia"/>
                      <w:color w:val="000000" w:themeColor="text1"/>
                      <w:sz w:val="21"/>
                      <w:szCs w:val="21"/>
                      <w14:textFill>
                        <w14:solidFill>
                          <w14:schemeClr w14:val="tx1"/>
                        </w14:solidFill>
                      </w14:textFill>
                    </w:rPr>
                    <w:t>*</w:t>
                  </w:r>
                </w:p>
              </w:tc>
              <w:tc>
                <w:tcPr>
                  <w:tcW w:w="1946"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24"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926"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动植物油</w:t>
                  </w:r>
                </w:p>
              </w:tc>
              <w:tc>
                <w:tcPr>
                  <w:tcW w:w="1704"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1946"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24"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926"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石油类</w:t>
                  </w:r>
                </w:p>
              </w:tc>
              <w:tc>
                <w:tcPr>
                  <w:tcW w:w="1704"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p>
              </w:tc>
              <w:tc>
                <w:tcPr>
                  <w:tcW w:w="1946"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24"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926"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总磷</w:t>
                  </w:r>
                </w:p>
              </w:tc>
              <w:tc>
                <w:tcPr>
                  <w:tcW w:w="1704"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r>
                    <w:rPr>
                      <w:color w:val="000000" w:themeColor="text1"/>
                      <w:sz w:val="21"/>
                      <w:szCs w:val="21"/>
                      <w14:textFill>
                        <w14:solidFill>
                          <w14:schemeClr w14:val="tx1"/>
                        </w14:solidFill>
                      </w14:textFill>
                    </w:rPr>
                    <w:t>*</w:t>
                  </w:r>
                </w:p>
              </w:tc>
              <w:tc>
                <w:tcPr>
                  <w:tcW w:w="1946" w:type="pct"/>
                  <w:vAlign w:val="center"/>
                </w:tcPr>
                <w:p>
                  <w:pPr>
                    <w:pStyle w:val="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000" w:type="pct"/>
                  <w:gridSpan w:val="4"/>
                  <w:vAlign w:val="center"/>
                </w:tcPr>
                <w:p>
                  <w:pPr>
                    <w:pStyle w:val="2"/>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注：</w:t>
                  </w:r>
                  <w:r>
                    <w:rPr>
                      <w:rFonts w:hint="eastAsia" w:ascii="宋体" w:hAnsi="宋体" w:cs="宋体"/>
                      <w:color w:val="000000" w:themeColor="text1"/>
                      <w:sz w:val="21"/>
                      <w:szCs w:val="21"/>
                      <w14:textFill>
                        <w14:solidFill>
                          <w14:schemeClr w14:val="tx1"/>
                        </w14:solidFill>
                      </w14:textFill>
                    </w:rPr>
                    <w:t>①石油类执行《石油化学工业污染物排放标准</w:t>
                  </w:r>
                  <w:r>
                    <w:rPr>
                      <w:color w:val="000000" w:themeColor="text1"/>
                      <w:sz w:val="21"/>
                      <w:szCs w:val="21"/>
                      <w14:textFill>
                        <w14:solidFill>
                          <w14:schemeClr w14:val="tx1"/>
                        </w14:solidFill>
                      </w14:textFill>
                    </w:rPr>
                    <w:t>》（GB31571-2015）</w:t>
                  </w:r>
                  <w:r>
                    <w:rPr>
                      <w:rFonts w:hint="eastAsia"/>
                      <w:color w:val="000000" w:themeColor="text1"/>
                      <w:sz w:val="21"/>
                      <w:szCs w:val="21"/>
                      <w14:textFill>
                        <w14:solidFill>
                          <w14:schemeClr w14:val="tx1"/>
                        </w14:solidFill>
                      </w14:textFill>
                    </w:rPr>
                    <w:t>间接排放标准</w:t>
                  </w:r>
                  <w:r>
                    <w:rPr>
                      <w:color w:val="000000" w:themeColor="text1"/>
                      <w:sz w:val="21"/>
                      <w:szCs w:val="21"/>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②氨氮、总磷参照执行《污水排入城镇下水道水质标准》（GB/T31962-2015）B等级标准；③</w:t>
                  </w:r>
                  <w:r>
                    <w:rPr>
                      <w:color w:val="000000" w:themeColor="text1"/>
                      <w:sz w:val="21"/>
                      <w:szCs w:val="21"/>
                      <w14:textFill>
                        <w14:solidFill>
                          <w14:schemeClr w14:val="tx1"/>
                        </w14:solidFill>
                      </w14:textFill>
                    </w:rPr>
                    <w:t>括号外数值为水温＞12℃时的控制指标，括号内数值为水温≤12℃时的控制指标。</w:t>
                  </w:r>
                </w:p>
              </w:tc>
            </w:tr>
          </w:tbl>
          <w:p>
            <w:pPr>
              <w:pStyle w:val="72"/>
              <w:spacing w:before="120" w:beforeLines="50"/>
              <w:ind w:firstLine="0" w:firstLineChars="0"/>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3.</w:t>
            </w:r>
            <w:r>
              <w:rPr>
                <w:rFonts w:cs="Times New Roman"/>
                <w:b/>
                <w:color w:val="000000" w:themeColor="text1"/>
                <w14:textFill>
                  <w14:solidFill>
                    <w14:schemeClr w14:val="tx1"/>
                  </w14:solidFill>
                </w14:textFill>
              </w:rPr>
              <w:t>8.3噪声排放标准</w:t>
            </w:r>
          </w:p>
          <w:p>
            <w:pPr>
              <w:pStyle w:val="72"/>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运营期</w:t>
            </w:r>
            <w:r>
              <w:rPr>
                <w:rFonts w:hint="eastAsia" w:cs="Times New Roman"/>
                <w:color w:val="000000" w:themeColor="text1"/>
                <w:szCs w:val="24"/>
                <w14:textFill>
                  <w14:solidFill>
                    <w14:schemeClr w14:val="tx1"/>
                  </w14:solidFill>
                </w14:textFill>
              </w:rPr>
              <w:t>噪声</w:t>
            </w:r>
            <w:r>
              <w:rPr>
                <w:rFonts w:cs="Times New Roman"/>
                <w:color w:val="000000" w:themeColor="text1"/>
                <w:szCs w:val="24"/>
                <w14:textFill>
                  <w14:solidFill>
                    <w14:schemeClr w14:val="tx1"/>
                  </w14:solidFill>
                </w14:textFill>
              </w:rPr>
              <w:t>执行《工业企业厂界环境噪声排放标准》（GB12348-2008）的3类区标准。</w:t>
            </w:r>
          </w:p>
          <w:p>
            <w:pPr>
              <w:spacing w:line="24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.8</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5  工业企业厂界环境噪声排放标准</w:t>
            </w:r>
          </w:p>
          <w:tbl>
            <w:tblPr>
              <w:tblStyle w:val="3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380"/>
              <w:gridCol w:w="1694"/>
              <w:gridCol w:w="1489"/>
              <w:gridCol w:w="178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026" w:type="pct"/>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执行标准</w:t>
                  </w:r>
                </w:p>
              </w:tc>
              <w:tc>
                <w:tcPr>
                  <w:tcW w:w="1015" w:type="pct"/>
                  <w:vAlign w:val="center"/>
                </w:tcPr>
                <w:p>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类别</w:t>
                  </w:r>
                </w:p>
              </w:tc>
              <w:tc>
                <w:tcPr>
                  <w:tcW w:w="892" w:type="pct"/>
                  <w:vAlign w:val="center"/>
                </w:tcPr>
                <w:p>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昼间dB（A）</w:t>
                  </w:r>
                </w:p>
              </w:tc>
              <w:tc>
                <w:tcPr>
                  <w:tcW w:w="1067" w:type="pct"/>
                  <w:tcBorders>
                    <w:right w:val="single" w:color="auto" w:sz="4" w:space="0"/>
                  </w:tcBorders>
                  <w:vAlign w:val="center"/>
                </w:tcPr>
                <w:p>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夜间dB（A）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026" w:type="pct"/>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《工业企业厂界环境噪声排放标准》（GB12348-2008）</w:t>
                  </w:r>
                </w:p>
              </w:tc>
              <w:tc>
                <w:tcPr>
                  <w:tcW w:w="1015" w:type="pct"/>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3类</w:t>
                  </w:r>
                </w:p>
              </w:tc>
              <w:tc>
                <w:tcPr>
                  <w:tcW w:w="892" w:type="pct"/>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65</w:t>
                  </w:r>
                </w:p>
              </w:tc>
              <w:tc>
                <w:tcPr>
                  <w:tcW w:w="1067" w:type="pct"/>
                  <w:tcBorders>
                    <w:right w:val="single" w:color="auto" w:sz="4" w:space="0"/>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55</w:t>
                  </w:r>
                </w:p>
              </w:tc>
            </w:tr>
          </w:tbl>
          <w:p>
            <w:pPr>
              <w:pStyle w:val="72"/>
              <w:spacing w:before="120" w:beforeLines="50"/>
              <w:ind w:firstLine="0" w:firstLineChars="0"/>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3.</w:t>
            </w:r>
            <w:r>
              <w:rPr>
                <w:rFonts w:cs="Times New Roman"/>
                <w:b/>
                <w:color w:val="000000" w:themeColor="text1"/>
                <w14:textFill>
                  <w14:solidFill>
                    <w14:schemeClr w14:val="tx1"/>
                  </w14:solidFill>
                </w14:textFill>
              </w:rPr>
              <w:t>8</w:t>
            </w:r>
            <w:r>
              <w:rPr>
                <w:rFonts w:hint="eastAsia" w:cs="Times New Roman"/>
                <w:b/>
                <w:color w:val="000000" w:themeColor="text1"/>
                <w14:textFill>
                  <w14:solidFill>
                    <w14:schemeClr w14:val="tx1"/>
                  </w14:solidFill>
                </w14:textFill>
              </w:rPr>
              <w:t>.4</w:t>
            </w:r>
            <w:r>
              <w:rPr>
                <w:rFonts w:cs="Times New Roman"/>
                <w:b/>
                <w:color w:val="000000" w:themeColor="text1"/>
                <w14:textFill>
                  <w14:solidFill>
                    <w14:schemeClr w14:val="tx1"/>
                  </w14:solidFill>
                </w14:textFill>
              </w:rPr>
              <w:t>工业固体废物</w:t>
            </w:r>
          </w:p>
          <w:p>
            <w:pPr>
              <w:pStyle w:val="72"/>
              <w:ind w:firstLine="48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项目设有一般工业固体废物暂存场所，其贮存过程应满足相应防渗漏、防雨淋、防扬尘等环境保护要求。</w:t>
            </w:r>
          </w:p>
          <w:p>
            <w:pPr>
              <w:pStyle w:val="75"/>
              <w:tabs>
                <w:tab w:val="left" w:pos="540"/>
                <w:tab w:val="left" w:pos="1080"/>
                <w:tab w:val="left" w:pos="1800"/>
              </w:tabs>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危险废物执行《危险废物贮存污染控制标准》(GB18579-2001)及2013年修改单（公告2013第36号）、</w:t>
            </w:r>
            <w:r>
              <w:rPr>
                <w:rFonts w:hint="eastAsia" w:ascii="Times New Roman" w:hAnsi="Times New Roman" w:cs="Times New Roman"/>
                <w:color w:val="000000" w:themeColor="text1"/>
                <w14:textFill>
                  <w14:solidFill>
                    <w14:schemeClr w14:val="tx1"/>
                  </w14:solidFill>
                </w14:textFill>
              </w:rPr>
              <w:t>《危险废物转移管理办法》（部令第23号）</w:t>
            </w:r>
            <w:r>
              <w:rPr>
                <w:rFonts w:ascii="Times New Roman" w:hAnsi="Times New Roman" w:cs="Times New Roman"/>
                <w:color w:val="000000" w:themeColor="text1"/>
                <w14:textFill>
                  <w14:solidFill>
                    <w14:schemeClr w14:val="tx1"/>
                  </w14:solidFill>
                </w14:textFill>
              </w:rPr>
              <w:t>中相关要求。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6" w:hRule="atLeast"/>
          <w:jc w:val="center"/>
        </w:trPr>
        <w:tc>
          <w:tcPr>
            <w:tcW w:w="268" w:type="pct"/>
            <w:tcMar>
              <w:left w:w="28" w:type="dxa"/>
              <w:right w:w="28"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控制</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指标</w:t>
            </w:r>
          </w:p>
        </w:tc>
        <w:tc>
          <w:tcPr>
            <w:tcW w:w="4732" w:type="pct"/>
          </w:tcPr>
          <w:p>
            <w:pPr>
              <w:adjustRightInd w:val="0"/>
              <w:snapToGrid w:val="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.9</w:t>
            </w:r>
            <w:r>
              <w:rPr>
                <w:rFonts w:hint="eastAsia"/>
                <w:b/>
                <w:color w:val="000000" w:themeColor="text1"/>
                <w:sz w:val="24"/>
                <w14:textFill>
                  <w14:solidFill>
                    <w14:schemeClr w14:val="tx1"/>
                  </w14:solidFill>
                </w14:textFill>
              </w:rPr>
              <w:t>总量控制指标</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根据国家级地方相关环保法律法规，结合项目工程分析，总量控制指标见表3</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p>
          <w:p>
            <w:pPr>
              <w:adjustRightInd w:val="0"/>
              <w:snapToGrid w:val="0"/>
              <w:spacing w:line="240" w:lineRule="auto"/>
              <w:jc w:val="center"/>
              <w:rPr>
                <w:b/>
                <w:color w:val="000000" w:themeColor="text1"/>
                <w:sz w:val="24"/>
                <w:lang w:val="zh-CN"/>
                <w14:textFill>
                  <w14:solidFill>
                    <w14:schemeClr w14:val="tx1"/>
                  </w14:solidFill>
                </w14:textFill>
              </w:rPr>
            </w:pPr>
            <w:r>
              <w:rPr>
                <w:b/>
                <w:color w:val="000000" w:themeColor="text1"/>
                <w:sz w:val="24"/>
                <w:lang w:val="zh-CN"/>
                <w14:textFill>
                  <w14:solidFill>
                    <w14:schemeClr w14:val="tx1"/>
                  </w14:solidFill>
                </w14:textFill>
              </w:rPr>
              <w:t>表</w:t>
            </w:r>
            <w:r>
              <w:rPr>
                <w:b/>
                <w:color w:val="000000" w:themeColor="text1"/>
                <w:sz w:val="24"/>
                <w14:textFill>
                  <w14:solidFill>
                    <w14:schemeClr w14:val="tx1"/>
                  </w14:solidFill>
                </w14:textFill>
              </w:rPr>
              <w:t>3.9</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1</w:t>
            </w:r>
            <w:r>
              <w:rPr>
                <w:b/>
                <w:color w:val="000000" w:themeColor="text1"/>
                <w:sz w:val="24"/>
                <w:lang w:val="zh-CN"/>
                <w14:textFill>
                  <w14:solidFill>
                    <w14:schemeClr w14:val="tx1"/>
                  </w14:solidFill>
                </w14:textFill>
              </w:rPr>
              <w:t xml:space="preserve">  </w:t>
            </w:r>
            <w:r>
              <w:rPr>
                <w:rFonts w:hint="eastAsia"/>
                <w:b/>
                <w:color w:val="000000" w:themeColor="text1"/>
                <w:sz w:val="24"/>
                <w14:textFill>
                  <w14:solidFill>
                    <w14:schemeClr w14:val="tx1"/>
                  </w14:solidFill>
                </w14:textFill>
              </w:rPr>
              <w:t>项目</w:t>
            </w:r>
            <w:r>
              <w:rPr>
                <w:b/>
                <w:color w:val="000000" w:themeColor="text1"/>
                <w:sz w:val="24"/>
                <w:lang w:val="zh-CN"/>
                <w14:textFill>
                  <w14:solidFill>
                    <w14:schemeClr w14:val="tx1"/>
                  </w14:solidFill>
                </w14:textFill>
              </w:rPr>
              <w:t>总量控制</w:t>
            </w:r>
            <w:r>
              <w:rPr>
                <w:rFonts w:hint="eastAsia"/>
                <w:b/>
                <w:color w:val="000000" w:themeColor="text1"/>
                <w:sz w:val="24"/>
                <w:lang w:val="zh-CN"/>
                <w14:textFill>
                  <w14:solidFill>
                    <w14:schemeClr w14:val="tx1"/>
                  </w14:solidFill>
                </w14:textFill>
              </w:rPr>
              <w:t xml:space="preserve">指标 </w:t>
            </w:r>
            <w:r>
              <w:rPr>
                <w:b/>
                <w:color w:val="000000" w:themeColor="text1"/>
                <w:sz w:val="24"/>
                <w:lang w:val="zh-CN"/>
                <w14:textFill>
                  <w14:solidFill>
                    <w14:schemeClr w14:val="tx1"/>
                  </w14:solidFill>
                </w14:textFill>
              </w:rPr>
              <w:t xml:space="preserve"> </w:t>
            </w:r>
            <w:r>
              <w:rPr>
                <w:rFonts w:hint="eastAsia"/>
                <w:b/>
                <w:color w:val="000000" w:themeColor="text1"/>
                <w:sz w:val="24"/>
                <w:lang w:val="zh-CN"/>
                <w14:textFill>
                  <w14:solidFill>
                    <w14:schemeClr w14:val="tx1"/>
                  </w14:solidFill>
                </w14:textFill>
              </w:rPr>
              <w:t>单位：t</w:t>
            </w:r>
            <w:r>
              <w:rPr>
                <w:b/>
                <w:color w:val="000000" w:themeColor="text1"/>
                <w:sz w:val="24"/>
                <w:lang w:val="zh-CN"/>
                <w14:textFill>
                  <w14:solidFill>
                    <w14:schemeClr w14:val="tx1"/>
                  </w14:solidFill>
                </w14:textFill>
              </w:rPr>
              <w:t>/</w:t>
            </w:r>
            <w:r>
              <w:rPr>
                <w:rFonts w:hint="eastAsia"/>
                <w:b/>
                <w:color w:val="000000" w:themeColor="text1"/>
                <w:sz w:val="24"/>
                <w:lang w:val="zh-CN"/>
                <w14:textFill>
                  <w14:solidFill>
                    <w14:schemeClr w14:val="tx1"/>
                  </w14:solidFill>
                </w14:textFill>
              </w:rPr>
              <w:t>a</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413"/>
              <w:gridCol w:w="2937"/>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35" w:type="pct"/>
                  <w:vMerge w:val="restart"/>
                  <w:vAlign w:val="center"/>
                </w:tcPr>
                <w:p>
                  <w:pPr>
                    <w:spacing w:line="240" w:lineRule="auto"/>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类别</w:t>
                  </w:r>
                </w:p>
              </w:tc>
              <w:tc>
                <w:tcPr>
                  <w:tcW w:w="846" w:type="pct"/>
                  <w:vMerge w:val="restart"/>
                  <w:vAlign w:val="center"/>
                </w:tcPr>
                <w:p>
                  <w:pPr>
                    <w:spacing w:line="240" w:lineRule="auto"/>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污染物</w:t>
                  </w:r>
                </w:p>
              </w:tc>
              <w:tc>
                <w:tcPr>
                  <w:tcW w:w="3519" w:type="pct"/>
                  <w:gridSpan w:val="2"/>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总量</w:t>
                  </w:r>
                  <w:r>
                    <w:rPr>
                      <w:rFonts w:hint="eastAsia"/>
                      <w:b/>
                      <w:color w:val="000000" w:themeColor="text1"/>
                      <w:kern w:val="0"/>
                      <w:szCs w:val="21"/>
                      <w14:textFill>
                        <w14:solidFill>
                          <w14:schemeClr w14:val="tx1"/>
                        </w14:solidFill>
                      </w14:textFill>
                    </w:rPr>
                    <w:t>控制</w:t>
                  </w:r>
                  <w:r>
                    <w:rPr>
                      <w:b/>
                      <w:color w:val="000000" w:themeColor="text1"/>
                      <w:kern w:val="0"/>
                      <w:szCs w:val="21"/>
                      <w14:textFill>
                        <w14:solidFill>
                          <w14:schemeClr w14:val="tx1"/>
                        </w14:solidFill>
                      </w14:textFill>
                    </w:rPr>
                    <w:t>指标t/a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35" w:type="pct"/>
                  <w:vMerge w:val="continue"/>
                  <w:vAlign w:val="center"/>
                </w:tcPr>
                <w:p>
                  <w:pPr>
                    <w:spacing w:line="240" w:lineRule="auto"/>
                    <w:jc w:val="center"/>
                    <w:rPr>
                      <w:b/>
                      <w:color w:val="000000" w:themeColor="text1"/>
                      <w:kern w:val="0"/>
                      <w:szCs w:val="21"/>
                      <w14:textFill>
                        <w14:solidFill>
                          <w14:schemeClr w14:val="tx1"/>
                        </w14:solidFill>
                      </w14:textFill>
                    </w:rPr>
                  </w:pPr>
                </w:p>
              </w:tc>
              <w:tc>
                <w:tcPr>
                  <w:tcW w:w="846" w:type="pct"/>
                  <w:vMerge w:val="continue"/>
                  <w:vAlign w:val="center"/>
                </w:tcPr>
                <w:p>
                  <w:pPr>
                    <w:spacing w:line="240" w:lineRule="auto"/>
                    <w:jc w:val="center"/>
                    <w:rPr>
                      <w:b/>
                      <w:color w:val="000000" w:themeColor="text1"/>
                      <w:kern w:val="0"/>
                      <w:szCs w:val="21"/>
                      <w14:textFill>
                        <w14:solidFill>
                          <w14:schemeClr w14:val="tx1"/>
                        </w14:solidFill>
                      </w14:textFill>
                    </w:rPr>
                  </w:pPr>
                </w:p>
              </w:tc>
              <w:tc>
                <w:tcPr>
                  <w:tcW w:w="1759" w:type="pct"/>
                  <w:vAlign w:val="center"/>
                </w:tcPr>
                <w:p>
                  <w:pPr>
                    <w:spacing w:line="240" w:lineRule="auto"/>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一期</w:t>
                  </w:r>
                </w:p>
              </w:tc>
              <w:tc>
                <w:tcPr>
                  <w:tcW w:w="1760" w:type="pct"/>
                  <w:vAlign w:val="center"/>
                </w:tcPr>
                <w:p>
                  <w:pPr>
                    <w:spacing w:line="240" w:lineRule="auto"/>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二期建成后全厂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35" w:type="pct"/>
                  <w:vMerge w:val="restar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废水</w:t>
                  </w:r>
                </w:p>
              </w:tc>
              <w:tc>
                <w:tcPr>
                  <w:tcW w:w="846"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COD</w:t>
                  </w:r>
                </w:p>
              </w:tc>
              <w:tc>
                <w:tcPr>
                  <w:tcW w:w="1759"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.372</w:t>
                  </w:r>
                </w:p>
              </w:tc>
              <w:tc>
                <w:tcPr>
                  <w:tcW w:w="1760"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35" w:type="pct"/>
                  <w:vMerge w:val="continue"/>
                  <w:vAlign w:val="center"/>
                </w:tcPr>
                <w:p>
                  <w:pPr>
                    <w:spacing w:line="240" w:lineRule="auto"/>
                    <w:jc w:val="center"/>
                    <w:rPr>
                      <w:color w:val="000000" w:themeColor="text1"/>
                      <w:kern w:val="0"/>
                      <w:szCs w:val="21"/>
                      <w14:textFill>
                        <w14:solidFill>
                          <w14:schemeClr w14:val="tx1"/>
                        </w14:solidFill>
                      </w14:textFill>
                    </w:rPr>
                  </w:pPr>
                </w:p>
              </w:tc>
              <w:tc>
                <w:tcPr>
                  <w:tcW w:w="846"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氨氮</w:t>
                  </w:r>
                </w:p>
              </w:tc>
              <w:tc>
                <w:tcPr>
                  <w:tcW w:w="1759"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.037</w:t>
                  </w:r>
                </w:p>
              </w:tc>
              <w:tc>
                <w:tcPr>
                  <w:tcW w:w="1760"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35" w:type="pct"/>
                  <w:vMerge w:val="restar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废气</w:t>
                  </w:r>
                </w:p>
              </w:tc>
              <w:tc>
                <w:tcPr>
                  <w:tcW w:w="846"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SO</w:t>
                  </w:r>
                  <w:r>
                    <w:rPr>
                      <w:rFonts w:hint="eastAsia"/>
                      <w:color w:val="000000" w:themeColor="text1"/>
                      <w:kern w:val="0"/>
                      <w:szCs w:val="21"/>
                      <w:vertAlign w:val="subscript"/>
                      <w14:textFill>
                        <w14:solidFill>
                          <w14:schemeClr w14:val="tx1"/>
                        </w14:solidFill>
                      </w14:textFill>
                    </w:rPr>
                    <w:t>2</w:t>
                  </w:r>
                </w:p>
              </w:tc>
              <w:tc>
                <w:tcPr>
                  <w:tcW w:w="1759" w:type="pct"/>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1.769</w:t>
                  </w:r>
                </w:p>
              </w:tc>
              <w:tc>
                <w:tcPr>
                  <w:tcW w:w="1760" w:type="pct"/>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35" w:type="pct"/>
                  <w:vMerge w:val="continue"/>
                  <w:vAlign w:val="center"/>
                </w:tcPr>
                <w:p>
                  <w:pPr>
                    <w:spacing w:line="240" w:lineRule="auto"/>
                    <w:jc w:val="center"/>
                    <w:rPr>
                      <w:color w:val="000000" w:themeColor="text1"/>
                      <w:kern w:val="0"/>
                      <w:szCs w:val="21"/>
                      <w14:textFill>
                        <w14:solidFill>
                          <w14:schemeClr w14:val="tx1"/>
                        </w14:solidFill>
                      </w14:textFill>
                    </w:rPr>
                  </w:pPr>
                </w:p>
              </w:tc>
              <w:tc>
                <w:tcPr>
                  <w:tcW w:w="846"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NO</w:t>
                  </w:r>
                  <w:r>
                    <w:rPr>
                      <w:color w:val="000000" w:themeColor="text1"/>
                      <w:kern w:val="0"/>
                      <w:szCs w:val="21"/>
                      <w14:textFill>
                        <w14:solidFill>
                          <w14:schemeClr w14:val="tx1"/>
                        </w14:solidFill>
                      </w14:textFill>
                    </w:rPr>
                    <w:t>x</w:t>
                  </w:r>
                </w:p>
              </w:tc>
              <w:tc>
                <w:tcPr>
                  <w:tcW w:w="1759" w:type="pct"/>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3.6</w:t>
                  </w:r>
                </w:p>
              </w:tc>
              <w:tc>
                <w:tcPr>
                  <w:tcW w:w="1760" w:type="pct"/>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35" w:type="pct"/>
                  <w:vMerge w:val="continue"/>
                  <w:vAlign w:val="center"/>
                </w:tcPr>
                <w:p>
                  <w:pPr>
                    <w:spacing w:line="240" w:lineRule="auto"/>
                    <w:jc w:val="center"/>
                    <w:rPr>
                      <w:color w:val="000000" w:themeColor="text1"/>
                      <w:kern w:val="0"/>
                      <w:szCs w:val="21"/>
                      <w14:textFill>
                        <w14:solidFill>
                          <w14:schemeClr w14:val="tx1"/>
                        </w14:solidFill>
                      </w14:textFill>
                    </w:rPr>
                  </w:pPr>
                </w:p>
              </w:tc>
              <w:tc>
                <w:tcPr>
                  <w:tcW w:w="846"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非甲烷总烃</w:t>
                  </w:r>
                </w:p>
              </w:tc>
              <w:tc>
                <w:tcPr>
                  <w:tcW w:w="1759"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.508</w:t>
                  </w:r>
                </w:p>
              </w:tc>
              <w:tc>
                <w:tcPr>
                  <w:tcW w:w="1760" w:type="pct"/>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35" w:type="pct"/>
                  <w:vMerge w:val="continue"/>
                  <w:vAlign w:val="center"/>
                </w:tcPr>
                <w:p>
                  <w:pPr>
                    <w:spacing w:line="240" w:lineRule="auto"/>
                    <w:jc w:val="center"/>
                    <w:rPr>
                      <w:color w:val="000000" w:themeColor="text1"/>
                      <w:kern w:val="0"/>
                      <w:szCs w:val="21"/>
                      <w14:textFill>
                        <w14:solidFill>
                          <w14:schemeClr w14:val="tx1"/>
                        </w14:solidFill>
                      </w14:textFill>
                    </w:rPr>
                  </w:pPr>
                </w:p>
              </w:tc>
              <w:tc>
                <w:tcPr>
                  <w:tcW w:w="846"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VOC</w:t>
                  </w:r>
                  <w:r>
                    <w:rPr>
                      <w:color w:val="000000" w:themeColor="text1"/>
                      <w:kern w:val="0"/>
                      <w:szCs w:val="21"/>
                      <w14:textFill>
                        <w14:solidFill>
                          <w14:schemeClr w14:val="tx1"/>
                        </w14:solidFill>
                      </w14:textFill>
                    </w:rPr>
                    <w:t>s</w:t>
                  </w:r>
                </w:p>
              </w:tc>
              <w:tc>
                <w:tcPr>
                  <w:tcW w:w="1759"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.539</w:t>
                  </w:r>
                </w:p>
              </w:tc>
              <w:tc>
                <w:tcPr>
                  <w:tcW w:w="1760" w:type="pct"/>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1.538</w:t>
                  </w:r>
                </w:p>
              </w:tc>
            </w:tr>
          </w:tbl>
          <w:p>
            <w:pPr>
              <w:pStyle w:val="75"/>
              <w:tabs>
                <w:tab w:val="left" w:pos="540"/>
                <w:tab w:val="left" w:pos="1080"/>
                <w:tab w:val="left" w:pos="1800"/>
              </w:tabs>
              <w:ind w:firstLine="0"/>
              <w:rPr>
                <w:rFonts w:ascii="Times New Roman" w:hAnsi="Times New Roman" w:cs="Times New Roman"/>
                <w:color w:val="000000" w:themeColor="text1"/>
                <w:szCs w:val="24"/>
                <w14:textFill>
                  <w14:solidFill>
                    <w14:schemeClr w14:val="tx1"/>
                  </w14:solidFill>
                </w14:textFill>
              </w:rPr>
            </w:pPr>
          </w:p>
          <w:p>
            <w:pPr>
              <w:pStyle w:val="75"/>
              <w:tabs>
                <w:tab w:val="left" w:pos="540"/>
                <w:tab w:val="left" w:pos="1080"/>
                <w:tab w:val="left" w:pos="1800"/>
              </w:tabs>
              <w:ind w:firstLine="0"/>
              <w:rPr>
                <w:rFonts w:ascii="Times New Roman" w:hAnsi="Times New Roman" w:cs="Times New Roman"/>
                <w:color w:val="000000" w:themeColor="text1"/>
                <w:szCs w:val="24"/>
                <w14:textFill>
                  <w14:solidFill>
                    <w14:schemeClr w14:val="tx1"/>
                  </w14:solidFill>
                </w14:textFill>
              </w:rPr>
            </w:pPr>
          </w:p>
          <w:p>
            <w:pPr>
              <w:pStyle w:val="75"/>
              <w:tabs>
                <w:tab w:val="left" w:pos="540"/>
                <w:tab w:val="left" w:pos="1080"/>
                <w:tab w:val="left" w:pos="1800"/>
              </w:tabs>
              <w:ind w:firstLine="0"/>
              <w:rPr>
                <w:rFonts w:ascii="Times New Roman" w:hAnsi="Times New Roman" w:cs="Times New Roman"/>
                <w:color w:val="000000" w:themeColor="text1"/>
                <w:szCs w:val="24"/>
                <w14:textFill>
                  <w14:solidFill>
                    <w14:schemeClr w14:val="tx1"/>
                  </w14:solidFill>
                </w14:textFill>
              </w:rPr>
            </w:pPr>
          </w:p>
          <w:p>
            <w:pPr>
              <w:pStyle w:val="75"/>
              <w:tabs>
                <w:tab w:val="left" w:pos="540"/>
                <w:tab w:val="left" w:pos="1080"/>
                <w:tab w:val="left" w:pos="1800"/>
              </w:tabs>
              <w:ind w:firstLine="0"/>
              <w:rPr>
                <w:rFonts w:ascii="Times New Roman" w:hAnsi="Times New Roman" w:cs="Times New Roman"/>
                <w:color w:val="000000" w:themeColor="text1"/>
                <w:szCs w:val="24"/>
                <w14:textFill>
                  <w14:solidFill>
                    <w14:schemeClr w14:val="tx1"/>
                  </w14:solidFill>
                </w14:textFill>
              </w:rPr>
            </w:pPr>
          </w:p>
          <w:p>
            <w:pPr>
              <w:pStyle w:val="75"/>
              <w:tabs>
                <w:tab w:val="left" w:pos="540"/>
                <w:tab w:val="left" w:pos="1080"/>
                <w:tab w:val="left" w:pos="1800"/>
              </w:tabs>
              <w:ind w:firstLine="0"/>
              <w:rPr>
                <w:rFonts w:ascii="Times New Roman" w:hAnsi="Times New Roman" w:cs="Times New Roman"/>
                <w:color w:val="000000" w:themeColor="text1"/>
                <w:szCs w:val="24"/>
                <w14:textFill>
                  <w14:solidFill>
                    <w14:schemeClr w14:val="tx1"/>
                  </w14:solidFill>
                </w14:textFill>
              </w:rPr>
            </w:pPr>
          </w:p>
          <w:p>
            <w:pPr>
              <w:pStyle w:val="75"/>
              <w:tabs>
                <w:tab w:val="left" w:pos="540"/>
                <w:tab w:val="left" w:pos="1080"/>
                <w:tab w:val="left" w:pos="1800"/>
              </w:tabs>
              <w:ind w:firstLine="0"/>
              <w:rPr>
                <w:rFonts w:ascii="Times New Roman" w:hAnsi="Times New Roman" w:cs="Times New Roman"/>
                <w:color w:val="000000" w:themeColor="text1"/>
                <w:szCs w:val="24"/>
                <w14:textFill>
                  <w14:solidFill>
                    <w14:schemeClr w14:val="tx1"/>
                  </w14:solidFill>
                </w14:textFill>
              </w:rPr>
            </w:pPr>
          </w:p>
          <w:p>
            <w:pPr>
              <w:pStyle w:val="75"/>
              <w:tabs>
                <w:tab w:val="left" w:pos="540"/>
                <w:tab w:val="left" w:pos="1080"/>
                <w:tab w:val="left" w:pos="1800"/>
              </w:tabs>
              <w:ind w:firstLine="0"/>
              <w:rPr>
                <w:rFonts w:ascii="Times New Roman" w:hAnsi="Times New Roman" w:cs="Times New Roman"/>
                <w:color w:val="000000" w:themeColor="text1"/>
                <w:szCs w:val="24"/>
                <w14:textFill>
                  <w14:solidFill>
                    <w14:schemeClr w14:val="tx1"/>
                  </w14:solidFill>
                </w14:textFill>
              </w:rPr>
            </w:pPr>
          </w:p>
          <w:p>
            <w:pPr>
              <w:pStyle w:val="75"/>
              <w:tabs>
                <w:tab w:val="left" w:pos="540"/>
                <w:tab w:val="left" w:pos="1080"/>
                <w:tab w:val="left" w:pos="1800"/>
              </w:tabs>
              <w:ind w:firstLine="0"/>
              <w:rPr>
                <w:rFonts w:ascii="Times New Roman" w:hAnsi="Times New Roman" w:cs="Times New Roman"/>
                <w:color w:val="000000" w:themeColor="text1"/>
                <w:szCs w:val="24"/>
                <w14:textFill>
                  <w14:solidFill>
                    <w14:schemeClr w14:val="tx1"/>
                  </w14:solidFill>
                </w14:textFill>
              </w:rPr>
            </w:pPr>
          </w:p>
          <w:p>
            <w:pPr>
              <w:pStyle w:val="75"/>
              <w:tabs>
                <w:tab w:val="left" w:pos="540"/>
                <w:tab w:val="left" w:pos="1080"/>
                <w:tab w:val="left" w:pos="1800"/>
              </w:tabs>
              <w:ind w:firstLine="0"/>
              <w:rPr>
                <w:rFonts w:ascii="Times New Roman" w:hAnsi="Times New Roman" w:cs="Times New Roman"/>
                <w:color w:val="000000" w:themeColor="text1"/>
                <w:szCs w:val="24"/>
                <w14:textFill>
                  <w14:solidFill>
                    <w14:schemeClr w14:val="tx1"/>
                  </w14:solidFill>
                </w14:textFill>
              </w:rPr>
            </w:pPr>
          </w:p>
        </w:tc>
      </w:tr>
    </w:tbl>
    <w:p>
      <w:pPr>
        <w:pStyle w:val="32"/>
        <w:spacing w:line="240" w:lineRule="auto"/>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6"/>
          <w:szCs w:val="36"/>
          <w14:textFill>
            <w14:solidFill>
              <w14:schemeClr w14:val="tx1"/>
            </w14:solidFill>
          </w14:textFill>
        </w:rPr>
        <w:br w:type="page"/>
      </w:r>
      <w:bookmarkStart w:id="9" w:name="_Toc13504"/>
      <w:r>
        <w:rPr>
          <w:rFonts w:ascii="Times New Roman" w:hAnsi="Times New Roman" w:eastAsia="黑体"/>
          <w:snapToGrid w:val="0"/>
          <w:color w:val="000000" w:themeColor="text1"/>
          <w:sz w:val="30"/>
          <w:szCs w:val="30"/>
          <w14:textFill>
            <w14:solidFill>
              <w14:schemeClr w14:val="tx1"/>
            </w14:solidFill>
          </w14:textFill>
        </w:rPr>
        <w:t>四、主要环境影响和保护措施</w:t>
      </w:r>
      <w:bookmarkEnd w:id="9"/>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2"/>
        <w:gridCol w:w="86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352" w:type="dxa"/>
            <w:tcMar>
              <w:left w:w="28" w:type="dxa"/>
              <w:right w:w="28" w:type="dxa"/>
            </w:tcMar>
            <w:vAlign w:val="center"/>
          </w:tcPr>
          <w:p>
            <w:pPr>
              <w:pStyle w:val="32"/>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w:t>
            </w:r>
          </w:p>
          <w:p>
            <w:pPr>
              <w:pStyle w:val="32"/>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期环</w:t>
            </w:r>
          </w:p>
          <w:p>
            <w:pPr>
              <w:pStyle w:val="32"/>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境保</w:t>
            </w:r>
          </w:p>
          <w:p>
            <w:pPr>
              <w:pStyle w:val="32"/>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护措</w:t>
            </w:r>
          </w:p>
          <w:p>
            <w:pPr>
              <w:pStyle w:val="32"/>
              <w:adjustRightInd w:val="0"/>
              <w:snapToGrid w:val="0"/>
              <w:spacing w:before="0" w:beforeAutospacing="0" w:after="0" w:afterAutospacing="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w:t>
            </w:r>
          </w:p>
        </w:tc>
        <w:tc>
          <w:tcPr>
            <w:tcW w:w="8629" w:type="dxa"/>
          </w:tcPr>
          <w:p>
            <w:pPr>
              <w:adjustRightInd w:val="0"/>
              <w:snapToGrid w:val="0"/>
              <w:ind w:firstLine="442"/>
              <w:rPr>
                <w:b/>
                <w:bCs/>
                <w:color w:val="000000" w:themeColor="text1"/>
                <w:spacing w:val="-10"/>
                <w:sz w:val="24"/>
                <w14:textFill>
                  <w14:solidFill>
                    <w14:schemeClr w14:val="tx1"/>
                  </w14:solidFill>
                </w14:textFill>
              </w:rPr>
            </w:pPr>
            <w:r>
              <w:rPr>
                <w:rFonts w:hint="eastAsia"/>
                <w:b/>
                <w:bCs/>
                <w:color w:val="000000" w:themeColor="text1"/>
                <w:spacing w:val="-10"/>
                <w:sz w:val="24"/>
                <w14:textFill>
                  <w14:solidFill>
                    <w14:schemeClr w14:val="tx1"/>
                  </w14:solidFill>
                </w14:textFill>
              </w:rPr>
              <w:t>4</w:t>
            </w:r>
            <w:r>
              <w:rPr>
                <w:b/>
                <w:bCs/>
                <w:color w:val="000000" w:themeColor="text1"/>
                <w:spacing w:val="-10"/>
                <w:sz w:val="24"/>
                <w14:textFill>
                  <w14:solidFill>
                    <w14:schemeClr w14:val="tx1"/>
                  </w14:solidFill>
                </w14:textFill>
              </w:rPr>
              <w:t>.1</w:t>
            </w:r>
            <w:r>
              <w:rPr>
                <w:rFonts w:hint="eastAsia"/>
                <w:b/>
                <w:bCs/>
                <w:color w:val="000000" w:themeColor="text1"/>
                <w:spacing w:val="-10"/>
                <w:sz w:val="24"/>
                <w14:textFill>
                  <w14:solidFill>
                    <w14:schemeClr w14:val="tx1"/>
                  </w14:solidFill>
                </w14:textFill>
              </w:rPr>
              <w:t>施工期环境保护措施</w:t>
            </w:r>
          </w:p>
          <w:p>
            <w:pPr>
              <w:adjustRightInd w:val="0"/>
              <w:snapToGrid w:val="0"/>
              <w:ind w:firstLine="442"/>
              <w:rPr>
                <w:b/>
                <w:bCs/>
                <w:color w:val="000000" w:themeColor="text1"/>
                <w:spacing w:val="-10"/>
                <w:sz w:val="24"/>
                <w14:textFill>
                  <w14:solidFill>
                    <w14:schemeClr w14:val="tx1"/>
                  </w14:solidFill>
                </w14:textFill>
              </w:rPr>
            </w:pPr>
            <w:r>
              <w:rPr>
                <w:rFonts w:hint="eastAsia"/>
                <w:b/>
                <w:bCs/>
                <w:color w:val="000000" w:themeColor="text1"/>
                <w:spacing w:val="-10"/>
                <w:sz w:val="24"/>
                <w14:textFill>
                  <w14:solidFill>
                    <w14:schemeClr w14:val="tx1"/>
                  </w14:solidFill>
                </w14:textFill>
              </w:rPr>
              <w:t>4</w:t>
            </w:r>
            <w:r>
              <w:rPr>
                <w:b/>
                <w:bCs/>
                <w:color w:val="000000" w:themeColor="text1"/>
                <w:spacing w:val="-10"/>
                <w:sz w:val="24"/>
                <w14:textFill>
                  <w14:solidFill>
                    <w14:schemeClr w14:val="tx1"/>
                  </w14:solidFill>
                </w14:textFill>
              </w:rPr>
              <w:t>.1.1</w:t>
            </w:r>
            <w:r>
              <w:rPr>
                <w:rFonts w:hint="eastAsia"/>
                <w:b/>
                <w:bCs/>
                <w:color w:val="000000" w:themeColor="text1"/>
                <w:spacing w:val="-10"/>
                <w:sz w:val="24"/>
                <w14:textFill>
                  <w14:solidFill>
                    <w14:schemeClr w14:val="tx1"/>
                  </w14:solidFill>
                </w14:textFill>
              </w:rPr>
              <w:t>施工期废气污染防治措施</w:t>
            </w:r>
          </w:p>
          <w:p>
            <w:pPr>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（1）加强施工期环境管理，对进出建筑工地运输车辆，必须冲洗干净，严禁带泥上路，严禁超载。装载建筑材料、建筑垃圾的车辆必须有遮盖和防护措施，以防止建筑材料、建筑垃圾和尘土飞扬、洒落和流溢。</w:t>
            </w:r>
          </w:p>
          <w:p>
            <w:pPr>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2）施工现场土方要集中堆放，裸露的场地和集中堆放的土方要采取覆盖或绿化等措施。粉性材料必须入库保管，沙石料必须覆盖，禁止在道路和人行道上堆放或转运易扬尘的建筑材料。施工过程中，易产生扬尘的工序必须采取降尘措施，施工现场的浮土必须及时湿水清扫。</w:t>
            </w:r>
          </w:p>
          <w:p>
            <w:pPr>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（3）实行围档全封闭施工，围挡高度不低于1.8m，围挡应坚固、稳定、整洁、美观、规范成线，沿工地四周连续设置并进行彩画美化，保证美观。</w:t>
            </w:r>
          </w:p>
          <w:p>
            <w:pPr>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（4）加强施工机械的使用管理和保养维修，提高机械设备使用效率，缩短工期，降低燃油机械废气排放，将其不利影响降至最低。</w:t>
            </w:r>
          </w:p>
          <w:p>
            <w:pPr>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（5）严禁在施工现场排放有毒烟尘和气体，施工人员的生活燃料应使用液化气或天然气，施工场地不得以煤作为燃料。</w:t>
            </w:r>
          </w:p>
          <w:p>
            <w:pPr>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（6）对未硬化的地面进行洒水防尘</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合理规划，按施工方案对地面及时进行绿化和硬化，以降低粉尘的影响范围和程度，缩短影响时间。同时根据天气情况实施洒水降尘，减少施工二次扬尘对外环境的影响。</w:t>
            </w:r>
          </w:p>
          <w:p>
            <w:pPr>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4.1.2</w:t>
            </w:r>
            <w:r>
              <w:rPr>
                <w:rFonts w:hint="eastAsia"/>
                <w:b/>
                <w:color w:val="000000" w:themeColor="text1"/>
                <w:sz w:val="24"/>
                <w14:textFill>
                  <w14:solidFill>
                    <w14:schemeClr w14:val="tx1"/>
                  </w14:solidFill>
                </w14:textFill>
              </w:rPr>
              <w:t>施工期废水污染防治措施</w:t>
            </w:r>
          </w:p>
          <w:p>
            <w:pPr>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（1）在施工场地出口设置车辆冲洗装置及临时</w:t>
            </w:r>
            <w:r>
              <w:rPr>
                <w:rFonts w:hint="eastAsia"/>
                <w:color w:val="000000" w:themeColor="text1"/>
                <w:kern w:val="0"/>
                <w:sz w:val="24"/>
                <w:lang w:bidi="ar"/>
                <w14:textFill>
                  <w14:solidFill>
                    <w14:schemeClr w14:val="tx1"/>
                  </w14:solidFill>
                </w14:textFill>
              </w:rPr>
              <w:t>隔油沉淀池</w:t>
            </w:r>
            <w:r>
              <w:rPr>
                <w:color w:val="000000" w:themeColor="text1"/>
                <w:kern w:val="0"/>
                <w:sz w:val="24"/>
                <w:lang w:bidi="ar"/>
                <w14:textFill>
                  <w14:solidFill>
                    <w14:schemeClr w14:val="tx1"/>
                  </w14:solidFill>
                </w14:textFill>
              </w:rPr>
              <w:t>，处理规模为5m</w:t>
            </w:r>
            <w:r>
              <w:rPr>
                <w:color w:val="000000" w:themeColor="text1"/>
                <w:kern w:val="0"/>
                <w:sz w:val="24"/>
                <w:vertAlign w:val="superscript"/>
                <w:lang w:bidi="ar"/>
                <w14:textFill>
                  <w14:solidFill>
                    <w14:schemeClr w14:val="tx1"/>
                  </w14:solidFill>
                </w14:textFill>
              </w:rPr>
              <w:t>3</w:t>
            </w:r>
            <w:r>
              <w:rPr>
                <w:color w:val="000000" w:themeColor="text1"/>
                <w:kern w:val="0"/>
                <w:sz w:val="24"/>
                <w:lang w:bidi="ar"/>
                <w14:textFill>
                  <w14:solidFill>
                    <w14:schemeClr w14:val="tx1"/>
                  </w14:solidFill>
                </w14:textFill>
              </w:rPr>
              <w:t>/d。</w:t>
            </w:r>
          </w:p>
          <w:p>
            <w:pPr>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2）对驶出施工场地的施工机械或车辆进行冲洗，冲洗废水经隔油、沉淀处理，处理后上清液回用于场地防尘洒水以及施工机械及运输车辆的冲洗，不外排。施工单位对施工场地用水严格管理，尽量减少废水的产生量。</w:t>
            </w:r>
          </w:p>
          <w:p>
            <w:pPr>
              <w:ind w:firstLine="480" w:firstLineChars="200"/>
              <w:rPr>
                <w:color w:val="000000" w:themeColor="text1"/>
                <w14:textFill>
                  <w14:solidFill>
                    <w14:schemeClr w14:val="tx1"/>
                  </w14:solidFill>
                </w14:textFill>
              </w:rPr>
            </w:pPr>
            <w:r>
              <w:rPr>
                <w:color w:val="000000" w:themeColor="text1"/>
                <w:kern w:val="0"/>
                <w:sz w:val="24"/>
                <w:lang w:bidi="ar"/>
                <w14:textFill>
                  <w14:solidFill>
                    <w14:schemeClr w14:val="tx1"/>
                  </w14:solidFill>
                </w14:textFill>
              </w:rPr>
              <w:t>（3）在施工场设置临时</w:t>
            </w:r>
            <w:r>
              <w:rPr>
                <w:rFonts w:hint="eastAsia"/>
                <w:color w:val="000000" w:themeColor="text1"/>
                <w:kern w:val="0"/>
                <w:sz w:val="24"/>
                <w:lang w:bidi="ar"/>
                <w14:textFill>
                  <w14:solidFill>
                    <w14:schemeClr w14:val="tx1"/>
                  </w14:solidFill>
                </w14:textFill>
              </w:rPr>
              <w:t>简易</w:t>
            </w:r>
            <w:r>
              <w:rPr>
                <w:color w:val="000000" w:themeColor="text1"/>
                <w:kern w:val="0"/>
                <w:sz w:val="24"/>
                <w:lang w:bidi="ar"/>
                <w14:textFill>
                  <w14:solidFill>
                    <w14:schemeClr w14:val="tx1"/>
                  </w14:solidFill>
                </w14:textFill>
              </w:rPr>
              <w:t>化粪池，处理规模为5m</w:t>
            </w:r>
            <w:r>
              <w:rPr>
                <w:color w:val="000000" w:themeColor="text1"/>
                <w:kern w:val="0"/>
                <w:sz w:val="24"/>
                <w:vertAlign w:val="superscript"/>
                <w:lang w:bidi="ar"/>
                <w14:textFill>
                  <w14:solidFill>
                    <w14:schemeClr w14:val="tx1"/>
                  </w14:solidFill>
                </w14:textFill>
              </w:rPr>
              <w:t>3</w:t>
            </w:r>
            <w:r>
              <w:rPr>
                <w:color w:val="000000" w:themeColor="text1"/>
                <w:kern w:val="0"/>
                <w:sz w:val="24"/>
                <w:lang w:bidi="ar"/>
                <w14:textFill>
                  <w14:solidFill>
                    <w14:schemeClr w14:val="tx1"/>
                  </w14:solidFill>
                </w14:textFill>
              </w:rPr>
              <w:t>/d。施工人员生活污水经</w:t>
            </w:r>
            <w:r>
              <w:rPr>
                <w:rFonts w:hint="eastAsia"/>
                <w:color w:val="000000" w:themeColor="text1"/>
                <w:kern w:val="0"/>
                <w:sz w:val="24"/>
                <w:lang w:bidi="ar"/>
                <w14:textFill>
                  <w14:solidFill>
                    <w14:schemeClr w14:val="tx1"/>
                  </w14:solidFill>
                </w14:textFill>
              </w:rPr>
              <w:t>简易</w:t>
            </w:r>
            <w:r>
              <w:rPr>
                <w:color w:val="000000" w:themeColor="text1"/>
                <w:kern w:val="0"/>
                <w:sz w:val="24"/>
                <w:lang w:bidi="ar"/>
                <w14:textFill>
                  <w14:solidFill>
                    <w14:schemeClr w14:val="tx1"/>
                  </w14:solidFill>
                </w14:textFill>
              </w:rPr>
              <w:t>化粪池处理后排入园区污水管网。</w:t>
            </w:r>
          </w:p>
          <w:p>
            <w:pPr>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4.1.3</w:t>
            </w:r>
            <w:r>
              <w:rPr>
                <w:rFonts w:hint="eastAsia"/>
                <w:b/>
                <w:color w:val="000000" w:themeColor="text1"/>
                <w:sz w:val="24"/>
                <w14:textFill>
                  <w14:solidFill>
                    <w14:schemeClr w14:val="tx1"/>
                  </w14:solidFill>
                </w14:textFill>
              </w:rPr>
              <w:t>施工期噪声污染防治措施</w:t>
            </w:r>
          </w:p>
          <w:p>
            <w:pPr>
              <w:ind w:firstLine="480" w:firstLineChars="200"/>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施工噪声仅发生在施工期间，影响是短期的，并随着施工结束而消失。环</w:t>
            </w:r>
            <w:r>
              <w:rPr>
                <w:color w:val="000000" w:themeColor="text1"/>
                <w:sz w:val="24"/>
                <w14:textFill>
                  <w14:solidFill>
                    <w14:schemeClr w14:val="tx1"/>
                  </w14:solidFill>
                </w14:textFill>
              </w:rPr>
              <w:t>评要求施工单位应严格参照《重庆市环境噪声污染防治办法》中的有关规定，严格控制噪声污染，并按要求进行施工：</w:t>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（1）尽量采用先进的施工机械和技术，选用低噪声作业机具，合理安排施工作业时间。</w:t>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（2）施工单位应合理安排作业时间，将可能产生强噪声的施工作业安排在白天，并避开休息时段，尽量避免噪声扰民。采用商品混凝土，禁止用产生连续噪声源的混凝土搅拌机等设备。</w:t>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（3）施工单位夜间禁止使用各种打桩机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施工单位在使用推土机、挖掘机、装载机、打桩机、振捣棒、电锯、吊车、升降机等机具的时候昼、夜间场界噪声必须满足国家规定的噪声限值。</w:t>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（4）加强施工机械的维护和保养，避免由于设备性能差而使机械噪声增大现象产生。场外运输作业安排在白天进行，施工车辆行经住宅区、居民户等敏感点时应采取减速、禁鸣等措施。</w:t>
            </w:r>
          </w:p>
          <w:p>
            <w:pPr>
              <w:ind w:firstLine="48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w:t>
            </w:r>
            <w:r>
              <w:rPr>
                <w:b/>
                <w:color w:val="000000" w:themeColor="text1"/>
                <w:sz w:val="24"/>
                <w14:textFill>
                  <w14:solidFill>
                    <w14:schemeClr w14:val="tx1"/>
                  </w14:solidFill>
                </w14:textFill>
              </w:rPr>
              <w:t>.1.4</w:t>
            </w:r>
            <w:r>
              <w:rPr>
                <w:rFonts w:hint="eastAsia"/>
                <w:b/>
                <w:color w:val="000000" w:themeColor="text1"/>
                <w:sz w:val="24"/>
                <w14:textFill>
                  <w14:solidFill>
                    <w14:schemeClr w14:val="tx1"/>
                  </w14:solidFill>
                </w14:textFill>
              </w:rPr>
              <w:t>固体废物污染防治措施</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（1）场地内设置垃圾桶，收集生活垃圾后及时交园区环卫部门收集处理，禁止乱堆乱放。</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（2）回填土集中堆放，并用塑料布覆盖。四周设置排水沟，避免雨水冲刷造成水土流失。</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（3）施工建筑废弃材料主要包括装修废木料、石材、塑料包装、金属材料等，采用分类收集，</w:t>
            </w:r>
            <w:r>
              <w:rPr>
                <w:rFonts w:hint="eastAsia"/>
                <w:color w:val="000000" w:themeColor="text1"/>
                <w:sz w:val="24"/>
                <w14:textFill>
                  <w14:solidFill>
                    <w14:schemeClr w14:val="tx1"/>
                  </w14:solidFill>
                </w14:textFill>
              </w:rPr>
              <w:t>可回收利用固废送物资回收公司；不可利用固废与弃渣</w:t>
            </w:r>
            <w:r>
              <w:rPr>
                <w:rFonts w:hint="eastAsia"/>
                <w:color w:val="000000" w:themeColor="text1"/>
                <w:sz w:val="24"/>
                <w:lang w:eastAsia="zh-CN"/>
                <w14:textFill>
                  <w14:solidFill>
                    <w14:schemeClr w14:val="tx1"/>
                  </w14:solidFill>
                </w14:textFill>
              </w:rPr>
              <w:t>一起</w:t>
            </w:r>
            <w:r>
              <w:rPr>
                <w:rFonts w:hint="eastAsia"/>
                <w:color w:val="000000" w:themeColor="text1"/>
                <w:sz w:val="24"/>
                <w14:textFill>
                  <w14:solidFill>
                    <w14:schemeClr w14:val="tx1"/>
                  </w14:solidFill>
                </w14:textFill>
              </w:rPr>
              <w:t>，运送至市政部门</w:t>
            </w:r>
            <w:r>
              <w:rPr>
                <w:rFonts w:hint="eastAsia"/>
                <w:color w:val="000000" w:themeColor="text1"/>
                <w:sz w:val="24"/>
                <w:lang w:eastAsia="zh-CN"/>
                <w14:textFill>
                  <w14:solidFill>
                    <w14:schemeClr w14:val="tx1"/>
                  </w14:solidFill>
                </w14:textFill>
              </w:rPr>
              <w:t>指定</w:t>
            </w:r>
            <w:r>
              <w:rPr>
                <w:rFonts w:hint="eastAsia"/>
                <w:color w:val="000000" w:themeColor="text1"/>
                <w:sz w:val="24"/>
                <w14:textFill>
                  <w14:solidFill>
                    <w14:schemeClr w14:val="tx1"/>
                  </w14:solidFill>
                </w14:textFill>
              </w:rPr>
              <w:t>渣场</w:t>
            </w:r>
            <w:r>
              <w:rPr>
                <w:color w:val="000000" w:themeColor="text1"/>
                <w:sz w:val="24"/>
                <w14:textFill>
                  <w14:solidFill>
                    <w14:schemeClr w14:val="tx1"/>
                  </w14:solidFill>
                </w14:textFill>
              </w:rPr>
              <w:t>。</w:t>
            </w:r>
          </w:p>
          <w:p>
            <w:pPr>
              <w:pStyle w:val="2"/>
              <w:spacing w:before="0" w:after="0" w:line="360" w:lineRule="auto"/>
              <w:ind w:right="0"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综上，施工期间企业应认真落实本评价提出的相关环境保护措施要求，加强施工过程中的粉尘、噪声、振动、废水和建筑垃圾等管理，通过采取上述合理的措施后，施工过程基本不会对周边环境造成不良影响，且项目施工期较短，上述污染随着施工期的结束而消失</w:t>
            </w: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2" w:type="dxa"/>
            <w:tcMar>
              <w:left w:w="28" w:type="dxa"/>
              <w:right w:w="28" w:type="dxa"/>
            </w:tcMar>
            <w:vAlign w:val="center"/>
          </w:tcPr>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tc>
        <w:tc>
          <w:tcPr>
            <w:tcW w:w="8629" w:type="dxa"/>
          </w:tcPr>
          <w:p>
            <w:pPr>
              <w:jc w:val="left"/>
              <w:rPr>
                <w:b/>
                <w:bCs/>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4.2运营期环境</w:t>
            </w:r>
            <w:r>
              <w:rPr>
                <w:rFonts w:hint="eastAsia"/>
                <w:b/>
                <w:bCs/>
                <w:color w:val="000000" w:themeColor="text1"/>
                <w:kern w:val="0"/>
                <w:sz w:val="24"/>
                <w:lang w:bidi="ar"/>
                <w14:textFill>
                  <w14:solidFill>
                    <w14:schemeClr w14:val="tx1"/>
                  </w14:solidFill>
                </w14:textFill>
              </w:rPr>
              <w:t>影响和</w:t>
            </w:r>
            <w:r>
              <w:rPr>
                <w:b/>
                <w:bCs/>
                <w:color w:val="000000" w:themeColor="text1"/>
                <w:kern w:val="0"/>
                <w:sz w:val="24"/>
                <w:lang w:bidi="ar"/>
                <w14:textFill>
                  <w14:solidFill>
                    <w14:schemeClr w14:val="tx1"/>
                  </w14:solidFill>
                </w14:textFill>
              </w:rPr>
              <w:t>保护措施</w:t>
            </w:r>
          </w:p>
          <w:p>
            <w:pPr>
              <w:pStyle w:val="72"/>
              <w:ind w:firstLine="0" w:firstLineChars="0"/>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4.2.1废气</w:t>
            </w:r>
          </w:p>
          <w:p>
            <w:pPr>
              <w:pStyle w:val="72"/>
              <w:ind w:firstLine="482"/>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1、废气污染源强分析</w:t>
            </w:r>
          </w:p>
          <w:p>
            <w:pPr>
              <w:pStyle w:val="72"/>
              <w:ind w:firstLine="482"/>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（1）轮胎处理粉尘G</w:t>
            </w:r>
            <w:r>
              <w:rPr>
                <w:rFonts w:cs="Times New Roman"/>
                <w:b/>
                <w:color w:val="000000" w:themeColor="text1"/>
                <w14:textFill>
                  <w14:solidFill>
                    <w14:schemeClr w14:val="tx1"/>
                  </w14:solidFill>
                </w14:textFill>
              </w:rPr>
              <w:t>1</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①源强</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项目粗碎、细碎、磁选、筛分及中转仓落料过程有粉尘产生。项目年处理废旧轮胎</w:t>
            </w:r>
            <w:r>
              <w:rPr>
                <w:rFonts w:cs="Times New Roman"/>
                <w:color w:val="000000" w:themeColor="text1"/>
                <w14:textFill>
                  <w14:solidFill>
                    <w14:schemeClr w14:val="tx1"/>
                  </w14:solidFill>
                </w14:textFill>
              </w:rPr>
              <w:t>9</w:t>
            </w:r>
            <w:r>
              <w:rPr>
                <w:rFonts w:hint="eastAsia" w:cs="Times New Roman"/>
                <w:color w:val="000000" w:themeColor="text1"/>
                <w14:textFill>
                  <w14:solidFill>
                    <w14:schemeClr w14:val="tx1"/>
                  </w14:solidFill>
                </w14:textFill>
              </w:rPr>
              <w:t>万t，其中一期</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万t，二期</w:t>
            </w:r>
            <w:r>
              <w:rPr>
                <w:rFonts w:cs="Times New Roman"/>
                <w:color w:val="000000" w:themeColor="text1"/>
                <w14:textFill>
                  <w14:solidFill>
                    <w14:schemeClr w14:val="tx1"/>
                  </w14:solidFill>
                </w14:textFill>
              </w:rPr>
              <w:t>6</w:t>
            </w:r>
            <w:r>
              <w:rPr>
                <w:rFonts w:hint="eastAsia" w:cs="Times New Roman"/>
                <w:color w:val="000000" w:themeColor="text1"/>
                <w14:textFill>
                  <w14:solidFill>
                    <w14:schemeClr w14:val="tx1"/>
                  </w14:solidFill>
                </w14:textFill>
              </w:rPr>
              <w:t>万t。</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根据《排放源统计调查产排污核算方法和系数手册》-</w:t>
            </w:r>
            <w:r>
              <w:rPr>
                <w:rFonts w:cs="Times New Roman"/>
                <w:color w:val="000000" w:themeColor="text1"/>
                <w14:textFill>
                  <w14:solidFill>
                    <w14:schemeClr w14:val="tx1"/>
                  </w14:solidFill>
                </w14:textFill>
              </w:rPr>
              <w:t xml:space="preserve">42 </w:t>
            </w:r>
            <w:r>
              <w:rPr>
                <w:rFonts w:hint="eastAsia" w:cs="Times New Roman"/>
                <w:color w:val="000000" w:themeColor="text1"/>
                <w14:textFill>
                  <w14:solidFill>
                    <w14:schemeClr w14:val="tx1"/>
                  </w14:solidFill>
                </w14:textFill>
              </w:rPr>
              <w:t>废弃资源综合利用行业系数手册-“</w:t>
            </w:r>
            <w:r>
              <w:rPr>
                <w:rFonts w:cs="Times New Roman"/>
                <w:color w:val="000000" w:themeColor="text1"/>
                <w14:textFill>
                  <w14:solidFill>
                    <w14:schemeClr w14:val="tx1"/>
                  </w14:solidFill>
                </w14:textFill>
              </w:rPr>
              <w:t xml:space="preserve">4220 </w:t>
            </w:r>
            <w:r>
              <w:rPr>
                <w:rFonts w:hint="eastAsia" w:cs="Times New Roman"/>
                <w:color w:val="000000" w:themeColor="text1"/>
                <w14:textFill>
                  <w14:solidFill>
                    <w14:schemeClr w14:val="tx1"/>
                  </w14:solidFill>
                </w14:textFill>
              </w:rPr>
              <w:t>非金属废料和碎屑加工处理行业系数表”可知，废旧轮胎破碎、磁选及筛分生产胶粉颗粒物产生系数为0</w:t>
            </w:r>
            <w:r>
              <w:rPr>
                <w:rFonts w:cs="Times New Roman"/>
                <w:color w:val="000000" w:themeColor="text1"/>
                <w14:textFill>
                  <w14:solidFill>
                    <w14:schemeClr w14:val="tx1"/>
                  </w14:solidFill>
                </w14:textFill>
              </w:rPr>
              <w:t>.194</w:t>
            </w:r>
            <w:r>
              <w:rPr>
                <w:rFonts w:hint="eastAsia" w:cs="Times New Roman"/>
                <w:color w:val="000000" w:themeColor="text1"/>
                <w14:textFill>
                  <w14:solidFill>
                    <w14:schemeClr w14:val="tx1"/>
                  </w14:solidFill>
                </w14:textFill>
              </w:rPr>
              <w:t>kg</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t-原料。经核算，项目破碎、磁选及筛分等颗粒物产生量为</w:t>
            </w:r>
            <w:r>
              <w:rPr>
                <w:rFonts w:cs="Times New Roman"/>
                <w:color w:val="000000" w:themeColor="text1"/>
                <w14:textFill>
                  <w14:solidFill>
                    <w14:schemeClr w14:val="tx1"/>
                  </w14:solidFill>
                </w14:textFill>
              </w:rPr>
              <w:t>17.46</w:t>
            </w:r>
            <w:r>
              <w:rPr>
                <w:rFonts w:hint="eastAsia" w:cs="Times New Roman"/>
                <w:color w:val="000000" w:themeColor="text1"/>
                <w14:textFill>
                  <w14:solidFill>
                    <w14:schemeClr w14:val="tx1"/>
                  </w14:solidFill>
                </w14:textFill>
              </w:rPr>
              <w:t>t</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a，其中一期为</w:t>
            </w:r>
            <w:r>
              <w:rPr>
                <w:rFonts w:cs="Times New Roman"/>
                <w:color w:val="000000" w:themeColor="text1"/>
                <w14:textFill>
                  <w14:solidFill>
                    <w14:schemeClr w14:val="tx1"/>
                  </w14:solidFill>
                </w14:textFill>
              </w:rPr>
              <w:t>5.82</w:t>
            </w:r>
            <w:r>
              <w:rPr>
                <w:rFonts w:hint="eastAsia" w:cs="Times New Roman"/>
                <w:color w:val="000000" w:themeColor="text1"/>
                <w14:textFill>
                  <w14:solidFill>
                    <w14:schemeClr w14:val="tx1"/>
                  </w14:solidFill>
                </w14:textFill>
              </w:rPr>
              <w:t>t</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a，二期为</w:t>
            </w:r>
            <w:r>
              <w:rPr>
                <w:rFonts w:cs="Times New Roman"/>
                <w:color w:val="000000" w:themeColor="text1"/>
                <w14:textFill>
                  <w14:solidFill>
                    <w14:schemeClr w14:val="tx1"/>
                  </w14:solidFill>
                </w14:textFill>
              </w:rPr>
              <w:t>11.64</w:t>
            </w:r>
            <w:r>
              <w:rPr>
                <w:rFonts w:hint="eastAsia" w:cs="Times New Roman"/>
                <w:color w:val="000000" w:themeColor="text1"/>
                <w14:textFill>
                  <w14:solidFill>
                    <w14:schemeClr w14:val="tx1"/>
                  </w14:solidFill>
                </w14:textFill>
              </w:rPr>
              <w:t>t</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a。</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②治理措施及达标性分析</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项目共</w:t>
            </w:r>
            <w:r>
              <w:rPr>
                <w:rFonts w:cs="Times New Roman"/>
                <w:color w:val="000000" w:themeColor="text1"/>
                <w14:textFill>
                  <w14:solidFill>
                    <w14:schemeClr w14:val="tx1"/>
                  </w14:solidFill>
                </w14:textFill>
              </w:rPr>
              <w:t>6</w:t>
            </w:r>
            <w:r>
              <w:rPr>
                <w:rFonts w:hint="eastAsia" w:cs="Times New Roman"/>
                <w:color w:val="000000" w:themeColor="text1"/>
                <w14:textFill>
                  <w14:solidFill>
                    <w14:schemeClr w14:val="tx1"/>
                  </w14:solidFill>
                </w14:textFill>
              </w:rPr>
              <w:t>条轮胎破碎生产线，其中1#原料破碎车间设2条轮胎破碎生产线（一期工程），2#原料破碎车间设</w:t>
            </w:r>
            <w:r>
              <w:rPr>
                <w:rFonts w:cs="Times New Roman"/>
                <w:color w:val="000000" w:themeColor="text1"/>
                <w14:textFill>
                  <w14:solidFill>
                    <w14:schemeClr w14:val="tx1"/>
                  </w14:solidFill>
                </w14:textFill>
              </w:rPr>
              <w:t>4</w:t>
            </w:r>
            <w:r>
              <w:rPr>
                <w:rFonts w:hint="eastAsia" w:cs="Times New Roman"/>
                <w:color w:val="000000" w:themeColor="text1"/>
                <w14:textFill>
                  <w14:solidFill>
                    <w14:schemeClr w14:val="tx1"/>
                  </w14:solidFill>
                </w14:textFill>
              </w:rPr>
              <w:t>条轮胎破碎生产线（二期工程）。</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项目在每条轮胎破碎生产线的破碎机、破胶机、筛分机上方分别设置集气罩；输送带密闭输送；中转料仓设置收尘装置。收集效率为9</w:t>
            </w:r>
            <w:r>
              <w:rPr>
                <w:rFonts w:cs="Times New Roman"/>
                <w:color w:val="000000" w:themeColor="text1"/>
                <w14:textFill>
                  <w14:solidFill>
                    <w14:schemeClr w14:val="tx1"/>
                  </w14:solidFill>
                </w14:textFill>
              </w:rPr>
              <w:t>0</w:t>
            </w:r>
            <w:r>
              <w:rPr>
                <w:rFonts w:hint="eastAsia" w:cs="Times New Roman"/>
                <w:color w:val="000000" w:themeColor="text1"/>
                <w14:textFill>
                  <w14:solidFill>
                    <w14:schemeClr w14:val="tx1"/>
                  </w14:solidFill>
                </w14:textFill>
              </w:rPr>
              <w:t>%。</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项目设置2套轮胎破碎粉尘处理设施，采用布袋除尘措施，设计处理效率为9</w:t>
            </w: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%。其中，1#破碎废气处理设施用于处理一期轮胎破碎粉尘，设计处理风量8</w:t>
            </w:r>
            <w:r>
              <w:rPr>
                <w:rFonts w:cs="Times New Roman"/>
                <w:color w:val="000000" w:themeColor="text1"/>
                <w14:textFill>
                  <w14:solidFill>
                    <w14:schemeClr w14:val="tx1"/>
                  </w14:solidFill>
                </w14:textFill>
              </w:rPr>
              <w:t>000</w:t>
            </w:r>
            <w:r>
              <w:rPr>
                <w:rFonts w:hint="eastAsia" w:cs="Times New Roman"/>
                <w:color w:val="000000" w:themeColor="text1"/>
                <w14:textFill>
                  <w14:solidFill>
                    <w14:schemeClr w14:val="tx1"/>
                  </w14:solidFill>
                </w14:textFill>
              </w:rPr>
              <w:t>m</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h，达标废气经1根1</w:t>
            </w: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m高排气筒（D</w:t>
            </w:r>
            <w:r>
              <w:rPr>
                <w:rFonts w:cs="Times New Roman"/>
                <w:color w:val="000000" w:themeColor="text1"/>
                <w14:textFill>
                  <w14:solidFill>
                    <w14:schemeClr w14:val="tx1"/>
                  </w14:solidFill>
                </w14:textFill>
              </w:rPr>
              <w:t>A001</w:t>
            </w:r>
            <w:r>
              <w:rPr>
                <w:rFonts w:hint="eastAsia" w:cs="Times New Roman"/>
                <w:color w:val="000000" w:themeColor="text1"/>
                <w14:textFill>
                  <w14:solidFill>
                    <w14:schemeClr w14:val="tx1"/>
                  </w14:solidFill>
                </w14:textFill>
              </w:rPr>
              <w:t>）排放。2#破碎废气处理设施用于处理项目二期轮胎破碎粉尘，处理风量为1</w:t>
            </w:r>
            <w:r>
              <w:rPr>
                <w:rFonts w:cs="Times New Roman"/>
                <w:color w:val="000000" w:themeColor="text1"/>
                <w14:textFill>
                  <w14:solidFill>
                    <w14:schemeClr w14:val="tx1"/>
                  </w14:solidFill>
                </w14:textFill>
              </w:rPr>
              <w:t>6000</w:t>
            </w:r>
            <w:r>
              <w:rPr>
                <w:rFonts w:hint="eastAsia" w:cs="Times New Roman"/>
                <w:color w:val="000000" w:themeColor="text1"/>
                <w14:textFill>
                  <w14:solidFill>
                    <w14:schemeClr w14:val="tx1"/>
                  </w14:solidFill>
                </w14:textFill>
              </w:rPr>
              <w:t>m</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h，达标废气经1根1</w:t>
            </w: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m高排气筒（D</w:t>
            </w:r>
            <w:r>
              <w:rPr>
                <w:rFonts w:cs="Times New Roman"/>
                <w:color w:val="000000" w:themeColor="text1"/>
                <w14:textFill>
                  <w14:solidFill>
                    <w14:schemeClr w14:val="tx1"/>
                  </w14:solidFill>
                </w14:textFill>
              </w:rPr>
              <w:t>A002</w:t>
            </w:r>
            <w:r>
              <w:rPr>
                <w:rFonts w:hint="eastAsia" w:cs="Times New Roman"/>
                <w:color w:val="000000" w:themeColor="text1"/>
                <w14:textFill>
                  <w14:solidFill>
                    <w14:schemeClr w14:val="tx1"/>
                  </w14:solidFill>
                </w14:textFill>
              </w:rPr>
              <w:t>）排放。</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颗粒物去除效率按</w:t>
            </w:r>
            <w:r>
              <w:rPr>
                <w:rFonts w:cs="Times New Roman"/>
                <w:color w:val="000000" w:themeColor="text1"/>
                <w14:textFill>
                  <w14:solidFill>
                    <w14:schemeClr w14:val="tx1"/>
                  </w14:solidFill>
                </w14:textFill>
              </w:rPr>
              <w:t>95</w:t>
            </w:r>
            <w:r>
              <w:rPr>
                <w:rFonts w:hint="eastAsia" w:cs="Times New Roman"/>
                <w:color w:val="000000" w:themeColor="text1"/>
                <w14:textFill>
                  <w14:solidFill>
                    <w14:schemeClr w14:val="tx1"/>
                  </w14:solidFill>
                </w14:textFill>
              </w:rPr>
              <w:t>%计，集气罩未收集的粉尘约7</w:t>
            </w:r>
            <w:r>
              <w:rPr>
                <w:rFonts w:cs="Times New Roman"/>
                <w:color w:val="000000" w:themeColor="text1"/>
                <w14:textFill>
                  <w14:solidFill>
                    <w14:schemeClr w14:val="tx1"/>
                  </w14:solidFill>
                </w14:textFill>
              </w:rPr>
              <w:t>0</w:t>
            </w:r>
            <w:r>
              <w:rPr>
                <w:rFonts w:hint="eastAsia" w:cs="Times New Roman"/>
                <w:color w:val="000000" w:themeColor="text1"/>
                <w14:textFill>
                  <w14:solidFill>
                    <w14:schemeClr w14:val="tx1"/>
                  </w14:solidFill>
                </w14:textFill>
              </w:rPr>
              <w:t>%在车间内沉降，3</w:t>
            </w:r>
            <w:r>
              <w:rPr>
                <w:rFonts w:cs="Times New Roman"/>
                <w:color w:val="000000" w:themeColor="text1"/>
                <w14:textFill>
                  <w14:solidFill>
                    <w14:schemeClr w14:val="tx1"/>
                  </w14:solidFill>
                </w14:textFill>
              </w:rPr>
              <w:t>0</w:t>
            </w:r>
            <w:r>
              <w:rPr>
                <w:rFonts w:hint="eastAsia" w:cs="Times New Roman"/>
                <w:color w:val="000000" w:themeColor="text1"/>
                <w14:textFill>
                  <w14:solidFill>
                    <w14:schemeClr w14:val="tx1"/>
                  </w14:solidFill>
                </w14:textFill>
              </w:rPr>
              <w:t>%以无组织形式排放外环境。</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本项目轮胎处理粉尘产生及排放情况见表4</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w:t>
            </w:r>
          </w:p>
          <w:p>
            <w:pPr>
              <w:pStyle w:val="72"/>
              <w:spacing w:line="240" w:lineRule="auto"/>
              <w:ind w:firstLine="0" w:firstLineChars="0"/>
              <w:jc w:val="center"/>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表4</w:t>
            </w:r>
            <w:r>
              <w:rPr>
                <w:rFonts w:cs="Times New Roman"/>
                <w:b/>
                <w:color w:val="000000" w:themeColor="text1"/>
                <w14:textFill>
                  <w14:solidFill>
                    <w14:schemeClr w14:val="tx1"/>
                  </w14:solidFill>
                </w14:textFill>
              </w:rPr>
              <w:t>.2</w:t>
            </w:r>
            <w:r>
              <w:rPr>
                <w:rFonts w:hint="eastAsia" w:cs="Times New Roman"/>
                <w:b/>
                <w:color w:val="000000" w:themeColor="text1"/>
                <w14:textFill>
                  <w14:solidFill>
                    <w14:schemeClr w14:val="tx1"/>
                  </w14:solidFill>
                </w14:textFill>
              </w:rPr>
              <w:t>-</w:t>
            </w:r>
            <w:r>
              <w:rPr>
                <w:rFonts w:cs="Times New Roman"/>
                <w:b/>
                <w:color w:val="000000" w:themeColor="text1"/>
                <w14:textFill>
                  <w14:solidFill>
                    <w14:schemeClr w14:val="tx1"/>
                  </w14:solidFill>
                </w14:textFill>
              </w:rPr>
              <w:t xml:space="preserve">1  </w:t>
            </w:r>
            <w:r>
              <w:rPr>
                <w:rFonts w:hint="eastAsia" w:cs="Times New Roman"/>
                <w:b/>
                <w:color w:val="000000" w:themeColor="text1"/>
                <w14:textFill>
                  <w14:solidFill>
                    <w14:schemeClr w14:val="tx1"/>
                  </w14:solidFill>
                </w14:textFill>
              </w:rPr>
              <w:t>轮胎处理粉尘产生及排放情况一览表</w:t>
            </w:r>
          </w:p>
          <w:tbl>
            <w:tblPr>
              <w:tblStyle w:val="36"/>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
              <w:gridCol w:w="709"/>
              <w:gridCol w:w="567"/>
              <w:gridCol w:w="709"/>
              <w:gridCol w:w="708"/>
              <w:gridCol w:w="709"/>
              <w:gridCol w:w="709"/>
              <w:gridCol w:w="709"/>
              <w:gridCol w:w="567"/>
              <w:gridCol w:w="708"/>
              <w:gridCol w:w="709"/>
              <w:gridCol w:w="709"/>
              <w:gridCol w:w="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1" w:type="dxa"/>
                  <w:gridSpan w:val="2"/>
                  <w:vMerge w:val="restart"/>
                  <w:shd w:val="clear" w:color="auto" w:fill="auto"/>
                  <w:noWrap/>
                  <w:vAlign w:val="center"/>
                </w:tcPr>
                <w:p>
                  <w:pPr>
                    <w:spacing w:line="240" w:lineRule="auto"/>
                    <w:jc w:val="center"/>
                    <w:rPr>
                      <w:b/>
                      <w:color w:val="000000" w:themeColor="text1"/>
                      <w:spacing w:val="-10"/>
                      <w:kern w:val="0"/>
                      <w:sz w:val="18"/>
                      <w:szCs w:val="18"/>
                      <w14:textFill>
                        <w14:solidFill>
                          <w14:schemeClr w14:val="tx1"/>
                        </w14:solidFill>
                      </w14:textFill>
                    </w:rPr>
                  </w:pPr>
                  <w:r>
                    <w:rPr>
                      <w:b/>
                      <w:color w:val="000000" w:themeColor="text1"/>
                      <w:spacing w:val="-10"/>
                      <w:kern w:val="0"/>
                      <w:sz w:val="18"/>
                      <w:szCs w:val="18"/>
                      <w14:textFill>
                        <w14:solidFill>
                          <w14:schemeClr w14:val="tx1"/>
                        </w14:solidFill>
                      </w14:textFill>
                    </w:rPr>
                    <w:t>工期</w:t>
                  </w:r>
                </w:p>
              </w:tc>
              <w:tc>
                <w:tcPr>
                  <w:tcW w:w="3402" w:type="dxa"/>
                  <w:gridSpan w:val="5"/>
                  <w:shd w:val="clear" w:color="auto" w:fill="auto"/>
                  <w:noWrap/>
                  <w:vAlign w:val="center"/>
                </w:tcPr>
                <w:p>
                  <w:pPr>
                    <w:spacing w:line="240" w:lineRule="auto"/>
                    <w:jc w:val="center"/>
                    <w:rPr>
                      <w:b/>
                      <w:color w:val="000000" w:themeColor="text1"/>
                      <w:spacing w:val="-10"/>
                      <w:kern w:val="0"/>
                      <w:sz w:val="18"/>
                      <w:szCs w:val="18"/>
                      <w14:textFill>
                        <w14:solidFill>
                          <w14:schemeClr w14:val="tx1"/>
                        </w14:solidFill>
                      </w14:textFill>
                    </w:rPr>
                  </w:pPr>
                  <w:r>
                    <w:rPr>
                      <w:b/>
                      <w:color w:val="000000" w:themeColor="text1"/>
                      <w:spacing w:val="-10"/>
                      <w:kern w:val="0"/>
                      <w:sz w:val="18"/>
                      <w:szCs w:val="18"/>
                      <w14:textFill>
                        <w14:solidFill>
                          <w14:schemeClr w14:val="tx1"/>
                        </w14:solidFill>
                      </w14:textFill>
                    </w:rPr>
                    <w:t>产生情况</w:t>
                  </w:r>
                </w:p>
              </w:tc>
              <w:tc>
                <w:tcPr>
                  <w:tcW w:w="709" w:type="dxa"/>
                  <w:vMerge w:val="restart"/>
                  <w:shd w:val="clear" w:color="auto" w:fill="auto"/>
                  <w:vAlign w:val="center"/>
                </w:tcPr>
                <w:p>
                  <w:pPr>
                    <w:spacing w:line="240" w:lineRule="auto"/>
                    <w:jc w:val="center"/>
                    <w:rPr>
                      <w:b/>
                      <w:color w:val="000000" w:themeColor="text1"/>
                      <w:spacing w:val="-10"/>
                      <w:kern w:val="0"/>
                      <w:sz w:val="18"/>
                      <w:szCs w:val="18"/>
                      <w14:textFill>
                        <w14:solidFill>
                          <w14:schemeClr w14:val="tx1"/>
                        </w14:solidFill>
                      </w14:textFill>
                    </w:rPr>
                  </w:pPr>
                  <w:r>
                    <w:rPr>
                      <w:b/>
                      <w:color w:val="000000" w:themeColor="text1"/>
                      <w:spacing w:val="-10"/>
                      <w:kern w:val="0"/>
                      <w:sz w:val="18"/>
                      <w:szCs w:val="18"/>
                      <w14:textFill>
                        <w14:solidFill>
                          <w14:schemeClr w14:val="tx1"/>
                        </w14:solidFill>
                      </w14:textFill>
                    </w:rPr>
                    <w:t>治理措施</w:t>
                  </w:r>
                </w:p>
              </w:tc>
              <w:tc>
                <w:tcPr>
                  <w:tcW w:w="1984" w:type="dxa"/>
                  <w:gridSpan w:val="3"/>
                  <w:shd w:val="clear" w:color="auto" w:fill="auto"/>
                  <w:vAlign w:val="center"/>
                </w:tcPr>
                <w:p>
                  <w:pPr>
                    <w:spacing w:line="240" w:lineRule="auto"/>
                    <w:jc w:val="center"/>
                    <w:rPr>
                      <w:b/>
                      <w:color w:val="000000" w:themeColor="text1"/>
                      <w:spacing w:val="-10"/>
                      <w:kern w:val="0"/>
                      <w:sz w:val="18"/>
                      <w:szCs w:val="18"/>
                      <w14:textFill>
                        <w14:solidFill>
                          <w14:schemeClr w14:val="tx1"/>
                        </w14:solidFill>
                      </w14:textFill>
                    </w:rPr>
                  </w:pPr>
                  <w:r>
                    <w:rPr>
                      <w:b/>
                      <w:color w:val="000000" w:themeColor="text1"/>
                      <w:spacing w:val="-10"/>
                      <w:kern w:val="0"/>
                      <w:sz w:val="18"/>
                      <w:szCs w:val="18"/>
                      <w14:textFill>
                        <w14:solidFill>
                          <w14:schemeClr w14:val="tx1"/>
                        </w14:solidFill>
                      </w14:textFill>
                    </w:rPr>
                    <w:t>排放情况</w:t>
                  </w:r>
                </w:p>
              </w:tc>
              <w:tc>
                <w:tcPr>
                  <w:tcW w:w="1344" w:type="dxa"/>
                  <w:gridSpan w:val="2"/>
                  <w:shd w:val="clear" w:color="auto" w:fill="auto"/>
                  <w:noWrap/>
                  <w:vAlign w:val="center"/>
                </w:tcPr>
                <w:p>
                  <w:pPr>
                    <w:spacing w:line="240" w:lineRule="auto"/>
                    <w:jc w:val="center"/>
                    <w:rPr>
                      <w:b/>
                      <w:color w:val="000000" w:themeColor="text1"/>
                      <w:spacing w:val="-10"/>
                      <w:kern w:val="0"/>
                      <w:sz w:val="18"/>
                      <w:szCs w:val="18"/>
                      <w14:textFill>
                        <w14:solidFill>
                          <w14:schemeClr w14:val="tx1"/>
                        </w14:solidFill>
                      </w14:textFill>
                    </w:rPr>
                  </w:pPr>
                  <w:r>
                    <w:rPr>
                      <w:b/>
                      <w:color w:val="000000" w:themeColor="text1"/>
                      <w:spacing w:val="-10"/>
                      <w:kern w:val="0"/>
                      <w:sz w:val="18"/>
                      <w:szCs w:val="18"/>
                      <w14:textFill>
                        <w14:solidFill>
                          <w14:schemeClr w14:val="tx1"/>
                        </w14:solidFill>
                      </w14:textFill>
                    </w:rPr>
                    <w:t>无组织排放情况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1" w:type="dxa"/>
                  <w:gridSpan w:val="2"/>
                  <w:vMerge w:val="continue"/>
                  <w:vAlign w:val="center"/>
                </w:tcPr>
                <w:p>
                  <w:pPr>
                    <w:spacing w:line="240" w:lineRule="auto"/>
                    <w:jc w:val="center"/>
                    <w:rPr>
                      <w:b/>
                      <w:color w:val="000000" w:themeColor="text1"/>
                      <w:spacing w:val="-10"/>
                      <w:kern w:val="0"/>
                      <w:sz w:val="18"/>
                      <w:szCs w:val="18"/>
                      <w14:textFill>
                        <w14:solidFill>
                          <w14:schemeClr w14:val="tx1"/>
                        </w14:solidFill>
                      </w14:textFill>
                    </w:rPr>
                  </w:pPr>
                </w:p>
              </w:tc>
              <w:tc>
                <w:tcPr>
                  <w:tcW w:w="567" w:type="dxa"/>
                  <w:shd w:val="clear" w:color="auto" w:fill="auto"/>
                  <w:noWrap/>
                  <w:vAlign w:val="center"/>
                </w:tcPr>
                <w:p>
                  <w:pPr>
                    <w:spacing w:line="240" w:lineRule="auto"/>
                    <w:jc w:val="center"/>
                    <w:rPr>
                      <w:b/>
                      <w:color w:val="000000" w:themeColor="text1"/>
                      <w:spacing w:val="-16"/>
                      <w:kern w:val="0"/>
                      <w:sz w:val="18"/>
                      <w:szCs w:val="18"/>
                      <w14:textFill>
                        <w14:solidFill>
                          <w14:schemeClr w14:val="tx1"/>
                        </w14:solidFill>
                      </w14:textFill>
                    </w:rPr>
                  </w:pPr>
                  <w:r>
                    <w:rPr>
                      <w:b/>
                      <w:color w:val="000000" w:themeColor="text1"/>
                      <w:spacing w:val="-16"/>
                      <w:kern w:val="0"/>
                      <w:sz w:val="18"/>
                      <w:szCs w:val="18"/>
                      <w14:textFill>
                        <w14:solidFill>
                          <w14:schemeClr w14:val="tx1"/>
                        </w14:solidFill>
                      </w14:textFill>
                    </w:rPr>
                    <w:t>污染物</w:t>
                  </w:r>
                </w:p>
              </w:tc>
              <w:tc>
                <w:tcPr>
                  <w:tcW w:w="709" w:type="dxa"/>
                  <w:shd w:val="clear" w:color="auto" w:fill="auto"/>
                  <w:noWrap/>
                  <w:vAlign w:val="center"/>
                </w:tcPr>
                <w:p>
                  <w:pPr>
                    <w:spacing w:line="240" w:lineRule="auto"/>
                    <w:jc w:val="center"/>
                    <w:rPr>
                      <w:b/>
                      <w:color w:val="000000" w:themeColor="text1"/>
                      <w:spacing w:val="-16"/>
                      <w:kern w:val="0"/>
                      <w:sz w:val="18"/>
                      <w:szCs w:val="18"/>
                      <w14:textFill>
                        <w14:solidFill>
                          <w14:schemeClr w14:val="tx1"/>
                        </w14:solidFill>
                      </w14:textFill>
                    </w:rPr>
                  </w:pPr>
                  <w:r>
                    <w:rPr>
                      <w:rFonts w:hint="eastAsia"/>
                      <w:b/>
                      <w:color w:val="000000" w:themeColor="text1"/>
                      <w:spacing w:val="-16"/>
                      <w:kern w:val="0"/>
                      <w:sz w:val="18"/>
                      <w:szCs w:val="18"/>
                      <w14:textFill>
                        <w14:solidFill>
                          <w14:schemeClr w14:val="tx1"/>
                        </w14:solidFill>
                      </w14:textFill>
                    </w:rPr>
                    <w:t>废气</w:t>
                  </w:r>
                  <w:r>
                    <w:rPr>
                      <w:b/>
                      <w:color w:val="000000" w:themeColor="text1"/>
                      <w:spacing w:val="-16"/>
                      <w:kern w:val="0"/>
                      <w:sz w:val="18"/>
                      <w:szCs w:val="18"/>
                      <w14:textFill>
                        <w14:solidFill>
                          <w14:schemeClr w14:val="tx1"/>
                        </w14:solidFill>
                      </w14:textFill>
                    </w:rPr>
                    <w:t>量</w:t>
                  </w:r>
                  <w:r>
                    <w:rPr>
                      <w:rFonts w:hint="eastAsia"/>
                      <w:b/>
                      <w:color w:val="000000" w:themeColor="text1"/>
                      <w:spacing w:val="-16"/>
                      <w:kern w:val="0"/>
                      <w:sz w:val="18"/>
                      <w:szCs w:val="18"/>
                      <w14:textFill>
                        <w14:solidFill>
                          <w14:schemeClr w14:val="tx1"/>
                        </w14:solidFill>
                      </w14:textFill>
                    </w:rPr>
                    <w:t>(m</w:t>
                  </w:r>
                  <w:r>
                    <w:rPr>
                      <w:b/>
                      <w:color w:val="000000" w:themeColor="text1"/>
                      <w:spacing w:val="-16"/>
                      <w:kern w:val="0"/>
                      <w:sz w:val="18"/>
                      <w:szCs w:val="18"/>
                      <w:vertAlign w:val="superscript"/>
                      <w14:textFill>
                        <w14:solidFill>
                          <w14:schemeClr w14:val="tx1"/>
                        </w14:solidFill>
                      </w14:textFill>
                    </w:rPr>
                    <w:t>3</w:t>
                  </w:r>
                  <w:r>
                    <w:rPr>
                      <w:b/>
                      <w:color w:val="000000" w:themeColor="text1"/>
                      <w:spacing w:val="-16"/>
                      <w:kern w:val="0"/>
                      <w:sz w:val="18"/>
                      <w:szCs w:val="18"/>
                      <w14:textFill>
                        <w14:solidFill>
                          <w14:schemeClr w14:val="tx1"/>
                        </w14:solidFill>
                      </w14:textFill>
                    </w:rPr>
                    <w:t>/</w:t>
                  </w:r>
                  <w:r>
                    <w:rPr>
                      <w:rFonts w:hint="eastAsia"/>
                      <w:b/>
                      <w:color w:val="000000" w:themeColor="text1"/>
                      <w:spacing w:val="-16"/>
                      <w:kern w:val="0"/>
                      <w:sz w:val="18"/>
                      <w:szCs w:val="18"/>
                      <w14:textFill>
                        <w14:solidFill>
                          <w14:schemeClr w14:val="tx1"/>
                        </w14:solidFill>
                      </w14:textFill>
                    </w:rPr>
                    <w:t>h)</w:t>
                  </w:r>
                </w:p>
              </w:tc>
              <w:tc>
                <w:tcPr>
                  <w:tcW w:w="708" w:type="dxa"/>
                  <w:shd w:val="clear" w:color="auto" w:fill="auto"/>
                  <w:noWrap/>
                  <w:vAlign w:val="center"/>
                </w:tcPr>
                <w:p>
                  <w:pPr>
                    <w:spacing w:line="240" w:lineRule="auto"/>
                    <w:jc w:val="center"/>
                    <w:rPr>
                      <w:b/>
                      <w:color w:val="000000" w:themeColor="text1"/>
                      <w:spacing w:val="-16"/>
                      <w:kern w:val="0"/>
                      <w:sz w:val="18"/>
                      <w:szCs w:val="18"/>
                      <w14:textFill>
                        <w14:solidFill>
                          <w14:schemeClr w14:val="tx1"/>
                        </w14:solidFill>
                      </w14:textFill>
                    </w:rPr>
                  </w:pPr>
                  <w:r>
                    <w:rPr>
                      <w:b/>
                      <w:color w:val="000000" w:themeColor="text1"/>
                      <w:spacing w:val="-16"/>
                      <w:kern w:val="0"/>
                      <w:sz w:val="18"/>
                      <w:szCs w:val="18"/>
                      <w14:textFill>
                        <w14:solidFill>
                          <w14:schemeClr w14:val="tx1"/>
                        </w14:solidFill>
                      </w14:textFill>
                    </w:rPr>
                    <w:t>浓度</w:t>
                  </w:r>
                  <w:r>
                    <w:rPr>
                      <w:rFonts w:hint="eastAsia"/>
                      <w:b/>
                      <w:color w:val="000000" w:themeColor="text1"/>
                      <w:spacing w:val="-20"/>
                      <w:kern w:val="0"/>
                      <w:sz w:val="18"/>
                      <w:szCs w:val="18"/>
                      <w14:textFill>
                        <w14:solidFill>
                          <w14:schemeClr w14:val="tx1"/>
                        </w14:solidFill>
                      </w14:textFill>
                    </w:rPr>
                    <w:t>(mg</w:t>
                  </w:r>
                  <w:r>
                    <w:rPr>
                      <w:b/>
                      <w:color w:val="000000" w:themeColor="text1"/>
                      <w:spacing w:val="-20"/>
                      <w:kern w:val="0"/>
                      <w:sz w:val="18"/>
                      <w:szCs w:val="18"/>
                      <w14:textFill>
                        <w14:solidFill>
                          <w14:schemeClr w14:val="tx1"/>
                        </w14:solidFill>
                      </w14:textFill>
                    </w:rPr>
                    <w:t>/</w:t>
                  </w:r>
                  <w:r>
                    <w:rPr>
                      <w:rFonts w:hint="eastAsia"/>
                      <w:b/>
                      <w:color w:val="000000" w:themeColor="text1"/>
                      <w:spacing w:val="-20"/>
                      <w:kern w:val="0"/>
                      <w:sz w:val="18"/>
                      <w:szCs w:val="18"/>
                      <w14:textFill>
                        <w14:solidFill>
                          <w14:schemeClr w14:val="tx1"/>
                        </w14:solidFill>
                      </w14:textFill>
                    </w:rPr>
                    <w:t>m</w:t>
                  </w:r>
                  <w:r>
                    <w:rPr>
                      <w:b/>
                      <w:color w:val="000000" w:themeColor="text1"/>
                      <w:spacing w:val="-20"/>
                      <w:kern w:val="0"/>
                      <w:sz w:val="18"/>
                      <w:szCs w:val="18"/>
                      <w:vertAlign w:val="superscript"/>
                      <w14:textFill>
                        <w14:solidFill>
                          <w14:schemeClr w14:val="tx1"/>
                        </w14:solidFill>
                      </w14:textFill>
                    </w:rPr>
                    <w:t>3</w:t>
                  </w:r>
                  <w:r>
                    <w:rPr>
                      <w:b/>
                      <w:color w:val="000000" w:themeColor="text1"/>
                      <w:spacing w:val="-20"/>
                      <w:kern w:val="0"/>
                      <w:sz w:val="18"/>
                      <w:szCs w:val="18"/>
                      <w14:textFill>
                        <w14:solidFill>
                          <w14:schemeClr w14:val="tx1"/>
                        </w14:solidFill>
                      </w14:textFill>
                    </w:rPr>
                    <w:t>)</w:t>
                  </w:r>
                </w:p>
              </w:tc>
              <w:tc>
                <w:tcPr>
                  <w:tcW w:w="709" w:type="dxa"/>
                  <w:shd w:val="clear" w:color="auto" w:fill="auto"/>
                  <w:noWrap/>
                  <w:vAlign w:val="center"/>
                </w:tcPr>
                <w:p>
                  <w:pPr>
                    <w:spacing w:line="240" w:lineRule="auto"/>
                    <w:jc w:val="center"/>
                    <w:rPr>
                      <w:b/>
                      <w:color w:val="000000" w:themeColor="text1"/>
                      <w:spacing w:val="-16"/>
                      <w:kern w:val="0"/>
                      <w:sz w:val="18"/>
                      <w:szCs w:val="18"/>
                      <w14:textFill>
                        <w14:solidFill>
                          <w14:schemeClr w14:val="tx1"/>
                        </w14:solidFill>
                      </w14:textFill>
                    </w:rPr>
                  </w:pPr>
                  <w:r>
                    <w:rPr>
                      <w:b/>
                      <w:color w:val="000000" w:themeColor="text1"/>
                      <w:spacing w:val="-16"/>
                      <w:kern w:val="0"/>
                      <w:sz w:val="18"/>
                      <w:szCs w:val="18"/>
                      <w14:textFill>
                        <w14:solidFill>
                          <w14:schemeClr w14:val="tx1"/>
                        </w14:solidFill>
                      </w14:textFill>
                    </w:rPr>
                    <w:t>速率</w:t>
                  </w:r>
                  <w:r>
                    <w:rPr>
                      <w:rFonts w:hint="eastAsia"/>
                      <w:b/>
                      <w:color w:val="000000" w:themeColor="text1"/>
                      <w:spacing w:val="-16"/>
                      <w:kern w:val="0"/>
                      <w:sz w:val="18"/>
                      <w:szCs w:val="18"/>
                      <w14:textFill>
                        <w14:solidFill>
                          <w14:schemeClr w14:val="tx1"/>
                        </w14:solidFill>
                      </w14:textFill>
                    </w:rPr>
                    <w:t>(kg</w:t>
                  </w:r>
                  <w:r>
                    <w:rPr>
                      <w:b/>
                      <w:color w:val="000000" w:themeColor="text1"/>
                      <w:spacing w:val="-16"/>
                      <w:kern w:val="0"/>
                      <w:sz w:val="18"/>
                      <w:szCs w:val="18"/>
                      <w14:textFill>
                        <w14:solidFill>
                          <w14:schemeClr w14:val="tx1"/>
                        </w14:solidFill>
                      </w14:textFill>
                    </w:rPr>
                    <w:t>/</w:t>
                  </w:r>
                  <w:r>
                    <w:rPr>
                      <w:rFonts w:hint="eastAsia"/>
                      <w:b/>
                      <w:color w:val="000000" w:themeColor="text1"/>
                      <w:spacing w:val="-16"/>
                      <w:kern w:val="0"/>
                      <w:sz w:val="18"/>
                      <w:szCs w:val="18"/>
                      <w14:textFill>
                        <w14:solidFill>
                          <w14:schemeClr w14:val="tx1"/>
                        </w14:solidFill>
                      </w14:textFill>
                    </w:rPr>
                    <w:t>h)</w:t>
                  </w:r>
                </w:p>
              </w:tc>
              <w:tc>
                <w:tcPr>
                  <w:tcW w:w="709" w:type="dxa"/>
                  <w:shd w:val="clear" w:color="auto" w:fill="auto"/>
                  <w:noWrap/>
                  <w:vAlign w:val="center"/>
                </w:tcPr>
                <w:p>
                  <w:pPr>
                    <w:spacing w:line="240" w:lineRule="auto"/>
                    <w:jc w:val="center"/>
                    <w:rPr>
                      <w:b/>
                      <w:color w:val="000000" w:themeColor="text1"/>
                      <w:spacing w:val="-16"/>
                      <w:kern w:val="0"/>
                      <w:sz w:val="18"/>
                      <w:szCs w:val="18"/>
                      <w14:textFill>
                        <w14:solidFill>
                          <w14:schemeClr w14:val="tx1"/>
                        </w14:solidFill>
                      </w14:textFill>
                    </w:rPr>
                  </w:pPr>
                  <w:r>
                    <w:rPr>
                      <w:b/>
                      <w:color w:val="000000" w:themeColor="text1"/>
                      <w:spacing w:val="-16"/>
                      <w:kern w:val="0"/>
                      <w:sz w:val="18"/>
                      <w:szCs w:val="18"/>
                      <w14:textFill>
                        <w14:solidFill>
                          <w14:schemeClr w14:val="tx1"/>
                        </w14:solidFill>
                      </w14:textFill>
                    </w:rPr>
                    <w:t>产生量</w:t>
                  </w:r>
                  <w:r>
                    <w:rPr>
                      <w:rFonts w:hint="eastAsia"/>
                      <w:b/>
                      <w:color w:val="000000" w:themeColor="text1"/>
                      <w:spacing w:val="-16"/>
                      <w:kern w:val="0"/>
                      <w:sz w:val="18"/>
                      <w:szCs w:val="18"/>
                      <w14:textFill>
                        <w14:solidFill>
                          <w14:schemeClr w14:val="tx1"/>
                        </w14:solidFill>
                      </w14:textFill>
                    </w:rPr>
                    <w:t>（t</w:t>
                  </w:r>
                  <w:r>
                    <w:rPr>
                      <w:b/>
                      <w:color w:val="000000" w:themeColor="text1"/>
                      <w:spacing w:val="-16"/>
                      <w:kern w:val="0"/>
                      <w:sz w:val="18"/>
                      <w:szCs w:val="18"/>
                      <w14:textFill>
                        <w14:solidFill>
                          <w14:schemeClr w14:val="tx1"/>
                        </w14:solidFill>
                      </w14:textFill>
                    </w:rPr>
                    <w:t>/</w:t>
                  </w:r>
                  <w:r>
                    <w:rPr>
                      <w:rFonts w:hint="eastAsia"/>
                      <w:b/>
                      <w:color w:val="000000" w:themeColor="text1"/>
                      <w:spacing w:val="-16"/>
                      <w:kern w:val="0"/>
                      <w:sz w:val="18"/>
                      <w:szCs w:val="18"/>
                      <w14:textFill>
                        <w14:solidFill>
                          <w14:schemeClr w14:val="tx1"/>
                        </w14:solidFill>
                      </w14:textFill>
                    </w:rPr>
                    <w:t>a）</w:t>
                  </w:r>
                </w:p>
              </w:tc>
              <w:tc>
                <w:tcPr>
                  <w:tcW w:w="709" w:type="dxa"/>
                  <w:vMerge w:val="continue"/>
                  <w:vAlign w:val="center"/>
                </w:tcPr>
                <w:p>
                  <w:pPr>
                    <w:spacing w:line="240" w:lineRule="auto"/>
                    <w:jc w:val="center"/>
                    <w:rPr>
                      <w:b/>
                      <w:color w:val="000000" w:themeColor="text1"/>
                      <w:spacing w:val="-16"/>
                      <w:kern w:val="0"/>
                      <w:sz w:val="18"/>
                      <w:szCs w:val="18"/>
                      <w14:textFill>
                        <w14:solidFill>
                          <w14:schemeClr w14:val="tx1"/>
                        </w14:solidFill>
                      </w14:textFill>
                    </w:rPr>
                  </w:pPr>
                </w:p>
              </w:tc>
              <w:tc>
                <w:tcPr>
                  <w:tcW w:w="567" w:type="dxa"/>
                  <w:shd w:val="clear" w:color="auto" w:fill="auto"/>
                  <w:noWrap/>
                  <w:vAlign w:val="center"/>
                </w:tcPr>
                <w:p>
                  <w:pPr>
                    <w:spacing w:line="240" w:lineRule="auto"/>
                    <w:jc w:val="center"/>
                    <w:rPr>
                      <w:b/>
                      <w:color w:val="000000" w:themeColor="text1"/>
                      <w:spacing w:val="-16"/>
                      <w:kern w:val="0"/>
                      <w:sz w:val="18"/>
                      <w:szCs w:val="18"/>
                      <w14:textFill>
                        <w14:solidFill>
                          <w14:schemeClr w14:val="tx1"/>
                        </w14:solidFill>
                      </w14:textFill>
                    </w:rPr>
                  </w:pPr>
                  <w:r>
                    <w:rPr>
                      <w:b/>
                      <w:color w:val="000000" w:themeColor="text1"/>
                      <w:spacing w:val="-16"/>
                      <w:kern w:val="0"/>
                      <w:sz w:val="18"/>
                      <w:szCs w:val="18"/>
                      <w14:textFill>
                        <w14:solidFill>
                          <w14:schemeClr w14:val="tx1"/>
                        </w14:solidFill>
                      </w14:textFill>
                    </w:rPr>
                    <w:t>浓度(</w:t>
                  </w:r>
                  <w:r>
                    <w:rPr>
                      <w:rFonts w:hint="eastAsia"/>
                      <w:b/>
                      <w:color w:val="000000" w:themeColor="text1"/>
                      <w:spacing w:val="-16"/>
                      <w:kern w:val="0"/>
                      <w:sz w:val="18"/>
                      <w:szCs w:val="18"/>
                      <w14:textFill>
                        <w14:solidFill>
                          <w14:schemeClr w14:val="tx1"/>
                        </w14:solidFill>
                      </w14:textFill>
                    </w:rPr>
                    <w:t>mg</w:t>
                  </w:r>
                  <w:r>
                    <w:rPr>
                      <w:b/>
                      <w:color w:val="000000" w:themeColor="text1"/>
                      <w:spacing w:val="-16"/>
                      <w:kern w:val="0"/>
                      <w:sz w:val="18"/>
                      <w:szCs w:val="18"/>
                      <w14:textFill>
                        <w14:solidFill>
                          <w14:schemeClr w14:val="tx1"/>
                        </w14:solidFill>
                      </w14:textFill>
                    </w:rPr>
                    <w:t>/</w:t>
                  </w:r>
                  <w:r>
                    <w:rPr>
                      <w:rFonts w:hint="eastAsia"/>
                      <w:b/>
                      <w:color w:val="000000" w:themeColor="text1"/>
                      <w:spacing w:val="-16"/>
                      <w:kern w:val="0"/>
                      <w:sz w:val="18"/>
                      <w:szCs w:val="18"/>
                      <w14:textFill>
                        <w14:solidFill>
                          <w14:schemeClr w14:val="tx1"/>
                        </w14:solidFill>
                      </w14:textFill>
                    </w:rPr>
                    <w:t>m</w:t>
                  </w:r>
                  <w:r>
                    <w:rPr>
                      <w:b/>
                      <w:color w:val="000000" w:themeColor="text1"/>
                      <w:spacing w:val="-16"/>
                      <w:kern w:val="0"/>
                      <w:sz w:val="18"/>
                      <w:szCs w:val="18"/>
                      <w:vertAlign w:val="superscript"/>
                      <w14:textFill>
                        <w14:solidFill>
                          <w14:schemeClr w14:val="tx1"/>
                        </w14:solidFill>
                      </w14:textFill>
                    </w:rPr>
                    <w:t>3</w:t>
                  </w:r>
                  <w:r>
                    <w:rPr>
                      <w:b/>
                      <w:color w:val="000000" w:themeColor="text1"/>
                      <w:spacing w:val="-16"/>
                      <w:kern w:val="0"/>
                      <w:sz w:val="18"/>
                      <w:szCs w:val="18"/>
                      <w14:textFill>
                        <w14:solidFill>
                          <w14:schemeClr w14:val="tx1"/>
                        </w14:solidFill>
                      </w14:textFill>
                    </w:rPr>
                    <w:t>)</w:t>
                  </w:r>
                </w:p>
              </w:tc>
              <w:tc>
                <w:tcPr>
                  <w:tcW w:w="708" w:type="dxa"/>
                  <w:shd w:val="clear" w:color="auto" w:fill="auto"/>
                  <w:noWrap/>
                  <w:vAlign w:val="center"/>
                </w:tcPr>
                <w:p>
                  <w:pPr>
                    <w:spacing w:line="240" w:lineRule="auto"/>
                    <w:jc w:val="center"/>
                    <w:rPr>
                      <w:b/>
                      <w:color w:val="000000" w:themeColor="text1"/>
                      <w:spacing w:val="-16"/>
                      <w:kern w:val="0"/>
                      <w:sz w:val="18"/>
                      <w:szCs w:val="18"/>
                      <w14:textFill>
                        <w14:solidFill>
                          <w14:schemeClr w14:val="tx1"/>
                        </w14:solidFill>
                      </w14:textFill>
                    </w:rPr>
                  </w:pPr>
                  <w:r>
                    <w:rPr>
                      <w:b/>
                      <w:color w:val="000000" w:themeColor="text1"/>
                      <w:spacing w:val="-16"/>
                      <w:kern w:val="0"/>
                      <w:sz w:val="18"/>
                      <w:szCs w:val="18"/>
                      <w14:textFill>
                        <w14:solidFill>
                          <w14:schemeClr w14:val="tx1"/>
                        </w14:solidFill>
                      </w14:textFill>
                    </w:rPr>
                    <w:t>速率</w:t>
                  </w:r>
                  <w:r>
                    <w:rPr>
                      <w:rFonts w:hint="eastAsia"/>
                      <w:b/>
                      <w:color w:val="000000" w:themeColor="text1"/>
                      <w:spacing w:val="-16"/>
                      <w:kern w:val="0"/>
                      <w:sz w:val="18"/>
                      <w:szCs w:val="18"/>
                      <w14:textFill>
                        <w14:solidFill>
                          <w14:schemeClr w14:val="tx1"/>
                        </w14:solidFill>
                      </w14:textFill>
                    </w:rPr>
                    <w:t>(kg</w:t>
                  </w:r>
                  <w:r>
                    <w:rPr>
                      <w:b/>
                      <w:color w:val="000000" w:themeColor="text1"/>
                      <w:spacing w:val="-16"/>
                      <w:kern w:val="0"/>
                      <w:sz w:val="18"/>
                      <w:szCs w:val="18"/>
                      <w14:textFill>
                        <w14:solidFill>
                          <w14:schemeClr w14:val="tx1"/>
                        </w14:solidFill>
                      </w14:textFill>
                    </w:rPr>
                    <w:t>/</w:t>
                  </w:r>
                  <w:r>
                    <w:rPr>
                      <w:rFonts w:hint="eastAsia"/>
                      <w:b/>
                      <w:color w:val="000000" w:themeColor="text1"/>
                      <w:spacing w:val="-16"/>
                      <w:kern w:val="0"/>
                      <w:sz w:val="18"/>
                      <w:szCs w:val="18"/>
                      <w14:textFill>
                        <w14:solidFill>
                          <w14:schemeClr w14:val="tx1"/>
                        </w14:solidFill>
                      </w14:textFill>
                    </w:rPr>
                    <w:t>h)</w:t>
                  </w:r>
                </w:p>
              </w:tc>
              <w:tc>
                <w:tcPr>
                  <w:tcW w:w="709" w:type="dxa"/>
                  <w:shd w:val="clear" w:color="auto" w:fill="auto"/>
                  <w:noWrap/>
                  <w:vAlign w:val="center"/>
                </w:tcPr>
                <w:p>
                  <w:pPr>
                    <w:spacing w:line="240" w:lineRule="auto"/>
                    <w:jc w:val="center"/>
                    <w:rPr>
                      <w:b/>
                      <w:color w:val="000000" w:themeColor="text1"/>
                      <w:spacing w:val="-16"/>
                      <w:kern w:val="0"/>
                      <w:sz w:val="18"/>
                      <w:szCs w:val="18"/>
                      <w14:textFill>
                        <w14:solidFill>
                          <w14:schemeClr w14:val="tx1"/>
                        </w14:solidFill>
                      </w14:textFill>
                    </w:rPr>
                  </w:pPr>
                  <w:r>
                    <w:rPr>
                      <w:b/>
                      <w:color w:val="000000" w:themeColor="text1"/>
                      <w:spacing w:val="-16"/>
                      <w:kern w:val="0"/>
                      <w:sz w:val="18"/>
                      <w:szCs w:val="18"/>
                      <w14:textFill>
                        <w14:solidFill>
                          <w14:schemeClr w14:val="tx1"/>
                        </w14:solidFill>
                      </w14:textFill>
                    </w:rPr>
                    <w:t>产生量(</w:t>
                  </w:r>
                  <w:r>
                    <w:rPr>
                      <w:rFonts w:hint="eastAsia"/>
                      <w:b/>
                      <w:color w:val="000000" w:themeColor="text1"/>
                      <w:spacing w:val="-16"/>
                      <w:kern w:val="0"/>
                      <w:sz w:val="18"/>
                      <w:szCs w:val="18"/>
                      <w14:textFill>
                        <w14:solidFill>
                          <w14:schemeClr w14:val="tx1"/>
                        </w14:solidFill>
                      </w14:textFill>
                    </w:rPr>
                    <w:t>t</w:t>
                  </w:r>
                  <w:r>
                    <w:rPr>
                      <w:b/>
                      <w:color w:val="000000" w:themeColor="text1"/>
                      <w:spacing w:val="-16"/>
                      <w:kern w:val="0"/>
                      <w:sz w:val="18"/>
                      <w:szCs w:val="18"/>
                      <w14:textFill>
                        <w14:solidFill>
                          <w14:schemeClr w14:val="tx1"/>
                        </w14:solidFill>
                      </w14:textFill>
                    </w:rPr>
                    <w:t>/</w:t>
                  </w:r>
                  <w:r>
                    <w:rPr>
                      <w:rFonts w:hint="eastAsia"/>
                      <w:b/>
                      <w:color w:val="000000" w:themeColor="text1"/>
                      <w:spacing w:val="-16"/>
                      <w:kern w:val="0"/>
                      <w:sz w:val="18"/>
                      <w:szCs w:val="18"/>
                      <w14:textFill>
                        <w14:solidFill>
                          <w14:schemeClr w14:val="tx1"/>
                        </w14:solidFill>
                      </w14:textFill>
                    </w:rPr>
                    <w:t>a)</w:t>
                  </w:r>
                </w:p>
              </w:tc>
              <w:tc>
                <w:tcPr>
                  <w:tcW w:w="709" w:type="dxa"/>
                  <w:shd w:val="clear" w:color="auto" w:fill="auto"/>
                  <w:noWrap/>
                  <w:vAlign w:val="center"/>
                </w:tcPr>
                <w:p>
                  <w:pPr>
                    <w:spacing w:line="240" w:lineRule="auto"/>
                    <w:jc w:val="center"/>
                    <w:rPr>
                      <w:b/>
                      <w:color w:val="000000" w:themeColor="text1"/>
                      <w:spacing w:val="-16"/>
                      <w:kern w:val="0"/>
                      <w:sz w:val="18"/>
                      <w:szCs w:val="18"/>
                      <w14:textFill>
                        <w14:solidFill>
                          <w14:schemeClr w14:val="tx1"/>
                        </w14:solidFill>
                      </w14:textFill>
                    </w:rPr>
                  </w:pPr>
                  <w:r>
                    <w:rPr>
                      <w:b/>
                      <w:color w:val="000000" w:themeColor="text1"/>
                      <w:spacing w:val="-16"/>
                      <w:kern w:val="0"/>
                      <w:sz w:val="18"/>
                      <w:szCs w:val="18"/>
                      <w14:textFill>
                        <w14:solidFill>
                          <w14:schemeClr w14:val="tx1"/>
                        </w14:solidFill>
                      </w14:textFill>
                    </w:rPr>
                    <w:t>速率</w:t>
                  </w:r>
                  <w:r>
                    <w:rPr>
                      <w:rFonts w:hint="eastAsia"/>
                      <w:b/>
                      <w:color w:val="000000" w:themeColor="text1"/>
                      <w:spacing w:val="-16"/>
                      <w:kern w:val="0"/>
                      <w:sz w:val="18"/>
                      <w:szCs w:val="18"/>
                      <w14:textFill>
                        <w14:solidFill>
                          <w14:schemeClr w14:val="tx1"/>
                        </w14:solidFill>
                      </w14:textFill>
                    </w:rPr>
                    <w:t>(kg</w:t>
                  </w:r>
                  <w:r>
                    <w:rPr>
                      <w:b/>
                      <w:color w:val="000000" w:themeColor="text1"/>
                      <w:spacing w:val="-16"/>
                      <w:kern w:val="0"/>
                      <w:sz w:val="18"/>
                      <w:szCs w:val="18"/>
                      <w14:textFill>
                        <w14:solidFill>
                          <w14:schemeClr w14:val="tx1"/>
                        </w14:solidFill>
                      </w14:textFill>
                    </w:rPr>
                    <w:t>/</w:t>
                  </w:r>
                  <w:r>
                    <w:rPr>
                      <w:rFonts w:hint="eastAsia"/>
                      <w:b/>
                      <w:color w:val="000000" w:themeColor="text1"/>
                      <w:spacing w:val="-16"/>
                      <w:kern w:val="0"/>
                      <w:sz w:val="18"/>
                      <w:szCs w:val="18"/>
                      <w14:textFill>
                        <w14:solidFill>
                          <w14:schemeClr w14:val="tx1"/>
                        </w14:solidFill>
                      </w14:textFill>
                    </w:rPr>
                    <w:t>h)</w:t>
                  </w:r>
                </w:p>
              </w:tc>
              <w:tc>
                <w:tcPr>
                  <w:tcW w:w="635" w:type="dxa"/>
                  <w:shd w:val="clear" w:color="auto" w:fill="auto"/>
                  <w:noWrap/>
                  <w:vAlign w:val="center"/>
                </w:tcPr>
                <w:p>
                  <w:pPr>
                    <w:spacing w:line="240" w:lineRule="auto"/>
                    <w:jc w:val="center"/>
                    <w:rPr>
                      <w:b/>
                      <w:color w:val="000000" w:themeColor="text1"/>
                      <w:spacing w:val="-16"/>
                      <w:kern w:val="0"/>
                      <w:sz w:val="18"/>
                      <w:szCs w:val="18"/>
                      <w14:textFill>
                        <w14:solidFill>
                          <w14:schemeClr w14:val="tx1"/>
                        </w14:solidFill>
                      </w14:textFill>
                    </w:rPr>
                  </w:pPr>
                  <w:r>
                    <w:rPr>
                      <w:b/>
                      <w:color w:val="000000" w:themeColor="text1"/>
                      <w:spacing w:val="-16"/>
                      <w:kern w:val="0"/>
                      <w:sz w:val="18"/>
                      <w:szCs w:val="18"/>
                      <w14:textFill>
                        <w14:solidFill>
                          <w14:schemeClr w14:val="tx1"/>
                        </w14:solidFill>
                      </w14:textFill>
                    </w:rPr>
                    <w:t>产生量</w:t>
                  </w:r>
                  <w:r>
                    <w:rPr>
                      <w:rFonts w:hint="eastAsia"/>
                      <w:b/>
                      <w:color w:val="000000" w:themeColor="text1"/>
                      <w:spacing w:val="-16"/>
                      <w:kern w:val="0"/>
                      <w:sz w:val="18"/>
                      <w:szCs w:val="18"/>
                      <w14:textFill>
                        <w14:solidFill>
                          <w14:schemeClr w14:val="tx1"/>
                        </w14:solidFill>
                      </w14:textFill>
                    </w:rPr>
                    <w:t>(t</w:t>
                  </w:r>
                  <w:r>
                    <w:rPr>
                      <w:b/>
                      <w:color w:val="000000" w:themeColor="text1"/>
                      <w:spacing w:val="-16"/>
                      <w:kern w:val="0"/>
                      <w:sz w:val="18"/>
                      <w:szCs w:val="18"/>
                      <w14:textFill>
                        <w14:solidFill>
                          <w14:schemeClr w14:val="tx1"/>
                        </w14:solidFill>
                      </w14:textFill>
                    </w:rPr>
                    <w:t>/</w:t>
                  </w:r>
                  <w:r>
                    <w:rPr>
                      <w:rFonts w:hint="eastAsia"/>
                      <w:b/>
                      <w:color w:val="000000" w:themeColor="text1"/>
                      <w:spacing w:val="-16"/>
                      <w:kern w:val="0"/>
                      <w:sz w:val="18"/>
                      <w:szCs w:val="18"/>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1" w:type="dxa"/>
                  <w:gridSpan w:val="2"/>
                  <w:shd w:val="clear" w:color="auto" w:fill="auto"/>
                  <w:noWrap/>
                  <w:vAlign w:val="center"/>
                </w:tcPr>
                <w:p>
                  <w:pPr>
                    <w:spacing w:line="240" w:lineRule="auto"/>
                    <w:jc w:val="center"/>
                    <w:rPr>
                      <w:color w:val="000000" w:themeColor="text1"/>
                      <w:spacing w:val="-10"/>
                      <w:kern w:val="0"/>
                      <w:sz w:val="18"/>
                      <w:szCs w:val="18"/>
                      <w14:textFill>
                        <w14:solidFill>
                          <w14:schemeClr w14:val="tx1"/>
                        </w14:solidFill>
                      </w14:textFill>
                    </w:rPr>
                  </w:pPr>
                  <w:r>
                    <w:rPr>
                      <w:color w:val="000000" w:themeColor="text1"/>
                      <w:spacing w:val="-10"/>
                      <w:kern w:val="0"/>
                      <w:sz w:val="18"/>
                      <w:szCs w:val="18"/>
                      <w14:textFill>
                        <w14:solidFill>
                          <w14:schemeClr w14:val="tx1"/>
                        </w14:solidFill>
                      </w14:textFill>
                    </w:rPr>
                    <w:t>一期</w:t>
                  </w:r>
                </w:p>
              </w:tc>
              <w:tc>
                <w:tcPr>
                  <w:tcW w:w="567" w:type="dxa"/>
                  <w:shd w:val="clear" w:color="auto" w:fill="auto"/>
                  <w:noWrap/>
                  <w:vAlign w:val="center"/>
                </w:tcPr>
                <w:p>
                  <w:pPr>
                    <w:spacing w:line="240" w:lineRule="auto"/>
                    <w:jc w:val="center"/>
                    <w:rPr>
                      <w:color w:val="000000" w:themeColor="text1"/>
                      <w:spacing w:val="-10"/>
                      <w:kern w:val="0"/>
                      <w:sz w:val="18"/>
                      <w:szCs w:val="18"/>
                      <w14:textFill>
                        <w14:solidFill>
                          <w14:schemeClr w14:val="tx1"/>
                        </w14:solidFill>
                      </w14:textFill>
                    </w:rPr>
                  </w:pPr>
                  <w:r>
                    <w:rPr>
                      <w:color w:val="000000" w:themeColor="text1"/>
                      <w:spacing w:val="-10"/>
                      <w:kern w:val="0"/>
                      <w:sz w:val="18"/>
                      <w:szCs w:val="18"/>
                      <w14:textFill>
                        <w14:solidFill>
                          <w14:schemeClr w14:val="tx1"/>
                        </w14:solidFill>
                      </w14:textFill>
                    </w:rPr>
                    <w:t>颗粒物</w:t>
                  </w:r>
                </w:p>
              </w:tc>
              <w:tc>
                <w:tcPr>
                  <w:tcW w:w="709" w:type="dxa"/>
                  <w:shd w:val="clear" w:color="auto" w:fill="auto"/>
                  <w:noWrap/>
                  <w:vAlign w:val="center"/>
                </w:tcPr>
                <w:p>
                  <w:pPr>
                    <w:spacing w:line="240" w:lineRule="auto"/>
                    <w:jc w:val="center"/>
                    <w:rPr>
                      <w:color w:val="000000" w:themeColor="text1"/>
                      <w:spacing w:val="-20"/>
                      <w:kern w:val="0"/>
                      <w:sz w:val="18"/>
                      <w:szCs w:val="18"/>
                      <w14:textFill>
                        <w14:solidFill>
                          <w14:schemeClr w14:val="tx1"/>
                        </w14:solidFill>
                      </w14:textFill>
                    </w:rPr>
                  </w:pPr>
                  <w:r>
                    <w:rPr>
                      <w:color w:val="000000" w:themeColor="text1"/>
                      <w:spacing w:val="-20"/>
                      <w:kern w:val="0"/>
                      <w:sz w:val="18"/>
                      <w:szCs w:val="18"/>
                      <w14:textFill>
                        <w14:solidFill>
                          <w14:schemeClr w14:val="tx1"/>
                        </w14:solidFill>
                      </w14:textFill>
                    </w:rPr>
                    <w:t>8000</w:t>
                  </w:r>
                </w:p>
              </w:tc>
              <w:tc>
                <w:tcPr>
                  <w:tcW w:w="708" w:type="dxa"/>
                  <w:shd w:val="clear" w:color="auto" w:fill="auto"/>
                  <w:noWrap/>
                  <w:vAlign w:val="center"/>
                </w:tcPr>
                <w:p>
                  <w:pPr>
                    <w:spacing w:line="240" w:lineRule="auto"/>
                    <w:jc w:val="center"/>
                    <w:rPr>
                      <w:rFonts w:eastAsia="等线"/>
                      <w:color w:val="000000" w:themeColor="text1"/>
                      <w:spacing w:val="-10"/>
                      <w:kern w:val="0"/>
                      <w:sz w:val="18"/>
                      <w:szCs w:val="18"/>
                      <w14:textFill>
                        <w14:solidFill>
                          <w14:schemeClr w14:val="tx1"/>
                        </w14:solidFill>
                      </w14:textFill>
                    </w:rPr>
                  </w:pPr>
                  <w:r>
                    <w:rPr>
                      <w:rFonts w:eastAsia="等线"/>
                      <w:color w:val="000000" w:themeColor="text1"/>
                      <w:spacing w:val="-10"/>
                      <w:sz w:val="18"/>
                      <w:szCs w:val="18"/>
                      <w14:textFill>
                        <w14:solidFill>
                          <w14:schemeClr w14:val="tx1"/>
                        </w14:solidFill>
                      </w14:textFill>
                    </w:rPr>
                    <w:t xml:space="preserve">101.00 </w:t>
                  </w:r>
                </w:p>
              </w:tc>
              <w:tc>
                <w:tcPr>
                  <w:tcW w:w="709"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0.808</w:t>
                  </w:r>
                </w:p>
              </w:tc>
              <w:tc>
                <w:tcPr>
                  <w:tcW w:w="709"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5.82</w:t>
                  </w:r>
                </w:p>
              </w:tc>
              <w:tc>
                <w:tcPr>
                  <w:tcW w:w="709" w:type="dxa"/>
                  <w:shd w:val="clear" w:color="auto" w:fill="auto"/>
                  <w:vAlign w:val="center"/>
                </w:tcPr>
                <w:p>
                  <w:pPr>
                    <w:spacing w:line="240" w:lineRule="auto"/>
                    <w:jc w:val="center"/>
                    <w:rPr>
                      <w:color w:val="000000" w:themeColor="text1"/>
                      <w:spacing w:val="-10"/>
                      <w:kern w:val="0"/>
                      <w:sz w:val="18"/>
                      <w:szCs w:val="18"/>
                      <w14:textFill>
                        <w14:solidFill>
                          <w14:schemeClr w14:val="tx1"/>
                        </w14:solidFill>
                      </w14:textFill>
                    </w:rPr>
                  </w:pPr>
                  <w:r>
                    <w:rPr>
                      <w:color w:val="000000" w:themeColor="text1"/>
                      <w:spacing w:val="-10"/>
                      <w:kern w:val="0"/>
                      <w:sz w:val="18"/>
                      <w:szCs w:val="18"/>
                      <w14:textFill>
                        <w14:solidFill>
                          <w14:schemeClr w14:val="tx1"/>
                        </w14:solidFill>
                      </w14:textFill>
                    </w:rPr>
                    <w:t>布袋除尘器</w:t>
                  </w:r>
                </w:p>
              </w:tc>
              <w:tc>
                <w:tcPr>
                  <w:tcW w:w="567" w:type="dxa"/>
                  <w:shd w:val="clear" w:color="auto" w:fill="auto"/>
                  <w:noWrap/>
                  <w:vAlign w:val="center"/>
                </w:tcPr>
                <w:p>
                  <w:pPr>
                    <w:spacing w:line="240" w:lineRule="auto"/>
                    <w:jc w:val="center"/>
                    <w:rPr>
                      <w:rFonts w:eastAsia="等线"/>
                      <w:color w:val="000000" w:themeColor="text1"/>
                      <w:kern w:val="0"/>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4.55 </w:t>
                  </w:r>
                </w:p>
              </w:tc>
              <w:tc>
                <w:tcPr>
                  <w:tcW w:w="708"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0.036 </w:t>
                  </w:r>
                </w:p>
              </w:tc>
              <w:tc>
                <w:tcPr>
                  <w:tcW w:w="709"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0.262 </w:t>
                  </w:r>
                </w:p>
              </w:tc>
              <w:tc>
                <w:tcPr>
                  <w:tcW w:w="709"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0.024 </w:t>
                  </w:r>
                </w:p>
              </w:tc>
              <w:tc>
                <w:tcPr>
                  <w:tcW w:w="635"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0.175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1" w:type="dxa"/>
                  <w:gridSpan w:val="2"/>
                  <w:shd w:val="clear" w:color="auto" w:fill="auto"/>
                  <w:noWrap/>
                  <w:vAlign w:val="center"/>
                </w:tcPr>
                <w:p>
                  <w:pPr>
                    <w:spacing w:line="240" w:lineRule="auto"/>
                    <w:jc w:val="center"/>
                    <w:rPr>
                      <w:color w:val="000000" w:themeColor="text1"/>
                      <w:spacing w:val="-10"/>
                      <w:kern w:val="0"/>
                      <w:sz w:val="18"/>
                      <w:szCs w:val="18"/>
                      <w14:textFill>
                        <w14:solidFill>
                          <w14:schemeClr w14:val="tx1"/>
                        </w14:solidFill>
                      </w14:textFill>
                    </w:rPr>
                  </w:pPr>
                  <w:r>
                    <w:rPr>
                      <w:color w:val="000000" w:themeColor="text1"/>
                      <w:spacing w:val="-10"/>
                      <w:kern w:val="0"/>
                      <w:sz w:val="18"/>
                      <w:szCs w:val="18"/>
                      <w14:textFill>
                        <w14:solidFill>
                          <w14:schemeClr w14:val="tx1"/>
                        </w14:solidFill>
                      </w14:textFill>
                    </w:rPr>
                    <w:t>二期</w:t>
                  </w:r>
                </w:p>
              </w:tc>
              <w:tc>
                <w:tcPr>
                  <w:tcW w:w="567" w:type="dxa"/>
                  <w:shd w:val="clear" w:color="auto" w:fill="auto"/>
                  <w:noWrap/>
                  <w:vAlign w:val="center"/>
                </w:tcPr>
                <w:p>
                  <w:pPr>
                    <w:spacing w:line="240" w:lineRule="auto"/>
                    <w:jc w:val="center"/>
                    <w:rPr>
                      <w:color w:val="000000" w:themeColor="text1"/>
                      <w:spacing w:val="-10"/>
                      <w:kern w:val="0"/>
                      <w:sz w:val="18"/>
                      <w:szCs w:val="18"/>
                      <w14:textFill>
                        <w14:solidFill>
                          <w14:schemeClr w14:val="tx1"/>
                        </w14:solidFill>
                      </w14:textFill>
                    </w:rPr>
                  </w:pPr>
                  <w:r>
                    <w:rPr>
                      <w:color w:val="000000" w:themeColor="text1"/>
                      <w:spacing w:val="-10"/>
                      <w:kern w:val="0"/>
                      <w:sz w:val="18"/>
                      <w:szCs w:val="18"/>
                      <w14:textFill>
                        <w14:solidFill>
                          <w14:schemeClr w14:val="tx1"/>
                        </w14:solidFill>
                      </w14:textFill>
                    </w:rPr>
                    <w:t>颗粒物</w:t>
                  </w:r>
                </w:p>
              </w:tc>
              <w:tc>
                <w:tcPr>
                  <w:tcW w:w="709" w:type="dxa"/>
                  <w:shd w:val="clear" w:color="auto" w:fill="auto"/>
                  <w:noWrap/>
                  <w:vAlign w:val="center"/>
                </w:tcPr>
                <w:p>
                  <w:pPr>
                    <w:spacing w:line="240" w:lineRule="auto"/>
                    <w:jc w:val="center"/>
                    <w:rPr>
                      <w:color w:val="000000" w:themeColor="text1"/>
                      <w:spacing w:val="-20"/>
                      <w:kern w:val="0"/>
                      <w:sz w:val="18"/>
                      <w:szCs w:val="18"/>
                      <w14:textFill>
                        <w14:solidFill>
                          <w14:schemeClr w14:val="tx1"/>
                        </w14:solidFill>
                      </w14:textFill>
                    </w:rPr>
                  </w:pPr>
                  <w:r>
                    <w:rPr>
                      <w:color w:val="000000" w:themeColor="text1"/>
                      <w:spacing w:val="-20"/>
                      <w:kern w:val="0"/>
                      <w:sz w:val="18"/>
                      <w:szCs w:val="18"/>
                      <w14:textFill>
                        <w14:solidFill>
                          <w14:schemeClr w14:val="tx1"/>
                        </w14:solidFill>
                      </w14:textFill>
                    </w:rPr>
                    <w:t>16000</w:t>
                  </w:r>
                </w:p>
              </w:tc>
              <w:tc>
                <w:tcPr>
                  <w:tcW w:w="708" w:type="dxa"/>
                  <w:shd w:val="clear" w:color="auto" w:fill="auto"/>
                  <w:noWrap/>
                  <w:vAlign w:val="center"/>
                </w:tcPr>
                <w:p>
                  <w:pPr>
                    <w:spacing w:line="240" w:lineRule="auto"/>
                    <w:jc w:val="center"/>
                    <w:rPr>
                      <w:rFonts w:eastAsia="等线"/>
                      <w:color w:val="000000" w:themeColor="text1"/>
                      <w:spacing w:val="-10"/>
                      <w:sz w:val="18"/>
                      <w:szCs w:val="18"/>
                      <w14:textFill>
                        <w14:solidFill>
                          <w14:schemeClr w14:val="tx1"/>
                        </w14:solidFill>
                      </w14:textFill>
                    </w:rPr>
                  </w:pPr>
                  <w:r>
                    <w:rPr>
                      <w:rFonts w:eastAsia="等线"/>
                      <w:color w:val="000000" w:themeColor="text1"/>
                      <w:spacing w:val="-10"/>
                      <w:sz w:val="18"/>
                      <w:szCs w:val="18"/>
                      <w14:textFill>
                        <w14:solidFill>
                          <w14:schemeClr w14:val="tx1"/>
                        </w14:solidFill>
                      </w14:textFill>
                    </w:rPr>
                    <w:t xml:space="preserve">101.06 </w:t>
                  </w:r>
                </w:p>
              </w:tc>
              <w:tc>
                <w:tcPr>
                  <w:tcW w:w="709"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1.617</w:t>
                  </w:r>
                </w:p>
              </w:tc>
              <w:tc>
                <w:tcPr>
                  <w:tcW w:w="709"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11.64</w:t>
                  </w:r>
                </w:p>
              </w:tc>
              <w:tc>
                <w:tcPr>
                  <w:tcW w:w="709" w:type="dxa"/>
                  <w:shd w:val="clear" w:color="auto" w:fill="auto"/>
                  <w:vAlign w:val="center"/>
                </w:tcPr>
                <w:p>
                  <w:pPr>
                    <w:spacing w:line="240" w:lineRule="auto"/>
                    <w:jc w:val="center"/>
                    <w:rPr>
                      <w:color w:val="000000" w:themeColor="text1"/>
                      <w:spacing w:val="-10"/>
                      <w:kern w:val="0"/>
                      <w:sz w:val="18"/>
                      <w:szCs w:val="18"/>
                      <w14:textFill>
                        <w14:solidFill>
                          <w14:schemeClr w14:val="tx1"/>
                        </w14:solidFill>
                      </w14:textFill>
                    </w:rPr>
                  </w:pPr>
                  <w:r>
                    <w:rPr>
                      <w:color w:val="000000" w:themeColor="text1"/>
                      <w:spacing w:val="-10"/>
                      <w:kern w:val="0"/>
                      <w:sz w:val="18"/>
                      <w:szCs w:val="18"/>
                      <w14:textFill>
                        <w14:solidFill>
                          <w14:schemeClr w14:val="tx1"/>
                        </w14:solidFill>
                      </w14:textFill>
                    </w:rPr>
                    <w:t>布袋除尘器</w:t>
                  </w:r>
                </w:p>
              </w:tc>
              <w:tc>
                <w:tcPr>
                  <w:tcW w:w="567"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4.55 </w:t>
                  </w:r>
                </w:p>
              </w:tc>
              <w:tc>
                <w:tcPr>
                  <w:tcW w:w="708"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0.073 </w:t>
                  </w:r>
                </w:p>
              </w:tc>
              <w:tc>
                <w:tcPr>
                  <w:tcW w:w="709"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0.524 </w:t>
                  </w:r>
                </w:p>
              </w:tc>
              <w:tc>
                <w:tcPr>
                  <w:tcW w:w="709"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0.049 </w:t>
                  </w:r>
                </w:p>
              </w:tc>
              <w:tc>
                <w:tcPr>
                  <w:tcW w:w="635"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0.349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2" w:type="dxa"/>
                  <w:vMerge w:val="restart"/>
                  <w:shd w:val="clear" w:color="auto" w:fill="auto"/>
                  <w:noWrap/>
                  <w:vAlign w:val="center"/>
                </w:tcPr>
                <w:p>
                  <w:pPr>
                    <w:spacing w:line="240" w:lineRule="auto"/>
                    <w:jc w:val="center"/>
                    <w:rPr>
                      <w:color w:val="000000" w:themeColor="text1"/>
                      <w:spacing w:val="-10"/>
                      <w:kern w:val="0"/>
                      <w:sz w:val="18"/>
                      <w:szCs w:val="18"/>
                      <w14:textFill>
                        <w14:solidFill>
                          <w14:schemeClr w14:val="tx1"/>
                        </w14:solidFill>
                      </w14:textFill>
                    </w:rPr>
                  </w:pPr>
                  <w:r>
                    <w:rPr>
                      <w:color w:val="000000" w:themeColor="text1"/>
                      <w:spacing w:val="-10"/>
                      <w:kern w:val="0"/>
                      <w:sz w:val="18"/>
                      <w:szCs w:val="18"/>
                      <w14:textFill>
                        <w14:solidFill>
                          <w14:schemeClr w14:val="tx1"/>
                        </w14:solidFill>
                      </w14:textFill>
                    </w:rPr>
                    <w:t>总体</w:t>
                  </w:r>
                </w:p>
              </w:tc>
              <w:tc>
                <w:tcPr>
                  <w:tcW w:w="709" w:type="dxa"/>
                  <w:shd w:val="clear" w:color="auto" w:fill="auto"/>
                  <w:vAlign w:val="center"/>
                </w:tcPr>
                <w:p>
                  <w:pPr>
                    <w:spacing w:line="240" w:lineRule="auto"/>
                    <w:jc w:val="center"/>
                    <w:rPr>
                      <w:color w:val="000000" w:themeColor="text1"/>
                      <w:spacing w:val="-10"/>
                      <w:kern w:val="0"/>
                      <w:sz w:val="18"/>
                      <w:szCs w:val="18"/>
                      <w14:textFill>
                        <w14:solidFill>
                          <w14:schemeClr w14:val="tx1"/>
                        </w14:solidFill>
                      </w14:textFill>
                    </w:rPr>
                  </w:pPr>
                  <w:r>
                    <w:rPr>
                      <w:color w:val="000000" w:themeColor="text1"/>
                      <w:spacing w:val="-10"/>
                      <w:kern w:val="0"/>
                      <w:sz w:val="18"/>
                      <w:szCs w:val="18"/>
                      <w14:textFill>
                        <w14:solidFill>
                          <w14:schemeClr w14:val="tx1"/>
                        </w14:solidFill>
                      </w14:textFill>
                    </w:rPr>
                    <w:t>1#原料破碎车间</w:t>
                  </w:r>
                </w:p>
              </w:tc>
              <w:tc>
                <w:tcPr>
                  <w:tcW w:w="567" w:type="dxa"/>
                  <w:shd w:val="clear" w:color="auto" w:fill="auto"/>
                  <w:noWrap/>
                  <w:vAlign w:val="center"/>
                </w:tcPr>
                <w:p>
                  <w:pPr>
                    <w:spacing w:line="240" w:lineRule="auto"/>
                    <w:jc w:val="center"/>
                    <w:rPr>
                      <w:color w:val="000000" w:themeColor="text1"/>
                      <w:spacing w:val="-10"/>
                      <w:kern w:val="0"/>
                      <w:sz w:val="18"/>
                      <w:szCs w:val="18"/>
                      <w14:textFill>
                        <w14:solidFill>
                          <w14:schemeClr w14:val="tx1"/>
                        </w14:solidFill>
                      </w14:textFill>
                    </w:rPr>
                  </w:pPr>
                  <w:r>
                    <w:rPr>
                      <w:color w:val="000000" w:themeColor="text1"/>
                      <w:spacing w:val="-10"/>
                      <w:kern w:val="0"/>
                      <w:sz w:val="18"/>
                      <w:szCs w:val="18"/>
                      <w14:textFill>
                        <w14:solidFill>
                          <w14:schemeClr w14:val="tx1"/>
                        </w14:solidFill>
                      </w14:textFill>
                    </w:rPr>
                    <w:t>颗粒物</w:t>
                  </w:r>
                </w:p>
              </w:tc>
              <w:tc>
                <w:tcPr>
                  <w:tcW w:w="709" w:type="dxa"/>
                  <w:shd w:val="clear" w:color="auto" w:fill="auto"/>
                  <w:noWrap/>
                  <w:vAlign w:val="center"/>
                </w:tcPr>
                <w:p>
                  <w:pPr>
                    <w:spacing w:line="240" w:lineRule="auto"/>
                    <w:jc w:val="center"/>
                    <w:rPr>
                      <w:color w:val="000000" w:themeColor="text1"/>
                      <w:spacing w:val="-20"/>
                      <w:kern w:val="0"/>
                      <w:sz w:val="18"/>
                      <w:szCs w:val="18"/>
                      <w14:textFill>
                        <w14:solidFill>
                          <w14:schemeClr w14:val="tx1"/>
                        </w14:solidFill>
                      </w14:textFill>
                    </w:rPr>
                  </w:pPr>
                  <w:r>
                    <w:rPr>
                      <w:color w:val="000000" w:themeColor="text1"/>
                      <w:spacing w:val="-20"/>
                      <w:kern w:val="0"/>
                      <w:sz w:val="18"/>
                      <w:szCs w:val="18"/>
                      <w14:textFill>
                        <w14:solidFill>
                          <w14:schemeClr w14:val="tx1"/>
                        </w14:solidFill>
                      </w14:textFill>
                    </w:rPr>
                    <w:t>8000</w:t>
                  </w:r>
                </w:p>
              </w:tc>
              <w:tc>
                <w:tcPr>
                  <w:tcW w:w="708" w:type="dxa"/>
                  <w:shd w:val="clear" w:color="auto" w:fill="auto"/>
                  <w:noWrap/>
                  <w:vAlign w:val="center"/>
                </w:tcPr>
                <w:p>
                  <w:pPr>
                    <w:spacing w:line="240" w:lineRule="auto"/>
                    <w:jc w:val="center"/>
                    <w:rPr>
                      <w:rFonts w:eastAsia="等线"/>
                      <w:color w:val="000000" w:themeColor="text1"/>
                      <w:spacing w:val="-10"/>
                      <w:kern w:val="0"/>
                      <w:sz w:val="18"/>
                      <w:szCs w:val="18"/>
                      <w14:textFill>
                        <w14:solidFill>
                          <w14:schemeClr w14:val="tx1"/>
                        </w14:solidFill>
                      </w14:textFill>
                    </w:rPr>
                  </w:pPr>
                  <w:r>
                    <w:rPr>
                      <w:rFonts w:eastAsia="等线"/>
                      <w:color w:val="000000" w:themeColor="text1"/>
                      <w:spacing w:val="-10"/>
                      <w:sz w:val="18"/>
                      <w:szCs w:val="18"/>
                      <w14:textFill>
                        <w14:solidFill>
                          <w14:schemeClr w14:val="tx1"/>
                        </w14:solidFill>
                      </w14:textFill>
                    </w:rPr>
                    <w:t xml:space="preserve">101.00 </w:t>
                  </w:r>
                </w:p>
              </w:tc>
              <w:tc>
                <w:tcPr>
                  <w:tcW w:w="709"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0.808</w:t>
                  </w:r>
                </w:p>
              </w:tc>
              <w:tc>
                <w:tcPr>
                  <w:tcW w:w="709"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5.82</w:t>
                  </w:r>
                </w:p>
              </w:tc>
              <w:tc>
                <w:tcPr>
                  <w:tcW w:w="709" w:type="dxa"/>
                  <w:shd w:val="clear" w:color="auto" w:fill="auto"/>
                  <w:vAlign w:val="center"/>
                </w:tcPr>
                <w:p>
                  <w:pPr>
                    <w:spacing w:line="240" w:lineRule="auto"/>
                    <w:jc w:val="center"/>
                    <w:rPr>
                      <w:color w:val="000000" w:themeColor="text1"/>
                      <w:spacing w:val="-10"/>
                      <w:kern w:val="0"/>
                      <w:sz w:val="18"/>
                      <w:szCs w:val="18"/>
                      <w14:textFill>
                        <w14:solidFill>
                          <w14:schemeClr w14:val="tx1"/>
                        </w14:solidFill>
                      </w14:textFill>
                    </w:rPr>
                  </w:pPr>
                  <w:r>
                    <w:rPr>
                      <w:color w:val="000000" w:themeColor="text1"/>
                      <w:spacing w:val="-10"/>
                      <w:kern w:val="0"/>
                      <w:sz w:val="18"/>
                      <w:szCs w:val="18"/>
                      <w14:textFill>
                        <w14:solidFill>
                          <w14:schemeClr w14:val="tx1"/>
                        </w14:solidFill>
                      </w14:textFill>
                    </w:rPr>
                    <w:t>布袋除尘器</w:t>
                  </w:r>
                </w:p>
              </w:tc>
              <w:tc>
                <w:tcPr>
                  <w:tcW w:w="567" w:type="dxa"/>
                  <w:shd w:val="clear" w:color="auto" w:fill="auto"/>
                  <w:noWrap/>
                  <w:vAlign w:val="center"/>
                </w:tcPr>
                <w:p>
                  <w:pPr>
                    <w:spacing w:line="240" w:lineRule="auto"/>
                    <w:jc w:val="center"/>
                    <w:rPr>
                      <w:rFonts w:eastAsia="等线"/>
                      <w:color w:val="000000" w:themeColor="text1"/>
                      <w:kern w:val="0"/>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4.55 </w:t>
                  </w:r>
                </w:p>
              </w:tc>
              <w:tc>
                <w:tcPr>
                  <w:tcW w:w="708"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0.036 </w:t>
                  </w:r>
                </w:p>
              </w:tc>
              <w:tc>
                <w:tcPr>
                  <w:tcW w:w="709"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0.262 </w:t>
                  </w:r>
                </w:p>
              </w:tc>
              <w:tc>
                <w:tcPr>
                  <w:tcW w:w="709"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0.024 </w:t>
                  </w:r>
                </w:p>
              </w:tc>
              <w:tc>
                <w:tcPr>
                  <w:tcW w:w="635"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0.175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2" w:type="dxa"/>
                  <w:vMerge w:val="continue"/>
                  <w:vAlign w:val="center"/>
                </w:tcPr>
                <w:p>
                  <w:pPr>
                    <w:spacing w:line="240" w:lineRule="auto"/>
                    <w:jc w:val="center"/>
                    <w:rPr>
                      <w:color w:val="000000" w:themeColor="text1"/>
                      <w:spacing w:val="-10"/>
                      <w:kern w:val="0"/>
                      <w:sz w:val="18"/>
                      <w:szCs w:val="18"/>
                      <w14:textFill>
                        <w14:solidFill>
                          <w14:schemeClr w14:val="tx1"/>
                        </w14:solidFill>
                      </w14:textFill>
                    </w:rPr>
                  </w:pPr>
                </w:p>
              </w:tc>
              <w:tc>
                <w:tcPr>
                  <w:tcW w:w="709" w:type="dxa"/>
                  <w:shd w:val="clear" w:color="auto" w:fill="auto"/>
                  <w:vAlign w:val="center"/>
                </w:tcPr>
                <w:p>
                  <w:pPr>
                    <w:spacing w:line="240" w:lineRule="auto"/>
                    <w:jc w:val="center"/>
                    <w:rPr>
                      <w:color w:val="000000" w:themeColor="text1"/>
                      <w:spacing w:val="-10"/>
                      <w:kern w:val="0"/>
                      <w:sz w:val="18"/>
                      <w:szCs w:val="18"/>
                      <w14:textFill>
                        <w14:solidFill>
                          <w14:schemeClr w14:val="tx1"/>
                        </w14:solidFill>
                      </w14:textFill>
                    </w:rPr>
                  </w:pPr>
                  <w:r>
                    <w:rPr>
                      <w:color w:val="000000" w:themeColor="text1"/>
                      <w:spacing w:val="-10"/>
                      <w:kern w:val="0"/>
                      <w:sz w:val="18"/>
                      <w:szCs w:val="18"/>
                      <w14:textFill>
                        <w14:solidFill>
                          <w14:schemeClr w14:val="tx1"/>
                        </w14:solidFill>
                      </w14:textFill>
                    </w:rPr>
                    <w:t>2#原料破碎车间</w:t>
                  </w:r>
                </w:p>
              </w:tc>
              <w:tc>
                <w:tcPr>
                  <w:tcW w:w="567" w:type="dxa"/>
                  <w:shd w:val="clear" w:color="auto" w:fill="auto"/>
                  <w:noWrap/>
                  <w:vAlign w:val="center"/>
                </w:tcPr>
                <w:p>
                  <w:pPr>
                    <w:spacing w:line="240" w:lineRule="auto"/>
                    <w:jc w:val="center"/>
                    <w:rPr>
                      <w:color w:val="000000" w:themeColor="text1"/>
                      <w:spacing w:val="-10"/>
                      <w:kern w:val="0"/>
                      <w:sz w:val="18"/>
                      <w:szCs w:val="18"/>
                      <w14:textFill>
                        <w14:solidFill>
                          <w14:schemeClr w14:val="tx1"/>
                        </w14:solidFill>
                      </w14:textFill>
                    </w:rPr>
                  </w:pPr>
                  <w:r>
                    <w:rPr>
                      <w:color w:val="000000" w:themeColor="text1"/>
                      <w:spacing w:val="-10"/>
                      <w:kern w:val="0"/>
                      <w:sz w:val="18"/>
                      <w:szCs w:val="18"/>
                      <w14:textFill>
                        <w14:solidFill>
                          <w14:schemeClr w14:val="tx1"/>
                        </w14:solidFill>
                      </w14:textFill>
                    </w:rPr>
                    <w:t>颗粒物</w:t>
                  </w:r>
                </w:p>
              </w:tc>
              <w:tc>
                <w:tcPr>
                  <w:tcW w:w="709" w:type="dxa"/>
                  <w:shd w:val="clear" w:color="auto" w:fill="auto"/>
                  <w:noWrap/>
                  <w:vAlign w:val="center"/>
                </w:tcPr>
                <w:p>
                  <w:pPr>
                    <w:spacing w:line="240" w:lineRule="auto"/>
                    <w:jc w:val="center"/>
                    <w:rPr>
                      <w:color w:val="000000" w:themeColor="text1"/>
                      <w:spacing w:val="-20"/>
                      <w:kern w:val="0"/>
                      <w:sz w:val="18"/>
                      <w:szCs w:val="18"/>
                      <w14:textFill>
                        <w14:solidFill>
                          <w14:schemeClr w14:val="tx1"/>
                        </w14:solidFill>
                      </w14:textFill>
                    </w:rPr>
                  </w:pPr>
                  <w:r>
                    <w:rPr>
                      <w:color w:val="000000" w:themeColor="text1"/>
                      <w:spacing w:val="-20"/>
                      <w:kern w:val="0"/>
                      <w:sz w:val="18"/>
                      <w:szCs w:val="18"/>
                      <w14:textFill>
                        <w14:solidFill>
                          <w14:schemeClr w14:val="tx1"/>
                        </w14:solidFill>
                      </w14:textFill>
                    </w:rPr>
                    <w:t>16000</w:t>
                  </w:r>
                </w:p>
              </w:tc>
              <w:tc>
                <w:tcPr>
                  <w:tcW w:w="708" w:type="dxa"/>
                  <w:shd w:val="clear" w:color="auto" w:fill="auto"/>
                  <w:noWrap/>
                  <w:vAlign w:val="center"/>
                </w:tcPr>
                <w:p>
                  <w:pPr>
                    <w:spacing w:line="240" w:lineRule="auto"/>
                    <w:jc w:val="center"/>
                    <w:rPr>
                      <w:rFonts w:eastAsia="等线"/>
                      <w:color w:val="000000" w:themeColor="text1"/>
                      <w:spacing w:val="-10"/>
                      <w:sz w:val="18"/>
                      <w:szCs w:val="18"/>
                      <w14:textFill>
                        <w14:solidFill>
                          <w14:schemeClr w14:val="tx1"/>
                        </w14:solidFill>
                      </w14:textFill>
                    </w:rPr>
                  </w:pPr>
                  <w:r>
                    <w:rPr>
                      <w:rFonts w:eastAsia="等线"/>
                      <w:color w:val="000000" w:themeColor="text1"/>
                      <w:spacing w:val="-10"/>
                      <w:sz w:val="18"/>
                      <w:szCs w:val="18"/>
                      <w14:textFill>
                        <w14:solidFill>
                          <w14:schemeClr w14:val="tx1"/>
                        </w14:solidFill>
                      </w14:textFill>
                    </w:rPr>
                    <w:t xml:space="preserve">101.06 </w:t>
                  </w:r>
                </w:p>
              </w:tc>
              <w:tc>
                <w:tcPr>
                  <w:tcW w:w="709"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1.617</w:t>
                  </w:r>
                </w:p>
              </w:tc>
              <w:tc>
                <w:tcPr>
                  <w:tcW w:w="709"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11.64</w:t>
                  </w:r>
                </w:p>
              </w:tc>
              <w:tc>
                <w:tcPr>
                  <w:tcW w:w="709" w:type="dxa"/>
                  <w:shd w:val="clear" w:color="auto" w:fill="auto"/>
                  <w:vAlign w:val="center"/>
                </w:tcPr>
                <w:p>
                  <w:pPr>
                    <w:spacing w:line="240" w:lineRule="auto"/>
                    <w:jc w:val="center"/>
                    <w:rPr>
                      <w:color w:val="000000" w:themeColor="text1"/>
                      <w:spacing w:val="-10"/>
                      <w:kern w:val="0"/>
                      <w:sz w:val="18"/>
                      <w:szCs w:val="18"/>
                      <w14:textFill>
                        <w14:solidFill>
                          <w14:schemeClr w14:val="tx1"/>
                        </w14:solidFill>
                      </w14:textFill>
                    </w:rPr>
                  </w:pPr>
                  <w:r>
                    <w:rPr>
                      <w:color w:val="000000" w:themeColor="text1"/>
                      <w:spacing w:val="-10"/>
                      <w:kern w:val="0"/>
                      <w:sz w:val="18"/>
                      <w:szCs w:val="18"/>
                      <w14:textFill>
                        <w14:solidFill>
                          <w14:schemeClr w14:val="tx1"/>
                        </w14:solidFill>
                      </w14:textFill>
                    </w:rPr>
                    <w:t>布袋除尘器</w:t>
                  </w:r>
                </w:p>
              </w:tc>
              <w:tc>
                <w:tcPr>
                  <w:tcW w:w="567"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4.55 </w:t>
                  </w:r>
                </w:p>
              </w:tc>
              <w:tc>
                <w:tcPr>
                  <w:tcW w:w="708"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0.073 </w:t>
                  </w:r>
                </w:p>
              </w:tc>
              <w:tc>
                <w:tcPr>
                  <w:tcW w:w="709"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0.524 </w:t>
                  </w:r>
                </w:p>
              </w:tc>
              <w:tc>
                <w:tcPr>
                  <w:tcW w:w="709"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0.049 </w:t>
                  </w:r>
                </w:p>
              </w:tc>
              <w:tc>
                <w:tcPr>
                  <w:tcW w:w="635" w:type="dxa"/>
                  <w:shd w:val="clear" w:color="auto" w:fill="auto"/>
                  <w:noWrap/>
                  <w:vAlign w:val="center"/>
                </w:tcPr>
                <w:p>
                  <w:pPr>
                    <w:spacing w:line="24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 xml:space="preserve">0.349 </w:t>
                  </w:r>
                </w:p>
              </w:tc>
            </w:tr>
          </w:tbl>
          <w:p>
            <w:pPr>
              <w:pStyle w:val="72"/>
              <w:ind w:firstLine="482"/>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（2）燃烧烟气G</w:t>
            </w:r>
            <w:r>
              <w:rPr>
                <w:rFonts w:cs="Times New Roman"/>
                <w:b/>
                <w:color w:val="000000" w:themeColor="text1"/>
                <w14:textFill>
                  <w14:solidFill>
                    <w14:schemeClr w14:val="tx1"/>
                  </w14:solidFill>
                </w14:textFill>
              </w:rPr>
              <w:t>2</w:t>
            </w:r>
          </w:p>
          <w:p>
            <w:pPr>
              <w:pStyle w:val="228"/>
              <w:autoSpaceDE w:val="0"/>
              <w:autoSpaceDN w:val="0"/>
              <w:adjustRightInd w:val="0"/>
              <w:spacing w:line="360" w:lineRule="auto"/>
              <w:ind w:firstLine="482"/>
              <w:textAlignment w:val="baseline"/>
              <w:rPr>
                <w:b/>
                <w:bCs/>
                <w:color w:val="FF0000"/>
                <w:sz w:val="24"/>
                <w:szCs w:val="24"/>
              </w:rPr>
            </w:pPr>
            <w:bookmarkStart w:id="10" w:name="_Toc6188"/>
            <w:r>
              <w:rPr>
                <w:rFonts w:hint="eastAsia"/>
                <w:b/>
                <w:bCs/>
                <w:color w:val="FF0000"/>
                <w:sz w:val="24"/>
                <w:szCs w:val="24"/>
              </w:rPr>
              <w:t>①初次启动</w:t>
            </w:r>
          </w:p>
          <w:p>
            <w:pPr>
              <w:pStyle w:val="228"/>
              <w:autoSpaceDE w:val="0"/>
              <w:autoSpaceDN w:val="0"/>
              <w:adjustRightInd w:val="0"/>
              <w:spacing w:line="360" w:lineRule="auto"/>
              <w:ind w:firstLine="480"/>
              <w:textAlignment w:val="baseline"/>
            </w:pPr>
            <w:r>
              <w:rPr>
                <w:rFonts w:hint="eastAsia"/>
                <w:bCs/>
                <w:color w:val="FF0000"/>
                <w:sz w:val="24"/>
                <w:szCs w:val="24"/>
              </w:rPr>
              <w:t>根据企业提供资料，裂解炉启动采用天然气作为燃料；每次启动耗时4h、冲氮气约10min。裂解炉定期停车检修频率约1次</w:t>
            </w:r>
            <w:r>
              <w:rPr>
                <w:bCs/>
                <w:color w:val="FF0000"/>
                <w:sz w:val="24"/>
                <w:szCs w:val="24"/>
              </w:rPr>
              <w:t>/</w:t>
            </w:r>
            <w:r>
              <w:rPr>
                <w:rFonts w:hint="eastAsia"/>
                <w:bCs/>
                <w:color w:val="FF0000"/>
                <w:sz w:val="24"/>
                <w:szCs w:val="24"/>
              </w:rPr>
              <w:t>月，裂解炉每次启动天然气用量约6</w:t>
            </w:r>
            <w:r>
              <w:rPr>
                <w:bCs/>
                <w:color w:val="FF0000"/>
                <w:sz w:val="24"/>
                <w:szCs w:val="24"/>
              </w:rPr>
              <w:t>00</w:t>
            </w:r>
            <w:r>
              <w:rPr>
                <w:rFonts w:hint="eastAsia"/>
                <w:bCs/>
                <w:color w:val="FF0000"/>
                <w:sz w:val="24"/>
                <w:szCs w:val="24"/>
              </w:rPr>
              <w:t>m</w:t>
            </w:r>
            <w:r>
              <w:rPr>
                <w:bCs/>
                <w:color w:val="FF0000"/>
                <w:sz w:val="24"/>
                <w:szCs w:val="24"/>
                <w:vertAlign w:val="superscript"/>
              </w:rPr>
              <w:t>3</w:t>
            </w:r>
            <w:r>
              <w:rPr>
                <w:rFonts w:hint="eastAsia"/>
                <w:bCs/>
                <w:color w:val="FF0000"/>
                <w:sz w:val="24"/>
                <w:szCs w:val="24"/>
              </w:rPr>
              <w:t>。</w:t>
            </w:r>
          </w:p>
          <w:p>
            <w:pPr>
              <w:pStyle w:val="228"/>
              <w:autoSpaceDE w:val="0"/>
              <w:autoSpaceDN w:val="0"/>
              <w:adjustRightInd w:val="0"/>
              <w:spacing w:line="360" w:lineRule="auto"/>
              <w:ind w:firstLine="480"/>
              <w:textAlignment w:val="baseline"/>
              <w:rPr>
                <w:bCs/>
                <w:color w:val="FF0000"/>
                <w:sz w:val="24"/>
                <w:szCs w:val="24"/>
              </w:rPr>
            </w:pPr>
            <w:r>
              <w:rPr>
                <w:rFonts w:hint="eastAsia"/>
                <w:bCs/>
                <w:color w:val="FF0000"/>
                <w:sz w:val="24"/>
                <w:szCs w:val="24"/>
              </w:rPr>
              <w:t>项目共计6台裂解炉。经核算，项目裂解炉全年然气年消耗量为4</w:t>
            </w:r>
            <w:r>
              <w:rPr>
                <w:bCs/>
                <w:color w:val="FF0000"/>
                <w:sz w:val="24"/>
                <w:szCs w:val="24"/>
              </w:rPr>
              <w:t>.32</w:t>
            </w:r>
            <w:r>
              <w:rPr>
                <w:rFonts w:hint="eastAsia"/>
                <w:bCs/>
                <w:color w:val="FF0000"/>
                <w:sz w:val="24"/>
                <w:szCs w:val="24"/>
              </w:rPr>
              <w:t>万m</w:t>
            </w:r>
            <w:r>
              <w:rPr>
                <w:bCs/>
                <w:color w:val="FF0000"/>
                <w:sz w:val="24"/>
                <w:szCs w:val="24"/>
                <w:vertAlign w:val="superscript"/>
              </w:rPr>
              <w:t>3</w:t>
            </w:r>
            <w:r>
              <w:rPr>
                <w:rFonts w:hint="eastAsia"/>
                <w:bCs/>
                <w:color w:val="FF0000"/>
                <w:sz w:val="24"/>
                <w:szCs w:val="24"/>
              </w:rPr>
              <w:t>。裂解炉每次启动耗时（预热4h+</w:t>
            </w:r>
            <w:r>
              <w:rPr>
                <w:bCs/>
                <w:color w:val="FF0000"/>
                <w:sz w:val="24"/>
                <w:szCs w:val="24"/>
              </w:rPr>
              <w:t>10</w:t>
            </w:r>
            <w:r>
              <w:rPr>
                <w:rFonts w:hint="eastAsia"/>
                <w:bCs/>
                <w:color w:val="FF0000"/>
                <w:sz w:val="24"/>
                <w:szCs w:val="24"/>
              </w:rPr>
              <w:t>min充氮时间），项目初次启动全年耗时为5</w:t>
            </w:r>
            <w:r>
              <w:rPr>
                <w:bCs/>
                <w:color w:val="FF0000"/>
                <w:sz w:val="24"/>
                <w:szCs w:val="24"/>
              </w:rPr>
              <w:t>0</w:t>
            </w:r>
            <w:r>
              <w:rPr>
                <w:rFonts w:hint="eastAsia"/>
                <w:bCs/>
                <w:color w:val="FF0000"/>
                <w:sz w:val="24"/>
                <w:szCs w:val="24"/>
              </w:rPr>
              <w:t>h。天然气燃烧烟气主要污染物为：烟尘（颗粒物）、S</w:t>
            </w:r>
            <w:r>
              <w:rPr>
                <w:bCs/>
                <w:color w:val="FF0000"/>
                <w:sz w:val="24"/>
                <w:szCs w:val="24"/>
              </w:rPr>
              <w:t>O</w:t>
            </w:r>
            <w:r>
              <w:rPr>
                <w:bCs/>
                <w:color w:val="FF0000"/>
                <w:sz w:val="24"/>
                <w:szCs w:val="24"/>
                <w:vertAlign w:val="subscript"/>
              </w:rPr>
              <w:t>2</w:t>
            </w:r>
            <w:r>
              <w:rPr>
                <w:rFonts w:hint="eastAsia"/>
                <w:bCs/>
                <w:color w:val="FF0000"/>
                <w:sz w:val="24"/>
                <w:szCs w:val="24"/>
              </w:rPr>
              <w:t>、N</w:t>
            </w:r>
            <w:r>
              <w:rPr>
                <w:bCs/>
                <w:color w:val="FF0000"/>
                <w:sz w:val="24"/>
                <w:szCs w:val="24"/>
              </w:rPr>
              <w:t>O</w:t>
            </w:r>
            <w:r>
              <w:rPr>
                <w:bCs/>
                <w:color w:val="FF0000"/>
                <w:sz w:val="24"/>
                <w:szCs w:val="24"/>
                <w:vertAlign w:val="subscript"/>
              </w:rPr>
              <w:t>X</w:t>
            </w:r>
            <w:r>
              <w:rPr>
                <w:rFonts w:hint="eastAsia"/>
                <w:bCs/>
                <w:color w:val="FF0000"/>
                <w:sz w:val="24"/>
                <w:szCs w:val="24"/>
              </w:rPr>
              <w:t>。</w:t>
            </w:r>
          </w:p>
          <w:p>
            <w:pPr>
              <w:pStyle w:val="228"/>
              <w:autoSpaceDE w:val="0"/>
              <w:autoSpaceDN w:val="0"/>
              <w:adjustRightInd w:val="0"/>
              <w:spacing w:line="360" w:lineRule="auto"/>
              <w:ind w:firstLine="480"/>
              <w:textAlignment w:val="baseline"/>
              <w:rPr>
                <w:color w:val="FF0000"/>
                <w:sz w:val="24"/>
                <w:szCs w:val="24"/>
              </w:rPr>
            </w:pPr>
            <w:r>
              <w:rPr>
                <w:rFonts w:hint="eastAsia"/>
                <w:color w:val="FF0000"/>
                <w:sz w:val="24"/>
                <w:szCs w:val="24"/>
              </w:rPr>
              <w:t>参考《排放源统计调查产排污核算方法和系数手册》中“锅炉产排污量核算系数手册”，天然气燃烧产污系数为：废气量</w:t>
            </w:r>
            <w:r>
              <w:rPr>
                <w:color w:val="FF0000"/>
                <w:sz w:val="24"/>
                <w:szCs w:val="24"/>
              </w:rPr>
              <w:t>107753N</w:t>
            </w:r>
            <w:r>
              <w:rPr>
                <w:rFonts w:hint="eastAsia"/>
                <w:color w:val="FF0000"/>
                <w:sz w:val="24"/>
                <w:szCs w:val="24"/>
              </w:rPr>
              <w:t>m</w:t>
            </w:r>
            <w:r>
              <w:rPr>
                <w:color w:val="FF0000"/>
                <w:sz w:val="24"/>
                <w:szCs w:val="24"/>
                <w:vertAlign w:val="superscript"/>
              </w:rPr>
              <w:t>3</w:t>
            </w:r>
            <w:r>
              <w:rPr>
                <w:color w:val="FF0000"/>
                <w:sz w:val="24"/>
                <w:szCs w:val="24"/>
              </w:rPr>
              <w:t>/</w:t>
            </w:r>
            <w:r>
              <w:rPr>
                <w:rFonts w:hint="eastAsia"/>
                <w:color w:val="FF0000"/>
                <w:sz w:val="24"/>
                <w:szCs w:val="24"/>
              </w:rPr>
              <w:t>m</w:t>
            </w:r>
            <w:r>
              <w:rPr>
                <w:color w:val="FF0000"/>
                <w:sz w:val="24"/>
                <w:szCs w:val="24"/>
                <w:vertAlign w:val="superscript"/>
              </w:rPr>
              <w:t>3</w:t>
            </w:r>
            <w:r>
              <w:rPr>
                <w:rFonts w:hint="eastAsia"/>
                <w:color w:val="FF0000"/>
                <w:sz w:val="24"/>
                <w:szCs w:val="24"/>
              </w:rPr>
              <w:t>-燃料、二氧化硫0</w:t>
            </w:r>
            <w:r>
              <w:rPr>
                <w:color w:val="FF0000"/>
                <w:sz w:val="24"/>
                <w:szCs w:val="24"/>
              </w:rPr>
              <w:t>.02S</w:t>
            </w:r>
            <w:r>
              <w:rPr>
                <w:rFonts w:hint="eastAsia"/>
                <w:color w:val="FF0000"/>
                <w:sz w:val="24"/>
                <w:szCs w:val="24"/>
              </w:rPr>
              <w:t>kg</w:t>
            </w:r>
            <w:r>
              <w:rPr>
                <w:color w:val="FF0000"/>
                <w:sz w:val="24"/>
                <w:szCs w:val="24"/>
              </w:rPr>
              <w:t>/</w:t>
            </w:r>
            <w:r>
              <w:rPr>
                <w:rFonts w:hint="eastAsia"/>
                <w:color w:val="FF0000"/>
                <w:sz w:val="24"/>
                <w:szCs w:val="24"/>
              </w:rPr>
              <w:t>万m</w:t>
            </w:r>
            <w:r>
              <w:rPr>
                <w:color w:val="FF0000"/>
                <w:sz w:val="24"/>
                <w:szCs w:val="24"/>
                <w:vertAlign w:val="superscript"/>
              </w:rPr>
              <w:t>3</w:t>
            </w:r>
            <w:r>
              <w:rPr>
                <w:rFonts w:hint="eastAsia"/>
                <w:color w:val="FF0000"/>
                <w:sz w:val="24"/>
                <w:szCs w:val="24"/>
              </w:rPr>
              <w:t>-燃料（S指含硫量，单位mg</w:t>
            </w:r>
            <w:r>
              <w:rPr>
                <w:color w:val="FF0000"/>
                <w:sz w:val="24"/>
                <w:szCs w:val="24"/>
              </w:rPr>
              <w:t>/</w:t>
            </w:r>
            <w:r>
              <w:rPr>
                <w:rFonts w:hint="eastAsia"/>
                <w:color w:val="FF0000"/>
                <w:sz w:val="24"/>
                <w:szCs w:val="24"/>
              </w:rPr>
              <w:t>m</w:t>
            </w:r>
            <w:r>
              <w:rPr>
                <w:color w:val="FF0000"/>
                <w:sz w:val="24"/>
                <w:szCs w:val="24"/>
                <w:vertAlign w:val="superscript"/>
              </w:rPr>
              <w:t>3</w:t>
            </w:r>
            <w:r>
              <w:rPr>
                <w:rFonts w:hint="eastAsia"/>
                <w:color w:val="FF0000"/>
                <w:sz w:val="24"/>
                <w:szCs w:val="24"/>
              </w:rPr>
              <w:t>，本次评价取《天然气》（G</w:t>
            </w:r>
            <w:r>
              <w:rPr>
                <w:color w:val="FF0000"/>
                <w:sz w:val="24"/>
                <w:szCs w:val="24"/>
              </w:rPr>
              <w:t>B 17820-2018</w:t>
            </w:r>
            <w:r>
              <w:rPr>
                <w:rFonts w:hint="eastAsia"/>
                <w:color w:val="FF0000"/>
                <w:sz w:val="24"/>
                <w:szCs w:val="24"/>
              </w:rPr>
              <w:t>）中二类天然气质量标准硫含量1</w:t>
            </w:r>
            <w:r>
              <w:rPr>
                <w:color w:val="FF0000"/>
                <w:sz w:val="24"/>
                <w:szCs w:val="24"/>
              </w:rPr>
              <w:t>00</w:t>
            </w:r>
            <w:r>
              <w:rPr>
                <w:rFonts w:hint="eastAsia"/>
                <w:color w:val="FF0000"/>
                <w:sz w:val="24"/>
                <w:szCs w:val="24"/>
              </w:rPr>
              <w:t>mg</w:t>
            </w:r>
            <w:r>
              <w:rPr>
                <w:color w:val="FF0000"/>
                <w:sz w:val="24"/>
                <w:szCs w:val="24"/>
              </w:rPr>
              <w:t>/</w:t>
            </w:r>
            <w:r>
              <w:rPr>
                <w:rFonts w:hint="eastAsia"/>
                <w:color w:val="FF0000"/>
                <w:sz w:val="24"/>
                <w:szCs w:val="24"/>
              </w:rPr>
              <w:t>m</w:t>
            </w:r>
            <w:r>
              <w:rPr>
                <w:color w:val="FF0000"/>
                <w:sz w:val="24"/>
                <w:szCs w:val="24"/>
                <w:vertAlign w:val="superscript"/>
              </w:rPr>
              <w:t>3</w:t>
            </w:r>
            <w:r>
              <w:rPr>
                <w:rFonts w:hint="eastAsia"/>
                <w:color w:val="FF0000"/>
                <w:sz w:val="24"/>
                <w:szCs w:val="24"/>
              </w:rPr>
              <w:t>）、烟尘</w:t>
            </w:r>
            <w:r>
              <w:rPr>
                <w:color w:val="FF0000"/>
                <w:sz w:val="24"/>
                <w:szCs w:val="24"/>
              </w:rPr>
              <w:t>2.86</w:t>
            </w:r>
            <w:r>
              <w:rPr>
                <w:rFonts w:hint="eastAsia"/>
                <w:color w:val="FF0000"/>
                <w:sz w:val="24"/>
                <w:szCs w:val="24"/>
              </w:rPr>
              <w:t>kg</w:t>
            </w:r>
            <w:r>
              <w:rPr>
                <w:color w:val="FF0000"/>
                <w:sz w:val="24"/>
                <w:szCs w:val="24"/>
              </w:rPr>
              <w:t>/</w:t>
            </w:r>
            <w:r>
              <w:rPr>
                <w:rFonts w:hint="eastAsia"/>
                <w:color w:val="FF0000"/>
                <w:sz w:val="24"/>
                <w:szCs w:val="24"/>
              </w:rPr>
              <w:t>万m</w:t>
            </w:r>
            <w:r>
              <w:rPr>
                <w:color w:val="FF0000"/>
                <w:sz w:val="24"/>
                <w:szCs w:val="24"/>
                <w:vertAlign w:val="superscript"/>
              </w:rPr>
              <w:t>3</w:t>
            </w:r>
            <w:r>
              <w:rPr>
                <w:rFonts w:hint="eastAsia"/>
                <w:color w:val="FF0000"/>
                <w:sz w:val="24"/>
                <w:szCs w:val="24"/>
              </w:rPr>
              <w:t>-燃料、N</w:t>
            </w:r>
            <w:r>
              <w:rPr>
                <w:color w:val="FF0000"/>
                <w:sz w:val="24"/>
                <w:szCs w:val="24"/>
              </w:rPr>
              <w:t>O</w:t>
            </w:r>
            <w:r>
              <w:rPr>
                <w:color w:val="FF0000"/>
                <w:sz w:val="24"/>
                <w:szCs w:val="24"/>
                <w:vertAlign w:val="subscript"/>
              </w:rPr>
              <w:t>X</w:t>
            </w:r>
            <w:r>
              <w:rPr>
                <w:color w:val="FF0000"/>
                <w:sz w:val="24"/>
                <w:szCs w:val="24"/>
              </w:rPr>
              <w:t>15.87</w:t>
            </w:r>
            <w:r>
              <w:rPr>
                <w:rFonts w:hint="eastAsia"/>
                <w:color w:val="FF0000"/>
                <w:sz w:val="24"/>
                <w:szCs w:val="24"/>
              </w:rPr>
              <w:t>kg</w:t>
            </w:r>
            <w:r>
              <w:rPr>
                <w:color w:val="FF0000"/>
                <w:sz w:val="24"/>
                <w:szCs w:val="24"/>
              </w:rPr>
              <w:t>/</w:t>
            </w:r>
            <w:r>
              <w:rPr>
                <w:rFonts w:hint="eastAsia"/>
                <w:color w:val="FF0000"/>
                <w:sz w:val="24"/>
                <w:szCs w:val="24"/>
              </w:rPr>
              <w:t>万m</w:t>
            </w:r>
            <w:r>
              <w:rPr>
                <w:color w:val="FF0000"/>
                <w:sz w:val="24"/>
                <w:szCs w:val="24"/>
                <w:vertAlign w:val="superscript"/>
              </w:rPr>
              <w:t>3</w:t>
            </w:r>
            <w:r>
              <w:rPr>
                <w:rFonts w:hint="eastAsia"/>
                <w:color w:val="FF0000"/>
                <w:sz w:val="24"/>
                <w:szCs w:val="24"/>
              </w:rPr>
              <w:t>-燃料。</w:t>
            </w:r>
          </w:p>
          <w:p>
            <w:pPr>
              <w:pStyle w:val="228"/>
              <w:autoSpaceDE w:val="0"/>
              <w:autoSpaceDN w:val="0"/>
              <w:adjustRightInd w:val="0"/>
              <w:spacing w:line="360" w:lineRule="auto"/>
              <w:ind w:firstLine="480"/>
              <w:textAlignment w:val="baseline"/>
              <w:rPr>
                <w:bCs/>
                <w:color w:val="FF0000"/>
                <w:sz w:val="24"/>
                <w:szCs w:val="24"/>
              </w:rPr>
            </w:pPr>
            <w:r>
              <w:rPr>
                <w:rFonts w:hint="eastAsia"/>
                <w:color w:val="FF0000"/>
                <w:sz w:val="24"/>
                <w:szCs w:val="24"/>
              </w:rPr>
              <w:t>经核算项目天然气燃烧烟气量约</w:t>
            </w:r>
            <w:r>
              <w:rPr>
                <w:color w:val="FF0000"/>
                <w:sz w:val="24"/>
                <w:szCs w:val="24"/>
              </w:rPr>
              <w:t>9310N</w:t>
            </w:r>
            <w:r>
              <w:rPr>
                <w:rFonts w:hint="eastAsia"/>
                <w:color w:val="FF0000"/>
                <w:sz w:val="24"/>
                <w:szCs w:val="24"/>
              </w:rPr>
              <w:t>m</w:t>
            </w:r>
            <w:r>
              <w:rPr>
                <w:color w:val="FF0000"/>
                <w:sz w:val="24"/>
                <w:szCs w:val="24"/>
                <w:vertAlign w:val="superscript"/>
              </w:rPr>
              <w:t>3</w:t>
            </w:r>
            <w:r>
              <w:rPr>
                <w:color w:val="FF0000"/>
                <w:sz w:val="24"/>
                <w:szCs w:val="24"/>
              </w:rPr>
              <w:t>/</w:t>
            </w:r>
            <w:r>
              <w:rPr>
                <w:rFonts w:hint="eastAsia"/>
                <w:color w:val="FF0000"/>
                <w:sz w:val="24"/>
                <w:szCs w:val="24"/>
              </w:rPr>
              <w:t>h，颗粒物产生量约0</w:t>
            </w:r>
            <w:r>
              <w:rPr>
                <w:color w:val="FF0000"/>
                <w:sz w:val="24"/>
                <w:szCs w:val="24"/>
              </w:rPr>
              <w:t>.012</w:t>
            </w:r>
            <w:r>
              <w:rPr>
                <w:rFonts w:hint="eastAsia"/>
                <w:color w:val="FF0000"/>
                <w:sz w:val="24"/>
                <w:szCs w:val="24"/>
              </w:rPr>
              <w:t>t</w:t>
            </w:r>
            <w:r>
              <w:rPr>
                <w:color w:val="FF0000"/>
                <w:sz w:val="24"/>
                <w:szCs w:val="24"/>
              </w:rPr>
              <w:t>/</w:t>
            </w:r>
            <w:r>
              <w:rPr>
                <w:rFonts w:hint="eastAsia"/>
                <w:color w:val="FF0000"/>
                <w:sz w:val="24"/>
                <w:szCs w:val="24"/>
              </w:rPr>
              <w:t>a，S</w:t>
            </w:r>
            <w:r>
              <w:rPr>
                <w:color w:val="FF0000"/>
                <w:sz w:val="24"/>
                <w:szCs w:val="24"/>
              </w:rPr>
              <w:t>O</w:t>
            </w:r>
            <w:r>
              <w:rPr>
                <w:color w:val="FF0000"/>
                <w:sz w:val="24"/>
                <w:szCs w:val="24"/>
                <w:vertAlign w:val="subscript"/>
              </w:rPr>
              <w:t>2</w:t>
            </w:r>
            <w:r>
              <w:rPr>
                <w:rFonts w:hint="eastAsia"/>
                <w:color w:val="FF0000"/>
                <w:sz w:val="24"/>
                <w:szCs w:val="24"/>
              </w:rPr>
              <w:t>产生量约</w:t>
            </w:r>
            <w:r>
              <w:rPr>
                <w:color w:val="FF0000"/>
                <w:sz w:val="24"/>
                <w:szCs w:val="24"/>
              </w:rPr>
              <w:t>0.009</w:t>
            </w:r>
            <w:r>
              <w:rPr>
                <w:rFonts w:hint="eastAsia"/>
                <w:color w:val="FF0000"/>
                <w:sz w:val="24"/>
                <w:szCs w:val="24"/>
              </w:rPr>
              <w:t>t</w:t>
            </w:r>
            <w:r>
              <w:rPr>
                <w:color w:val="FF0000"/>
                <w:sz w:val="24"/>
                <w:szCs w:val="24"/>
              </w:rPr>
              <w:t>/</w:t>
            </w:r>
            <w:r>
              <w:rPr>
                <w:rFonts w:hint="eastAsia"/>
                <w:color w:val="FF0000"/>
                <w:sz w:val="24"/>
                <w:szCs w:val="24"/>
              </w:rPr>
              <w:t>a、N</w:t>
            </w:r>
            <w:r>
              <w:rPr>
                <w:color w:val="FF0000"/>
                <w:sz w:val="24"/>
                <w:szCs w:val="24"/>
              </w:rPr>
              <w:t>O</w:t>
            </w:r>
            <w:r>
              <w:rPr>
                <w:color w:val="FF0000"/>
                <w:sz w:val="24"/>
                <w:szCs w:val="24"/>
                <w:vertAlign w:val="subscript"/>
              </w:rPr>
              <w:t>X</w:t>
            </w:r>
            <w:r>
              <w:rPr>
                <w:rFonts w:hint="eastAsia"/>
                <w:color w:val="FF0000"/>
                <w:sz w:val="24"/>
                <w:szCs w:val="24"/>
              </w:rPr>
              <w:t>产生量约0</w:t>
            </w:r>
            <w:r>
              <w:rPr>
                <w:color w:val="FF0000"/>
                <w:sz w:val="24"/>
                <w:szCs w:val="24"/>
              </w:rPr>
              <w:t>.069</w:t>
            </w:r>
            <w:r>
              <w:rPr>
                <w:rFonts w:hint="eastAsia"/>
                <w:color w:val="FF0000"/>
                <w:sz w:val="24"/>
                <w:szCs w:val="24"/>
              </w:rPr>
              <w:t>t</w:t>
            </w:r>
            <w:r>
              <w:rPr>
                <w:color w:val="FF0000"/>
                <w:sz w:val="24"/>
                <w:szCs w:val="24"/>
              </w:rPr>
              <w:t>/</w:t>
            </w:r>
            <w:r>
              <w:rPr>
                <w:rFonts w:hint="eastAsia"/>
                <w:color w:val="FF0000"/>
                <w:sz w:val="24"/>
                <w:szCs w:val="24"/>
              </w:rPr>
              <w:t>a。</w:t>
            </w:r>
          </w:p>
          <w:p>
            <w:pPr>
              <w:pStyle w:val="228"/>
              <w:autoSpaceDE w:val="0"/>
              <w:autoSpaceDN w:val="0"/>
              <w:adjustRightInd w:val="0"/>
              <w:spacing w:line="360" w:lineRule="auto"/>
              <w:ind w:firstLine="482"/>
              <w:textAlignment w:val="baseline"/>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②正常工况</w:t>
            </w:r>
          </w:p>
          <w:p>
            <w:pPr>
              <w:pStyle w:val="228"/>
              <w:autoSpaceDE w:val="0"/>
              <w:autoSpaceDN w:val="0"/>
              <w:adjustRightInd w:val="0"/>
              <w:spacing w:line="360" w:lineRule="auto"/>
              <w:ind w:firstLine="480"/>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正常工况下，裂解炉有不凝气产生。</w:t>
            </w:r>
            <w:r>
              <w:rPr>
                <w:rFonts w:hint="eastAsia"/>
              </w:rPr>
              <w:t>其中，一部分作为裂解炉燃料气使用；一部分进入二燃室燃烧处理</w:t>
            </w:r>
            <w:r>
              <w:rPr>
                <w:rFonts w:hint="eastAsia"/>
                <w:color w:val="000000" w:themeColor="text1"/>
                <w:sz w:val="24"/>
                <w:szCs w:val="24"/>
                <w14:textFill>
                  <w14:solidFill>
                    <w14:schemeClr w14:val="tx1"/>
                  </w14:solidFill>
                </w14:textFill>
              </w:rPr>
              <w:t>。</w:t>
            </w:r>
          </w:p>
          <w:p>
            <w:pPr>
              <w:pStyle w:val="228"/>
              <w:autoSpaceDE w:val="0"/>
              <w:autoSpaceDN w:val="0"/>
              <w:adjustRightInd w:val="0"/>
              <w:spacing w:line="360" w:lineRule="auto"/>
              <w:ind w:firstLine="480"/>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燃烧烟气中的主要污染物为：烟尘（颗粒物）、S</w:t>
            </w:r>
            <w:r>
              <w:rPr>
                <w:color w:val="000000" w:themeColor="text1"/>
                <w:sz w:val="24"/>
                <w:szCs w:val="24"/>
                <w14:textFill>
                  <w14:solidFill>
                    <w14:schemeClr w14:val="tx1"/>
                  </w14:solidFill>
                </w14:textFill>
              </w:rPr>
              <w:t>O</w:t>
            </w:r>
            <w:r>
              <w:rPr>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、H</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S</w:t>
            </w:r>
            <w:r>
              <w:rPr>
                <w:rFonts w:hint="eastAsia"/>
                <w:color w:val="000000" w:themeColor="text1"/>
                <w:sz w:val="24"/>
                <w:szCs w:val="24"/>
                <w14:textFill>
                  <w14:solidFill>
                    <w14:schemeClr w14:val="tx1"/>
                  </w14:solidFill>
                </w14:textFill>
              </w:rPr>
              <w:t>、N</w:t>
            </w:r>
            <w:r>
              <w:rPr>
                <w:color w:val="000000" w:themeColor="text1"/>
                <w:sz w:val="24"/>
                <w:szCs w:val="24"/>
                <w14:textFill>
                  <w14:solidFill>
                    <w14:schemeClr w14:val="tx1"/>
                  </w14:solidFill>
                </w14:textFill>
              </w:rPr>
              <w:t>O</w:t>
            </w:r>
            <w:r>
              <w:rPr>
                <w:color w:val="000000" w:themeColor="text1"/>
                <w:sz w:val="24"/>
                <w:szCs w:val="24"/>
                <w:vertAlign w:val="subscript"/>
                <w14:textFill>
                  <w14:solidFill>
                    <w14:schemeClr w14:val="tx1"/>
                  </w14:solidFill>
                </w14:textFill>
              </w:rPr>
              <w:t>X</w:t>
            </w:r>
            <w:r>
              <w:rPr>
                <w:rFonts w:hint="eastAsia"/>
                <w:color w:val="000000" w:themeColor="text1"/>
                <w:sz w:val="24"/>
                <w:szCs w:val="24"/>
                <w14:textFill>
                  <w14:solidFill>
                    <w14:schemeClr w14:val="tx1"/>
                  </w14:solidFill>
                </w14:textFill>
              </w:rPr>
              <w:t>、非甲烷总烃、甲苯、二甲苯、二噁英类、臭气浓度、林格曼黑度。</w:t>
            </w:r>
          </w:p>
          <w:p>
            <w:pPr>
              <w:pStyle w:val="228"/>
              <w:autoSpaceDE w:val="0"/>
              <w:autoSpaceDN w:val="0"/>
              <w:adjustRightInd w:val="0"/>
              <w:spacing w:line="360" w:lineRule="auto"/>
              <w:ind w:firstLine="480"/>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a.不凝气燃烧烟气量、颗粒物、N</w:t>
            </w:r>
            <w:r>
              <w:rPr>
                <w:color w:val="000000" w:themeColor="text1"/>
                <w:sz w:val="24"/>
                <w:szCs w:val="24"/>
                <w14:textFill>
                  <w14:solidFill>
                    <w14:schemeClr w14:val="tx1"/>
                  </w14:solidFill>
                </w14:textFill>
              </w:rPr>
              <w:t>O</w:t>
            </w:r>
            <w:r>
              <w:rPr>
                <w:color w:val="000000" w:themeColor="text1"/>
                <w:sz w:val="24"/>
                <w:szCs w:val="24"/>
                <w:vertAlign w:val="subscript"/>
                <w14:textFill>
                  <w14:solidFill>
                    <w14:schemeClr w14:val="tx1"/>
                  </w14:solidFill>
                </w14:textFill>
              </w:rPr>
              <w:t>X</w:t>
            </w:r>
            <w:r>
              <w:rPr>
                <w:rFonts w:hint="eastAsia"/>
                <w:color w:val="000000" w:themeColor="text1"/>
                <w:sz w:val="24"/>
                <w:szCs w:val="24"/>
                <w14:textFill>
                  <w14:solidFill>
                    <w14:schemeClr w14:val="tx1"/>
                  </w14:solidFill>
                </w14:textFill>
              </w:rPr>
              <w:t>、V</w:t>
            </w:r>
            <w:r>
              <w:rPr>
                <w:color w:val="000000" w:themeColor="text1"/>
                <w:sz w:val="24"/>
                <w:szCs w:val="24"/>
                <w14:textFill>
                  <w14:solidFill>
                    <w14:schemeClr w14:val="tx1"/>
                  </w14:solidFill>
                </w14:textFill>
              </w:rPr>
              <w:t>OC</w:t>
            </w:r>
            <w:r>
              <w:rPr>
                <w:rFonts w:hint="eastAsia"/>
                <w:color w:val="000000" w:themeColor="text1"/>
                <w:sz w:val="24"/>
                <w:szCs w:val="24"/>
                <w14:textFill>
                  <w14:solidFill>
                    <w14:schemeClr w14:val="tx1"/>
                  </w14:solidFill>
                </w14:textFill>
              </w:rPr>
              <w:t>s（以非甲烷总体计）</w:t>
            </w:r>
          </w:p>
          <w:p>
            <w:pPr>
              <w:pStyle w:val="228"/>
              <w:autoSpaceDE w:val="0"/>
              <w:autoSpaceDN w:val="0"/>
              <w:adjustRightInd w:val="0"/>
              <w:spacing w:line="360" w:lineRule="auto"/>
              <w:ind w:firstLine="480"/>
              <w:textAlignment w:val="baseline"/>
              <w:rPr>
                <w:color w:val="FF0000"/>
                <w:sz w:val="24"/>
                <w:szCs w:val="24"/>
              </w:rPr>
            </w:pPr>
            <w:r>
              <w:rPr>
                <w:rFonts w:hint="eastAsia"/>
                <w:color w:val="FF0000"/>
                <w:sz w:val="24"/>
                <w:szCs w:val="24"/>
              </w:rPr>
              <w:t>根据物料平衡及热量平衡，项目不凝气产生量为7</w:t>
            </w:r>
            <w:r>
              <w:rPr>
                <w:color w:val="FF0000"/>
                <w:sz w:val="24"/>
                <w:szCs w:val="24"/>
              </w:rPr>
              <w:t>200</w:t>
            </w:r>
            <w:r>
              <w:rPr>
                <w:rFonts w:hint="eastAsia"/>
                <w:color w:val="FF0000"/>
                <w:sz w:val="24"/>
                <w:szCs w:val="24"/>
              </w:rPr>
              <w:t>t</w:t>
            </w:r>
            <w:r>
              <w:rPr>
                <w:color w:val="FF0000"/>
                <w:sz w:val="24"/>
                <w:szCs w:val="24"/>
              </w:rPr>
              <w:t>/</w:t>
            </w:r>
            <w:r>
              <w:rPr>
                <w:rFonts w:hint="eastAsia"/>
                <w:color w:val="FF0000"/>
                <w:sz w:val="24"/>
                <w:szCs w:val="24"/>
              </w:rPr>
              <w:t>a，其中用于裂解炉燃烧室燃烧的不凝气为5</w:t>
            </w:r>
            <w:r>
              <w:rPr>
                <w:color w:val="FF0000"/>
                <w:sz w:val="24"/>
                <w:szCs w:val="24"/>
              </w:rPr>
              <w:t>713.92</w:t>
            </w:r>
            <w:r>
              <w:rPr>
                <w:rFonts w:hint="eastAsia"/>
                <w:color w:val="FF0000"/>
                <w:sz w:val="24"/>
                <w:szCs w:val="24"/>
              </w:rPr>
              <w:t>t</w:t>
            </w:r>
            <w:r>
              <w:rPr>
                <w:color w:val="FF0000"/>
                <w:sz w:val="24"/>
                <w:szCs w:val="24"/>
              </w:rPr>
              <w:t>/</w:t>
            </w:r>
            <w:r>
              <w:rPr>
                <w:rFonts w:hint="eastAsia"/>
                <w:color w:val="FF0000"/>
                <w:sz w:val="24"/>
                <w:szCs w:val="24"/>
              </w:rPr>
              <w:t>a（占比7</w:t>
            </w:r>
            <w:r>
              <w:rPr>
                <w:color w:val="FF0000"/>
                <w:sz w:val="24"/>
                <w:szCs w:val="24"/>
              </w:rPr>
              <w:t>9.36</w:t>
            </w:r>
            <w:r>
              <w:rPr>
                <w:rFonts w:hint="eastAsia"/>
                <w:color w:val="FF0000"/>
                <w:sz w:val="24"/>
                <w:szCs w:val="24"/>
              </w:rPr>
              <w:t>%），用于二燃室燃烧的不凝气为1</w:t>
            </w:r>
            <w:r>
              <w:rPr>
                <w:color w:val="FF0000"/>
                <w:sz w:val="24"/>
                <w:szCs w:val="24"/>
              </w:rPr>
              <w:t>486.08</w:t>
            </w:r>
            <w:r>
              <w:rPr>
                <w:rFonts w:hint="eastAsia"/>
                <w:color w:val="FF0000"/>
                <w:sz w:val="24"/>
                <w:szCs w:val="24"/>
              </w:rPr>
              <w:t>t</w:t>
            </w:r>
            <w:r>
              <w:rPr>
                <w:color w:val="FF0000"/>
                <w:sz w:val="24"/>
                <w:szCs w:val="24"/>
              </w:rPr>
              <w:t>/</w:t>
            </w:r>
            <w:r>
              <w:rPr>
                <w:rFonts w:hint="eastAsia"/>
                <w:color w:val="FF0000"/>
                <w:sz w:val="24"/>
                <w:szCs w:val="24"/>
              </w:rPr>
              <w:t>a（占比2</w:t>
            </w:r>
            <w:r>
              <w:rPr>
                <w:color w:val="FF0000"/>
                <w:sz w:val="24"/>
                <w:szCs w:val="24"/>
              </w:rPr>
              <w:t>0.64</w:t>
            </w:r>
            <w:r>
              <w:rPr>
                <w:rFonts w:hint="eastAsia"/>
                <w:color w:val="FF0000"/>
                <w:sz w:val="24"/>
                <w:szCs w:val="24"/>
              </w:rPr>
              <w:t>%）。由表2.</w:t>
            </w:r>
            <w:r>
              <w:rPr>
                <w:color w:val="FF0000"/>
                <w:sz w:val="24"/>
                <w:szCs w:val="24"/>
              </w:rPr>
              <w:t>5-3</w:t>
            </w:r>
            <w:r>
              <w:rPr>
                <w:rFonts w:hint="eastAsia"/>
                <w:color w:val="FF0000"/>
                <w:sz w:val="24"/>
                <w:szCs w:val="24"/>
              </w:rPr>
              <w:t>可知，不凝气标况下密度0</w:t>
            </w:r>
            <w:r>
              <w:rPr>
                <w:color w:val="FF0000"/>
                <w:sz w:val="24"/>
                <w:szCs w:val="24"/>
              </w:rPr>
              <w:t>.7174</w:t>
            </w:r>
            <w:r>
              <w:rPr>
                <w:rFonts w:hint="eastAsia"/>
                <w:color w:val="FF0000"/>
                <w:sz w:val="24"/>
                <w:szCs w:val="24"/>
              </w:rPr>
              <w:t>kg</w:t>
            </w:r>
            <w:r>
              <w:rPr>
                <w:color w:val="FF0000"/>
                <w:sz w:val="24"/>
                <w:szCs w:val="24"/>
              </w:rPr>
              <w:t>/</w:t>
            </w:r>
            <w:r>
              <w:rPr>
                <w:rFonts w:hint="eastAsia"/>
                <w:color w:val="FF0000"/>
                <w:sz w:val="24"/>
                <w:szCs w:val="24"/>
              </w:rPr>
              <w:t>m</w:t>
            </w:r>
            <w:r>
              <w:rPr>
                <w:color w:val="FF0000"/>
                <w:sz w:val="24"/>
                <w:szCs w:val="24"/>
                <w:vertAlign w:val="superscript"/>
              </w:rPr>
              <w:t>3</w:t>
            </w:r>
            <w:r>
              <w:rPr>
                <w:rFonts w:hint="eastAsia"/>
                <w:color w:val="FF0000"/>
                <w:sz w:val="24"/>
                <w:szCs w:val="24"/>
              </w:rPr>
              <w:t>，不凝气折算成体积1</w:t>
            </w:r>
            <w:r>
              <w:rPr>
                <w:color w:val="FF0000"/>
                <w:sz w:val="24"/>
                <w:szCs w:val="24"/>
              </w:rPr>
              <w:t>003.62</w:t>
            </w:r>
            <w:r>
              <w:rPr>
                <w:rFonts w:hint="eastAsia"/>
                <w:color w:val="FF0000"/>
                <w:sz w:val="24"/>
                <w:szCs w:val="24"/>
              </w:rPr>
              <w:t>万m</w:t>
            </w:r>
            <w:r>
              <w:rPr>
                <w:color w:val="FF0000"/>
                <w:sz w:val="24"/>
                <w:szCs w:val="24"/>
                <w:vertAlign w:val="superscript"/>
              </w:rPr>
              <w:t>3</w:t>
            </w:r>
            <w:r>
              <w:rPr>
                <w:color w:val="FF0000"/>
                <w:sz w:val="24"/>
                <w:szCs w:val="24"/>
              </w:rPr>
              <w:t>/</w:t>
            </w:r>
            <w:r>
              <w:rPr>
                <w:rFonts w:hint="eastAsia"/>
                <w:color w:val="FF0000"/>
                <w:sz w:val="24"/>
                <w:szCs w:val="24"/>
              </w:rPr>
              <w:t>a。裂解炉燃烧室和二燃室正常工况下年工作时间为7</w:t>
            </w:r>
            <w:r>
              <w:rPr>
                <w:color w:val="FF0000"/>
                <w:sz w:val="24"/>
                <w:szCs w:val="24"/>
              </w:rPr>
              <w:t>150</w:t>
            </w:r>
            <w:r>
              <w:rPr>
                <w:rFonts w:hint="eastAsia"/>
                <w:color w:val="FF0000"/>
                <w:sz w:val="24"/>
                <w:szCs w:val="24"/>
              </w:rPr>
              <w:t>h。</w:t>
            </w:r>
          </w:p>
          <w:p>
            <w:pPr>
              <w:pStyle w:val="228"/>
              <w:autoSpaceDE w:val="0"/>
              <w:autoSpaceDN w:val="0"/>
              <w:adjustRightInd w:val="0"/>
              <w:spacing w:line="360" w:lineRule="auto"/>
              <w:ind w:firstLine="480"/>
              <w:textAlignment w:val="baseline"/>
              <w:rPr>
                <w:color w:val="FF0000"/>
                <w:sz w:val="24"/>
                <w:szCs w:val="24"/>
              </w:rPr>
            </w:pPr>
            <w:r>
              <w:rPr>
                <w:rFonts w:hint="eastAsia"/>
                <w:color w:val="FF0000"/>
                <w:sz w:val="24"/>
                <w:szCs w:val="24"/>
              </w:rPr>
              <w:t>不凝气组分特性和天然气相近，故本次不凝气烟气量类比天然气。经核算不凝气燃烧烟气量为</w:t>
            </w:r>
            <w:r>
              <w:rPr>
                <w:color w:val="FF0000"/>
                <w:sz w:val="24"/>
                <w:szCs w:val="24"/>
              </w:rPr>
              <w:t>10814.3</w:t>
            </w:r>
            <w:r>
              <w:rPr>
                <w:rFonts w:hint="eastAsia"/>
                <w:color w:val="FF0000"/>
                <w:sz w:val="24"/>
                <w:szCs w:val="24"/>
              </w:rPr>
              <w:t>万N</w:t>
            </w:r>
            <w:r>
              <w:rPr>
                <w:color w:val="FF0000"/>
                <w:sz w:val="24"/>
                <w:szCs w:val="24"/>
              </w:rPr>
              <w:t>m</w:t>
            </w:r>
            <w:r>
              <w:rPr>
                <w:color w:val="FF0000"/>
                <w:sz w:val="24"/>
                <w:szCs w:val="24"/>
                <w:vertAlign w:val="superscript"/>
              </w:rPr>
              <w:t>3</w:t>
            </w:r>
            <w:r>
              <w:rPr>
                <w:color w:val="FF0000"/>
                <w:sz w:val="24"/>
                <w:szCs w:val="24"/>
              </w:rPr>
              <w:t>/</w:t>
            </w:r>
            <w:r>
              <w:rPr>
                <w:rFonts w:hint="eastAsia"/>
                <w:color w:val="FF0000"/>
                <w:sz w:val="24"/>
                <w:szCs w:val="24"/>
              </w:rPr>
              <w:t>a，</w:t>
            </w:r>
            <w:r>
              <w:rPr>
                <w:color w:val="FF0000"/>
                <w:sz w:val="24"/>
                <w:szCs w:val="24"/>
              </w:rPr>
              <w:t>15125N</w:t>
            </w:r>
            <w:r>
              <w:rPr>
                <w:rFonts w:hint="eastAsia"/>
                <w:color w:val="FF0000"/>
                <w:sz w:val="24"/>
                <w:szCs w:val="24"/>
              </w:rPr>
              <w:t>m</w:t>
            </w:r>
            <w:r>
              <w:rPr>
                <w:color w:val="FF0000"/>
                <w:sz w:val="24"/>
                <w:szCs w:val="24"/>
                <w:vertAlign w:val="superscript"/>
              </w:rPr>
              <w:t>3</w:t>
            </w:r>
            <w:r>
              <w:rPr>
                <w:color w:val="FF0000"/>
                <w:sz w:val="24"/>
                <w:szCs w:val="24"/>
              </w:rPr>
              <w:t>/</w:t>
            </w:r>
            <w:r>
              <w:rPr>
                <w:rFonts w:hint="eastAsia"/>
                <w:color w:val="FF0000"/>
                <w:sz w:val="24"/>
                <w:szCs w:val="24"/>
              </w:rPr>
              <w:t>h。含油废水较少，燃烧烟气量忽略不计。</w:t>
            </w:r>
          </w:p>
          <w:p>
            <w:pPr>
              <w:pStyle w:val="228"/>
              <w:autoSpaceDE w:val="0"/>
              <w:autoSpaceDN w:val="0"/>
              <w:adjustRightInd w:val="0"/>
              <w:spacing w:line="360" w:lineRule="auto"/>
              <w:ind w:firstLine="480"/>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本次评价根据《排污许可证申请与核发技术规范 废弃资源加工工业（HJ 1034-2019）》中5</w:t>
            </w:r>
            <w:r>
              <w:rPr>
                <w:color w:val="000000" w:themeColor="text1"/>
                <w:sz w:val="24"/>
                <w:szCs w:val="24"/>
                <w14:textFill>
                  <w14:solidFill>
                    <w14:schemeClr w14:val="tx1"/>
                  </w14:solidFill>
                </w14:textFill>
              </w:rPr>
              <w:t>.2.3.1</w:t>
            </w:r>
            <w:r>
              <w:rPr>
                <w:rFonts w:hint="eastAsia"/>
                <w:color w:val="000000" w:themeColor="text1"/>
                <w:sz w:val="24"/>
                <w:szCs w:val="24"/>
                <w14:textFill>
                  <w14:solidFill>
                    <w14:schemeClr w14:val="tx1"/>
                  </w14:solidFill>
                </w14:textFill>
              </w:rPr>
              <w:t>章节的绩效法核算烟气中的颗粒物、NOx、非甲烷总烃的排放量，计算公式如下：</w:t>
            </w:r>
          </w:p>
          <w:p>
            <w:pPr>
              <w:pStyle w:val="228"/>
              <w:autoSpaceDE w:val="0"/>
              <w:autoSpaceDN w:val="0"/>
              <w:adjustRightInd w:val="0"/>
              <w:spacing w:line="240" w:lineRule="auto"/>
              <w:ind w:firstLine="0" w:firstLineChars="0"/>
              <w:jc w:val="center"/>
              <w:textAlignment w:val="baseline"/>
              <w:rPr>
                <w:color w:val="000000" w:themeColor="text1"/>
                <w:sz w:val="24"/>
                <w:szCs w:val="24"/>
                <w14:textFill>
                  <w14:solidFill>
                    <w14:schemeClr w14:val="tx1"/>
                  </w14:solidFill>
                </w14:textFill>
              </w:rPr>
            </w:pPr>
            <w:r>
              <w:drawing>
                <wp:inline distT="0" distB="0" distL="0" distR="0">
                  <wp:extent cx="1492885" cy="6127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2"/>
                          <a:stretch>
                            <a:fillRect/>
                          </a:stretch>
                        </pic:blipFill>
                        <pic:spPr>
                          <a:xfrm>
                            <a:off x="0" y="0"/>
                            <a:ext cx="1529964" cy="628246"/>
                          </a:xfrm>
                          <a:prstGeom prst="rect">
                            <a:avLst/>
                          </a:prstGeom>
                        </pic:spPr>
                      </pic:pic>
                    </a:graphicData>
                  </a:graphic>
                </wp:inline>
              </w:drawing>
            </w:r>
          </w:p>
          <w:p>
            <w:pPr>
              <w:pStyle w:val="228"/>
              <w:autoSpaceDE w:val="0"/>
              <w:autoSpaceDN w:val="0"/>
              <w:adjustRightInd w:val="0"/>
              <w:spacing w:line="360" w:lineRule="auto"/>
              <w:ind w:firstLine="480"/>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式中：E</w:t>
            </w:r>
            <w:r>
              <w:rPr>
                <w:rFonts w:hint="eastAsia"/>
                <w:color w:val="000000" w:themeColor="text1"/>
                <w:sz w:val="24"/>
                <w:szCs w:val="24"/>
                <w:vertAlign w:val="subscript"/>
                <w14:textFill>
                  <w14:solidFill>
                    <w14:schemeClr w14:val="tx1"/>
                  </w14:solidFill>
                </w14:textFill>
              </w:rPr>
              <w:t>j</w:t>
            </w:r>
            <w:r>
              <w:rPr>
                <w:rFonts w:hint="eastAsia"/>
                <w:color w:val="000000" w:themeColor="text1"/>
                <w:sz w:val="24"/>
                <w:szCs w:val="24"/>
                <w14:textFill>
                  <w14:solidFill>
                    <w14:schemeClr w14:val="tx1"/>
                  </w14:solidFill>
                </w14:textFill>
              </w:rPr>
              <w:t>—排污单位第j项大气污染物的年许可排放量，t</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a；</w:t>
            </w:r>
          </w:p>
          <w:p>
            <w:pPr>
              <w:pStyle w:val="228"/>
              <w:autoSpaceDE w:val="0"/>
              <w:autoSpaceDN w:val="0"/>
              <w:adjustRightInd w:val="0"/>
              <w:spacing w:line="360" w:lineRule="auto"/>
              <w:ind w:firstLine="1200" w:firstLineChars="500"/>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w:t>
            </w:r>
            <w:r>
              <w:rPr>
                <w:rFonts w:hint="eastAsia"/>
                <w:color w:val="000000" w:themeColor="text1"/>
                <w:sz w:val="24"/>
                <w:szCs w:val="24"/>
                <w:vertAlign w:val="subscript"/>
                <w14:textFill>
                  <w14:solidFill>
                    <w14:schemeClr w14:val="tx1"/>
                  </w14:solidFill>
                </w14:textFill>
              </w:rPr>
              <w:t>ij</w:t>
            </w:r>
            <w:r>
              <w:rPr>
                <w:rFonts w:hint="eastAsia"/>
                <w:color w:val="000000" w:themeColor="text1"/>
                <w:sz w:val="24"/>
                <w:szCs w:val="24"/>
                <w14:textFill>
                  <w14:solidFill>
                    <w14:schemeClr w14:val="tx1"/>
                  </w14:solidFill>
                </w14:textFill>
              </w:rPr>
              <w:t>—第i个主要排放口第j项大气污染物单位产品排放绩效值，kg</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t，其中颗粒物、NOx、非甲烷总烃污染物排放绩效值取值分别为0</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kg</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t-热裂解油、</w:t>
            </w:r>
            <w:r>
              <w:rPr>
                <w:color w:val="000000" w:themeColor="text1"/>
                <w:sz w:val="24"/>
                <w:szCs w:val="24"/>
                <w14:textFill>
                  <w14:solidFill>
                    <w14:schemeClr w14:val="tx1"/>
                  </w14:solidFill>
                </w14:textFill>
              </w:rPr>
              <w:t>0.5</w:t>
            </w:r>
            <w:r>
              <w:rPr>
                <w:rFonts w:hint="eastAsia"/>
                <w:color w:val="000000" w:themeColor="text1"/>
                <w:sz w:val="24"/>
                <w:szCs w:val="24"/>
                <w14:textFill>
                  <w14:solidFill>
                    <w14:schemeClr w14:val="tx1"/>
                  </w14:solidFill>
                </w14:textFill>
              </w:rPr>
              <w:t>kg</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t-热裂解油、</w:t>
            </w:r>
            <w:r>
              <w:rPr>
                <w:color w:val="000000" w:themeColor="text1"/>
                <w:sz w:val="24"/>
                <w:szCs w:val="24"/>
                <w14:textFill>
                  <w14:solidFill>
                    <w14:schemeClr w14:val="tx1"/>
                  </w14:solidFill>
                </w14:textFill>
              </w:rPr>
              <w:t>0.3</w:t>
            </w:r>
            <w:r>
              <w:rPr>
                <w:rFonts w:hint="eastAsia"/>
                <w:color w:val="000000" w:themeColor="text1"/>
                <w:sz w:val="24"/>
                <w:szCs w:val="24"/>
                <w14:textFill>
                  <w14:solidFill>
                    <w14:schemeClr w14:val="tx1"/>
                  </w14:solidFill>
                </w14:textFill>
              </w:rPr>
              <w:t>kg</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t-热裂解油。</w:t>
            </w:r>
          </w:p>
          <w:p>
            <w:pPr>
              <w:pStyle w:val="228"/>
              <w:autoSpaceDE w:val="0"/>
              <w:autoSpaceDN w:val="0"/>
              <w:adjustRightInd w:val="0"/>
              <w:spacing w:line="360" w:lineRule="auto"/>
              <w:ind w:firstLine="1200" w:firstLineChars="500"/>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Q—产品的设计产能，t</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a；</w:t>
            </w:r>
          </w:p>
          <w:p>
            <w:pPr>
              <w:pStyle w:val="228"/>
              <w:autoSpaceDE w:val="0"/>
              <w:autoSpaceDN w:val="0"/>
              <w:adjustRightInd w:val="0"/>
              <w:spacing w:line="360" w:lineRule="auto"/>
              <w:ind w:firstLine="1200" w:firstLineChars="500"/>
              <w:textAlignment w:val="baseline"/>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N</w:t>
            </w:r>
            <w:r>
              <w:rPr>
                <w:rFonts w:hint="eastAsia"/>
                <w:color w:val="000000" w:themeColor="text1"/>
                <w:sz w:val="24"/>
                <w:szCs w:val="24"/>
                <w14:textFill>
                  <w14:solidFill>
                    <w14:schemeClr w14:val="tx1"/>
                  </w14:solidFill>
                </w14:textFill>
              </w:rPr>
              <w:t>—主要排放口数量，量纲一。</w:t>
            </w:r>
          </w:p>
          <w:p>
            <w:pPr>
              <w:pStyle w:val="228"/>
              <w:autoSpaceDE w:val="0"/>
              <w:autoSpaceDN w:val="0"/>
              <w:adjustRightInd w:val="0"/>
              <w:spacing w:line="360" w:lineRule="auto"/>
              <w:ind w:firstLine="480"/>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根据物料平衡，本项目裂解油约3</w:t>
            </w:r>
            <w:r>
              <w:rPr>
                <w:color w:val="000000" w:themeColor="text1"/>
                <w:sz w:val="24"/>
                <w:szCs w:val="24"/>
                <w14:textFill>
                  <w14:solidFill>
                    <w14:schemeClr w14:val="tx1"/>
                  </w14:solidFill>
                </w14:textFill>
              </w:rPr>
              <w:t>6000</w:t>
            </w:r>
            <w:r>
              <w:rPr>
                <w:rFonts w:hint="eastAsia"/>
                <w:color w:val="000000" w:themeColor="text1"/>
                <w:sz w:val="24"/>
                <w:szCs w:val="24"/>
                <w14:textFill>
                  <w14:solidFill>
                    <w14:schemeClr w14:val="tx1"/>
                  </w14:solidFill>
                </w14:textFill>
              </w:rPr>
              <w:t>t</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a。根据上述公式计算，项目颗粒物产生量为</w:t>
            </w:r>
            <w:r>
              <w:rPr>
                <w:color w:val="000000" w:themeColor="text1"/>
                <w:sz w:val="24"/>
                <w:szCs w:val="24"/>
                <w14:textFill>
                  <w14:solidFill>
                    <w14:schemeClr w14:val="tx1"/>
                  </w14:solidFill>
                </w14:textFill>
              </w:rPr>
              <w:t>7.2</w:t>
            </w:r>
            <w:r>
              <w:rPr>
                <w:rFonts w:hint="eastAsia"/>
                <w:color w:val="000000" w:themeColor="text1"/>
                <w:sz w:val="24"/>
                <w:szCs w:val="24"/>
                <w14:textFill>
                  <w14:solidFill>
                    <w14:schemeClr w14:val="tx1"/>
                  </w14:solidFill>
                </w14:textFill>
              </w:rPr>
              <w:t>t</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a、氮氧化物产生量为</w:t>
            </w:r>
            <w:r>
              <w:rPr>
                <w:color w:val="000000" w:themeColor="text1"/>
                <w:sz w:val="24"/>
                <w:szCs w:val="24"/>
                <w14:textFill>
                  <w14:solidFill>
                    <w14:schemeClr w14:val="tx1"/>
                  </w14:solidFill>
                </w14:textFill>
              </w:rPr>
              <w:t>18.0</w:t>
            </w:r>
            <w:r>
              <w:rPr>
                <w:rFonts w:hint="eastAsia"/>
                <w:color w:val="000000" w:themeColor="text1"/>
                <w:sz w:val="24"/>
                <w:szCs w:val="24"/>
                <w14:textFill>
                  <w14:solidFill>
                    <w14:schemeClr w14:val="tx1"/>
                  </w14:solidFill>
                </w14:textFill>
              </w:rPr>
              <w:t>t</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a、非甲烷总烃产生量为</w:t>
            </w:r>
            <w:r>
              <w:rPr>
                <w:color w:val="000000" w:themeColor="text1"/>
                <w:sz w:val="24"/>
                <w:szCs w:val="24"/>
                <w14:textFill>
                  <w14:solidFill>
                    <w14:schemeClr w14:val="tx1"/>
                  </w14:solidFill>
                </w14:textFill>
              </w:rPr>
              <w:t>10.8</w:t>
            </w:r>
            <w:r>
              <w:rPr>
                <w:rFonts w:hint="eastAsia"/>
                <w:color w:val="000000" w:themeColor="text1"/>
                <w:sz w:val="24"/>
                <w:szCs w:val="24"/>
                <w14:textFill>
                  <w14:solidFill>
                    <w14:schemeClr w14:val="tx1"/>
                  </w14:solidFill>
                </w14:textFill>
              </w:rPr>
              <w:t>t</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a。</w:t>
            </w:r>
          </w:p>
          <w:p>
            <w:pPr>
              <w:pStyle w:val="228"/>
              <w:autoSpaceDE w:val="0"/>
              <w:autoSpaceDN w:val="0"/>
              <w:adjustRightInd w:val="0"/>
              <w:spacing w:line="360" w:lineRule="auto"/>
              <w:ind w:firstLine="480"/>
              <w:textAlignment w:val="baseline"/>
              <w:rPr>
                <w:color w:val="FF0000"/>
                <w:sz w:val="24"/>
                <w:szCs w:val="24"/>
              </w:rPr>
            </w:pPr>
            <w:r>
              <w:rPr>
                <w:rFonts w:hint="eastAsia"/>
                <w:color w:val="FF0000"/>
                <w:sz w:val="24"/>
                <w:szCs w:val="24"/>
              </w:rPr>
              <w:t>b、不凝气燃烧H</w:t>
            </w:r>
            <w:r>
              <w:rPr>
                <w:color w:val="FF0000"/>
                <w:sz w:val="24"/>
                <w:szCs w:val="24"/>
                <w:vertAlign w:val="subscript"/>
              </w:rPr>
              <w:t>2</w:t>
            </w:r>
            <w:r>
              <w:rPr>
                <w:color w:val="FF0000"/>
                <w:sz w:val="24"/>
                <w:szCs w:val="24"/>
              </w:rPr>
              <w:t>S</w:t>
            </w:r>
            <w:r>
              <w:rPr>
                <w:rFonts w:hint="eastAsia"/>
                <w:color w:val="FF0000"/>
                <w:sz w:val="24"/>
                <w:szCs w:val="24"/>
              </w:rPr>
              <w:t>、S</w:t>
            </w:r>
            <w:r>
              <w:rPr>
                <w:color w:val="FF0000"/>
                <w:sz w:val="24"/>
                <w:szCs w:val="24"/>
              </w:rPr>
              <w:t>O</w:t>
            </w:r>
            <w:r>
              <w:rPr>
                <w:color w:val="FF0000"/>
                <w:sz w:val="24"/>
                <w:szCs w:val="24"/>
                <w:vertAlign w:val="subscript"/>
              </w:rPr>
              <w:t>2</w:t>
            </w:r>
            <w:r>
              <w:rPr>
                <w:rFonts w:hint="eastAsia"/>
                <w:color w:val="FF0000"/>
                <w:sz w:val="24"/>
                <w:szCs w:val="24"/>
              </w:rPr>
              <w:t>、臭气浓度、烟气黑度（林格曼黑度）</w:t>
            </w:r>
          </w:p>
          <w:p>
            <w:pPr>
              <w:pStyle w:val="228"/>
              <w:autoSpaceDE w:val="0"/>
              <w:autoSpaceDN w:val="0"/>
              <w:adjustRightInd w:val="0"/>
              <w:spacing w:line="360" w:lineRule="auto"/>
              <w:ind w:firstLine="480"/>
              <w:textAlignment w:val="baseline"/>
              <w:rPr>
                <w:bCs/>
                <w:color w:val="FF0000"/>
                <w:sz w:val="24"/>
                <w:szCs w:val="24"/>
              </w:rPr>
            </w:pPr>
            <w:r>
              <w:rPr>
                <w:rFonts w:hint="eastAsia"/>
                <w:bCs/>
                <w:color w:val="FF0000"/>
                <w:sz w:val="24"/>
                <w:szCs w:val="24"/>
              </w:rPr>
              <w:t>根据表2</w:t>
            </w:r>
            <w:r>
              <w:rPr>
                <w:bCs/>
                <w:color w:val="FF0000"/>
                <w:sz w:val="24"/>
                <w:szCs w:val="24"/>
              </w:rPr>
              <w:t>.7</w:t>
            </w:r>
            <w:r>
              <w:rPr>
                <w:rFonts w:hint="eastAsia"/>
                <w:bCs/>
                <w:color w:val="FF0000"/>
                <w:sz w:val="24"/>
                <w:szCs w:val="24"/>
              </w:rPr>
              <w:t>-</w:t>
            </w:r>
            <w:r>
              <w:rPr>
                <w:bCs/>
                <w:color w:val="FF0000"/>
                <w:sz w:val="24"/>
                <w:szCs w:val="24"/>
              </w:rPr>
              <w:t>2</w:t>
            </w:r>
            <w:r>
              <w:rPr>
                <w:rFonts w:hint="eastAsia"/>
                <w:bCs/>
                <w:color w:val="FF0000"/>
                <w:sz w:val="24"/>
                <w:szCs w:val="24"/>
              </w:rPr>
              <w:t>硫元素平衡表，将硫元素转化为</w:t>
            </w:r>
            <w:r>
              <w:rPr>
                <w:rFonts w:hint="eastAsia"/>
                <w:color w:val="FF0000"/>
                <w:sz w:val="24"/>
                <w:szCs w:val="24"/>
              </w:rPr>
              <w:t>H</w:t>
            </w:r>
            <w:r>
              <w:rPr>
                <w:color w:val="FF0000"/>
                <w:sz w:val="24"/>
                <w:szCs w:val="24"/>
                <w:vertAlign w:val="subscript"/>
              </w:rPr>
              <w:t>2</w:t>
            </w:r>
            <w:r>
              <w:rPr>
                <w:color w:val="FF0000"/>
                <w:sz w:val="24"/>
                <w:szCs w:val="24"/>
              </w:rPr>
              <w:t>S</w:t>
            </w:r>
            <w:r>
              <w:rPr>
                <w:rFonts w:hint="eastAsia"/>
                <w:bCs/>
                <w:color w:val="FF0000"/>
                <w:sz w:val="24"/>
                <w:szCs w:val="24"/>
              </w:rPr>
              <w:t>和S</w:t>
            </w:r>
            <w:r>
              <w:rPr>
                <w:bCs/>
                <w:color w:val="FF0000"/>
                <w:sz w:val="24"/>
                <w:szCs w:val="24"/>
              </w:rPr>
              <w:t>O</w:t>
            </w:r>
            <w:r>
              <w:rPr>
                <w:bCs/>
                <w:color w:val="FF0000"/>
                <w:sz w:val="24"/>
                <w:szCs w:val="24"/>
                <w:vertAlign w:val="subscript"/>
              </w:rPr>
              <w:t>2</w:t>
            </w:r>
            <w:r>
              <w:rPr>
                <w:rFonts w:hint="eastAsia"/>
                <w:bCs/>
                <w:color w:val="FF0000"/>
                <w:sz w:val="24"/>
                <w:szCs w:val="24"/>
              </w:rPr>
              <w:t>。计算得到，项目不凝气燃烧废气中</w:t>
            </w:r>
            <w:r>
              <w:rPr>
                <w:rFonts w:hint="eastAsia"/>
                <w:color w:val="FF0000"/>
                <w:sz w:val="24"/>
                <w:szCs w:val="24"/>
              </w:rPr>
              <w:t>H</w:t>
            </w:r>
            <w:r>
              <w:rPr>
                <w:color w:val="FF0000"/>
                <w:sz w:val="24"/>
                <w:szCs w:val="24"/>
                <w:vertAlign w:val="subscript"/>
              </w:rPr>
              <w:t>2</w:t>
            </w:r>
            <w:r>
              <w:rPr>
                <w:color w:val="FF0000"/>
                <w:sz w:val="24"/>
                <w:szCs w:val="24"/>
              </w:rPr>
              <w:t>S</w:t>
            </w:r>
            <w:r>
              <w:rPr>
                <w:rFonts w:hint="eastAsia"/>
                <w:bCs/>
                <w:color w:val="FF0000"/>
                <w:sz w:val="24"/>
                <w:szCs w:val="24"/>
              </w:rPr>
              <w:t>产生量为</w:t>
            </w:r>
            <w:r>
              <w:rPr>
                <w:bCs/>
                <w:color w:val="FF0000"/>
                <w:sz w:val="24"/>
                <w:szCs w:val="24"/>
              </w:rPr>
              <w:t>0.57</w:t>
            </w:r>
            <w:r>
              <w:rPr>
                <w:rFonts w:hint="eastAsia"/>
                <w:bCs/>
                <w:color w:val="FF0000"/>
                <w:sz w:val="24"/>
                <w:szCs w:val="24"/>
              </w:rPr>
              <w:t>t</w:t>
            </w:r>
            <w:r>
              <w:rPr>
                <w:bCs/>
                <w:color w:val="FF0000"/>
                <w:sz w:val="24"/>
                <w:szCs w:val="24"/>
              </w:rPr>
              <w:t>/</w:t>
            </w:r>
            <w:r>
              <w:rPr>
                <w:rFonts w:hint="eastAsia"/>
                <w:bCs/>
                <w:color w:val="FF0000"/>
                <w:sz w:val="24"/>
                <w:szCs w:val="24"/>
              </w:rPr>
              <w:t>a、S</w:t>
            </w:r>
            <w:r>
              <w:rPr>
                <w:bCs/>
                <w:color w:val="FF0000"/>
                <w:sz w:val="24"/>
                <w:szCs w:val="24"/>
              </w:rPr>
              <w:t>O</w:t>
            </w:r>
            <w:r>
              <w:rPr>
                <w:bCs/>
                <w:color w:val="FF0000"/>
                <w:sz w:val="24"/>
                <w:szCs w:val="24"/>
                <w:vertAlign w:val="subscript"/>
              </w:rPr>
              <w:t>2</w:t>
            </w:r>
            <w:r>
              <w:rPr>
                <w:rFonts w:hint="eastAsia"/>
                <w:bCs/>
                <w:color w:val="FF0000"/>
                <w:sz w:val="24"/>
                <w:szCs w:val="24"/>
              </w:rPr>
              <w:t>产生量为</w:t>
            </w:r>
            <w:r>
              <w:rPr>
                <w:bCs/>
                <w:color w:val="FF0000"/>
                <w:sz w:val="24"/>
                <w:szCs w:val="24"/>
              </w:rPr>
              <w:t>53.08</w:t>
            </w:r>
            <w:r>
              <w:rPr>
                <w:rFonts w:hint="eastAsia"/>
                <w:bCs/>
                <w:color w:val="FF0000"/>
                <w:sz w:val="24"/>
                <w:szCs w:val="24"/>
              </w:rPr>
              <w:t>t</w:t>
            </w:r>
            <w:r>
              <w:rPr>
                <w:bCs/>
                <w:color w:val="FF0000"/>
                <w:sz w:val="24"/>
                <w:szCs w:val="24"/>
              </w:rPr>
              <w:t>/</w:t>
            </w:r>
            <w:r>
              <w:rPr>
                <w:rFonts w:hint="eastAsia"/>
                <w:bCs/>
                <w:color w:val="FF0000"/>
                <w:sz w:val="24"/>
                <w:szCs w:val="24"/>
              </w:rPr>
              <w:t>a。</w:t>
            </w:r>
          </w:p>
          <w:p>
            <w:pPr>
              <w:pStyle w:val="228"/>
              <w:autoSpaceDE w:val="0"/>
              <w:autoSpaceDN w:val="0"/>
              <w:adjustRightInd w:val="0"/>
              <w:spacing w:line="360" w:lineRule="auto"/>
              <w:ind w:firstLine="480"/>
              <w:textAlignment w:val="baseline"/>
              <w:rPr>
                <w:bCs/>
                <w:color w:val="000000" w:themeColor="text1"/>
                <w:sz w:val="24"/>
                <w:szCs w:val="24"/>
                <w:u w:val="single"/>
                <w14:textFill>
                  <w14:solidFill>
                    <w14:schemeClr w14:val="tx1"/>
                  </w14:solidFill>
                </w14:textFill>
              </w:rPr>
            </w:pPr>
            <w:r>
              <w:rPr>
                <w:rFonts w:hint="eastAsia"/>
                <w:bCs/>
                <w:color w:val="000000" w:themeColor="text1"/>
                <w:sz w:val="24"/>
                <w:szCs w:val="24"/>
                <w14:textFill>
                  <w14:solidFill>
                    <w14:schemeClr w14:val="tx1"/>
                  </w14:solidFill>
                </w14:textFill>
              </w:rPr>
              <w:t>同时，不凝气不完全燃烧将产生一定的恶臭，以臭气浓度表征。本次将臭气浓度作为污染物控制因子之一。本次评价将烟气燃烧的林格曼黑度也作为污染物控制因子之一，</w:t>
            </w:r>
            <w:r>
              <w:rPr>
                <w:bCs/>
                <w:color w:val="000000" w:themeColor="text1"/>
                <w:sz w:val="24"/>
                <w:szCs w:val="24"/>
                <w14:textFill>
                  <w14:solidFill>
                    <w14:schemeClr w14:val="tx1"/>
                  </w14:solidFill>
                </w14:textFill>
              </w:rPr>
              <w:t>林格曼黑度≤1</w:t>
            </w:r>
            <w:r>
              <w:rPr>
                <w:rFonts w:hint="eastAsia"/>
                <w:bCs/>
                <w:color w:val="000000" w:themeColor="text1"/>
                <w:sz w:val="24"/>
                <w:szCs w:val="24"/>
                <w14:textFill>
                  <w14:solidFill>
                    <w14:schemeClr w14:val="tx1"/>
                  </w14:solidFill>
                </w14:textFill>
              </w:rPr>
              <w:t>级</w:t>
            </w:r>
            <w:r>
              <w:rPr>
                <w:bCs/>
                <w:color w:val="000000" w:themeColor="text1"/>
                <w:sz w:val="24"/>
                <w:szCs w:val="24"/>
                <w14:textFill>
                  <w14:solidFill>
                    <w14:schemeClr w14:val="tx1"/>
                  </w14:solidFill>
                </w14:textFill>
              </w:rPr>
              <w:t>。</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c</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甲苯、二甲苯</w:t>
            </w:r>
          </w:p>
          <w:p>
            <w:pPr>
              <w:pStyle w:val="228"/>
              <w:autoSpaceDE w:val="0"/>
              <w:autoSpaceDN w:val="0"/>
              <w:adjustRightInd w:val="0"/>
              <w:spacing w:line="360" w:lineRule="auto"/>
              <w:ind w:firstLine="480"/>
              <w:textAlignment w:val="baseline"/>
              <w:rPr>
                <w:bCs/>
                <w:color w:val="000000" w:themeColor="text1"/>
                <w:sz w:val="24"/>
                <w:lang w:val="zh-CN"/>
                <w14:textFill>
                  <w14:solidFill>
                    <w14:schemeClr w14:val="tx1"/>
                  </w14:solidFill>
                </w14:textFill>
              </w:rPr>
            </w:pPr>
            <w:r>
              <w:rPr>
                <w:rFonts w:hint="eastAsia"/>
                <w:bCs/>
                <w:color w:val="000000" w:themeColor="text1"/>
                <w:sz w:val="24"/>
                <w:lang w:val="zh-CN"/>
                <w14:textFill>
                  <w14:solidFill>
                    <w14:schemeClr w14:val="tx1"/>
                  </w14:solidFill>
                </w14:textFill>
              </w:rPr>
              <w:t>项目燃烧废气中的甲苯、二甲苯来源于油气分离废水的不完全燃烧。根据《废轮胎回转窑热解油油品分析及加氢精制研究》（陆王琳，浙江大学，2007年5月）中对裂解油BTX定量分析结果，裂解油中含5.28%甲苯和4.95%二甲苯。</w:t>
            </w:r>
          </w:p>
          <w:p>
            <w:pPr>
              <w:pStyle w:val="228"/>
              <w:autoSpaceDE w:val="0"/>
              <w:autoSpaceDN w:val="0"/>
              <w:adjustRightInd w:val="0"/>
              <w:spacing w:line="360" w:lineRule="auto"/>
              <w:ind w:firstLine="480"/>
              <w:textAlignment w:val="baseline"/>
              <w:rPr>
                <w:bCs/>
                <w:color w:val="000000" w:themeColor="text1"/>
                <w:sz w:val="24"/>
                <w:lang w:val="zh-CN"/>
                <w14:textFill>
                  <w14:solidFill>
                    <w14:schemeClr w14:val="tx1"/>
                  </w14:solidFill>
                </w14:textFill>
              </w:rPr>
            </w:pPr>
            <w:r>
              <w:rPr>
                <w:rFonts w:hint="eastAsia"/>
                <w:bCs/>
                <w:color w:val="000000" w:themeColor="text1"/>
                <w:sz w:val="24"/>
                <w:lang w:val="zh-CN"/>
                <w14:textFill>
                  <w14:solidFill>
                    <w14:schemeClr w14:val="tx1"/>
                  </w14:solidFill>
                </w14:textFill>
              </w:rPr>
              <w:t>根据物料衡算结果，本项目油水分离产生的油水混合物为8</w:t>
            </w:r>
            <w:r>
              <w:rPr>
                <w:bCs/>
                <w:color w:val="000000" w:themeColor="text1"/>
                <w:sz w:val="24"/>
                <w:lang w:val="zh-CN"/>
                <w14:textFill>
                  <w14:solidFill>
                    <w14:schemeClr w14:val="tx1"/>
                  </w14:solidFill>
                </w14:textFill>
              </w:rPr>
              <w:t>82.54</w:t>
            </w:r>
            <w:r>
              <w:rPr>
                <w:rFonts w:hint="eastAsia"/>
                <w:bCs/>
                <w:color w:val="000000" w:themeColor="text1"/>
                <w:sz w:val="24"/>
                <w:lang w:val="zh-CN"/>
                <w14:textFill>
                  <w14:solidFill>
                    <w14:schemeClr w14:val="tx1"/>
                  </w14:solidFill>
                </w14:textFill>
              </w:rPr>
              <w:t>t</w:t>
            </w:r>
            <w:r>
              <w:rPr>
                <w:bCs/>
                <w:color w:val="000000" w:themeColor="text1"/>
                <w:sz w:val="24"/>
                <w:lang w:val="zh-CN"/>
                <w14:textFill>
                  <w14:solidFill>
                    <w14:schemeClr w14:val="tx1"/>
                  </w14:solidFill>
                </w14:textFill>
              </w:rPr>
              <w:t>/</w:t>
            </w:r>
            <w:r>
              <w:rPr>
                <w:rFonts w:hint="eastAsia"/>
                <w:bCs/>
                <w:color w:val="000000" w:themeColor="text1"/>
                <w:sz w:val="24"/>
                <w:lang w:val="zh-CN"/>
                <w14:textFill>
                  <w14:solidFill>
                    <w14:schemeClr w14:val="tx1"/>
                  </w14:solidFill>
                </w14:textFill>
              </w:rPr>
              <w:t>a，油水混合物经过雾化处理后喷入二燃室燃烧处理，燃烧效率按9</w:t>
            </w:r>
            <w:r>
              <w:rPr>
                <w:bCs/>
                <w:color w:val="000000" w:themeColor="text1"/>
                <w:sz w:val="24"/>
                <w:lang w:val="zh-CN"/>
                <w14:textFill>
                  <w14:solidFill>
                    <w14:schemeClr w14:val="tx1"/>
                  </w14:solidFill>
                </w14:textFill>
              </w:rPr>
              <w:t>8</w:t>
            </w:r>
            <w:r>
              <w:rPr>
                <w:rFonts w:hint="eastAsia"/>
                <w:bCs/>
                <w:color w:val="000000" w:themeColor="text1"/>
                <w:sz w:val="24"/>
                <w:lang w:val="zh-CN"/>
                <w14:textFill>
                  <w14:solidFill>
                    <w14:schemeClr w14:val="tx1"/>
                  </w14:solidFill>
                </w14:textFill>
              </w:rPr>
              <w:t>%计算。经核算，项目燃烧废气中甲苯产生量为0</w:t>
            </w:r>
            <w:r>
              <w:rPr>
                <w:bCs/>
                <w:color w:val="000000" w:themeColor="text1"/>
                <w:sz w:val="24"/>
                <w:lang w:val="zh-CN"/>
                <w14:textFill>
                  <w14:solidFill>
                    <w14:schemeClr w14:val="tx1"/>
                  </w14:solidFill>
                </w14:textFill>
              </w:rPr>
              <w:t>.932</w:t>
            </w:r>
            <w:r>
              <w:rPr>
                <w:rFonts w:hint="eastAsia"/>
                <w:bCs/>
                <w:color w:val="000000" w:themeColor="text1"/>
                <w:sz w:val="24"/>
                <w:lang w:val="zh-CN"/>
                <w14:textFill>
                  <w14:solidFill>
                    <w14:schemeClr w14:val="tx1"/>
                  </w14:solidFill>
                </w14:textFill>
              </w:rPr>
              <w:t>t</w:t>
            </w:r>
            <w:r>
              <w:rPr>
                <w:bCs/>
                <w:color w:val="000000" w:themeColor="text1"/>
                <w:sz w:val="24"/>
                <w:lang w:val="zh-CN"/>
                <w14:textFill>
                  <w14:solidFill>
                    <w14:schemeClr w14:val="tx1"/>
                  </w14:solidFill>
                </w14:textFill>
              </w:rPr>
              <w:t>/</w:t>
            </w:r>
            <w:r>
              <w:rPr>
                <w:rFonts w:hint="eastAsia"/>
                <w:bCs/>
                <w:color w:val="000000" w:themeColor="text1"/>
                <w:sz w:val="24"/>
                <w:lang w:val="zh-CN"/>
                <w14:textFill>
                  <w14:solidFill>
                    <w14:schemeClr w14:val="tx1"/>
                  </w14:solidFill>
                </w14:textFill>
              </w:rPr>
              <w:t>a、二甲苯产生量为0</w:t>
            </w:r>
            <w:r>
              <w:rPr>
                <w:bCs/>
                <w:color w:val="000000" w:themeColor="text1"/>
                <w:sz w:val="24"/>
                <w:lang w:val="zh-CN"/>
                <w14:textFill>
                  <w14:solidFill>
                    <w14:schemeClr w14:val="tx1"/>
                  </w14:solidFill>
                </w14:textFill>
              </w:rPr>
              <w:t>.874</w:t>
            </w:r>
            <w:r>
              <w:rPr>
                <w:rFonts w:hint="eastAsia"/>
                <w:bCs/>
                <w:color w:val="000000" w:themeColor="text1"/>
                <w:sz w:val="24"/>
                <w:lang w:val="zh-CN"/>
                <w14:textFill>
                  <w14:solidFill>
                    <w14:schemeClr w14:val="tx1"/>
                  </w14:solidFill>
                </w14:textFill>
              </w:rPr>
              <w:t>t</w:t>
            </w:r>
            <w:r>
              <w:rPr>
                <w:bCs/>
                <w:color w:val="000000" w:themeColor="text1"/>
                <w:sz w:val="24"/>
                <w:lang w:val="zh-CN"/>
                <w14:textFill>
                  <w14:solidFill>
                    <w14:schemeClr w14:val="tx1"/>
                  </w14:solidFill>
                </w14:textFill>
              </w:rPr>
              <w:t>/</w:t>
            </w:r>
            <w:r>
              <w:rPr>
                <w:rFonts w:hint="eastAsia"/>
                <w:bCs/>
                <w:color w:val="000000" w:themeColor="text1"/>
                <w:sz w:val="24"/>
                <w:lang w:val="zh-CN"/>
                <w14:textFill>
                  <w14:solidFill>
                    <w14:schemeClr w14:val="tx1"/>
                  </w14:solidFill>
                </w14:textFill>
              </w:rPr>
              <w:t>a。</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d</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二噁英</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二噁英主要是物质中存在的氯源和不完全燃烧造成的。氧气、氯元素和金属元素是生成二噁英的必备条件。其中，氯源（如PVC、氯气、HCl等）是二噁英产生的前驱物，金属元素（如Cu、Fe）为二噁英产生的催化剂。当燃烧温度低于800℃，烟气停留时间小于2s时，燃烧物中部分有机物就会与分子氯或氯游离基反应生成二噁英。</w:t>
            </w:r>
          </w:p>
          <w:p>
            <w:pPr>
              <w:pStyle w:val="228"/>
              <w:autoSpaceDE w:val="0"/>
              <w:autoSpaceDN w:val="0"/>
              <w:adjustRightInd w:val="0"/>
              <w:spacing w:line="360" w:lineRule="auto"/>
              <w:ind w:firstLine="480"/>
              <w:textAlignment w:val="baseline"/>
              <w:rPr>
                <w:b/>
                <w:bCs/>
                <w:color w:val="000000" w:themeColor="text1"/>
                <w:sz w:val="24"/>
                <w:lang w:val="zh-CN"/>
                <w14:textFill>
                  <w14:solidFill>
                    <w14:schemeClr w14:val="tx1"/>
                  </w14:solidFill>
                </w14:textFill>
              </w:rPr>
            </w:pPr>
            <w:r>
              <w:rPr>
                <w:bCs/>
                <w:sz w:val="24"/>
                <w:lang w:val="zh-CN"/>
              </w:rPr>
              <w:t>根据《排污许可证申请与核发技术规范 废弃资源加工工业（征求意见稿）》编制说明，废轮胎热裂解根据热裂解温度，分为低温热裂解（温度≤500</w:t>
            </w:r>
            <w:r>
              <w:rPr>
                <w:rFonts w:hint="eastAsia" w:ascii="宋体" w:hAnsi="宋体" w:cs="宋体"/>
                <w:bCs/>
                <w:sz w:val="24"/>
                <w:lang w:val="zh-CN"/>
              </w:rPr>
              <w:t>℃</w:t>
            </w:r>
            <w:r>
              <w:rPr>
                <w:bCs/>
                <w:sz w:val="24"/>
                <w:lang w:val="zh-CN"/>
              </w:rPr>
              <w:t>）和高温热裂解（温度＞500</w:t>
            </w:r>
            <w:r>
              <w:rPr>
                <w:rFonts w:hint="eastAsia" w:ascii="宋体" w:hAnsi="宋体" w:cs="宋体"/>
                <w:bCs/>
                <w:sz w:val="24"/>
                <w:lang w:val="zh-CN"/>
              </w:rPr>
              <w:t>℃</w:t>
            </w:r>
            <w:r>
              <w:rPr>
                <w:bCs/>
                <w:sz w:val="24"/>
                <w:lang w:val="zh-CN"/>
              </w:rPr>
              <w:t>）。废轮胎</w:t>
            </w:r>
            <w:r>
              <w:rPr>
                <w:rFonts w:hint="eastAsia"/>
                <w:bCs/>
                <w:sz w:val="24"/>
                <w:lang w:val="zh-CN"/>
              </w:rPr>
              <w:t>低温</w:t>
            </w:r>
            <w:r>
              <w:rPr>
                <w:bCs/>
                <w:sz w:val="24"/>
                <w:lang w:val="zh-CN"/>
              </w:rPr>
              <w:t>热裂解（≤500</w:t>
            </w:r>
            <w:r>
              <w:rPr>
                <w:rFonts w:hint="eastAsia" w:ascii="宋体" w:hAnsi="宋体" w:cs="宋体"/>
                <w:bCs/>
                <w:sz w:val="24"/>
                <w:lang w:val="zh-CN"/>
              </w:rPr>
              <w:t>℃</w:t>
            </w:r>
            <w:r>
              <w:rPr>
                <w:bCs/>
                <w:sz w:val="24"/>
                <w:lang w:val="zh-CN"/>
              </w:rPr>
              <w:t>）环节废气中主要产生颗粒物、二氧化硫、硫化氢、氮氧化物、苯系物和非甲烷总烃等污染物，通常采用</w:t>
            </w:r>
            <w:r>
              <w:rPr>
                <w:rFonts w:hint="eastAsia"/>
                <w:bCs/>
                <w:sz w:val="24"/>
                <w:lang w:val="zh-CN"/>
              </w:rPr>
              <w:t>“</w:t>
            </w:r>
            <w:r>
              <w:rPr>
                <w:bCs/>
                <w:sz w:val="24"/>
                <w:lang w:val="zh-CN"/>
              </w:rPr>
              <w:t>碱法喷淋+UV除臭</w:t>
            </w:r>
            <w:r>
              <w:rPr>
                <w:rFonts w:hint="eastAsia"/>
                <w:bCs/>
                <w:sz w:val="24"/>
                <w:lang w:val="zh-CN"/>
              </w:rPr>
              <w:t>”</w:t>
            </w:r>
            <w:r>
              <w:rPr>
                <w:bCs/>
                <w:sz w:val="24"/>
                <w:lang w:val="zh-CN"/>
              </w:rPr>
              <w:t>、</w:t>
            </w:r>
            <w:r>
              <w:rPr>
                <w:rFonts w:hint="eastAsia"/>
                <w:bCs/>
                <w:sz w:val="24"/>
                <w:lang w:val="zh-CN"/>
              </w:rPr>
              <w:t>“</w:t>
            </w:r>
            <w:r>
              <w:rPr>
                <w:bCs/>
                <w:sz w:val="24"/>
                <w:lang w:val="zh-CN"/>
              </w:rPr>
              <w:t>碱法喷淋+活性炭吸附</w:t>
            </w:r>
            <w:r>
              <w:rPr>
                <w:rFonts w:hint="eastAsia"/>
                <w:bCs/>
                <w:sz w:val="24"/>
                <w:lang w:val="zh-CN"/>
              </w:rPr>
              <w:t>”</w:t>
            </w:r>
            <w:r>
              <w:rPr>
                <w:bCs/>
                <w:sz w:val="24"/>
                <w:lang w:val="zh-CN"/>
              </w:rPr>
              <w:t>等技术进行处理；高温热裂解（＞500</w:t>
            </w:r>
            <w:r>
              <w:rPr>
                <w:rFonts w:hint="eastAsia" w:ascii="宋体" w:hAnsi="宋体" w:cs="宋体"/>
                <w:bCs/>
                <w:sz w:val="24"/>
                <w:lang w:val="zh-CN"/>
              </w:rPr>
              <w:t>℃</w:t>
            </w:r>
            <w:r>
              <w:rPr>
                <w:bCs/>
                <w:sz w:val="24"/>
                <w:lang w:val="zh-CN"/>
              </w:rPr>
              <w:t>）除了产生颗粒物、二氧化硫、硫化氢、氮氧化物、苯系物和非甲烷总烃外，还会产生二噁英，通常采用</w:t>
            </w:r>
            <w:r>
              <w:rPr>
                <w:rFonts w:hint="eastAsia"/>
                <w:bCs/>
                <w:sz w:val="24"/>
                <w:lang w:val="zh-CN"/>
              </w:rPr>
              <w:t>“</w:t>
            </w:r>
            <w:r>
              <w:rPr>
                <w:bCs/>
                <w:sz w:val="24"/>
                <w:lang w:val="zh-CN"/>
              </w:rPr>
              <w:t>二燃室+急冷+碱法喷淋+UV除臭</w:t>
            </w:r>
            <w:r>
              <w:rPr>
                <w:rFonts w:hint="eastAsia"/>
                <w:bCs/>
                <w:sz w:val="24"/>
                <w:lang w:val="zh-CN"/>
              </w:rPr>
              <w:t>”</w:t>
            </w:r>
            <w:r>
              <w:rPr>
                <w:bCs/>
                <w:sz w:val="24"/>
                <w:lang w:val="zh-CN"/>
              </w:rPr>
              <w:t>、</w:t>
            </w:r>
            <w:r>
              <w:rPr>
                <w:rFonts w:hint="eastAsia"/>
                <w:bCs/>
                <w:sz w:val="24"/>
                <w:lang w:val="zh-CN"/>
              </w:rPr>
              <w:t>“</w:t>
            </w:r>
            <w:r>
              <w:rPr>
                <w:bCs/>
                <w:sz w:val="24"/>
                <w:lang w:val="zh-CN"/>
              </w:rPr>
              <w:t>二燃室+碱法喷淋+活性炭吸附</w:t>
            </w:r>
            <w:r>
              <w:rPr>
                <w:rFonts w:hint="eastAsia"/>
                <w:bCs/>
                <w:sz w:val="24"/>
                <w:lang w:val="zh-CN"/>
              </w:rPr>
              <w:t>”</w:t>
            </w:r>
            <w:r>
              <w:rPr>
                <w:bCs/>
                <w:sz w:val="24"/>
                <w:lang w:val="zh-CN"/>
              </w:rPr>
              <w:t>等技术进行处理</w:t>
            </w:r>
            <w:r>
              <w:rPr>
                <w:rFonts w:hint="eastAsia"/>
                <w:bCs/>
                <w:sz w:val="24"/>
                <w:lang w:val="zh-CN"/>
              </w:rPr>
              <w:t>。</w:t>
            </w:r>
          </w:p>
          <w:p>
            <w:pPr>
              <w:pStyle w:val="228"/>
              <w:autoSpaceDE w:val="0"/>
              <w:autoSpaceDN w:val="0"/>
              <w:adjustRightInd w:val="0"/>
              <w:spacing w:line="360" w:lineRule="auto"/>
              <w:ind w:firstLine="482"/>
              <w:textAlignment w:val="baseline"/>
              <w:rPr>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本项目二噁英污染物产生及排放情况分析：</w:t>
            </w:r>
            <w:r>
              <w:rPr>
                <w:bCs/>
                <w:color w:val="000000" w:themeColor="text1"/>
                <w:sz w:val="24"/>
                <w:lang w:val="zh-CN"/>
                <w14:textFill>
                  <w14:solidFill>
                    <w14:schemeClr w14:val="tx1"/>
                  </w14:solidFill>
                </w14:textFill>
              </w:rPr>
              <w:t>本项目热裂解过程最高温度为420</w:t>
            </w:r>
            <w:r>
              <w:rPr>
                <w:rFonts w:hint="eastAsia" w:ascii="宋体" w:hAnsi="宋体" w:cs="宋体"/>
                <w:bCs/>
                <w:color w:val="000000" w:themeColor="text1"/>
                <w:sz w:val="24"/>
                <w:lang w:val="zh-CN"/>
                <w14:textFill>
                  <w14:solidFill>
                    <w14:schemeClr w14:val="tx1"/>
                  </w14:solidFill>
                </w14:textFill>
              </w:rPr>
              <w:t>℃</w:t>
            </w:r>
            <w:r>
              <w:rPr>
                <w:bCs/>
                <w:color w:val="000000" w:themeColor="text1"/>
                <w:sz w:val="24"/>
                <w:lang w:val="zh-CN"/>
                <w14:textFill>
                  <w14:solidFill>
                    <w14:schemeClr w14:val="tx1"/>
                  </w14:solidFill>
                </w14:textFill>
              </w:rPr>
              <w:t>≤500</w:t>
            </w:r>
            <w:r>
              <w:rPr>
                <w:rFonts w:hint="eastAsia" w:ascii="宋体" w:hAnsi="宋体" w:cs="宋体"/>
                <w:bCs/>
                <w:color w:val="000000" w:themeColor="text1"/>
                <w:sz w:val="24"/>
                <w:lang w:val="zh-CN"/>
                <w14:textFill>
                  <w14:solidFill>
                    <w14:schemeClr w14:val="tx1"/>
                  </w14:solidFill>
                </w14:textFill>
              </w:rPr>
              <w:t>℃</w:t>
            </w:r>
            <w:r>
              <w:rPr>
                <w:bCs/>
                <w:color w:val="000000" w:themeColor="text1"/>
                <w:sz w:val="24"/>
                <w:lang w:val="zh-CN"/>
                <w14:textFill>
                  <w14:solidFill>
                    <w14:schemeClr w14:val="tx1"/>
                  </w14:solidFill>
                </w14:textFill>
              </w:rPr>
              <w:t>，为低温裂解</w:t>
            </w:r>
            <w:r>
              <w:rPr>
                <w:rFonts w:hint="eastAsia"/>
                <w:bCs/>
                <w:color w:val="000000" w:themeColor="text1"/>
                <w:sz w:val="24"/>
                <w:lang w:val="zh-CN"/>
                <w14:textFill>
                  <w14:solidFill>
                    <w14:schemeClr w14:val="tx1"/>
                  </w14:solidFill>
                </w14:textFill>
              </w:rPr>
              <w:t>。</w:t>
            </w:r>
            <w:r>
              <w:rPr>
                <w:bCs/>
                <w:color w:val="000000" w:themeColor="text1"/>
                <w:sz w:val="24"/>
                <w:lang w:val="zh-CN"/>
                <w14:textFill>
                  <w14:solidFill>
                    <w14:schemeClr w14:val="tx1"/>
                  </w14:solidFill>
                </w14:textFill>
              </w:rPr>
              <w:t>裂解过程为贫氧环境，采用炉外加热，不是燃烧。因此，本项目低温裂解过程不具备生成二噁英的条件</w:t>
            </w:r>
            <w:r>
              <w:rPr>
                <w:rFonts w:hint="eastAsia"/>
                <w:bCs/>
                <w:color w:val="000000" w:themeColor="text1"/>
                <w:sz w:val="24"/>
                <w:lang w:val="zh-CN"/>
                <w14:textFill>
                  <w14:solidFill>
                    <w14:schemeClr w14:val="tx1"/>
                  </w14:solidFill>
                </w14:textFill>
              </w:rPr>
              <w:t>。</w:t>
            </w:r>
          </w:p>
          <w:p>
            <w:pPr>
              <w:pStyle w:val="228"/>
              <w:autoSpaceDE w:val="0"/>
              <w:autoSpaceDN w:val="0"/>
              <w:adjustRightInd w:val="0"/>
              <w:spacing w:line="360" w:lineRule="auto"/>
              <w:ind w:firstLine="480"/>
              <w:textAlignment w:val="baseline"/>
              <w:rPr>
                <w:bCs/>
                <w:color w:val="FF0000"/>
                <w:sz w:val="24"/>
                <w:szCs w:val="24"/>
              </w:rPr>
            </w:pPr>
            <w:r>
              <w:rPr>
                <w:rFonts w:hint="eastAsia"/>
                <w:bCs/>
                <w:color w:val="FF0000"/>
                <w:sz w:val="24"/>
                <w:szCs w:val="24"/>
              </w:rPr>
              <w:t>但本项目将裂解不凝气作为裂解炉燃料使用。裂解炉燃烧室温度在6</w:t>
            </w:r>
            <w:r>
              <w:rPr>
                <w:bCs/>
                <w:color w:val="FF0000"/>
                <w:sz w:val="24"/>
                <w:szCs w:val="24"/>
              </w:rPr>
              <w:t>00</w:t>
            </w:r>
            <w:r>
              <w:rPr>
                <w:rFonts w:hint="eastAsia"/>
                <w:bCs/>
                <w:color w:val="FF0000"/>
                <w:sz w:val="24"/>
                <w:szCs w:val="24"/>
              </w:rPr>
              <w:t>~</w:t>
            </w:r>
            <w:r>
              <w:rPr>
                <w:bCs/>
                <w:color w:val="FF0000"/>
                <w:sz w:val="24"/>
                <w:szCs w:val="24"/>
              </w:rPr>
              <w:t>800</w:t>
            </w:r>
            <w:r>
              <w:rPr>
                <w:rFonts w:hint="eastAsia"/>
                <w:bCs/>
                <w:color w:val="FF0000"/>
                <w:sz w:val="24"/>
                <w:szCs w:val="24"/>
              </w:rPr>
              <w:t>℃。不凝气燃烧过程中，可能有二噁英产生。</w:t>
            </w:r>
          </w:p>
          <w:p>
            <w:pPr>
              <w:pStyle w:val="228"/>
              <w:autoSpaceDE w:val="0"/>
              <w:autoSpaceDN w:val="0"/>
              <w:adjustRightInd w:val="0"/>
              <w:spacing w:line="360" w:lineRule="auto"/>
              <w:ind w:firstLine="480"/>
              <w:textAlignment w:val="baseline"/>
              <w:rPr>
                <w:bCs/>
                <w:color w:val="FF0000"/>
                <w:sz w:val="24"/>
                <w:szCs w:val="24"/>
              </w:rPr>
            </w:pPr>
            <w:r>
              <w:rPr>
                <w:rFonts w:hint="eastAsia"/>
                <w:bCs/>
                <w:color w:val="FF0000"/>
                <w:sz w:val="24"/>
                <w:szCs w:val="24"/>
              </w:rPr>
              <w:t>项目设置二燃室及烟气骤冷系统，燃烧温度控制在8</w:t>
            </w:r>
            <w:r>
              <w:rPr>
                <w:bCs/>
                <w:color w:val="FF0000"/>
                <w:sz w:val="24"/>
                <w:szCs w:val="24"/>
              </w:rPr>
              <w:t>00</w:t>
            </w:r>
            <w:r>
              <w:rPr>
                <w:rFonts w:hint="eastAsia"/>
                <w:bCs/>
                <w:color w:val="FF0000"/>
                <w:sz w:val="24"/>
                <w:szCs w:val="24"/>
              </w:rPr>
              <w:t>~</w:t>
            </w:r>
            <w:r>
              <w:rPr>
                <w:bCs/>
                <w:color w:val="FF0000"/>
                <w:sz w:val="24"/>
                <w:szCs w:val="24"/>
              </w:rPr>
              <w:t>1100</w:t>
            </w:r>
            <w:r>
              <w:rPr>
                <w:rFonts w:hint="eastAsia"/>
                <w:bCs/>
                <w:color w:val="FF0000"/>
                <w:sz w:val="24"/>
                <w:szCs w:val="24"/>
              </w:rPr>
              <w:t>℃，烟气停留时间控制在2s以上。裂解炉燃烧烟气、多余的不凝气在二燃室进行二次燃烧，可以有效防止二噁英低温生成，并且把已经生成的少量二噁英进行分解。二燃室燃烧烟气经骤冷系统处理，燃烧烟气在2~</w:t>
            </w:r>
            <w:r>
              <w:rPr>
                <w:bCs/>
                <w:color w:val="FF0000"/>
                <w:sz w:val="24"/>
                <w:szCs w:val="24"/>
              </w:rPr>
              <w:t>3</w:t>
            </w:r>
            <w:r>
              <w:rPr>
                <w:rFonts w:hint="eastAsia"/>
                <w:bCs/>
                <w:color w:val="FF0000"/>
                <w:sz w:val="24"/>
                <w:szCs w:val="24"/>
              </w:rPr>
              <w:t>s内从8</w:t>
            </w:r>
            <w:r>
              <w:rPr>
                <w:bCs/>
                <w:color w:val="FF0000"/>
                <w:sz w:val="24"/>
                <w:szCs w:val="24"/>
              </w:rPr>
              <w:t>00</w:t>
            </w:r>
            <w:r>
              <w:rPr>
                <w:rFonts w:hint="eastAsia"/>
                <w:bCs/>
                <w:color w:val="FF0000"/>
                <w:sz w:val="24"/>
                <w:szCs w:val="24"/>
              </w:rPr>
              <w:t>℃以上降到2</w:t>
            </w:r>
            <w:r>
              <w:rPr>
                <w:bCs/>
                <w:color w:val="FF0000"/>
                <w:sz w:val="24"/>
                <w:szCs w:val="24"/>
              </w:rPr>
              <w:t>50</w:t>
            </w:r>
            <w:r>
              <w:rPr>
                <w:rFonts w:hint="eastAsia"/>
                <w:bCs/>
                <w:color w:val="FF0000"/>
                <w:sz w:val="24"/>
                <w:szCs w:val="24"/>
              </w:rPr>
              <w:t>℃以下（二噁英的沸点4</w:t>
            </w:r>
            <w:r>
              <w:rPr>
                <w:bCs/>
                <w:color w:val="FF0000"/>
                <w:sz w:val="24"/>
                <w:szCs w:val="24"/>
              </w:rPr>
              <w:t>00</w:t>
            </w:r>
            <w:r>
              <w:rPr>
                <w:rFonts w:hint="eastAsia"/>
                <w:bCs/>
                <w:color w:val="FF0000"/>
                <w:sz w:val="24"/>
                <w:szCs w:val="24"/>
              </w:rPr>
              <w:t>℃以上），可以有效防止二噁英的再次生成。</w:t>
            </w:r>
          </w:p>
          <w:p>
            <w:pPr>
              <w:pStyle w:val="228"/>
              <w:autoSpaceDE w:val="0"/>
              <w:autoSpaceDN w:val="0"/>
              <w:adjustRightInd w:val="0"/>
              <w:spacing w:line="360" w:lineRule="auto"/>
              <w:ind w:firstLine="480"/>
              <w:textAlignment w:val="baseline"/>
              <w:rPr>
                <w:bCs/>
                <w:color w:val="000000" w:themeColor="text1"/>
                <w:sz w:val="24"/>
                <w:lang w:val="zh-CN"/>
                <w14:textFill>
                  <w14:solidFill>
                    <w14:schemeClr w14:val="tx1"/>
                  </w14:solidFill>
                </w14:textFill>
              </w:rPr>
            </w:pPr>
            <w:r>
              <w:rPr>
                <w:rFonts w:hint="eastAsia"/>
                <w:bCs/>
                <w:color w:val="000000" w:themeColor="text1"/>
                <w:sz w:val="24"/>
                <w:lang w:val="zh-CN"/>
                <w14:textFill>
                  <w14:solidFill>
                    <w14:schemeClr w14:val="tx1"/>
                  </w14:solidFill>
                </w14:textFill>
              </w:rPr>
              <w:t>综上所述，本项目采取“低温热裂解+二次燃烧及骤冷”技术，可有效抑制二噁英的产生。从环境保护角度，结合《排污许可证申请与核发技术规范 废弃资源加工工业（HJ 1034-2019）》，本次评价对二噁英产排情况进行简要分析，重点是提出二噁英的污染防治措施，并将二噁英纳入验收监控指标</w:t>
            </w:r>
            <w:r>
              <w:rPr>
                <w:rFonts w:hint="eastAsia"/>
                <w:color w:val="000000" w:themeColor="text1"/>
                <w:sz w:val="24"/>
                <w:szCs w:val="24"/>
                <w14:textFill>
                  <w14:solidFill>
                    <w14:schemeClr w14:val="tx1"/>
                  </w14:solidFill>
                </w14:textFill>
              </w:rPr>
              <w:t>。</w:t>
            </w:r>
          </w:p>
          <w:p>
            <w:pPr>
              <w:pStyle w:val="228"/>
              <w:autoSpaceDE w:val="0"/>
              <w:autoSpaceDN w:val="0"/>
              <w:adjustRightInd w:val="0"/>
              <w:spacing w:line="360" w:lineRule="auto"/>
              <w:ind w:firstLine="480"/>
              <w:textAlignment w:val="baseline"/>
              <w:rPr>
                <w:bCs/>
                <w:color w:val="000000" w:themeColor="text1"/>
                <w:sz w:val="24"/>
                <w14:textFill>
                  <w14:solidFill>
                    <w14:schemeClr w14:val="tx1"/>
                  </w14:solidFill>
                </w14:textFill>
              </w:rPr>
            </w:pPr>
            <w:r>
              <w:rPr>
                <w:rFonts w:hint="eastAsia"/>
                <w:bCs/>
                <w:color w:val="000000" w:themeColor="text1"/>
                <w:sz w:val="24"/>
                <w:lang w:val="zh-CN"/>
                <w14:textFill>
                  <w14:solidFill>
                    <w14:schemeClr w14:val="tx1"/>
                  </w14:solidFill>
                </w14:textFill>
              </w:rPr>
              <w:t>重庆新霆易环保科技有限公司废旧轮胎回收再利用项目（</w:t>
            </w:r>
            <w:r>
              <w:rPr>
                <w:rFonts w:hint="eastAsia"/>
                <w:bCs/>
                <w:color w:val="000000" w:themeColor="text1"/>
                <w:sz w:val="24"/>
                <w14:textFill>
                  <w14:solidFill>
                    <w14:schemeClr w14:val="tx1"/>
                  </w14:solidFill>
                </w14:textFill>
              </w:rPr>
              <w:t>一期</w:t>
            </w:r>
            <w:r>
              <w:rPr>
                <w:rFonts w:hint="eastAsia"/>
                <w:bCs/>
                <w:color w:val="000000" w:themeColor="text1"/>
                <w:sz w:val="24"/>
                <w:lang w:val="zh-CN"/>
                <w14:textFill>
                  <w14:solidFill>
                    <w14:schemeClr w14:val="tx1"/>
                  </w14:solidFill>
                </w14:textFill>
              </w:rPr>
              <w:t>）</w:t>
            </w:r>
            <w:r>
              <w:rPr>
                <w:rFonts w:hint="eastAsia"/>
                <w:bCs/>
                <w:color w:val="000000" w:themeColor="text1"/>
                <w:sz w:val="24"/>
                <w14:textFill>
                  <w14:solidFill>
                    <w14:schemeClr w14:val="tx1"/>
                  </w14:solidFill>
                </w14:textFill>
              </w:rPr>
              <w:t>位于大足区</w:t>
            </w:r>
            <w:r>
              <w:rPr>
                <w:rFonts w:hint="eastAsia"/>
                <w:sz w:val="24"/>
              </w:rPr>
              <w:t>双桥经开区邮亭工业园区</w:t>
            </w:r>
            <w:r>
              <w:rPr>
                <w:rFonts w:hint="eastAsia"/>
                <w:bCs/>
                <w:color w:val="000000" w:themeColor="text1"/>
                <w:sz w:val="24"/>
                <w14:textFill>
                  <w14:solidFill>
                    <w14:schemeClr w14:val="tx1"/>
                  </w14:solidFill>
                </w14:textFill>
              </w:rPr>
              <w:t>，年处理废旧轮胎规模：</w:t>
            </w:r>
            <w:r>
              <w:rPr>
                <w:bCs/>
                <w:color w:val="000000" w:themeColor="text1"/>
                <w:sz w:val="24"/>
                <w14:textFill>
                  <w14:solidFill>
                    <w14:schemeClr w14:val="tx1"/>
                  </w14:solidFill>
                </w14:textFill>
              </w:rPr>
              <w:t>4</w:t>
            </w:r>
            <w:r>
              <w:rPr>
                <w:rFonts w:hint="eastAsia"/>
                <w:bCs/>
                <w:color w:val="000000" w:themeColor="text1"/>
                <w:sz w:val="24"/>
                <w14:textFill>
                  <w14:solidFill>
                    <w14:schemeClr w14:val="tx1"/>
                  </w14:solidFill>
                </w14:textFill>
              </w:rPr>
              <w:t>万吨；采用“</w:t>
            </w:r>
            <w:r>
              <w:rPr>
                <w:rFonts w:hint="eastAsia"/>
                <w:bCs/>
                <w:color w:val="000000" w:themeColor="text1"/>
                <w:sz w:val="24"/>
                <w:lang w:val="zh-CN"/>
                <w14:textFill>
                  <w14:solidFill>
                    <w14:schemeClr w14:val="tx1"/>
                  </w14:solidFill>
                </w14:textFill>
              </w:rPr>
              <w:t>低温裂解（</w:t>
            </w:r>
            <w:r>
              <w:rPr>
                <w:rFonts w:hint="eastAsia"/>
                <w:bCs/>
                <w:color w:val="000000" w:themeColor="text1"/>
                <w:sz w:val="24"/>
                <w14:textFill>
                  <w14:solidFill>
                    <w14:schemeClr w14:val="tx1"/>
                  </w14:solidFill>
                </w14:textFill>
              </w:rPr>
              <w:t>裂解温度</w:t>
            </w:r>
            <w:r>
              <w:rPr>
                <w:bCs/>
                <w:color w:val="000000" w:themeColor="text1"/>
                <w:sz w:val="24"/>
                <w14:textFill>
                  <w14:solidFill>
                    <w14:schemeClr w14:val="tx1"/>
                  </w14:solidFill>
                </w14:textFill>
              </w:rPr>
              <w:t>380</w:t>
            </w:r>
            <w:r>
              <w:rPr>
                <w:bCs/>
                <w:color w:val="000000" w:themeColor="text1"/>
                <w:sz w:val="24"/>
                <w:szCs w:val="24"/>
                <w14:textFill>
                  <w14:solidFill>
                    <w14:schemeClr w14:val="tx1"/>
                  </w14:solidFill>
                </w14:textFill>
              </w:rPr>
              <w:t>℃</w:t>
            </w:r>
            <w:r>
              <w:rPr>
                <w:rFonts w:hint="eastAsia"/>
                <w:bCs/>
                <w:color w:val="000000" w:themeColor="text1"/>
                <w:sz w:val="24"/>
                <w:lang w:val="zh-CN"/>
                <w14:textFill>
                  <w14:solidFill>
                    <w14:schemeClr w14:val="tx1"/>
                  </w14:solidFill>
                </w14:textFill>
              </w:rPr>
              <w:t>）</w:t>
            </w:r>
            <w:r>
              <w:rPr>
                <w:rFonts w:hint="eastAsia"/>
                <w:bCs/>
                <w:color w:val="000000" w:themeColor="text1"/>
                <w:sz w:val="24"/>
                <w14:textFill>
                  <w14:solidFill>
                    <w14:schemeClr w14:val="tx1"/>
                  </w14:solidFill>
                </w14:textFill>
              </w:rPr>
              <w:t>+二次燃烧及骤冷”工艺，不凝气作为裂解炉燃料。根据</w:t>
            </w:r>
            <w:r>
              <w:rPr>
                <w:rFonts w:hint="eastAsia"/>
                <w:bCs/>
                <w:color w:val="000000" w:themeColor="text1"/>
                <w:sz w:val="24"/>
                <w:lang w:val="zh-CN"/>
                <w14:textFill>
                  <w14:solidFill>
                    <w14:schemeClr w14:val="tx1"/>
                  </w14:solidFill>
                </w14:textFill>
              </w:rPr>
              <w:t>该项目</w:t>
            </w:r>
            <w:r>
              <w:rPr>
                <w:rFonts w:hint="eastAsia"/>
                <w:bCs/>
                <w:color w:val="000000" w:themeColor="text1"/>
                <w:sz w:val="24"/>
                <w14:textFill>
                  <w14:solidFill>
                    <w14:schemeClr w14:val="tx1"/>
                  </w14:solidFill>
                </w14:textFill>
              </w:rPr>
              <w:t>竣工环保验收监测报告，裂解炉烟气排放口中</w:t>
            </w:r>
            <w:r>
              <w:rPr>
                <w:rFonts w:hint="eastAsia"/>
                <w:bCs/>
                <w:color w:val="000000" w:themeColor="text1"/>
                <w:sz w:val="24"/>
                <w:lang w:val="zh-CN"/>
                <w14:textFill>
                  <w14:solidFill>
                    <w14:schemeClr w14:val="tx1"/>
                  </w14:solidFill>
                </w14:textFill>
              </w:rPr>
              <w:t>二噁英类</w:t>
            </w:r>
            <w:r>
              <w:rPr>
                <w:rFonts w:hint="eastAsia"/>
                <w:bCs/>
                <w:color w:val="000000" w:themeColor="text1"/>
                <w:sz w:val="24"/>
                <w14:textFill>
                  <w14:solidFill>
                    <w14:schemeClr w14:val="tx1"/>
                  </w14:solidFill>
                </w14:textFill>
              </w:rPr>
              <w:t>的</w:t>
            </w:r>
            <w:r>
              <w:rPr>
                <w:rFonts w:hint="eastAsia"/>
                <w:bCs/>
                <w:color w:val="000000" w:themeColor="text1"/>
                <w:sz w:val="24"/>
                <w:lang w:val="zh-CN"/>
                <w14:textFill>
                  <w14:solidFill>
                    <w14:schemeClr w14:val="tx1"/>
                  </w14:solidFill>
                </w14:textFill>
              </w:rPr>
              <w:t>平均浓度</w:t>
            </w:r>
            <w:r>
              <w:rPr>
                <w:rFonts w:hint="eastAsia"/>
                <w:bCs/>
                <w:color w:val="000000" w:themeColor="text1"/>
                <w:sz w:val="24"/>
                <w14:textFill>
                  <w14:solidFill>
                    <w14:schemeClr w14:val="tx1"/>
                  </w14:solidFill>
                </w14:textFill>
              </w:rPr>
              <w:t>在</w:t>
            </w:r>
            <w:r>
              <w:rPr>
                <w:rFonts w:hint="eastAsia"/>
                <w:bCs/>
                <w:color w:val="000000" w:themeColor="text1"/>
                <w:sz w:val="24"/>
                <w:lang w:val="zh-CN"/>
                <w14:textFill>
                  <w14:solidFill>
                    <w14:schemeClr w14:val="tx1"/>
                  </w14:solidFill>
                </w14:textFill>
              </w:rPr>
              <w:t>0</w:t>
            </w:r>
            <w:r>
              <w:rPr>
                <w:bCs/>
                <w:color w:val="000000" w:themeColor="text1"/>
                <w:sz w:val="24"/>
                <w:lang w:val="zh-CN"/>
                <w14:textFill>
                  <w14:solidFill>
                    <w14:schemeClr w14:val="tx1"/>
                  </w14:solidFill>
                </w14:textFill>
              </w:rPr>
              <w:t>.068</w:t>
            </w:r>
            <w:r>
              <w:rPr>
                <w:rFonts w:hint="eastAsia"/>
                <w:bCs/>
                <w:color w:val="000000" w:themeColor="text1"/>
                <w:sz w:val="24"/>
                <w:lang w:val="zh-CN"/>
                <w14:textFill>
                  <w14:solidFill>
                    <w14:schemeClr w14:val="tx1"/>
                  </w14:solidFill>
                </w14:textFill>
              </w:rPr>
              <w:t>~</w:t>
            </w:r>
            <w:r>
              <w:rPr>
                <w:bCs/>
                <w:color w:val="000000" w:themeColor="text1"/>
                <w:sz w:val="24"/>
                <w:lang w:val="zh-CN"/>
                <w14:textFill>
                  <w14:solidFill>
                    <w14:schemeClr w14:val="tx1"/>
                  </w14:solidFill>
                </w14:textFill>
              </w:rPr>
              <w:t>0.091</w:t>
            </w:r>
            <w:r>
              <w:rPr>
                <w:rFonts w:hint="eastAsia"/>
                <w:bCs/>
                <w:color w:val="000000" w:themeColor="text1"/>
                <w:sz w:val="24"/>
                <w:lang w:val="zh-CN"/>
                <w14:textFill>
                  <w14:solidFill>
                    <w14:schemeClr w14:val="tx1"/>
                  </w14:solidFill>
                </w14:textFill>
              </w:rPr>
              <w:t>ng-</w:t>
            </w:r>
            <w:r>
              <w:rPr>
                <w:bCs/>
                <w:color w:val="000000" w:themeColor="text1"/>
                <w:sz w:val="24"/>
                <w:lang w:val="zh-CN"/>
                <w14:textFill>
                  <w14:solidFill>
                    <w14:schemeClr w14:val="tx1"/>
                  </w14:solidFill>
                </w14:textFill>
              </w:rPr>
              <w:t>TEQ/</w:t>
            </w:r>
            <w:r>
              <w:rPr>
                <w:rFonts w:hint="eastAsia"/>
                <w:bCs/>
                <w:color w:val="000000" w:themeColor="text1"/>
                <w:sz w:val="24"/>
                <w:lang w:val="zh-CN"/>
                <w14:textFill>
                  <w14:solidFill>
                    <w14:schemeClr w14:val="tx1"/>
                  </w14:solidFill>
                </w14:textFill>
              </w:rPr>
              <w:t>m</w:t>
            </w:r>
            <w:r>
              <w:rPr>
                <w:bCs/>
                <w:color w:val="000000" w:themeColor="text1"/>
                <w:sz w:val="24"/>
                <w:vertAlign w:val="superscript"/>
                <w:lang w:val="zh-CN"/>
                <w14:textFill>
                  <w14:solidFill>
                    <w14:schemeClr w14:val="tx1"/>
                  </w14:solidFill>
                </w14:textFill>
              </w:rPr>
              <w:t>3</w:t>
            </w:r>
            <w:r>
              <w:rPr>
                <w:rFonts w:hint="eastAsia"/>
                <w:bCs/>
                <w:color w:val="000000" w:themeColor="text1"/>
                <w:sz w:val="24"/>
                <w:lang w:val="zh-CN"/>
                <w14:textFill>
                  <w14:solidFill>
                    <w14:schemeClr w14:val="tx1"/>
                  </w14:solidFill>
                </w14:textFill>
              </w:rPr>
              <w:t>。</w:t>
            </w:r>
            <w:r>
              <w:rPr>
                <w:rFonts w:hint="eastAsia"/>
                <w:bCs/>
                <w:color w:val="000000" w:themeColor="text1"/>
                <w:sz w:val="24"/>
                <w14:textFill>
                  <w14:solidFill>
                    <w14:schemeClr w14:val="tx1"/>
                  </w14:solidFill>
                </w14:textFill>
              </w:rPr>
              <w:t>本项目年处理废旧</w:t>
            </w:r>
            <w:r>
              <w:rPr>
                <w:rFonts w:hint="eastAsia"/>
                <w:bCs/>
                <w:color w:val="000000" w:themeColor="text1"/>
                <w:sz w:val="24"/>
                <w:lang w:eastAsia="zh-CN"/>
                <w14:textFill>
                  <w14:solidFill>
                    <w14:schemeClr w14:val="tx1"/>
                  </w14:solidFill>
                </w14:textFill>
              </w:rPr>
              <w:t>轮胎</w:t>
            </w:r>
            <w:r>
              <w:rPr>
                <w:bCs/>
                <w:color w:val="000000" w:themeColor="text1"/>
                <w:sz w:val="24"/>
                <w14:textFill>
                  <w14:solidFill>
                    <w14:schemeClr w14:val="tx1"/>
                  </w14:solidFill>
                </w14:textFill>
              </w:rPr>
              <w:t>9</w:t>
            </w:r>
            <w:r>
              <w:rPr>
                <w:rFonts w:hint="eastAsia"/>
                <w:bCs/>
                <w:color w:val="000000" w:themeColor="text1"/>
                <w:sz w:val="24"/>
                <w14:textFill>
                  <w14:solidFill>
                    <w14:schemeClr w14:val="tx1"/>
                  </w14:solidFill>
                </w14:textFill>
              </w:rPr>
              <w:t>万吨。类比分析，项目</w:t>
            </w:r>
            <w:r>
              <w:rPr>
                <w:rFonts w:hint="eastAsia"/>
                <w:bCs/>
                <w:color w:val="000000" w:themeColor="text1"/>
                <w:sz w:val="24"/>
                <w:lang w:val="zh-CN"/>
                <w14:textFill>
                  <w14:solidFill>
                    <w14:schemeClr w14:val="tx1"/>
                  </w14:solidFill>
                </w14:textFill>
              </w:rPr>
              <w:t>二噁英排放</w:t>
            </w:r>
            <w:r>
              <w:rPr>
                <w:rFonts w:hint="eastAsia"/>
                <w:bCs/>
                <w:color w:val="000000" w:themeColor="text1"/>
                <w:sz w:val="24"/>
                <w14:textFill>
                  <w14:solidFill>
                    <w14:schemeClr w14:val="tx1"/>
                  </w14:solidFill>
                </w14:textFill>
              </w:rPr>
              <w:t>量及浓度分别为：</w:t>
            </w:r>
            <w:r>
              <w:rPr>
                <w:bCs/>
                <w:color w:val="000000" w:themeColor="text1"/>
                <w:sz w:val="24"/>
                <w:szCs w:val="24"/>
                <w14:textFill>
                  <w14:solidFill>
                    <w14:schemeClr w14:val="tx1"/>
                  </w14:solidFill>
                </w14:textFill>
              </w:rPr>
              <w:t>16.38</w:t>
            </w:r>
            <w:r>
              <w:rPr>
                <w:color w:val="000000" w:themeColor="text1"/>
                <w:sz w:val="24"/>
                <w:szCs w:val="24"/>
                <w14:textFill>
                  <w14:solidFill>
                    <w14:schemeClr w14:val="tx1"/>
                  </w14:solidFill>
                </w14:textFill>
              </w:rPr>
              <w:t>μg</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TEQ/h</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1.08</w:t>
            </w:r>
            <w:r>
              <w:rPr>
                <w:rFonts w:hint="eastAsia"/>
                <w:bCs/>
                <w:color w:val="000000" w:themeColor="text1"/>
                <w:sz w:val="24"/>
                <w:szCs w:val="24"/>
                <w14:textFill>
                  <w14:solidFill>
                    <w14:schemeClr w14:val="tx1"/>
                  </w14:solidFill>
                </w14:textFill>
              </w:rPr>
              <w:t>ng-</w:t>
            </w:r>
            <w:r>
              <w:rPr>
                <w:bCs/>
                <w:color w:val="000000" w:themeColor="text1"/>
                <w:sz w:val="24"/>
                <w:szCs w:val="24"/>
                <w14:textFill>
                  <w14:solidFill>
                    <w14:schemeClr w14:val="tx1"/>
                  </w14:solidFill>
                </w14:textFill>
              </w:rPr>
              <w:t>TEQ</w:t>
            </w:r>
            <w:r>
              <w:rPr>
                <w:rFonts w:hint="eastAsia"/>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w:t>
            </w:r>
          </w:p>
          <w:p>
            <w:pPr>
              <w:pStyle w:val="228"/>
              <w:autoSpaceDE w:val="0"/>
              <w:autoSpaceDN w:val="0"/>
              <w:adjustRightInd w:val="0"/>
              <w:spacing w:line="360" w:lineRule="auto"/>
              <w:ind w:firstLine="482"/>
              <w:textAlignment w:val="baseline"/>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③治理措施及达标性分析</w:t>
            </w:r>
          </w:p>
          <w:p>
            <w:pPr>
              <w:pStyle w:val="228"/>
              <w:autoSpaceDE w:val="0"/>
              <w:autoSpaceDN w:val="0"/>
              <w:adjustRightInd w:val="0"/>
              <w:spacing w:line="360" w:lineRule="auto"/>
              <w:ind w:firstLine="480"/>
              <w:textAlignment w:val="baseline"/>
              <w:rPr>
                <w:color w:val="FF0000"/>
                <w:sz w:val="24"/>
                <w:szCs w:val="24"/>
              </w:rPr>
            </w:pPr>
            <w:r>
              <w:rPr>
                <w:rFonts w:hint="eastAsia"/>
                <w:bCs/>
                <w:color w:val="FF0000"/>
                <w:sz w:val="24"/>
                <w:szCs w:val="24"/>
              </w:rPr>
              <w:t>项目新建1套裂解炉废气处理设施，处理规模</w:t>
            </w:r>
            <w:r>
              <w:rPr>
                <w:color w:val="FF0000"/>
                <w:sz w:val="24"/>
                <w:szCs w:val="24"/>
              </w:rPr>
              <w:t>15000m</w:t>
            </w:r>
            <w:r>
              <w:rPr>
                <w:color w:val="FF0000"/>
                <w:sz w:val="24"/>
                <w:szCs w:val="24"/>
                <w:vertAlign w:val="superscript"/>
              </w:rPr>
              <w:t>3</w:t>
            </w:r>
            <w:r>
              <w:rPr>
                <w:color w:val="FF0000"/>
                <w:sz w:val="24"/>
                <w:szCs w:val="24"/>
              </w:rPr>
              <w:t>/h</w:t>
            </w:r>
            <w:r>
              <w:rPr>
                <w:rFonts w:hint="eastAsia"/>
                <w:color w:val="FF0000"/>
                <w:sz w:val="24"/>
                <w:szCs w:val="24"/>
              </w:rPr>
              <w:t>，采用“二次燃烧+烟气骤冷+SCR脱硝+</w:t>
            </w:r>
            <w:r>
              <w:rPr>
                <w:rFonts w:hint="eastAsia"/>
                <w:bCs/>
                <w:color w:val="FF0000"/>
                <w:sz w:val="24"/>
                <w:szCs w:val="24"/>
              </w:rPr>
              <w:t>钠碱法</w:t>
            </w:r>
            <w:r>
              <w:rPr>
                <w:rFonts w:hint="eastAsia"/>
                <w:color w:val="FF0000"/>
                <w:sz w:val="24"/>
                <w:szCs w:val="24"/>
              </w:rPr>
              <w:t>脱硫+湿电除尘+气液分离+二级活性炭吸附”处理工艺，达标废气经15m高排气筒（</w:t>
            </w:r>
            <w:r>
              <w:rPr>
                <w:color w:val="FF0000"/>
                <w:sz w:val="24"/>
                <w:szCs w:val="24"/>
              </w:rPr>
              <w:t>DA003</w:t>
            </w:r>
            <w:r>
              <w:rPr>
                <w:rFonts w:hint="eastAsia"/>
                <w:color w:val="FF0000"/>
                <w:sz w:val="24"/>
                <w:szCs w:val="24"/>
              </w:rPr>
              <w:t>）排放。该处理工艺中</w:t>
            </w:r>
            <w:r>
              <w:rPr>
                <w:rFonts w:hint="eastAsia"/>
                <w:bCs/>
                <w:color w:val="FF0000"/>
                <w:sz w:val="24"/>
                <w:szCs w:val="24"/>
              </w:rPr>
              <w:t>湿电除尘颗粒物去除效率达</w:t>
            </w:r>
            <w:r>
              <w:rPr>
                <w:bCs/>
                <w:color w:val="FF0000"/>
                <w:sz w:val="24"/>
                <w:szCs w:val="24"/>
              </w:rPr>
              <w:t>80</w:t>
            </w:r>
            <w:r>
              <w:rPr>
                <w:rFonts w:hint="eastAsia"/>
                <w:bCs/>
                <w:color w:val="FF0000"/>
                <w:sz w:val="24"/>
                <w:szCs w:val="24"/>
              </w:rPr>
              <w:t>%；钠碱法脱硫效率可达</w:t>
            </w:r>
            <w:r>
              <w:rPr>
                <w:bCs/>
                <w:color w:val="FF0000"/>
                <w:sz w:val="24"/>
                <w:szCs w:val="24"/>
              </w:rPr>
              <w:t>90</w:t>
            </w:r>
            <w:r>
              <w:rPr>
                <w:rFonts w:hint="eastAsia"/>
                <w:bCs/>
                <w:color w:val="FF0000"/>
                <w:sz w:val="24"/>
                <w:szCs w:val="24"/>
              </w:rPr>
              <w:t>%；S</w:t>
            </w:r>
            <w:r>
              <w:rPr>
                <w:bCs/>
                <w:color w:val="FF0000"/>
                <w:sz w:val="24"/>
                <w:szCs w:val="24"/>
              </w:rPr>
              <w:t>CR</w:t>
            </w:r>
            <w:r>
              <w:rPr>
                <w:rFonts w:hint="eastAsia"/>
                <w:bCs/>
                <w:color w:val="FF0000"/>
                <w:sz w:val="24"/>
                <w:szCs w:val="24"/>
              </w:rPr>
              <w:t>脱硝装置脱氮去除效率</w:t>
            </w:r>
            <w:r>
              <w:rPr>
                <w:bCs/>
                <w:color w:val="FF0000"/>
                <w:sz w:val="24"/>
                <w:szCs w:val="24"/>
              </w:rPr>
              <w:t>40</w:t>
            </w:r>
            <w:r>
              <w:rPr>
                <w:rFonts w:hint="eastAsia"/>
                <w:bCs/>
                <w:color w:val="FF0000"/>
                <w:sz w:val="24"/>
                <w:szCs w:val="24"/>
              </w:rPr>
              <w:t>%；二次燃烧+骤冷+二级活性炭吸附对非甲烷总烃、二噁英类、甲苯、二甲苯去除效率取9</w:t>
            </w:r>
            <w:r>
              <w:rPr>
                <w:bCs/>
                <w:color w:val="FF0000"/>
                <w:sz w:val="24"/>
                <w:szCs w:val="24"/>
              </w:rPr>
              <w:t>5</w:t>
            </w:r>
            <w:r>
              <w:rPr>
                <w:rFonts w:hint="eastAsia"/>
                <w:bCs/>
                <w:color w:val="FF0000"/>
                <w:sz w:val="24"/>
                <w:szCs w:val="24"/>
              </w:rPr>
              <w:t>%；由于H</w:t>
            </w:r>
            <w:r>
              <w:rPr>
                <w:bCs/>
                <w:color w:val="FF0000"/>
                <w:sz w:val="24"/>
                <w:szCs w:val="24"/>
                <w:vertAlign w:val="subscript"/>
              </w:rPr>
              <w:t>2</w:t>
            </w:r>
            <w:r>
              <w:rPr>
                <w:bCs/>
                <w:color w:val="FF0000"/>
                <w:sz w:val="24"/>
                <w:szCs w:val="24"/>
              </w:rPr>
              <w:t>S</w:t>
            </w:r>
            <w:r>
              <w:rPr>
                <w:rFonts w:hint="eastAsia"/>
                <w:bCs/>
                <w:color w:val="FF0000"/>
                <w:sz w:val="24"/>
                <w:szCs w:val="24"/>
              </w:rPr>
              <w:t>产生浓度较低，废气处理设施对其去除效率有限，本次评价保守取5</w:t>
            </w:r>
            <w:r>
              <w:rPr>
                <w:bCs/>
                <w:color w:val="FF0000"/>
                <w:sz w:val="24"/>
                <w:szCs w:val="24"/>
              </w:rPr>
              <w:t>0</w:t>
            </w:r>
            <w:r>
              <w:rPr>
                <w:rFonts w:hint="eastAsia"/>
                <w:bCs/>
                <w:color w:val="FF0000"/>
                <w:sz w:val="24"/>
                <w:szCs w:val="24"/>
              </w:rPr>
              <w:t>%。</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项目废气处理设施采用变频风机，新建项目一期裂解炉废气收集管网和二期裂解炉废气收集主管道，预留二期废气接入口，并设置截止阀等。</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（3）储油罐区呼吸废气G</w:t>
            </w:r>
            <w:r>
              <w:rPr>
                <w:bCs/>
                <w:color w:val="000000" w:themeColor="text1"/>
                <w:sz w:val="24"/>
                <w:szCs w:val="24"/>
                <w14:textFill>
                  <w14:solidFill>
                    <w14:schemeClr w14:val="tx1"/>
                  </w14:solidFill>
                </w14:textFill>
              </w:rPr>
              <w:t>3</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项目裂解油产量为</w:t>
            </w:r>
            <w:r>
              <w:rPr>
                <w:bCs/>
                <w:color w:val="000000" w:themeColor="text1"/>
                <w:sz w:val="24"/>
                <w:szCs w:val="24"/>
                <w14:textFill>
                  <w14:solidFill>
                    <w14:schemeClr w14:val="tx1"/>
                  </w14:solidFill>
                </w14:textFill>
              </w:rPr>
              <w:t>36000</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a（其中一期</w:t>
            </w:r>
            <w:r>
              <w:rPr>
                <w:bCs/>
                <w:color w:val="000000" w:themeColor="text1"/>
                <w:sz w:val="24"/>
                <w:szCs w:val="24"/>
                <w14:textFill>
                  <w14:solidFill>
                    <w14:schemeClr w14:val="tx1"/>
                  </w14:solidFill>
                </w14:textFill>
              </w:rPr>
              <w:t>12000</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a、二期</w:t>
            </w:r>
            <w:r>
              <w:rPr>
                <w:bCs/>
                <w:color w:val="000000" w:themeColor="text1"/>
                <w:sz w:val="24"/>
                <w:szCs w:val="24"/>
                <w14:textFill>
                  <w14:solidFill>
                    <w14:schemeClr w14:val="tx1"/>
                  </w14:solidFill>
                </w14:textFill>
              </w:rPr>
              <w:t>24000</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a）。根据建设单位提供资料，项目储油罐区共设置5个容积为</w:t>
            </w:r>
            <w:r>
              <w:rPr>
                <w:bCs/>
                <w:color w:val="000000" w:themeColor="text1"/>
                <w:sz w:val="24"/>
                <w:szCs w:val="24"/>
                <w14:textFill>
                  <w14:solidFill>
                    <w14:schemeClr w14:val="tx1"/>
                  </w14:solidFill>
                </w14:textFill>
              </w:rPr>
              <w:t>400</w:t>
            </w:r>
            <w:r>
              <w:rPr>
                <w:rFonts w:hint="eastAsia"/>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产品油储罐（其中一期建设</w:t>
            </w:r>
            <w:r>
              <w:rPr>
                <w:bCs/>
                <w:color w:val="000000" w:themeColor="text1"/>
                <w:sz w:val="24"/>
                <w:szCs w:val="24"/>
                <w14:textFill>
                  <w14:solidFill>
                    <w14:schemeClr w14:val="tx1"/>
                  </w14:solidFill>
                </w14:textFill>
              </w:rPr>
              <w:t>2</w:t>
            </w:r>
            <w:r>
              <w:rPr>
                <w:rFonts w:hint="eastAsia"/>
                <w:bCs/>
                <w:color w:val="000000" w:themeColor="text1"/>
                <w:sz w:val="24"/>
                <w:szCs w:val="24"/>
                <w14:textFill>
                  <w14:solidFill>
                    <w14:schemeClr w14:val="tx1"/>
                  </w14:solidFill>
                </w14:textFill>
              </w:rPr>
              <w:t>个储油罐、二期建设</w:t>
            </w:r>
            <w:r>
              <w:rPr>
                <w:bCs/>
                <w:color w:val="000000" w:themeColor="text1"/>
                <w:sz w:val="24"/>
                <w:szCs w:val="24"/>
                <w14:textFill>
                  <w14:solidFill>
                    <w14:schemeClr w14:val="tx1"/>
                  </w14:solidFill>
                </w14:textFill>
              </w:rPr>
              <w:t>3</w:t>
            </w:r>
            <w:r>
              <w:rPr>
                <w:rFonts w:hint="eastAsia"/>
                <w:bCs/>
                <w:color w:val="000000" w:themeColor="text1"/>
                <w:sz w:val="24"/>
                <w:szCs w:val="24"/>
                <w14:textFill>
                  <w14:solidFill>
                    <w14:schemeClr w14:val="tx1"/>
                  </w14:solidFill>
                </w14:textFill>
              </w:rPr>
              <w:t>个储油罐），均为地上立式储罐（拱顶罐），填充系数0</w:t>
            </w:r>
            <w:r>
              <w:rPr>
                <w:bCs/>
                <w:color w:val="000000" w:themeColor="text1"/>
                <w:sz w:val="24"/>
                <w:szCs w:val="24"/>
                <w14:textFill>
                  <w14:solidFill>
                    <w14:schemeClr w14:val="tx1"/>
                  </w14:solidFill>
                </w14:textFill>
              </w:rPr>
              <w:t>.85</w:t>
            </w:r>
            <w:r>
              <w:rPr>
                <w:rFonts w:hint="eastAsia"/>
                <w:bCs/>
                <w:color w:val="000000" w:themeColor="text1"/>
                <w:sz w:val="24"/>
                <w:szCs w:val="24"/>
                <w14:textFill>
                  <w14:solidFill>
                    <w14:schemeClr w14:val="tx1"/>
                  </w14:solidFill>
                </w14:textFill>
              </w:rPr>
              <w:t>，裂解油密度按0</w:t>
            </w:r>
            <w:r>
              <w:rPr>
                <w:bCs/>
                <w:color w:val="000000" w:themeColor="text1"/>
                <w:sz w:val="24"/>
                <w:szCs w:val="24"/>
                <w14:textFill>
                  <w14:solidFill>
                    <w14:schemeClr w14:val="tx1"/>
                  </w14:solidFill>
                </w14:textFill>
              </w:rPr>
              <w:t>.918</w:t>
            </w:r>
            <w:r>
              <w:rPr>
                <w:rFonts w:hint="eastAsia"/>
                <w:bCs/>
                <w:color w:val="000000" w:themeColor="text1"/>
                <w:sz w:val="24"/>
                <w:szCs w:val="24"/>
                <w14:textFill>
                  <w14:solidFill>
                    <w14:schemeClr w14:val="tx1"/>
                  </w14:solidFill>
                </w14:textFill>
              </w:rPr>
              <w:t>kg</w:t>
            </w:r>
            <w:r>
              <w:rPr>
                <w:bCs/>
                <w:color w:val="000000" w:themeColor="text1"/>
                <w:sz w:val="24"/>
                <w:szCs w:val="24"/>
                <w14:textFill>
                  <w14:solidFill>
                    <w14:schemeClr w14:val="tx1"/>
                  </w14:solidFill>
                </w14:textFill>
              </w:rPr>
              <w:t>/L</w:t>
            </w:r>
            <w:r>
              <w:rPr>
                <w:rFonts w:hint="eastAsia"/>
                <w:bCs/>
                <w:color w:val="000000" w:themeColor="text1"/>
                <w:sz w:val="24"/>
                <w:szCs w:val="24"/>
                <w14:textFill>
                  <w14:solidFill>
                    <w14:schemeClr w14:val="tx1"/>
                  </w14:solidFill>
                </w14:textFill>
              </w:rPr>
              <w:t>计。则储油罐区最大贮存量约17</w:t>
            </w:r>
            <w:r>
              <w:rPr>
                <w:bCs/>
                <w:color w:val="000000" w:themeColor="text1"/>
                <w:sz w:val="24"/>
                <w:szCs w:val="24"/>
                <w14:textFill>
                  <w14:solidFill>
                    <w14:schemeClr w14:val="tx1"/>
                  </w14:solidFill>
                </w14:textFill>
              </w:rPr>
              <w:t>00</w:t>
            </w:r>
            <w:r>
              <w:rPr>
                <w:rFonts w:hint="eastAsia"/>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，裂解油总体积为3</w:t>
            </w:r>
            <w:r>
              <w:rPr>
                <w:bCs/>
                <w:color w:val="000000" w:themeColor="text1"/>
                <w:sz w:val="24"/>
                <w:szCs w:val="24"/>
                <w14:textFill>
                  <w14:solidFill>
                    <w14:schemeClr w14:val="tx1"/>
                  </w14:solidFill>
                </w14:textFill>
              </w:rPr>
              <w:t>9216</w:t>
            </w:r>
            <w:r>
              <w:rPr>
                <w:rFonts w:hint="eastAsia"/>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a。裂解油由具有资质的第三方公司运至裂解油购买方。储油罐区废气主要为产品油罐大小呼吸产生的V</w:t>
            </w:r>
            <w:r>
              <w:rPr>
                <w:bCs/>
                <w:color w:val="000000" w:themeColor="text1"/>
                <w:sz w:val="24"/>
                <w:szCs w:val="24"/>
                <w14:textFill>
                  <w14:solidFill>
                    <w14:schemeClr w14:val="tx1"/>
                  </w14:solidFill>
                </w14:textFill>
              </w:rPr>
              <w:t>OC</w:t>
            </w:r>
            <w:r>
              <w:rPr>
                <w:rFonts w:hint="eastAsia"/>
                <w:bCs/>
                <w:color w:val="000000" w:themeColor="text1"/>
                <w:sz w:val="24"/>
                <w:szCs w:val="24"/>
                <w14:textFill>
                  <w14:solidFill>
                    <w14:schemeClr w14:val="tx1"/>
                  </w14:solidFill>
                </w14:textFill>
              </w:rPr>
              <w:t>s（以非甲烷总烃计）。</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储罐大呼吸损失是指储罐进发物料时的呼吸。储罐进料时，由于液面逐渐升高，气体空间逐渐减小，罐内压力增大，当压力超过呼吸阀控制压力时，一定浓度的物料蒸汽开始从呼吸阀呼出，直至储罐停止进料，所呼出的物料蒸发造成的损失。</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储罐小呼吸损失是指储罐在没有收发作业的情况下，随着外界气温、压力在一天内的升降周期变化，罐内气体空间温度、物料蒸发速度、物料浓度和蒸汽压力也随之变化，排出蒸气和吸入空气的过程造成的油气损失。</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本项目采用地上立式储罐（拱顶罐）。罐区有机废气无组织排放量包括大呼吸和小呼吸。本次评价参照</w:t>
            </w:r>
            <w:r>
              <w:rPr>
                <w:rFonts w:hint="eastAsia"/>
                <w:bCs/>
                <w:color w:val="000000" w:themeColor="text1"/>
                <w:sz w:val="24"/>
                <w:lang w:val="zh-CN"/>
                <w14:textFill>
                  <w14:solidFill>
                    <w14:schemeClr w14:val="tx1"/>
                  </w14:solidFill>
                </w14:textFill>
              </w:rPr>
              <w:t>《石油库节能设计导则》(SH/T3002-2000)附录A中推荐的拱顶罐计算公式对</w:t>
            </w:r>
            <w:r>
              <w:rPr>
                <w:rFonts w:hint="eastAsia"/>
                <w:bCs/>
                <w:color w:val="000000" w:themeColor="text1"/>
                <w:sz w:val="24"/>
                <w:szCs w:val="24"/>
                <w14:textFill>
                  <w14:solidFill>
                    <w14:schemeClr w14:val="tx1"/>
                  </w14:solidFill>
                </w14:textFill>
              </w:rPr>
              <w:t>储罐大、小呼吸废气排放量</w:t>
            </w:r>
            <w:r>
              <w:rPr>
                <w:rFonts w:hint="eastAsia"/>
                <w:bCs/>
                <w:color w:val="000000" w:themeColor="text1"/>
                <w:sz w:val="24"/>
                <w:lang w:val="zh-CN"/>
                <w14:textFill>
                  <w14:solidFill>
                    <w14:schemeClr w14:val="tx1"/>
                  </w14:solidFill>
                </w14:textFill>
              </w:rPr>
              <w:t>进行核算。</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罐区呼吸废气计算公式如下：</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①</w:t>
            </w:r>
            <w:r>
              <w:rPr>
                <w:rFonts w:hint="eastAsia"/>
                <w:bCs/>
                <w:color w:val="000000" w:themeColor="text1"/>
                <w:sz w:val="24"/>
                <w:szCs w:val="24"/>
                <w14:textFill>
                  <w14:solidFill>
                    <w14:schemeClr w14:val="tx1"/>
                  </w14:solidFill>
                </w14:textFill>
              </w:rPr>
              <w:t>小呼吸</w:t>
            </w:r>
          </w:p>
          <w:p>
            <w:pPr>
              <w:pStyle w:val="228"/>
              <w:autoSpaceDE w:val="0"/>
              <w:autoSpaceDN w:val="0"/>
              <w:adjustRightInd w:val="0"/>
              <w:spacing w:line="240" w:lineRule="auto"/>
              <w:ind w:firstLine="0" w:firstLineChars="0"/>
              <w:jc w:val="center"/>
              <w:textAlignment w:val="baseline"/>
              <w:rPr>
                <w:color w:val="000000" w:themeColor="text1"/>
                <w:position w:val="-32"/>
                <w:sz w:val="24"/>
                <w14:textFill>
                  <w14:solidFill>
                    <w14:schemeClr w14:val="tx1"/>
                  </w14:solidFill>
                </w14:textFill>
              </w:rPr>
            </w:pPr>
            <w:r>
              <w:rPr>
                <w:color w:val="000000" w:themeColor="text1"/>
                <w:position w:val="-32"/>
                <w:sz w:val="24"/>
                <w14:textFill>
                  <w14:solidFill>
                    <w14:schemeClr w14:val="tx1"/>
                  </w14:solidFill>
                </w14:textFill>
              </w:rPr>
              <w:drawing>
                <wp:inline distT="0" distB="0" distL="0" distR="0">
                  <wp:extent cx="3299460" cy="5562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299460" cy="556260"/>
                          </a:xfrm>
                          <a:prstGeom prst="rect">
                            <a:avLst/>
                          </a:prstGeom>
                          <a:noFill/>
                          <a:ln>
                            <a:noFill/>
                          </a:ln>
                        </pic:spPr>
                      </pic:pic>
                    </a:graphicData>
                  </a:graphic>
                </wp:inline>
              </w:drawing>
            </w:r>
          </w:p>
          <w:p>
            <w:pPr>
              <w:adjustRightInd w:val="0"/>
              <w:snapToGrid w:val="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式中：</w:t>
            </w: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 xml:space="preserve">DS </w:t>
            </w:r>
            <w:r>
              <w:rPr>
                <w:color w:val="000000" w:themeColor="text1"/>
                <w:sz w:val="24"/>
                <w14:textFill>
                  <w14:solidFill>
                    <w14:schemeClr w14:val="tx1"/>
                  </w14:solidFill>
                </w14:textFill>
              </w:rPr>
              <w:t>—拱顶罐年小呼吸损耗量，m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p>
          <w:p>
            <w:pPr>
              <w:adjustRightInd w:val="0"/>
              <w:snapToGrid w:val="0"/>
              <w:ind w:firstLine="720" w:firstLineChars="300"/>
              <w:rPr>
                <w:color w:val="000000" w:themeColor="text1"/>
                <w:sz w:val="24"/>
                <w14:textFill>
                  <w14:solidFill>
                    <w14:schemeClr w14:val="tx1"/>
                  </w14:solidFill>
                </w14:textFill>
              </w:rPr>
            </w:pPr>
            <w:r>
              <w:rPr>
                <w:color w:val="000000" w:themeColor="text1"/>
                <w:sz w:val="24"/>
                <w14:textFill>
                  <w14:solidFill>
                    <w14:schemeClr w14:val="tx1"/>
                  </w14:solidFill>
                </w14:textFill>
              </w:rPr>
              <w:t>K</w:t>
            </w:r>
            <w:r>
              <w:rPr>
                <w:color w:val="000000" w:themeColor="text1"/>
                <w:sz w:val="24"/>
                <w:vertAlign w:val="subscript"/>
                <w14:textFill>
                  <w14:solidFill>
                    <w14:schemeClr w14:val="tx1"/>
                  </w14:solidFill>
                </w14:textFill>
              </w:rPr>
              <w:t xml:space="preserve">2 </w:t>
            </w:r>
            <w:r>
              <w:rPr>
                <w:color w:val="000000" w:themeColor="text1"/>
                <w:sz w:val="24"/>
                <w14:textFill>
                  <w14:solidFill>
                    <w14:schemeClr w14:val="tx1"/>
                  </w14:solidFill>
                </w14:textFill>
              </w:rPr>
              <w:t>—单位换算系数，K</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=3.05；</w:t>
            </w:r>
          </w:p>
          <w:p>
            <w:pPr>
              <w:adjustRightInd w:val="0"/>
              <w:snapToGrid w:val="0"/>
              <w:ind w:firstLine="720" w:firstLineChars="300"/>
              <w:rPr>
                <w:color w:val="000000" w:themeColor="text1"/>
                <w:sz w:val="24"/>
                <w14:textFill>
                  <w14:solidFill>
                    <w14:schemeClr w14:val="tx1"/>
                  </w14:solidFill>
                </w14:textFill>
              </w:rPr>
            </w:pPr>
            <w:r>
              <w:rPr>
                <w:color w:val="000000" w:themeColor="text1"/>
                <w:sz w:val="24"/>
                <w14:textFill>
                  <w14:solidFill>
                    <w14:schemeClr w14:val="tx1"/>
                  </w14:solidFill>
                </w14:textFill>
              </w:rPr>
              <w:t>K</w:t>
            </w:r>
            <w:r>
              <w:rPr>
                <w:color w:val="000000" w:themeColor="text1"/>
                <w:sz w:val="24"/>
                <w:vertAlign w:val="subscript"/>
                <w14:textFill>
                  <w14:solidFill>
                    <w14:schemeClr w14:val="tx1"/>
                  </w14:solidFill>
                </w14:textFill>
              </w:rPr>
              <w:t xml:space="preserve">3 </w:t>
            </w:r>
            <w:r>
              <w:rPr>
                <w:color w:val="000000" w:themeColor="text1"/>
                <w:sz w:val="24"/>
                <w14:textFill>
                  <w14:solidFill>
                    <w14:schemeClr w14:val="tx1"/>
                  </w14:solidFill>
                </w14:textFill>
              </w:rPr>
              <w:t>—化学品、油品系数，</w:t>
            </w:r>
            <w:r>
              <w:rPr>
                <w:rFonts w:hint="eastAsia"/>
                <w:color w:val="000000" w:themeColor="text1"/>
                <w:sz w:val="24"/>
                <w14:textFill>
                  <w14:solidFill>
                    <w14:schemeClr w14:val="tx1"/>
                  </w14:solidFill>
                </w14:textFill>
              </w:rPr>
              <w:t>汽油</w:t>
            </w:r>
            <w:r>
              <w:rPr>
                <w:color w:val="000000" w:themeColor="text1"/>
                <w:sz w:val="24"/>
                <w14:textFill>
                  <w14:solidFill>
                    <w14:schemeClr w14:val="tx1"/>
                  </w14:solidFill>
                </w14:textFill>
              </w:rPr>
              <w:t>取</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原油取</w:t>
            </w:r>
            <w:r>
              <w:rPr>
                <w:rFonts w:hint="eastAsia"/>
                <w:color w:val="000000" w:themeColor="text1"/>
                <w:sz w:val="24"/>
                <w14:textFill>
                  <w14:solidFill>
                    <w14:schemeClr w14:val="tx1"/>
                  </w14:solidFill>
                </w14:textFill>
              </w:rPr>
              <w:t>0.75，</w:t>
            </w:r>
            <w:r>
              <w:rPr>
                <w:color w:val="000000" w:themeColor="text1"/>
                <w:sz w:val="24"/>
                <w14:textFill>
                  <w14:solidFill>
                    <w14:schemeClr w14:val="tx1"/>
                  </w14:solidFill>
                </w14:textFill>
              </w:rPr>
              <w:t>本评价取K</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=0.85；</w:t>
            </w:r>
          </w:p>
          <w:p>
            <w:pPr>
              <w:adjustRightInd w:val="0"/>
              <w:snapToGrid w:val="0"/>
              <w:ind w:firstLine="720" w:firstLineChars="300"/>
              <w:rPr>
                <w:color w:val="000000" w:themeColor="text1"/>
                <w:sz w:val="24"/>
                <w14:textFill>
                  <w14:solidFill>
                    <w14:schemeClr w14:val="tx1"/>
                  </w14:solidFill>
                </w14:textFill>
              </w:rPr>
            </w:pPr>
            <w:r>
              <w:rPr>
                <w:color w:val="000000" w:themeColor="text1"/>
                <w:sz w:val="24"/>
                <w14:textFill>
                  <w14:solidFill>
                    <w14:schemeClr w14:val="tx1"/>
                  </w14:solidFill>
                </w14:textFill>
              </w:rPr>
              <w:t>P—化学品、油品本体温度下的蒸汽压</w:t>
            </w:r>
            <w:r>
              <w:rPr>
                <w:rFonts w:hint="eastAsia"/>
                <w:color w:val="000000" w:themeColor="text1"/>
                <w:sz w:val="24"/>
                <w14:textFill>
                  <w14:solidFill>
                    <w14:schemeClr w14:val="tx1"/>
                  </w14:solidFill>
                </w14:textFill>
              </w:rPr>
              <w:t>，取6</w:t>
            </w:r>
            <w:r>
              <w:rPr>
                <w:color w:val="000000" w:themeColor="text1"/>
                <w:sz w:val="24"/>
                <w14:textFill>
                  <w14:solidFill>
                    <w14:schemeClr w14:val="tx1"/>
                  </w14:solidFill>
                </w14:textFill>
              </w:rPr>
              <w:t>.43kPa；</w:t>
            </w:r>
          </w:p>
          <w:p>
            <w:pPr>
              <w:adjustRightInd w:val="0"/>
              <w:snapToGrid w:val="0"/>
              <w:ind w:firstLine="720" w:firstLineChars="300"/>
              <w:rPr>
                <w:color w:val="000000" w:themeColor="text1"/>
                <w:sz w:val="24"/>
                <w14:textFill>
                  <w14:solidFill>
                    <w14:schemeClr w14:val="tx1"/>
                  </w14:solidFill>
                </w14:textFill>
              </w:rPr>
            </w:pPr>
            <w:r>
              <w:rPr>
                <w:color w:val="000000" w:themeColor="text1"/>
                <w:sz w:val="24"/>
                <w14:textFill>
                  <w14:solidFill>
                    <w14:schemeClr w14:val="tx1"/>
                  </w14:solidFill>
                </w14:textFill>
              </w:rPr>
              <w:t>P</w:t>
            </w:r>
            <w:r>
              <w:rPr>
                <w:color w:val="000000" w:themeColor="text1"/>
                <w:sz w:val="24"/>
                <w:vertAlign w:val="subscript"/>
                <w14:textFill>
                  <w14:solidFill>
                    <w14:schemeClr w14:val="tx1"/>
                  </w14:solidFill>
                </w14:textFill>
              </w:rPr>
              <w:t>a</w:t>
            </w:r>
            <w:r>
              <w:rPr>
                <w:color w:val="000000" w:themeColor="text1"/>
                <w:sz w:val="24"/>
                <w14:textFill>
                  <w14:solidFill>
                    <w14:schemeClr w14:val="tx1"/>
                  </w14:solidFill>
                </w14:textFill>
              </w:rPr>
              <w:t>—当地大气压，本次评价取101.325kPa；</w:t>
            </w:r>
          </w:p>
          <w:p>
            <w:pPr>
              <w:adjustRightInd w:val="0"/>
              <w:snapToGrid w:val="0"/>
              <w:ind w:firstLine="720" w:firstLineChars="300"/>
              <w:rPr>
                <w:color w:val="000000" w:themeColor="text1"/>
                <w:sz w:val="24"/>
                <w14:textFill>
                  <w14:solidFill>
                    <w14:schemeClr w14:val="tx1"/>
                  </w14:solidFill>
                </w14:textFill>
              </w:rPr>
            </w:pPr>
            <w:r>
              <w:rPr>
                <w:color w:val="000000" w:themeColor="text1"/>
                <w:sz w:val="24"/>
                <w14:textFill>
                  <w14:solidFill>
                    <w14:schemeClr w14:val="tx1"/>
                  </w14:solidFill>
                </w14:textFill>
              </w:rPr>
              <w:t>D—储罐直径，m</w:t>
            </w:r>
            <w:r>
              <w:rPr>
                <w:rFonts w:hint="eastAsia"/>
                <w:color w:val="000000" w:themeColor="text1"/>
                <w:sz w:val="24"/>
                <w14:textFill>
                  <w14:solidFill>
                    <w14:schemeClr w14:val="tx1"/>
                  </w14:solidFill>
                </w14:textFill>
              </w:rPr>
              <w:t>，取</w:t>
            </w:r>
            <w:r>
              <w:rPr>
                <w:color w:val="000000" w:themeColor="text1"/>
                <w:sz w:val="24"/>
                <w14:textFill>
                  <w14:solidFill>
                    <w14:schemeClr w14:val="tx1"/>
                  </w14:solidFill>
                </w14:textFill>
              </w:rPr>
              <w:t>9m；</w:t>
            </w:r>
          </w:p>
          <w:p>
            <w:pPr>
              <w:adjustRightInd w:val="0"/>
              <w:snapToGrid w:val="0"/>
              <w:ind w:firstLine="720" w:firstLineChars="300"/>
              <w:rPr>
                <w:color w:val="000000" w:themeColor="text1"/>
                <w:sz w:val="24"/>
                <w14:textFill>
                  <w14:solidFill>
                    <w14:schemeClr w14:val="tx1"/>
                  </w14:solidFill>
                </w14:textFill>
              </w:rPr>
            </w:pPr>
            <w:r>
              <w:rPr>
                <w:color w:val="000000" w:themeColor="text1"/>
                <w:sz w:val="24"/>
                <w14:textFill>
                  <w14:solidFill>
                    <w14:schemeClr w14:val="tx1"/>
                  </w14:solidFill>
                </w14:textFill>
              </w:rPr>
              <w:t>H—罐内气体空间高度，m</w:t>
            </w:r>
            <w:r>
              <w:rPr>
                <w:rFonts w:hint="eastAsia"/>
                <w:color w:val="000000" w:themeColor="text1"/>
                <w:sz w:val="24"/>
                <w14:textFill>
                  <w14:solidFill>
                    <w14:schemeClr w14:val="tx1"/>
                  </w14:solidFill>
                </w14:textFill>
              </w:rPr>
              <w:t>。包括储罐罐体部分预留容积的高度和罐顶部分容积的换算高。项目充填系数0</w:t>
            </w:r>
            <w:r>
              <w:rPr>
                <w:color w:val="000000" w:themeColor="text1"/>
                <w:sz w:val="24"/>
                <w14:textFill>
                  <w14:solidFill>
                    <w14:schemeClr w14:val="tx1"/>
                  </w14:solidFill>
                </w14:textFill>
              </w:rPr>
              <w:t>.85</w:t>
            </w:r>
            <w:r>
              <w:rPr>
                <w:rFonts w:hint="eastAsia"/>
                <w:color w:val="000000" w:themeColor="text1"/>
                <w:sz w:val="24"/>
                <w14:textFill>
                  <w14:solidFill>
                    <w14:schemeClr w14:val="tx1"/>
                  </w14:solidFill>
                </w14:textFill>
              </w:rPr>
              <w:t>，计算得到高度为</w:t>
            </w:r>
            <w:r>
              <w:rPr>
                <w:color w:val="000000" w:themeColor="text1"/>
                <w:sz w:val="24"/>
                <w14:textFill>
                  <w14:solidFill>
                    <w14:schemeClr w14:val="tx1"/>
                  </w14:solidFill>
                </w14:textFill>
              </w:rPr>
              <w:t>0.95</w:t>
            </w:r>
            <w:r>
              <w:rPr>
                <w:rFonts w:hint="eastAsia"/>
                <w:color w:val="000000" w:themeColor="text1"/>
                <w:sz w:val="24"/>
                <w14:textFill>
                  <w14:solidFill>
                    <w14:schemeClr w14:val="tx1"/>
                  </w14:solidFill>
                </w14:textFill>
              </w:rPr>
              <w:t>m；</w:t>
            </w:r>
          </w:p>
          <w:p>
            <w:pPr>
              <w:adjustRightInd w:val="0"/>
              <w:snapToGrid w:val="0"/>
              <w:ind w:firstLine="720" w:firstLineChars="300"/>
              <w:rPr>
                <w:color w:val="000000" w:themeColor="text1"/>
                <w:sz w:val="24"/>
                <w14:textFill>
                  <w14:solidFill>
                    <w14:schemeClr w14:val="tx1"/>
                  </w14:solidFill>
                </w14:textFill>
              </w:rPr>
            </w:pPr>
            <w:r>
              <w:rPr>
                <w:color w:val="000000" w:themeColor="text1"/>
                <w:sz w:val="24"/>
                <w14:textFill>
                  <w14:solidFill>
                    <w14:schemeClr w14:val="tx1"/>
                  </w14:solidFill>
                </w14:textFill>
              </w:rPr>
              <w:t>ΔT—大气温度的平均日温差，本评价取10</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w:t>
            </w:r>
          </w:p>
          <w:p>
            <w:pPr>
              <w:adjustRightInd w:val="0"/>
              <w:snapToGrid w:val="0"/>
              <w:ind w:firstLine="720" w:firstLineChars="300"/>
              <w:rPr>
                <w:color w:val="000000" w:themeColor="text1"/>
                <w:sz w:val="24"/>
                <w14:textFill>
                  <w14:solidFill>
                    <w14:schemeClr w14:val="tx1"/>
                  </w14:solidFill>
                </w14:textFill>
              </w:rPr>
            </w:pPr>
            <w:r>
              <w:rPr>
                <w:color w:val="000000" w:themeColor="text1"/>
                <w:sz w:val="24"/>
                <w14:textFill>
                  <w14:solidFill>
                    <w14:schemeClr w14:val="tx1"/>
                  </w14:solidFill>
                </w14:textFill>
              </w:rPr>
              <w:t>F</w:t>
            </w:r>
            <w:r>
              <w:rPr>
                <w:color w:val="000000" w:themeColor="text1"/>
                <w:sz w:val="24"/>
                <w:vertAlign w:val="subscript"/>
                <w14:textFill>
                  <w14:solidFill>
                    <w14:schemeClr w14:val="tx1"/>
                  </w14:solidFill>
                </w14:textFill>
              </w:rPr>
              <w:t>p</w:t>
            </w:r>
            <w:r>
              <w:rPr>
                <w:color w:val="000000" w:themeColor="text1"/>
                <w:sz w:val="24"/>
                <w14:textFill>
                  <w14:solidFill>
                    <w14:schemeClr w14:val="tx1"/>
                  </w14:solidFill>
                </w14:textFill>
              </w:rPr>
              <w:t>—涂料系数，根据《石油库节能设计导则》(SH/T3002-2000)附录A表A.0.3-1，取F</w:t>
            </w:r>
            <w:r>
              <w:rPr>
                <w:color w:val="000000" w:themeColor="text1"/>
                <w:sz w:val="24"/>
                <w:vertAlign w:val="subscript"/>
                <w14:textFill>
                  <w14:solidFill>
                    <w14:schemeClr w14:val="tx1"/>
                  </w14:solidFill>
                </w14:textFill>
              </w:rPr>
              <w:t>p</w:t>
            </w:r>
            <w:r>
              <w:rPr>
                <w:color w:val="000000" w:themeColor="text1"/>
                <w:sz w:val="24"/>
                <w14:textFill>
                  <w14:solidFill>
                    <w14:schemeClr w14:val="tx1"/>
                  </w14:solidFill>
                </w14:textFill>
              </w:rPr>
              <w:t>=1.46；</w:t>
            </w:r>
          </w:p>
          <w:p>
            <w:pPr>
              <w:tabs>
                <w:tab w:val="left" w:pos="4200"/>
              </w:tabs>
              <w:adjustRightInd w:val="0"/>
              <w:snapToGrid w:val="0"/>
              <w:ind w:firstLine="720" w:firstLineChars="300"/>
              <w:rPr>
                <w:color w:val="000000" w:themeColor="text1"/>
                <w:sz w:val="24"/>
                <w14:textFill>
                  <w14:solidFill>
                    <w14:schemeClr w14:val="tx1"/>
                  </w14:solidFill>
                </w14:textFill>
              </w:rPr>
            </w:pPr>
            <w:r>
              <w:rPr>
                <w:color w:val="000000" w:themeColor="text1"/>
                <w:sz w:val="24"/>
                <w14:textFill>
                  <w14:solidFill>
                    <w14:schemeClr w14:val="tx1"/>
                  </w14:solidFill>
                </w14:textFill>
              </w:rPr>
              <w:t>当D≥9.14m时，C</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=1；</w:t>
            </w:r>
          </w:p>
          <w:p>
            <w:pPr>
              <w:tabs>
                <w:tab w:val="left" w:pos="4200"/>
              </w:tabs>
              <w:adjustRightInd w:val="0"/>
              <w:snapToGrid w:val="0"/>
              <w:ind w:firstLine="720" w:firstLineChars="300"/>
              <w:rPr>
                <w:color w:val="000000" w:themeColor="text1"/>
                <w:sz w:val="24"/>
                <w14:textFill>
                  <w14:solidFill>
                    <w14:schemeClr w14:val="tx1"/>
                  </w14:solidFill>
                </w14:textFill>
              </w:rPr>
            </w:pPr>
            <w:r>
              <w:rPr>
                <w:color w:val="000000" w:themeColor="text1"/>
                <w:sz w:val="24"/>
                <w14:textFill>
                  <w14:solidFill>
                    <w14:schemeClr w14:val="tx1"/>
                  </w14:solidFill>
                </w14:textFill>
              </w:rPr>
              <w:t>当1.83m＜D＜9.14m时，C</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=a+bD+eD</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+fD</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，a=8.2626×10</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，b=7.3631×10</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，e=1.3099×10</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，f=1.9891×10</w:t>
            </w:r>
            <w:r>
              <w:rPr>
                <w:color w:val="000000" w:themeColor="text1"/>
                <w:sz w:val="24"/>
                <w:vertAlign w:val="superscript"/>
                <w14:textFill>
                  <w14:solidFill>
                    <w14:schemeClr w14:val="tx1"/>
                  </w14:solidFill>
                </w14:textFill>
              </w:rPr>
              <w:t>-6</w:t>
            </w:r>
            <w:r>
              <w:rPr>
                <w:rFonts w:hint="eastAsia"/>
                <w:color w:val="000000" w:themeColor="text1"/>
                <w:sz w:val="24"/>
                <w14:textFill>
                  <w14:solidFill>
                    <w14:schemeClr w14:val="tx1"/>
                  </w14:solidFill>
                </w14:textFill>
              </w:rPr>
              <w:t>，本项目D=</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，计算得到C</w:t>
            </w:r>
            <w:r>
              <w:rPr>
                <w:color w:val="000000" w:themeColor="text1"/>
                <w:sz w:val="24"/>
                <w:vertAlign w:val="subscript"/>
                <w14:textFill>
                  <w14:solidFill>
                    <w14:schemeClr w14:val="tx1"/>
                  </w14:solidFill>
                </w14:textFill>
              </w:rPr>
              <w:t>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0.85</w:t>
            </w:r>
            <w:r>
              <w:rPr>
                <w:rFonts w:hint="eastAsia"/>
                <w:color w:val="000000" w:themeColor="text1"/>
                <w:sz w:val="24"/>
                <w14:textFill>
                  <w14:solidFill>
                    <w14:schemeClr w14:val="tx1"/>
                  </w14:solidFill>
                </w14:textFill>
              </w:rPr>
              <w:t>。</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由上式计</w:t>
            </w:r>
            <w:r>
              <w:rPr>
                <w:bCs/>
                <w:color w:val="000000" w:themeColor="text1"/>
                <w:sz w:val="24"/>
                <w:szCs w:val="24"/>
                <w14:textFill>
                  <w14:solidFill>
                    <w14:schemeClr w14:val="tx1"/>
                  </w14:solidFill>
                </w14:textFill>
              </w:rPr>
              <w:t>算得到</w:t>
            </w:r>
            <w:r>
              <w:rPr>
                <w:rFonts w:hint="eastAsia"/>
                <w:bCs/>
                <w:color w:val="000000" w:themeColor="text1"/>
                <w:sz w:val="24"/>
                <w:szCs w:val="24"/>
                <w14:textFill>
                  <w14:solidFill>
                    <w14:schemeClr w14:val="tx1"/>
                  </w14:solidFill>
                </w14:textFill>
              </w:rPr>
              <w:t>单个油罐的</w:t>
            </w:r>
            <w:r>
              <w:rPr>
                <w:bCs/>
                <w:color w:val="000000" w:themeColor="text1"/>
                <w:sz w:val="24"/>
                <w:szCs w:val="24"/>
                <w14:textFill>
                  <w14:solidFill>
                    <w14:schemeClr w14:val="tx1"/>
                  </w14:solidFill>
                </w14:textFill>
              </w:rPr>
              <w:t>L</w:t>
            </w:r>
            <w:r>
              <w:rPr>
                <w:bCs/>
                <w:color w:val="000000" w:themeColor="text1"/>
                <w:sz w:val="24"/>
                <w:szCs w:val="24"/>
                <w:vertAlign w:val="subscript"/>
                <w14:textFill>
                  <w14:solidFill>
                    <w14:schemeClr w14:val="tx1"/>
                  </w14:solidFill>
                </w14:textFill>
              </w:rPr>
              <w:t>DS</w:t>
            </w:r>
            <w:r>
              <w:rPr>
                <w:bCs/>
                <w:color w:val="000000" w:themeColor="text1"/>
                <w:sz w:val="24"/>
                <w:szCs w:val="24"/>
                <w14:textFill>
                  <w14:solidFill>
                    <w14:schemeClr w14:val="tx1"/>
                  </w14:solidFill>
                </w14:textFill>
              </w:rPr>
              <w:t>=1.707</w:t>
            </w:r>
            <w:r>
              <w:rPr>
                <w:rFonts w:hint="eastAsia"/>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a，即</w:t>
            </w:r>
            <w:r>
              <w:rPr>
                <w:bCs/>
                <w:color w:val="000000" w:themeColor="text1"/>
                <w:sz w:val="24"/>
                <w:szCs w:val="24"/>
                <w14:textFill>
                  <w14:solidFill>
                    <w14:schemeClr w14:val="tx1"/>
                  </w14:solidFill>
                </w14:textFill>
              </w:rPr>
              <w:t>1.567</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a。储油罐区小呼吸废气产生总量为</w:t>
            </w:r>
            <w:r>
              <w:rPr>
                <w:bCs/>
                <w:color w:val="000000" w:themeColor="text1"/>
                <w:sz w:val="24"/>
                <w:szCs w:val="24"/>
                <w14:textFill>
                  <w14:solidFill>
                    <w14:schemeClr w14:val="tx1"/>
                  </w14:solidFill>
                </w14:textFill>
              </w:rPr>
              <w:t>7.835</w:t>
            </w:r>
            <w:r>
              <w:rPr>
                <w:rFonts w:hint="eastAsia"/>
                <w:bCs/>
                <w:color w:val="000000" w:themeColor="text1"/>
                <w:sz w:val="24"/>
                <w:szCs w:val="24"/>
                <w14:textFill>
                  <w14:solidFill>
                    <w14:schemeClr w14:val="tx1"/>
                  </w14:solidFill>
                </w14:textFill>
              </w:rPr>
              <w:t>t/a，其中一期3</w:t>
            </w:r>
            <w:r>
              <w:rPr>
                <w:bCs/>
                <w:color w:val="000000" w:themeColor="text1"/>
                <w:sz w:val="24"/>
                <w:szCs w:val="24"/>
                <w14:textFill>
                  <w14:solidFill>
                    <w14:schemeClr w14:val="tx1"/>
                  </w14:solidFill>
                </w14:textFill>
              </w:rPr>
              <w:t>.134</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a，二期</w:t>
            </w:r>
            <w:r>
              <w:rPr>
                <w:bCs/>
                <w:color w:val="000000" w:themeColor="text1"/>
                <w:sz w:val="24"/>
                <w:szCs w:val="24"/>
                <w14:textFill>
                  <w14:solidFill>
                    <w14:schemeClr w14:val="tx1"/>
                  </w14:solidFill>
                </w14:textFill>
              </w:rPr>
              <w:t>4.701</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②</w:t>
            </w:r>
            <w:r>
              <w:rPr>
                <w:rFonts w:hint="eastAsia"/>
                <w:bCs/>
                <w:color w:val="000000" w:themeColor="text1"/>
                <w:sz w:val="24"/>
                <w:szCs w:val="24"/>
                <w14:textFill>
                  <w14:solidFill>
                    <w14:schemeClr w14:val="tx1"/>
                  </w14:solidFill>
                </w14:textFill>
              </w:rPr>
              <w:t>大呼吸</w:t>
            </w:r>
          </w:p>
          <w:p>
            <w:pPr>
              <w:jc w:val="center"/>
              <w:rPr>
                <w:color w:val="000000" w:themeColor="text1"/>
                <w:sz w:val="24"/>
                <w14:textFill>
                  <w14:solidFill>
                    <w14:schemeClr w14:val="tx1"/>
                  </w14:solidFill>
                </w14:textFill>
              </w:rPr>
            </w:pPr>
            <w:r>
              <w:rPr>
                <w:color w:val="000000" w:themeColor="text1"/>
                <w:position w:val="-58"/>
                <w:sz w:val="24"/>
                <w14:textFill>
                  <w14:solidFill>
                    <w14:schemeClr w14:val="tx1"/>
                  </w14:solidFill>
                </w14:textFill>
              </w:rPr>
              <w:drawing>
                <wp:inline distT="0" distB="0" distL="0" distR="0">
                  <wp:extent cx="1743710" cy="452755"/>
                  <wp:effectExtent l="0" t="0" r="0" b="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43710" cy="452755"/>
                          </a:xfrm>
                          <a:prstGeom prst="rect">
                            <a:avLst/>
                          </a:prstGeom>
                          <a:noFill/>
                          <a:ln>
                            <a:noFill/>
                          </a:ln>
                        </pic:spPr>
                      </pic:pic>
                    </a:graphicData>
                  </a:graphic>
                </wp:inline>
              </w:drawing>
            </w:r>
          </w:p>
          <w:p>
            <w:pPr>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式中：L</w:t>
            </w:r>
            <w:r>
              <w:rPr>
                <w:color w:val="000000" w:themeColor="text1"/>
                <w:sz w:val="24"/>
                <w:vertAlign w:val="subscript"/>
                <w14:textFill>
                  <w14:solidFill>
                    <w14:schemeClr w14:val="tx1"/>
                  </w14:solidFill>
                </w14:textFill>
              </w:rPr>
              <w:t xml:space="preserve">DW </w:t>
            </w:r>
            <w:r>
              <w:rPr>
                <w:color w:val="000000" w:themeColor="text1"/>
                <w:sz w:val="24"/>
                <w14:textFill>
                  <w14:solidFill>
                    <w14:schemeClr w14:val="tx1"/>
                  </w14:solidFill>
                </w14:textFill>
              </w:rPr>
              <w:t>—拱顶罐年大呼吸蒸发损耗量，m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p>
          <w:p>
            <w:pPr>
              <w:ind w:firstLine="1200" w:firstLineChars="5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—泵送液体入罐量，m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，本项目为</w:t>
            </w:r>
            <w:r>
              <w:rPr>
                <w:color w:val="000000" w:themeColor="text1"/>
                <w:sz w:val="24"/>
                <w14:textFill>
                  <w14:solidFill>
                    <w14:schemeClr w14:val="tx1"/>
                  </w14:solidFill>
                </w14:textFill>
              </w:rPr>
              <w:t>39216</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ind w:firstLine="1200" w:firstLineChars="5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K—单位换算常数，K=51.6</w:t>
            </w:r>
            <w:r>
              <w:rPr>
                <w:rFonts w:hint="eastAsia"/>
                <w:color w:val="000000" w:themeColor="text1"/>
                <w:sz w:val="24"/>
                <w14:textFill>
                  <w14:solidFill>
                    <w14:schemeClr w14:val="tx1"/>
                  </w14:solidFill>
                </w14:textFill>
              </w:rPr>
              <w:t>。</w:t>
            </w:r>
          </w:p>
          <w:p>
            <w:pPr>
              <w:adjustRightInd w:val="0"/>
              <w:snapToGrid w:val="0"/>
              <w:ind w:firstLine="1200" w:firstLineChars="5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K</w:t>
            </w:r>
            <w:r>
              <w:rPr>
                <w:color w:val="000000" w:themeColor="text1"/>
                <w:sz w:val="24"/>
                <w:vertAlign w:val="subscript"/>
                <w14:textFill>
                  <w14:solidFill>
                    <w14:schemeClr w14:val="tx1"/>
                  </w14:solidFill>
                </w14:textFill>
              </w:rPr>
              <w:t>T</w:t>
            </w:r>
            <w:r>
              <w:rPr>
                <w:color w:val="000000" w:themeColor="text1"/>
                <w:sz w:val="24"/>
                <w14:textFill>
                  <w14:solidFill>
                    <w14:schemeClr w14:val="tx1"/>
                  </w14:solidFill>
                </w14:textFill>
              </w:rPr>
              <w:t>—周转系数(见SH/T3002-2000附录A中图A.0.2)，N＞36时，K</w:t>
            </w:r>
            <w:r>
              <w:rPr>
                <w:color w:val="000000" w:themeColor="text1"/>
                <w:sz w:val="24"/>
                <w:vertAlign w:val="subscript"/>
                <w14:textFill>
                  <w14:solidFill>
                    <w14:schemeClr w14:val="tx1"/>
                  </w14:solidFill>
                </w14:textFill>
              </w:rPr>
              <w:t>T</w:t>
            </w:r>
            <w:r>
              <w:rPr>
                <w:color w:val="000000" w:themeColor="text1"/>
                <w:sz w:val="24"/>
                <w14:textFill>
                  <w14:solidFill>
                    <w14:schemeClr w14:val="tx1"/>
                  </w14:solidFill>
                </w14:textFill>
              </w:rPr>
              <w:t>=</w:t>
            </w:r>
            <w:r>
              <w:rPr>
                <w:color w:val="000000" w:themeColor="text1"/>
                <w:position w:val="-24"/>
                <w:sz w:val="24"/>
                <w14:textFill>
                  <w14:solidFill>
                    <w14:schemeClr w14:val="tx1"/>
                  </w14:solidFill>
                </w14:textFill>
              </w:rPr>
              <w:drawing>
                <wp:inline distT="0" distB="0" distL="0" distR="0">
                  <wp:extent cx="556260" cy="358140"/>
                  <wp:effectExtent l="0" t="0" r="0"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56260" cy="358140"/>
                          </a:xfrm>
                          <a:prstGeom prst="rect">
                            <a:avLst/>
                          </a:prstGeom>
                          <a:noFill/>
                          <a:ln>
                            <a:noFill/>
                          </a:ln>
                        </pic:spPr>
                      </pic:pic>
                    </a:graphicData>
                  </a:graphic>
                </wp:inline>
              </w:drawing>
            </w:r>
            <w:r>
              <w:rPr>
                <w:color w:val="000000" w:themeColor="text1"/>
                <w:sz w:val="24"/>
                <w14:textFill>
                  <w14:solidFill>
                    <w14:schemeClr w14:val="tx1"/>
                  </w14:solidFill>
                </w14:textFill>
              </w:rPr>
              <w:t>，N≤36时，取K</w:t>
            </w:r>
            <w:r>
              <w:rPr>
                <w:color w:val="000000" w:themeColor="text1"/>
                <w:sz w:val="24"/>
                <w:vertAlign w:val="subscript"/>
                <w14:textFill>
                  <w14:solidFill>
                    <w14:schemeClr w14:val="tx1"/>
                  </w14:solidFill>
                </w14:textFill>
              </w:rPr>
              <w:t>T</w:t>
            </w:r>
            <w:r>
              <w:rPr>
                <w:color w:val="000000" w:themeColor="text1"/>
                <w:sz w:val="24"/>
                <w14:textFill>
                  <w14:solidFill>
                    <w14:schemeClr w14:val="tx1"/>
                  </w14:solidFill>
                </w14:textFill>
              </w:rPr>
              <w:t>=1。N为储罐年周转次数，N=Q/V，其中Q为储罐年周转量m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/a、V为储罐容积m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K</w:t>
            </w:r>
            <w:r>
              <w:rPr>
                <w:color w:val="000000" w:themeColor="text1"/>
                <w:sz w:val="24"/>
                <w:vertAlign w:val="subscript"/>
                <w14:textFill>
                  <w14:solidFill>
                    <w14:schemeClr w14:val="tx1"/>
                  </w14:solidFill>
                </w14:textFill>
              </w:rPr>
              <w:t>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p>
          <w:p>
            <w:pPr>
              <w:adjustRightInd w:val="0"/>
              <w:snapToGrid w:val="0"/>
              <w:ind w:firstLine="1200" w:firstLineChars="5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K</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—化学品、油品系数，</w:t>
            </w:r>
            <w:r>
              <w:rPr>
                <w:rFonts w:hint="eastAsia"/>
                <w:color w:val="000000" w:themeColor="text1"/>
                <w:sz w:val="24"/>
                <w14:textFill>
                  <w14:solidFill>
                    <w14:schemeClr w14:val="tx1"/>
                  </w14:solidFill>
                </w14:textFill>
              </w:rPr>
              <w:t>汽油</w:t>
            </w:r>
            <w:r>
              <w:rPr>
                <w:color w:val="000000" w:themeColor="text1"/>
                <w:sz w:val="24"/>
                <w14:textFill>
                  <w14:solidFill>
                    <w14:schemeClr w14:val="tx1"/>
                  </w14:solidFill>
                </w14:textFill>
              </w:rPr>
              <w:t>取</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原油取</w:t>
            </w:r>
            <w:r>
              <w:rPr>
                <w:rFonts w:hint="eastAsia"/>
                <w:color w:val="000000" w:themeColor="text1"/>
                <w:sz w:val="24"/>
                <w14:textFill>
                  <w14:solidFill>
                    <w14:schemeClr w14:val="tx1"/>
                  </w14:solidFill>
                </w14:textFill>
              </w:rPr>
              <w:t>0.75，</w:t>
            </w:r>
            <w:r>
              <w:rPr>
                <w:color w:val="000000" w:themeColor="text1"/>
                <w:sz w:val="24"/>
                <w14:textFill>
                  <w14:solidFill>
                    <w14:schemeClr w14:val="tx1"/>
                  </w14:solidFill>
                </w14:textFill>
              </w:rPr>
              <w:t>本评价取K</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=0.85；</w:t>
            </w:r>
          </w:p>
          <w:p>
            <w:pPr>
              <w:adjustRightInd w:val="0"/>
              <w:snapToGrid w:val="0"/>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P</w:t>
            </w:r>
            <w:r>
              <w:rPr>
                <w:color w:val="000000" w:themeColor="text1"/>
                <w:sz w:val="24"/>
                <w:vertAlign w:val="subscript"/>
                <w14:textFill>
                  <w14:solidFill>
                    <w14:schemeClr w14:val="tx1"/>
                  </w14:solidFill>
                </w14:textFill>
              </w:rPr>
              <w:t>y</w:t>
            </w:r>
            <w:r>
              <w:rPr>
                <w:color w:val="000000" w:themeColor="text1"/>
                <w:sz w:val="24"/>
                <w14:textFill>
                  <w14:solidFill>
                    <w14:schemeClr w14:val="tx1"/>
                  </w14:solidFill>
                </w14:textFill>
              </w:rPr>
              <w:t>—化学品、油品平均温度下的蒸汽压kPa，P</w:t>
            </w:r>
            <w:r>
              <w:rPr>
                <w:color w:val="000000" w:themeColor="text1"/>
                <w:sz w:val="24"/>
                <w:vertAlign w:val="subscript"/>
                <w14:textFill>
                  <w14:solidFill>
                    <w14:schemeClr w14:val="tx1"/>
                  </w14:solidFill>
                </w14:textFill>
              </w:rPr>
              <w:t>y</w:t>
            </w:r>
            <w:r>
              <w:rPr>
                <w:color w:val="000000" w:themeColor="text1"/>
                <w:sz w:val="24"/>
                <w14:textFill>
                  <w14:solidFill>
                    <w14:schemeClr w14:val="tx1"/>
                  </w14:solidFill>
                </w14:textFill>
              </w:rPr>
              <w:t>=0.5(P</w:t>
            </w:r>
            <w:r>
              <w:rPr>
                <w:color w:val="000000" w:themeColor="text1"/>
                <w:sz w:val="24"/>
                <w:vertAlign w:val="subscript"/>
                <w14:textFill>
                  <w14:solidFill>
                    <w14:schemeClr w14:val="tx1"/>
                  </w14:solidFill>
                </w14:textFill>
              </w:rPr>
              <w:t>y1</w:t>
            </w:r>
            <w:r>
              <w:rPr>
                <w:color w:val="000000" w:themeColor="text1"/>
                <w:sz w:val="24"/>
                <w14:textFill>
                  <w14:solidFill>
                    <w14:schemeClr w14:val="tx1"/>
                  </w14:solidFill>
                </w14:textFill>
              </w:rPr>
              <w:t>+P</w:t>
            </w:r>
            <w:r>
              <w:rPr>
                <w:color w:val="000000" w:themeColor="text1"/>
                <w:sz w:val="24"/>
                <w:vertAlign w:val="subscript"/>
                <w14:textFill>
                  <w14:solidFill>
                    <w14:schemeClr w14:val="tx1"/>
                  </w14:solidFill>
                </w14:textFill>
              </w:rPr>
              <w:t>y2</w:t>
            </w:r>
            <w:r>
              <w:rPr>
                <w:color w:val="000000" w:themeColor="text1"/>
                <w:sz w:val="24"/>
                <w14:textFill>
                  <w14:solidFill>
                    <w14:schemeClr w14:val="tx1"/>
                  </w14:solidFill>
                </w14:textFill>
              </w:rPr>
              <w:t>)，其中P</w:t>
            </w:r>
            <w:r>
              <w:rPr>
                <w:color w:val="000000" w:themeColor="text1"/>
                <w:sz w:val="24"/>
                <w:vertAlign w:val="subscript"/>
                <w14:textFill>
                  <w14:solidFill>
                    <w14:schemeClr w14:val="tx1"/>
                  </w14:solidFill>
                </w14:textFill>
              </w:rPr>
              <w:t>y1</w:t>
            </w:r>
            <w:r>
              <w:rPr>
                <w:color w:val="000000" w:themeColor="text1"/>
                <w:sz w:val="24"/>
                <w14:textFill>
                  <w14:solidFill>
                    <w14:schemeClr w14:val="tx1"/>
                  </w14:solidFill>
                </w14:textFill>
              </w:rPr>
              <w:t>为储罐内液面最低温度所对应的蒸汽压kPa、P</w:t>
            </w:r>
            <w:r>
              <w:rPr>
                <w:color w:val="000000" w:themeColor="text1"/>
                <w:sz w:val="24"/>
                <w:vertAlign w:val="subscript"/>
                <w14:textFill>
                  <w14:solidFill>
                    <w14:schemeClr w14:val="tx1"/>
                  </w14:solidFill>
                </w14:textFill>
              </w:rPr>
              <w:t>y2</w:t>
            </w:r>
            <w:r>
              <w:rPr>
                <w:color w:val="000000" w:themeColor="text1"/>
                <w:sz w:val="24"/>
                <w14:textFill>
                  <w14:solidFill>
                    <w14:schemeClr w14:val="tx1"/>
                  </w14:solidFill>
                </w14:textFill>
              </w:rPr>
              <w:t>储罐内液面最高温度所对应的蒸汽压kPa；</w:t>
            </w:r>
            <w:r>
              <w:rPr>
                <w:rFonts w:hint="eastAsia"/>
                <w:color w:val="000000" w:themeColor="text1"/>
                <w:sz w:val="24"/>
                <w14:textFill>
                  <w14:solidFill>
                    <w14:schemeClr w14:val="tx1"/>
                  </w14:solidFill>
                </w14:textFill>
              </w:rPr>
              <w:t>类比同类</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裂解油的平均温度下的蒸汽压为6.43kPa。</w:t>
            </w:r>
          </w:p>
          <w:p>
            <w:pPr>
              <w:adjustRightInd w:val="0"/>
              <w:snapToGrid w:val="0"/>
              <w:ind w:firstLine="1200" w:firstLineChars="5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μ</w:t>
            </w:r>
            <w:r>
              <w:rPr>
                <w:color w:val="000000" w:themeColor="text1"/>
                <w:sz w:val="24"/>
                <w:vertAlign w:val="subscript"/>
                <w14:textFill>
                  <w14:solidFill>
                    <w14:schemeClr w14:val="tx1"/>
                  </w14:solidFill>
                </w14:textFill>
              </w:rPr>
              <w:t>y</w:t>
            </w:r>
            <w:r>
              <w:rPr>
                <w:color w:val="000000" w:themeColor="text1"/>
                <w:sz w:val="24"/>
                <w14:textFill>
                  <w14:solidFill>
                    <w14:schemeClr w14:val="tx1"/>
                  </w14:solidFill>
                </w14:textFill>
              </w:rPr>
              <w:t>—化学品蒸汽摩尔质量，kg/kmol</w:t>
            </w:r>
            <w:r>
              <w:rPr>
                <w:rFonts w:hint="eastAsia"/>
                <w:color w:val="000000" w:themeColor="text1"/>
                <w:sz w:val="24"/>
                <w14:textFill>
                  <w14:solidFill>
                    <w14:schemeClr w14:val="tx1"/>
                  </w14:solidFill>
                </w14:textFill>
              </w:rPr>
              <w:t>，由于裂解油成份较复杂，难以准确计算，查找相关资料，本次评价</w:t>
            </w:r>
            <w:r>
              <w:rPr>
                <w:color w:val="000000" w:themeColor="text1"/>
                <w:sz w:val="24"/>
                <w14:textFill>
                  <w14:solidFill>
                    <w14:schemeClr w14:val="tx1"/>
                  </w14:solidFill>
                </w14:textFill>
              </w:rPr>
              <w:t>参照石脑油，取</w:t>
            </w:r>
            <w:r>
              <w:rPr>
                <w:rFonts w:hint="eastAsia"/>
                <w:color w:val="000000" w:themeColor="text1"/>
                <w:sz w:val="24"/>
                <w14:textFill>
                  <w14:solidFill>
                    <w14:schemeClr w14:val="tx1"/>
                  </w14:solidFill>
                </w14:textFill>
              </w:rPr>
              <w:t>80。</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由</w:t>
            </w:r>
            <w:r>
              <w:rPr>
                <w:rFonts w:hint="eastAsia"/>
                <w:bCs/>
                <w:color w:val="000000" w:themeColor="text1"/>
                <w:sz w:val="24"/>
                <w:szCs w:val="24"/>
                <w14:textFill>
                  <w14:solidFill>
                    <w14:schemeClr w14:val="tx1"/>
                  </w14:solidFill>
                </w14:textFill>
              </w:rPr>
              <w:t>上式</w:t>
            </w:r>
            <w:r>
              <w:rPr>
                <w:bCs/>
                <w:color w:val="000000" w:themeColor="text1"/>
                <w:sz w:val="24"/>
                <w:szCs w:val="24"/>
                <w14:textFill>
                  <w14:solidFill>
                    <w14:schemeClr w14:val="tx1"/>
                  </w14:solidFill>
                </w14:textFill>
              </w:rPr>
              <w:t>计算得到</w:t>
            </w:r>
            <w:r>
              <w:rPr>
                <w:rFonts w:hint="eastAsia"/>
                <w:bCs/>
                <w:color w:val="000000" w:themeColor="text1"/>
                <w:sz w:val="24"/>
                <w:szCs w:val="24"/>
                <w14:textFill>
                  <w14:solidFill>
                    <w14:schemeClr w14:val="tx1"/>
                  </w14:solidFill>
                </w14:textFill>
              </w:rPr>
              <w:t>储油罐大呼吸废气产生量为</w:t>
            </w:r>
            <w:r>
              <w:rPr>
                <w:bCs/>
                <w:color w:val="000000" w:themeColor="text1"/>
                <w:sz w:val="24"/>
                <w:szCs w:val="24"/>
                <w14:textFill>
                  <w14:solidFill>
                    <w14:schemeClr w14:val="tx1"/>
                  </w14:solidFill>
                </w14:textFill>
              </w:rPr>
              <w:t>11.226</w:t>
            </w:r>
            <w:r>
              <w:rPr>
                <w:rFonts w:hint="eastAsia"/>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a，即1</w:t>
            </w:r>
            <w:r>
              <w:rPr>
                <w:bCs/>
                <w:color w:val="000000" w:themeColor="text1"/>
                <w:sz w:val="24"/>
                <w:szCs w:val="24"/>
                <w14:textFill>
                  <w14:solidFill>
                    <w14:schemeClr w14:val="tx1"/>
                  </w14:solidFill>
                </w14:textFill>
              </w:rPr>
              <w:t>0.305</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a。其中一期</w:t>
            </w:r>
            <w:r>
              <w:rPr>
                <w:bCs/>
                <w:color w:val="000000" w:themeColor="text1"/>
                <w:sz w:val="24"/>
                <w:szCs w:val="24"/>
                <w14:textFill>
                  <w14:solidFill>
                    <w14:schemeClr w14:val="tx1"/>
                  </w14:solidFill>
                </w14:textFill>
              </w:rPr>
              <w:t>3.435</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a，二期</w:t>
            </w:r>
            <w:r>
              <w:rPr>
                <w:bCs/>
                <w:color w:val="000000" w:themeColor="text1"/>
                <w:sz w:val="24"/>
                <w:szCs w:val="24"/>
                <w14:textFill>
                  <w14:solidFill>
                    <w14:schemeClr w14:val="tx1"/>
                  </w14:solidFill>
                </w14:textFill>
              </w:rPr>
              <w:t>6.870</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则储油罐区产生的废气包括大呼吸和小呼吸，废气产生量为</w:t>
            </w:r>
            <w:r>
              <w:rPr>
                <w:bCs/>
                <w:color w:val="000000" w:themeColor="text1"/>
                <w:sz w:val="24"/>
                <w:szCs w:val="24"/>
                <w14:textFill>
                  <w14:solidFill>
                    <w14:schemeClr w14:val="tx1"/>
                  </w14:solidFill>
                </w14:textFill>
              </w:rPr>
              <w:t>18.140</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a，其中一期</w:t>
            </w:r>
            <w:r>
              <w:rPr>
                <w:bCs/>
                <w:color w:val="000000" w:themeColor="text1"/>
                <w:sz w:val="24"/>
                <w:szCs w:val="24"/>
                <w14:textFill>
                  <w14:solidFill>
                    <w14:schemeClr w14:val="tx1"/>
                  </w14:solidFill>
                </w14:textFill>
              </w:rPr>
              <w:t>6.569</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a，二期</w:t>
            </w:r>
            <w:r>
              <w:rPr>
                <w:bCs/>
                <w:color w:val="000000" w:themeColor="text1"/>
                <w:sz w:val="24"/>
                <w:szCs w:val="24"/>
                <w14:textFill>
                  <w14:solidFill>
                    <w14:schemeClr w14:val="tx1"/>
                  </w14:solidFill>
                </w14:textFill>
              </w:rPr>
              <w:t>11.571</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w:t>
            </w:r>
          </w:p>
          <w:p>
            <w:pPr>
              <w:pStyle w:val="228"/>
              <w:autoSpaceDE w:val="0"/>
              <w:autoSpaceDN w:val="0"/>
              <w:adjustRightInd w:val="0"/>
              <w:spacing w:line="360" w:lineRule="auto"/>
              <w:ind w:firstLine="480"/>
              <w:textAlignment w:val="baseline"/>
              <w:rPr>
                <w:bCs/>
                <w:color w:val="FF0000"/>
                <w:sz w:val="24"/>
                <w:szCs w:val="24"/>
              </w:rPr>
            </w:pPr>
            <w:r>
              <w:rPr>
                <w:rFonts w:hint="eastAsia"/>
                <w:bCs/>
                <w:color w:val="FF0000"/>
                <w:sz w:val="24"/>
                <w:szCs w:val="24"/>
              </w:rPr>
              <w:t>③治理措施</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FF0000"/>
                <w:sz w:val="24"/>
                <w:szCs w:val="24"/>
              </w:rPr>
              <w:t>拟在储油罐安装密闭排气系统，将呼吸废气收集后接入二燃室燃烧处理</w:t>
            </w:r>
            <w:r>
              <w:rPr>
                <w:rFonts w:hint="eastAsia"/>
                <w:bCs/>
                <w:color w:val="000000" w:themeColor="text1"/>
                <w:sz w:val="24"/>
                <w:szCs w:val="24"/>
                <w14:textFill>
                  <w14:solidFill>
                    <w14:schemeClr w14:val="tx1"/>
                  </w14:solidFill>
                </w14:textFill>
              </w:rPr>
              <w:t>。</w:t>
            </w:r>
          </w:p>
          <w:p>
            <w:pPr>
              <w:pStyle w:val="228"/>
              <w:autoSpaceDE w:val="0"/>
              <w:autoSpaceDN w:val="0"/>
              <w:adjustRightInd w:val="0"/>
              <w:spacing w:line="360" w:lineRule="auto"/>
              <w:ind w:firstLine="480"/>
              <w:textAlignment w:val="baseline"/>
              <w:rPr>
                <w:bCs/>
                <w:color w:val="FF0000"/>
                <w:sz w:val="24"/>
                <w:szCs w:val="24"/>
              </w:rPr>
            </w:pPr>
            <w:r>
              <w:rPr>
                <w:rFonts w:hint="eastAsia"/>
                <w:bCs/>
                <w:color w:val="FF0000"/>
                <w:sz w:val="24"/>
                <w:szCs w:val="24"/>
              </w:rPr>
              <w:t>本项目燃烧烟气、储罐呼吸废气产生及排放情况见表4</w:t>
            </w:r>
            <w:r>
              <w:rPr>
                <w:bCs/>
                <w:color w:val="FF0000"/>
                <w:sz w:val="24"/>
                <w:szCs w:val="24"/>
              </w:rPr>
              <w:t>.2</w:t>
            </w:r>
            <w:r>
              <w:rPr>
                <w:rFonts w:hint="eastAsia"/>
                <w:bCs/>
                <w:color w:val="FF0000"/>
                <w:sz w:val="24"/>
                <w:szCs w:val="24"/>
              </w:rPr>
              <w:t>-</w:t>
            </w:r>
            <w:r>
              <w:rPr>
                <w:bCs/>
                <w:color w:val="FF0000"/>
                <w:sz w:val="24"/>
                <w:szCs w:val="24"/>
              </w:rPr>
              <w:t>2</w:t>
            </w:r>
            <w:r>
              <w:rPr>
                <w:rFonts w:hint="eastAsia"/>
                <w:bCs/>
                <w:color w:val="FF0000"/>
                <w:sz w:val="24"/>
                <w:szCs w:val="24"/>
              </w:rPr>
              <w:t>。</w:t>
            </w:r>
          </w:p>
          <w:p>
            <w:pPr>
              <w:pStyle w:val="228"/>
              <w:autoSpaceDE w:val="0"/>
              <w:autoSpaceDN w:val="0"/>
              <w:adjustRightInd w:val="0"/>
              <w:spacing w:line="240" w:lineRule="auto"/>
              <w:ind w:firstLine="0" w:firstLineChars="0"/>
              <w:jc w:val="center"/>
              <w:textAlignment w:val="baseline"/>
              <w:rPr>
                <w:b/>
                <w:bCs/>
                <w:color w:val="FF0000"/>
                <w:sz w:val="24"/>
                <w:szCs w:val="24"/>
              </w:rPr>
            </w:pPr>
            <w:r>
              <w:rPr>
                <w:rFonts w:hint="eastAsia"/>
                <w:b/>
                <w:bCs/>
                <w:color w:val="FF0000"/>
                <w:sz w:val="24"/>
                <w:szCs w:val="24"/>
              </w:rPr>
              <w:t>表4</w:t>
            </w:r>
            <w:r>
              <w:rPr>
                <w:b/>
                <w:bCs/>
                <w:color w:val="FF0000"/>
                <w:sz w:val="24"/>
                <w:szCs w:val="24"/>
              </w:rPr>
              <w:t>.2</w:t>
            </w:r>
            <w:r>
              <w:rPr>
                <w:rFonts w:hint="eastAsia"/>
                <w:b/>
                <w:bCs/>
                <w:color w:val="FF0000"/>
                <w:sz w:val="24"/>
                <w:szCs w:val="24"/>
              </w:rPr>
              <w:t>-</w:t>
            </w:r>
            <w:r>
              <w:rPr>
                <w:b/>
                <w:bCs/>
                <w:color w:val="FF0000"/>
                <w:sz w:val="24"/>
                <w:szCs w:val="24"/>
              </w:rPr>
              <w:t xml:space="preserve">2  </w:t>
            </w:r>
            <w:r>
              <w:rPr>
                <w:rFonts w:hint="eastAsia"/>
                <w:b/>
                <w:bCs/>
                <w:color w:val="FF0000"/>
                <w:sz w:val="24"/>
                <w:szCs w:val="24"/>
              </w:rPr>
              <w:t>燃烧烟气、储罐呼吸废气产生及排放情况一览表</w:t>
            </w:r>
          </w:p>
          <w:tbl>
            <w:tblPr>
              <w:tblStyle w:val="36"/>
              <w:tblW w:w="8455" w:type="dxa"/>
              <w:tblInd w:w="0" w:type="dxa"/>
              <w:tblLayout w:type="fixed"/>
              <w:tblCellMar>
                <w:top w:w="0" w:type="dxa"/>
                <w:left w:w="108" w:type="dxa"/>
                <w:bottom w:w="0" w:type="dxa"/>
                <w:right w:w="108" w:type="dxa"/>
              </w:tblCellMar>
            </w:tblPr>
            <w:tblGrid>
              <w:gridCol w:w="658"/>
              <w:gridCol w:w="851"/>
              <w:gridCol w:w="867"/>
              <w:gridCol w:w="976"/>
              <w:gridCol w:w="1151"/>
              <w:gridCol w:w="992"/>
              <w:gridCol w:w="975"/>
              <w:gridCol w:w="851"/>
              <w:gridCol w:w="1134"/>
            </w:tblGrid>
            <w:tr>
              <w:tblPrEx>
                <w:tblCellMar>
                  <w:top w:w="0" w:type="dxa"/>
                  <w:left w:w="108" w:type="dxa"/>
                  <w:bottom w:w="0" w:type="dxa"/>
                  <w:right w:w="108" w:type="dxa"/>
                </w:tblCellMar>
              </w:tblPrEx>
              <w:trPr>
                <w:trHeight w:val="20" w:hRule="atLeast"/>
              </w:trPr>
              <w:tc>
                <w:tcPr>
                  <w:tcW w:w="65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b/>
                      <w:color w:val="FF0000"/>
                      <w:kern w:val="0"/>
                      <w:sz w:val="18"/>
                      <w:szCs w:val="18"/>
                    </w:rPr>
                  </w:pPr>
                  <w:r>
                    <w:rPr>
                      <w:b/>
                      <w:color w:val="FF0000"/>
                      <w:kern w:val="0"/>
                      <w:sz w:val="18"/>
                      <w:szCs w:val="18"/>
                    </w:rPr>
                    <w:t>位置</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b/>
                      <w:color w:val="FF0000"/>
                      <w:kern w:val="0"/>
                      <w:sz w:val="18"/>
                      <w:szCs w:val="18"/>
                    </w:rPr>
                  </w:pPr>
                  <w:r>
                    <w:rPr>
                      <w:b/>
                      <w:color w:val="FF0000"/>
                      <w:kern w:val="0"/>
                      <w:sz w:val="18"/>
                      <w:szCs w:val="18"/>
                    </w:rPr>
                    <w:t>时段</w:t>
                  </w: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b/>
                      <w:color w:val="FF0000"/>
                      <w:kern w:val="0"/>
                      <w:sz w:val="18"/>
                      <w:szCs w:val="18"/>
                    </w:rPr>
                  </w:pPr>
                  <w:r>
                    <w:rPr>
                      <w:b/>
                      <w:color w:val="FF0000"/>
                      <w:kern w:val="0"/>
                      <w:sz w:val="18"/>
                      <w:szCs w:val="18"/>
                    </w:rPr>
                    <w:t>污染因子</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b/>
                      <w:color w:val="FF0000"/>
                      <w:kern w:val="0"/>
                      <w:sz w:val="18"/>
                      <w:szCs w:val="18"/>
                    </w:rPr>
                  </w:pPr>
                  <w:r>
                    <w:rPr>
                      <w:b/>
                      <w:color w:val="FF0000"/>
                      <w:kern w:val="0"/>
                      <w:sz w:val="18"/>
                      <w:szCs w:val="18"/>
                    </w:rPr>
                    <w:t>产生浓度</w:t>
                  </w:r>
                  <w:r>
                    <w:rPr>
                      <w:rFonts w:hint="eastAsia"/>
                      <w:b/>
                      <w:color w:val="FF0000"/>
                      <w:kern w:val="0"/>
                      <w:sz w:val="18"/>
                      <w:szCs w:val="18"/>
                    </w:rPr>
                    <w:t>(</w:t>
                  </w:r>
                  <w:r>
                    <w:rPr>
                      <w:b/>
                      <w:color w:val="FF0000"/>
                      <w:kern w:val="0"/>
                      <w:sz w:val="18"/>
                      <w:szCs w:val="18"/>
                    </w:rPr>
                    <w:t>mg/m</w:t>
                  </w:r>
                  <w:r>
                    <w:rPr>
                      <w:rFonts w:hint="eastAsia"/>
                      <w:b/>
                      <w:color w:val="FF0000"/>
                      <w:kern w:val="0"/>
                      <w:sz w:val="18"/>
                      <w:szCs w:val="18"/>
                      <w:vertAlign w:val="superscript"/>
                    </w:rPr>
                    <w:t>3</w:t>
                  </w:r>
                  <w:r>
                    <w:rPr>
                      <w:b/>
                      <w:color w:val="FF0000"/>
                      <w:kern w:val="0"/>
                      <w:sz w:val="18"/>
                      <w:szCs w:val="18"/>
                    </w:rPr>
                    <w:t>)</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b/>
                      <w:color w:val="FF0000"/>
                      <w:kern w:val="0"/>
                      <w:sz w:val="18"/>
                      <w:szCs w:val="18"/>
                    </w:rPr>
                  </w:pPr>
                  <w:r>
                    <w:rPr>
                      <w:b/>
                      <w:color w:val="FF0000"/>
                      <w:kern w:val="0"/>
                      <w:sz w:val="18"/>
                      <w:szCs w:val="18"/>
                    </w:rPr>
                    <w:t>产生量</w:t>
                  </w:r>
                  <w:r>
                    <w:rPr>
                      <w:rFonts w:hint="eastAsia"/>
                      <w:b/>
                      <w:color w:val="FF0000"/>
                      <w:kern w:val="0"/>
                      <w:sz w:val="18"/>
                      <w:szCs w:val="18"/>
                    </w:rPr>
                    <w:t>(</w:t>
                  </w:r>
                  <w:r>
                    <w:rPr>
                      <w:b/>
                      <w:color w:val="FF0000"/>
                      <w:kern w:val="0"/>
                      <w:sz w:val="18"/>
                      <w:szCs w:val="18"/>
                    </w:rPr>
                    <w:t>t/a)</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b/>
                      <w:color w:val="FF0000"/>
                      <w:kern w:val="0"/>
                      <w:sz w:val="18"/>
                      <w:szCs w:val="18"/>
                    </w:rPr>
                  </w:pPr>
                  <w:r>
                    <w:rPr>
                      <w:b/>
                      <w:color w:val="FF0000"/>
                      <w:kern w:val="0"/>
                      <w:sz w:val="18"/>
                      <w:szCs w:val="18"/>
                    </w:rPr>
                    <w:t>治理设施</w:t>
                  </w: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b/>
                      <w:color w:val="FF0000"/>
                      <w:spacing w:val="-10"/>
                      <w:kern w:val="0"/>
                      <w:sz w:val="18"/>
                      <w:szCs w:val="18"/>
                    </w:rPr>
                  </w:pPr>
                  <w:r>
                    <w:rPr>
                      <w:b/>
                      <w:color w:val="FF0000"/>
                      <w:spacing w:val="-10"/>
                      <w:kern w:val="0"/>
                      <w:sz w:val="18"/>
                      <w:szCs w:val="18"/>
                    </w:rPr>
                    <w:t>排放浓度</w:t>
                  </w:r>
                  <w:r>
                    <w:rPr>
                      <w:rFonts w:hint="eastAsia"/>
                      <w:b/>
                      <w:color w:val="FF0000"/>
                      <w:spacing w:val="-10"/>
                      <w:kern w:val="0"/>
                      <w:sz w:val="18"/>
                      <w:szCs w:val="18"/>
                    </w:rPr>
                    <w:t>(</w:t>
                  </w:r>
                  <w:r>
                    <w:rPr>
                      <w:b/>
                      <w:color w:val="FF0000"/>
                      <w:spacing w:val="-10"/>
                      <w:kern w:val="0"/>
                      <w:sz w:val="18"/>
                      <w:szCs w:val="18"/>
                    </w:rPr>
                    <w:t>mg/m</w:t>
                  </w:r>
                  <w:r>
                    <w:rPr>
                      <w:b/>
                      <w:color w:val="FF0000"/>
                      <w:spacing w:val="-10"/>
                      <w:kern w:val="0"/>
                      <w:sz w:val="18"/>
                      <w:szCs w:val="18"/>
                      <w:vertAlign w:val="superscript"/>
                    </w:rPr>
                    <w:t>3</w:t>
                  </w:r>
                  <w:r>
                    <w:rPr>
                      <w:b/>
                      <w:color w:val="FF0000"/>
                      <w:spacing w:val="-10"/>
                      <w:kern w:val="0"/>
                      <w:sz w:val="18"/>
                      <w:szCs w:val="18"/>
                    </w:rPr>
                    <w:t>)</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b/>
                      <w:color w:val="FF0000"/>
                      <w:spacing w:val="-10"/>
                      <w:kern w:val="0"/>
                      <w:sz w:val="18"/>
                      <w:szCs w:val="18"/>
                    </w:rPr>
                  </w:pPr>
                  <w:r>
                    <w:rPr>
                      <w:b/>
                      <w:color w:val="FF0000"/>
                      <w:spacing w:val="-10"/>
                      <w:kern w:val="0"/>
                      <w:sz w:val="18"/>
                      <w:szCs w:val="18"/>
                    </w:rPr>
                    <w:t>排放速率</w:t>
                  </w:r>
                  <w:r>
                    <w:rPr>
                      <w:rFonts w:hint="eastAsia"/>
                      <w:b/>
                      <w:color w:val="FF0000"/>
                      <w:spacing w:val="-10"/>
                      <w:kern w:val="0"/>
                      <w:sz w:val="18"/>
                      <w:szCs w:val="18"/>
                    </w:rPr>
                    <w:t>(</w:t>
                  </w:r>
                  <w:r>
                    <w:rPr>
                      <w:b/>
                      <w:color w:val="FF0000"/>
                      <w:spacing w:val="-10"/>
                      <w:kern w:val="0"/>
                      <w:sz w:val="18"/>
                      <w:szCs w:val="18"/>
                    </w:rPr>
                    <w:t>kg/h)</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b/>
                      <w:color w:val="FF0000"/>
                      <w:spacing w:val="-10"/>
                      <w:kern w:val="0"/>
                      <w:sz w:val="18"/>
                      <w:szCs w:val="18"/>
                    </w:rPr>
                  </w:pPr>
                  <w:r>
                    <w:rPr>
                      <w:b/>
                      <w:color w:val="FF0000"/>
                      <w:spacing w:val="-10"/>
                      <w:kern w:val="0"/>
                      <w:sz w:val="18"/>
                      <w:szCs w:val="18"/>
                    </w:rPr>
                    <w:t>排放量</w:t>
                  </w:r>
                  <w:r>
                    <w:rPr>
                      <w:rFonts w:hint="eastAsia"/>
                      <w:b/>
                      <w:color w:val="FF0000"/>
                      <w:spacing w:val="-10"/>
                      <w:kern w:val="0"/>
                      <w:sz w:val="18"/>
                      <w:szCs w:val="18"/>
                    </w:rPr>
                    <w:t>(</w:t>
                  </w:r>
                  <w:r>
                    <w:rPr>
                      <w:b/>
                      <w:color w:val="FF0000"/>
                      <w:spacing w:val="-10"/>
                      <w:kern w:val="0"/>
                      <w:sz w:val="18"/>
                      <w:szCs w:val="18"/>
                    </w:rPr>
                    <w:t>t/a)</w:t>
                  </w:r>
                </w:p>
              </w:tc>
            </w:tr>
            <w:tr>
              <w:tblPrEx>
                <w:tblCellMar>
                  <w:top w:w="0" w:type="dxa"/>
                  <w:left w:w="108" w:type="dxa"/>
                  <w:bottom w:w="0" w:type="dxa"/>
                  <w:right w:w="108" w:type="dxa"/>
                </w:tblCellMar>
              </w:tblPrEx>
              <w:trPr>
                <w:trHeight w:val="20" w:hRule="atLeast"/>
              </w:trPr>
              <w:tc>
                <w:tcPr>
                  <w:tcW w:w="8455" w:type="dxa"/>
                  <w:gridSpan w:val="9"/>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b/>
                      <w:color w:val="FF0000"/>
                      <w:spacing w:val="-10"/>
                      <w:kern w:val="0"/>
                      <w:sz w:val="18"/>
                      <w:szCs w:val="18"/>
                    </w:rPr>
                  </w:pPr>
                  <w:r>
                    <w:rPr>
                      <w:rFonts w:hint="eastAsia"/>
                      <w:b/>
                      <w:color w:val="FF0000"/>
                      <w:spacing w:val="-10"/>
                      <w:kern w:val="0"/>
                      <w:sz w:val="18"/>
                      <w:szCs w:val="18"/>
                    </w:rPr>
                    <w:t>一期</w:t>
                  </w:r>
                </w:p>
              </w:tc>
            </w:tr>
            <w:tr>
              <w:tblPrEx>
                <w:tblCellMar>
                  <w:top w:w="0" w:type="dxa"/>
                  <w:left w:w="108" w:type="dxa"/>
                  <w:bottom w:w="0" w:type="dxa"/>
                  <w:right w:w="108" w:type="dxa"/>
                </w:tblCellMar>
              </w:tblPrEx>
              <w:trPr>
                <w:trHeight w:val="20" w:hRule="atLeast"/>
              </w:trPr>
              <w:tc>
                <w:tcPr>
                  <w:tcW w:w="658" w:type="dxa"/>
                  <w:vMerge w:val="restart"/>
                  <w:tcBorders>
                    <w:top w:val="single" w:color="auto" w:sz="4" w:space="0"/>
                    <w:left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rFonts w:hint="eastAsia"/>
                      <w:color w:val="FF0000"/>
                      <w:kern w:val="0"/>
                      <w:sz w:val="18"/>
                      <w:szCs w:val="18"/>
                    </w:rPr>
                    <w:t>裂解炉燃烧室</w:t>
                  </w:r>
                </w:p>
              </w:tc>
              <w:tc>
                <w:tcPr>
                  <w:tcW w:w="851" w:type="dxa"/>
                  <w:vMerge w:val="restart"/>
                  <w:tcBorders>
                    <w:top w:val="single" w:color="auto" w:sz="4" w:space="0"/>
                    <w:left w:val="nil"/>
                    <w:right w:val="single" w:color="auto" w:sz="4" w:space="0"/>
                  </w:tcBorders>
                  <w:shd w:val="clear" w:color="auto" w:fill="auto"/>
                  <w:vAlign w:val="center"/>
                </w:tcPr>
                <w:p>
                  <w:pPr>
                    <w:spacing w:line="240" w:lineRule="auto"/>
                    <w:jc w:val="center"/>
                    <w:rPr>
                      <w:color w:val="FF0000"/>
                      <w:kern w:val="0"/>
                      <w:sz w:val="18"/>
                      <w:szCs w:val="18"/>
                    </w:rPr>
                  </w:pPr>
                  <w:r>
                    <w:rPr>
                      <w:color w:val="FF0000"/>
                      <w:kern w:val="0"/>
                      <w:sz w:val="18"/>
                      <w:szCs w:val="18"/>
                    </w:rPr>
                    <w:t>初次启动（非正常工况）</w:t>
                  </w: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烟气量</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3103Nm</w:t>
                  </w:r>
                  <w:r>
                    <w:rPr>
                      <w:color w:val="FF0000"/>
                      <w:kern w:val="0"/>
                      <w:sz w:val="18"/>
                      <w:szCs w:val="18"/>
                      <w:vertAlign w:val="superscript"/>
                    </w:rPr>
                    <w:t>3</w:t>
                  </w:r>
                  <w:r>
                    <w:rPr>
                      <w:color w:val="FF0000"/>
                      <w:kern w:val="0"/>
                      <w:sz w:val="18"/>
                      <w:szCs w:val="18"/>
                    </w:rPr>
                    <w:t>/h</w:t>
                  </w:r>
                </w:p>
              </w:tc>
              <w:tc>
                <w:tcPr>
                  <w:tcW w:w="992" w:type="dxa"/>
                  <w:vMerge w:val="restart"/>
                  <w:tcBorders>
                    <w:top w:val="single" w:color="auto" w:sz="4" w:space="0"/>
                    <w:left w:val="nil"/>
                    <w:right w:val="single" w:color="auto" w:sz="4" w:space="0"/>
                  </w:tcBorders>
                  <w:shd w:val="clear" w:color="auto" w:fill="auto"/>
                  <w:vAlign w:val="center"/>
                </w:tcPr>
                <w:p>
                  <w:pPr>
                    <w:spacing w:line="240" w:lineRule="auto"/>
                    <w:jc w:val="center"/>
                    <w:rPr>
                      <w:color w:val="FF0000"/>
                      <w:kern w:val="0"/>
                      <w:sz w:val="18"/>
                      <w:szCs w:val="18"/>
                    </w:rPr>
                  </w:pPr>
                  <w:r>
                    <w:rPr>
                      <w:color w:val="FF0000"/>
                      <w:kern w:val="0"/>
                      <w:sz w:val="18"/>
                      <w:szCs w:val="18"/>
                    </w:rPr>
                    <w:t>“烟气骤冷+SCR脱硝+</w:t>
                  </w:r>
                  <w:r>
                    <w:rPr>
                      <w:rFonts w:hint="eastAsia"/>
                      <w:color w:val="FF0000"/>
                      <w:kern w:val="0"/>
                      <w:sz w:val="18"/>
                      <w:szCs w:val="18"/>
                    </w:rPr>
                    <w:t>钠碱法</w:t>
                  </w:r>
                  <w:r>
                    <w:rPr>
                      <w:color w:val="FF0000"/>
                      <w:kern w:val="0"/>
                      <w:sz w:val="18"/>
                      <w:szCs w:val="18"/>
                    </w:rPr>
                    <w:t>脱硫+湿电除尘+气液分离+二级活性炭吸附”</w:t>
                  </w:r>
                  <w:r>
                    <w:rPr>
                      <w:rFonts w:hint="eastAsia"/>
                      <w:color w:val="FF0000"/>
                      <w:kern w:val="0"/>
                      <w:sz w:val="18"/>
                      <w:szCs w:val="18"/>
                    </w:rPr>
                    <w:t>；储罐呼吸废气收集后接入二燃室燃烧处理</w:t>
                  </w: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3024Nm</w:t>
                  </w:r>
                  <w:r>
                    <w:rPr>
                      <w:color w:val="FF0000"/>
                      <w:spacing w:val="-10"/>
                      <w:kern w:val="0"/>
                      <w:sz w:val="18"/>
                      <w:szCs w:val="18"/>
                      <w:vertAlign w:val="superscript"/>
                    </w:rPr>
                    <w:t>3</w:t>
                  </w:r>
                  <w:r>
                    <w:rPr>
                      <w:color w:val="FF0000"/>
                      <w:spacing w:val="-10"/>
                      <w:kern w:val="0"/>
                      <w:sz w:val="18"/>
                      <w:szCs w:val="18"/>
                    </w:rPr>
                    <w:t>/h</w:t>
                  </w:r>
                </w:p>
              </w:tc>
            </w:tr>
            <w:tr>
              <w:tblPrEx>
                <w:tblCellMar>
                  <w:top w:w="0" w:type="dxa"/>
                  <w:left w:w="108" w:type="dxa"/>
                  <w:bottom w:w="0" w:type="dxa"/>
                  <w:right w:w="108" w:type="dxa"/>
                </w:tblCellMar>
              </w:tblPrEx>
              <w:trPr>
                <w:trHeight w:val="20" w:hRule="atLeast"/>
              </w:trPr>
              <w:tc>
                <w:tcPr>
                  <w:tcW w:w="658" w:type="dxa"/>
                  <w:vMerge w:val="continue"/>
                  <w:tcBorders>
                    <w:left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颗粒物</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 xml:space="preserve">25.78 </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0.004</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 xml:space="preserve">5.16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0.016</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0.0008</w:t>
                  </w:r>
                </w:p>
              </w:tc>
            </w:tr>
            <w:tr>
              <w:tblPrEx>
                <w:tblCellMar>
                  <w:top w:w="0" w:type="dxa"/>
                  <w:left w:w="108" w:type="dxa"/>
                  <w:bottom w:w="0" w:type="dxa"/>
                  <w:right w:w="108" w:type="dxa"/>
                </w:tblCellMar>
              </w:tblPrEx>
              <w:trPr>
                <w:trHeight w:val="20" w:hRule="atLeast"/>
              </w:trPr>
              <w:tc>
                <w:tcPr>
                  <w:tcW w:w="658" w:type="dxa"/>
                  <w:vMerge w:val="continue"/>
                  <w:tcBorders>
                    <w:left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NO</w:t>
                  </w:r>
                  <w:r>
                    <w:rPr>
                      <w:color w:val="FF0000"/>
                      <w:kern w:val="0"/>
                      <w:sz w:val="18"/>
                      <w:szCs w:val="18"/>
                      <w:vertAlign w:val="subscript"/>
                    </w:rPr>
                    <w:t>X</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 xml:space="preserve">148.24 </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0.023</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 xml:space="preserve">88.95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0.276</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0.0138</w:t>
                  </w:r>
                </w:p>
              </w:tc>
            </w:tr>
            <w:tr>
              <w:tblPrEx>
                <w:tblCellMar>
                  <w:top w:w="0" w:type="dxa"/>
                  <w:left w:w="108" w:type="dxa"/>
                  <w:bottom w:w="0" w:type="dxa"/>
                  <w:right w:w="108" w:type="dxa"/>
                </w:tblCellMar>
              </w:tblPrEx>
              <w:trPr>
                <w:trHeight w:val="20" w:hRule="atLeast"/>
              </w:trPr>
              <w:tc>
                <w:tcPr>
                  <w:tcW w:w="658" w:type="dxa"/>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bottom w:val="single" w:color="auto" w:sz="4" w:space="0"/>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SO</w:t>
                  </w:r>
                  <w:r>
                    <w:rPr>
                      <w:color w:val="FF0000"/>
                      <w:kern w:val="0"/>
                      <w:sz w:val="18"/>
                      <w:szCs w:val="18"/>
                      <w:vertAlign w:val="subscript"/>
                    </w:rPr>
                    <w:t>2</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 xml:space="preserve">19.34 </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0.003</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 xml:space="preserve">1.93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0.006</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0.0003</w:t>
                  </w:r>
                </w:p>
              </w:tc>
            </w:tr>
            <w:tr>
              <w:tblPrEx>
                <w:tblCellMar>
                  <w:top w:w="0" w:type="dxa"/>
                  <w:left w:w="108" w:type="dxa"/>
                  <w:bottom w:w="0" w:type="dxa"/>
                  <w:right w:w="108" w:type="dxa"/>
                </w:tblCellMar>
              </w:tblPrEx>
              <w:trPr>
                <w:trHeight w:val="20" w:hRule="atLeast"/>
              </w:trPr>
              <w:tc>
                <w:tcPr>
                  <w:tcW w:w="65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rFonts w:hint="eastAsia"/>
                      <w:color w:val="FF0000"/>
                      <w:kern w:val="0"/>
                      <w:sz w:val="18"/>
                      <w:szCs w:val="18"/>
                    </w:rPr>
                    <w:t>裂解炉燃烧室、二燃室</w:t>
                  </w:r>
                </w:p>
              </w:tc>
              <w:tc>
                <w:tcPr>
                  <w:tcW w:w="851" w:type="dxa"/>
                  <w:vMerge w:val="restart"/>
                  <w:tcBorders>
                    <w:top w:val="single" w:color="auto" w:sz="4" w:space="0"/>
                    <w:left w:val="nil"/>
                    <w:right w:val="single" w:color="auto" w:sz="4" w:space="0"/>
                  </w:tcBorders>
                  <w:shd w:val="clear" w:color="auto" w:fill="auto"/>
                  <w:vAlign w:val="center"/>
                </w:tcPr>
                <w:p>
                  <w:pPr>
                    <w:spacing w:line="240" w:lineRule="auto"/>
                    <w:jc w:val="center"/>
                    <w:rPr>
                      <w:color w:val="FF0000"/>
                      <w:kern w:val="0"/>
                      <w:sz w:val="18"/>
                      <w:szCs w:val="18"/>
                    </w:rPr>
                  </w:pPr>
                  <w:r>
                    <w:rPr>
                      <w:rFonts w:hint="eastAsia"/>
                      <w:color w:val="FF0000"/>
                      <w:kern w:val="0"/>
                      <w:sz w:val="18"/>
                      <w:szCs w:val="18"/>
                    </w:rPr>
                    <w:t>正常工况</w:t>
                  </w: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烟气量</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rFonts w:hint="eastAsia"/>
                      <w:color w:val="FF0000"/>
                      <w:kern w:val="0"/>
                      <w:sz w:val="18"/>
                      <w:szCs w:val="18"/>
                    </w:rPr>
                    <w:t>/</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5042Nm</w:t>
                  </w:r>
                  <w:r>
                    <w:rPr>
                      <w:color w:val="FF0000"/>
                      <w:spacing w:val="-10"/>
                      <w:kern w:val="0"/>
                      <w:sz w:val="18"/>
                      <w:szCs w:val="18"/>
                      <w:vertAlign w:val="superscript"/>
                    </w:rPr>
                    <w:t>3</w:t>
                  </w:r>
                  <w:r>
                    <w:rPr>
                      <w:color w:val="FF0000"/>
                      <w:spacing w:val="-10"/>
                      <w:kern w:val="0"/>
                      <w:sz w:val="18"/>
                      <w:szCs w:val="18"/>
                    </w:rPr>
                    <w:t>/h</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rFonts w:hint="eastAsia"/>
                      <w:color w:val="FF0000"/>
                      <w:kern w:val="0"/>
                      <w:sz w:val="18"/>
                      <w:szCs w:val="18"/>
                    </w:rPr>
                    <w:t>/</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rFonts w:hint="eastAsia"/>
                      <w:color w:val="FF0000"/>
                      <w:kern w:val="0"/>
                      <w:sz w:val="18"/>
                      <w:szCs w:val="18"/>
                    </w:rPr>
                    <w:t>/</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5042Nm</w:t>
                  </w:r>
                  <w:r>
                    <w:rPr>
                      <w:color w:val="FF0000"/>
                      <w:spacing w:val="-10"/>
                      <w:kern w:val="0"/>
                      <w:sz w:val="18"/>
                      <w:szCs w:val="18"/>
                      <w:vertAlign w:val="superscript"/>
                    </w:rPr>
                    <w:t>3</w:t>
                  </w:r>
                  <w:r>
                    <w:rPr>
                      <w:color w:val="FF0000"/>
                      <w:spacing w:val="-10"/>
                      <w:kern w:val="0"/>
                      <w:sz w:val="18"/>
                      <w:szCs w:val="18"/>
                    </w:rPr>
                    <w:t>/h</w:t>
                  </w:r>
                </w:p>
              </w:tc>
            </w:tr>
            <w:tr>
              <w:trPr>
                <w:trHeight w:val="20" w:hRule="atLeast"/>
              </w:trPr>
              <w:tc>
                <w:tcPr>
                  <w:tcW w:w="658" w:type="dxa"/>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颗粒物</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kern w:val="0"/>
                      <w:sz w:val="18"/>
                      <w:szCs w:val="18"/>
                    </w:rPr>
                  </w:pPr>
                  <w:r>
                    <w:rPr>
                      <w:rFonts w:eastAsia="等线"/>
                      <w:color w:val="FF0000"/>
                      <w:sz w:val="18"/>
                      <w:szCs w:val="18"/>
                    </w:rPr>
                    <w:t xml:space="preserve">66.57 </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2.4</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kern w:val="0"/>
                      <w:sz w:val="18"/>
                      <w:szCs w:val="18"/>
                    </w:rPr>
                  </w:pPr>
                  <w:r>
                    <w:rPr>
                      <w:rFonts w:eastAsia="等线"/>
                      <w:color w:val="FF0000"/>
                      <w:sz w:val="18"/>
                      <w:szCs w:val="18"/>
                    </w:rPr>
                    <w:t xml:space="preserve">13.31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0.067 </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0.48</w:t>
                  </w:r>
                </w:p>
              </w:tc>
            </w:tr>
            <w:tr>
              <w:tblPrEx>
                <w:tblCellMar>
                  <w:top w:w="0" w:type="dxa"/>
                  <w:left w:w="108" w:type="dxa"/>
                  <w:bottom w:w="0" w:type="dxa"/>
                  <w:right w:w="108" w:type="dxa"/>
                </w:tblCellMar>
              </w:tblPrEx>
              <w:trPr>
                <w:trHeight w:val="20" w:hRule="atLeast"/>
              </w:trPr>
              <w:tc>
                <w:tcPr>
                  <w:tcW w:w="658" w:type="dxa"/>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NO</w:t>
                  </w:r>
                  <w:r>
                    <w:rPr>
                      <w:color w:val="FF0000"/>
                      <w:kern w:val="0"/>
                      <w:sz w:val="18"/>
                      <w:szCs w:val="18"/>
                      <w:vertAlign w:val="subscript"/>
                    </w:rPr>
                    <w:t>X</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166.43 </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6</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99.86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0.503 </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3.6</w:t>
                  </w:r>
                </w:p>
              </w:tc>
            </w:tr>
            <w:tr>
              <w:tblPrEx>
                <w:tblCellMar>
                  <w:top w:w="0" w:type="dxa"/>
                  <w:left w:w="108" w:type="dxa"/>
                  <w:bottom w:w="0" w:type="dxa"/>
                  <w:right w:w="108" w:type="dxa"/>
                </w:tblCellMar>
              </w:tblPrEx>
              <w:trPr>
                <w:trHeight w:val="20" w:hRule="atLeast"/>
              </w:trPr>
              <w:tc>
                <w:tcPr>
                  <w:tcW w:w="658" w:type="dxa"/>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SO</w:t>
                  </w:r>
                  <w:r>
                    <w:rPr>
                      <w:color w:val="FF0000"/>
                      <w:kern w:val="0"/>
                      <w:sz w:val="18"/>
                      <w:szCs w:val="18"/>
                      <w:vertAlign w:val="subscript"/>
                    </w:rPr>
                    <w:t>2</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490.79</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17.693</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48.99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0.247 </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1.769</w:t>
                  </w:r>
                </w:p>
              </w:tc>
            </w:tr>
            <w:tr>
              <w:tblPrEx>
                <w:tblCellMar>
                  <w:top w:w="0" w:type="dxa"/>
                  <w:left w:w="108" w:type="dxa"/>
                  <w:bottom w:w="0" w:type="dxa"/>
                  <w:right w:w="108" w:type="dxa"/>
                </w:tblCellMar>
              </w:tblPrEx>
              <w:trPr>
                <w:trHeight w:val="20" w:hRule="atLeast"/>
              </w:trPr>
              <w:tc>
                <w:tcPr>
                  <w:tcW w:w="658" w:type="dxa"/>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H</w:t>
                  </w:r>
                  <w:r>
                    <w:rPr>
                      <w:color w:val="FF0000"/>
                      <w:kern w:val="0"/>
                      <w:sz w:val="18"/>
                      <w:szCs w:val="18"/>
                      <w:vertAlign w:val="subscript"/>
                    </w:rPr>
                    <w:t>2</w:t>
                  </w:r>
                  <w:r>
                    <w:rPr>
                      <w:color w:val="FF0000"/>
                      <w:kern w:val="0"/>
                      <w:sz w:val="18"/>
                      <w:szCs w:val="18"/>
                    </w:rPr>
                    <w:t>S</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5.27 </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0.19</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2.64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0.013 </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0.095</w:t>
                  </w:r>
                </w:p>
              </w:tc>
            </w:tr>
            <w:tr>
              <w:tblPrEx>
                <w:tblCellMar>
                  <w:top w:w="0" w:type="dxa"/>
                  <w:left w:w="108" w:type="dxa"/>
                  <w:bottom w:w="0" w:type="dxa"/>
                  <w:right w:w="108" w:type="dxa"/>
                </w:tblCellMar>
              </w:tblPrEx>
              <w:trPr>
                <w:trHeight w:val="20" w:hRule="atLeast"/>
              </w:trPr>
              <w:tc>
                <w:tcPr>
                  <w:tcW w:w="658" w:type="dxa"/>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非甲烷总烃</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99.86 </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3.6</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14.10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0.071 </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0.508 </w:t>
                  </w:r>
                </w:p>
              </w:tc>
            </w:tr>
            <w:tr>
              <w:tblPrEx>
                <w:tblCellMar>
                  <w:top w:w="0" w:type="dxa"/>
                  <w:left w:w="108" w:type="dxa"/>
                  <w:bottom w:w="0" w:type="dxa"/>
                  <w:right w:w="108" w:type="dxa"/>
                </w:tblCellMar>
              </w:tblPrEx>
              <w:trPr>
                <w:trHeight w:val="20" w:hRule="atLeast"/>
              </w:trPr>
              <w:tc>
                <w:tcPr>
                  <w:tcW w:w="658" w:type="dxa"/>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甲苯</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8.63 </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0.311</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0.43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0.002 </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0.016 </w:t>
                  </w:r>
                </w:p>
              </w:tc>
            </w:tr>
            <w:tr>
              <w:trPr>
                <w:trHeight w:val="20" w:hRule="atLeast"/>
              </w:trPr>
              <w:tc>
                <w:tcPr>
                  <w:tcW w:w="658" w:type="dxa"/>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二甲苯</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8.07 </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0.291</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0.40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0.002 </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0.015 </w:t>
                  </w:r>
                </w:p>
              </w:tc>
            </w:tr>
            <w:tr>
              <w:tblPrEx>
                <w:tblCellMar>
                  <w:top w:w="0" w:type="dxa"/>
                  <w:left w:w="108" w:type="dxa"/>
                  <w:bottom w:w="0" w:type="dxa"/>
                  <w:right w:w="108" w:type="dxa"/>
                </w:tblCellMar>
              </w:tblPrEx>
              <w:trPr>
                <w:trHeight w:val="20" w:hRule="atLeast"/>
              </w:trPr>
              <w:tc>
                <w:tcPr>
                  <w:tcW w:w="658" w:type="dxa"/>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二噁英类</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1.08ng-TEQ/m</w:t>
                  </w:r>
                  <w:r>
                    <w:rPr>
                      <w:rFonts w:eastAsia="等线"/>
                      <w:color w:val="FF0000"/>
                      <w:sz w:val="18"/>
                      <w:szCs w:val="18"/>
                      <w:vertAlign w:val="superscript"/>
                    </w:rPr>
                    <w:t>3</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0.04</w:t>
                  </w:r>
                  <w:r>
                    <w:rPr>
                      <w:color w:val="FF0000"/>
                      <w:spacing w:val="-10"/>
                      <w:kern w:val="0"/>
                      <w:sz w:val="18"/>
                      <w:szCs w:val="18"/>
                    </w:rPr>
                    <w:t xml:space="preserve"> g-TEQ/a</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0.054ng-TEQ/m</w:t>
                  </w:r>
                  <w:r>
                    <w:rPr>
                      <w:color w:val="FF0000"/>
                      <w:kern w:val="0"/>
                      <w:sz w:val="18"/>
                      <w:szCs w:val="18"/>
                      <w:vertAlign w:val="superscript"/>
                    </w:rPr>
                    <w:t>3</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0.280μg-TEQ/h</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0.002g-TEQ/a</w:t>
                  </w:r>
                </w:p>
              </w:tc>
            </w:tr>
            <w:tr>
              <w:tblPrEx>
                <w:tblCellMar>
                  <w:top w:w="0" w:type="dxa"/>
                  <w:left w:w="108" w:type="dxa"/>
                  <w:bottom w:w="0" w:type="dxa"/>
                  <w:right w:w="108" w:type="dxa"/>
                </w:tblCellMar>
              </w:tblPrEx>
              <w:trPr>
                <w:trHeight w:val="20" w:hRule="atLeast"/>
              </w:trPr>
              <w:tc>
                <w:tcPr>
                  <w:tcW w:w="658" w:type="dxa"/>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臭气浓度</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少量</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少量</w:t>
                  </w:r>
                </w:p>
              </w:tc>
            </w:tr>
            <w:tr>
              <w:tblPrEx>
                <w:tblCellMar>
                  <w:top w:w="0" w:type="dxa"/>
                  <w:left w:w="108" w:type="dxa"/>
                  <w:bottom w:w="0" w:type="dxa"/>
                  <w:right w:w="108" w:type="dxa"/>
                </w:tblCellMar>
              </w:tblPrEx>
              <w:trPr>
                <w:trHeight w:val="20" w:hRule="atLeast"/>
              </w:trPr>
              <w:tc>
                <w:tcPr>
                  <w:tcW w:w="658" w:type="dxa"/>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林格曼黑度</w:t>
                  </w:r>
                </w:p>
              </w:tc>
              <w:tc>
                <w:tcPr>
                  <w:tcW w:w="2127" w:type="dxa"/>
                  <w:gridSpan w:val="2"/>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≤1级</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2960" w:type="dxa"/>
                  <w:gridSpan w:val="3"/>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≤1级</w:t>
                  </w:r>
                </w:p>
              </w:tc>
            </w:tr>
            <w:tr>
              <w:tblPrEx>
                <w:tblCellMar>
                  <w:top w:w="0" w:type="dxa"/>
                  <w:left w:w="108" w:type="dxa"/>
                  <w:bottom w:w="0" w:type="dxa"/>
                  <w:right w:w="108" w:type="dxa"/>
                </w:tblCellMar>
              </w:tblPrEx>
              <w:trPr>
                <w:trHeight w:val="20" w:hRule="atLeast"/>
              </w:trPr>
              <w:tc>
                <w:tcPr>
                  <w:tcW w:w="65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rFonts w:hint="eastAsia"/>
                      <w:color w:val="FF0000"/>
                      <w:kern w:val="0"/>
                      <w:sz w:val="18"/>
                      <w:szCs w:val="18"/>
                    </w:rPr>
                    <w:t>储罐呼吸废气</w:t>
                  </w:r>
                </w:p>
              </w:tc>
              <w:tc>
                <w:tcPr>
                  <w:tcW w:w="851" w:type="dxa"/>
                  <w:vMerge w:val="continue"/>
                  <w:tcBorders>
                    <w:left w:val="nil"/>
                    <w:bottom w:val="single" w:color="auto" w:sz="4" w:space="0"/>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rFonts w:hint="eastAsia"/>
                      <w:color w:val="FF0000"/>
                      <w:kern w:val="0"/>
                      <w:sz w:val="18"/>
                      <w:szCs w:val="18"/>
                    </w:rPr>
                    <w:t>非甲烷总烃</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rFonts w:hint="eastAsia"/>
                      <w:color w:val="FF0000"/>
                      <w:kern w:val="0"/>
                      <w:sz w:val="18"/>
                      <w:szCs w:val="18"/>
                    </w:rPr>
                    <w:t>/</w:t>
                  </w:r>
                </w:p>
              </w:tc>
              <w:tc>
                <w:tcPr>
                  <w:tcW w:w="1151"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FF0000"/>
                      <w:kern w:val="0"/>
                      <w:sz w:val="18"/>
                      <w:szCs w:val="18"/>
                    </w:rPr>
                  </w:pPr>
                  <w:r>
                    <w:rPr>
                      <w:rFonts w:hint="eastAsia"/>
                      <w:color w:val="FF0000"/>
                      <w:kern w:val="0"/>
                      <w:sz w:val="18"/>
                      <w:szCs w:val="18"/>
                    </w:rPr>
                    <w:t>6</w:t>
                  </w:r>
                  <w:r>
                    <w:rPr>
                      <w:color w:val="FF0000"/>
                      <w:kern w:val="0"/>
                      <w:sz w:val="18"/>
                      <w:szCs w:val="18"/>
                    </w:rPr>
                    <w:t>.569</w:t>
                  </w:r>
                </w:p>
              </w:tc>
              <w:tc>
                <w:tcPr>
                  <w:tcW w:w="992" w:type="dxa"/>
                  <w:vMerge w:val="continue"/>
                  <w:tcBorders>
                    <w:left w:val="nil"/>
                    <w:bottom w:val="single" w:color="auto" w:sz="4" w:space="0"/>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rFonts w:hint="eastAsia"/>
                      <w:color w:val="FF0000"/>
                      <w:spacing w:val="-10"/>
                      <w:kern w:val="0"/>
                      <w:sz w:val="18"/>
                      <w:szCs w:val="18"/>
                    </w:rPr>
                    <w:t>/</w:t>
                  </w:r>
                </w:p>
              </w:tc>
              <w:tc>
                <w:tcPr>
                  <w:tcW w:w="851"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FF0000"/>
                      <w:spacing w:val="-10"/>
                      <w:kern w:val="0"/>
                      <w:sz w:val="18"/>
                      <w:szCs w:val="18"/>
                    </w:rPr>
                  </w:pPr>
                  <w:r>
                    <w:rPr>
                      <w:rFonts w:hint="eastAsia"/>
                      <w:color w:val="FF0000"/>
                      <w:spacing w:val="-10"/>
                      <w:kern w:val="0"/>
                      <w:sz w:val="18"/>
                      <w:szCs w:val="18"/>
                    </w:rPr>
                    <w:t>/</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FF0000"/>
                      <w:spacing w:val="-10"/>
                      <w:kern w:val="0"/>
                      <w:sz w:val="18"/>
                      <w:szCs w:val="18"/>
                    </w:rPr>
                  </w:pPr>
                  <w:r>
                    <w:rPr>
                      <w:rFonts w:hint="eastAsia"/>
                      <w:color w:val="FF0000"/>
                      <w:spacing w:val="-10"/>
                      <w:kern w:val="0"/>
                      <w:sz w:val="18"/>
                      <w:szCs w:val="18"/>
                    </w:rPr>
                    <w:t>/</w:t>
                  </w:r>
                </w:p>
              </w:tc>
            </w:tr>
            <w:tr>
              <w:tblPrEx>
                <w:tblCellMar>
                  <w:top w:w="0" w:type="dxa"/>
                  <w:left w:w="108" w:type="dxa"/>
                  <w:bottom w:w="0" w:type="dxa"/>
                  <w:right w:w="108" w:type="dxa"/>
                </w:tblCellMar>
              </w:tblPrEx>
              <w:trPr>
                <w:trHeight w:val="20" w:hRule="atLeast"/>
              </w:trPr>
              <w:tc>
                <w:tcPr>
                  <w:tcW w:w="8455" w:type="dxa"/>
                  <w:gridSpan w:val="9"/>
                  <w:tcBorders>
                    <w:top w:val="single" w:color="auto" w:sz="4" w:space="0"/>
                    <w:left w:val="single" w:color="auto" w:sz="4" w:space="0"/>
                    <w:right w:val="single" w:color="auto" w:sz="4" w:space="0"/>
                  </w:tcBorders>
                  <w:shd w:val="clear" w:color="auto" w:fill="auto"/>
                  <w:noWrap/>
                  <w:vAlign w:val="center"/>
                </w:tcPr>
                <w:p>
                  <w:pPr>
                    <w:spacing w:line="240" w:lineRule="auto"/>
                    <w:jc w:val="center"/>
                    <w:rPr>
                      <w:b/>
                      <w:color w:val="FF0000"/>
                      <w:spacing w:val="-10"/>
                      <w:kern w:val="0"/>
                      <w:sz w:val="18"/>
                      <w:szCs w:val="18"/>
                    </w:rPr>
                  </w:pPr>
                  <w:r>
                    <w:rPr>
                      <w:rFonts w:hint="eastAsia"/>
                      <w:b/>
                      <w:color w:val="FF0000"/>
                      <w:spacing w:val="-10"/>
                      <w:kern w:val="0"/>
                      <w:sz w:val="18"/>
                      <w:szCs w:val="18"/>
                    </w:rPr>
                    <w:t>二期建成后全厂</w:t>
                  </w:r>
                </w:p>
              </w:tc>
            </w:tr>
            <w:tr>
              <w:tblPrEx>
                <w:tblCellMar>
                  <w:top w:w="0" w:type="dxa"/>
                  <w:left w:w="108" w:type="dxa"/>
                  <w:bottom w:w="0" w:type="dxa"/>
                  <w:right w:w="108" w:type="dxa"/>
                </w:tblCellMar>
              </w:tblPrEx>
              <w:trPr>
                <w:trHeight w:val="20" w:hRule="atLeast"/>
              </w:trPr>
              <w:tc>
                <w:tcPr>
                  <w:tcW w:w="65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裂解炉燃烧室</w:t>
                  </w:r>
                </w:p>
              </w:tc>
              <w:tc>
                <w:tcPr>
                  <w:tcW w:w="851" w:type="dxa"/>
                  <w:vMerge w:val="restart"/>
                  <w:tcBorders>
                    <w:top w:val="single" w:color="auto" w:sz="4" w:space="0"/>
                    <w:left w:val="nil"/>
                    <w:right w:val="single" w:color="auto" w:sz="4" w:space="0"/>
                  </w:tcBorders>
                  <w:shd w:val="clear" w:color="auto" w:fill="auto"/>
                  <w:vAlign w:val="center"/>
                </w:tcPr>
                <w:p>
                  <w:pPr>
                    <w:spacing w:line="240" w:lineRule="auto"/>
                    <w:jc w:val="center"/>
                    <w:rPr>
                      <w:color w:val="FF0000"/>
                      <w:kern w:val="0"/>
                      <w:sz w:val="18"/>
                      <w:szCs w:val="18"/>
                    </w:rPr>
                  </w:pPr>
                  <w:r>
                    <w:rPr>
                      <w:color w:val="FF0000"/>
                      <w:kern w:val="0"/>
                      <w:sz w:val="18"/>
                      <w:szCs w:val="18"/>
                    </w:rPr>
                    <w:t>初次启动（非正常工况）</w:t>
                  </w: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烟气量</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9310Nm</w:t>
                  </w:r>
                  <w:r>
                    <w:rPr>
                      <w:color w:val="FF0000"/>
                      <w:kern w:val="0"/>
                      <w:sz w:val="18"/>
                      <w:szCs w:val="18"/>
                      <w:vertAlign w:val="superscript"/>
                    </w:rPr>
                    <w:t>3</w:t>
                  </w:r>
                  <w:r>
                    <w:rPr>
                      <w:color w:val="FF0000"/>
                      <w:kern w:val="0"/>
                      <w:sz w:val="18"/>
                      <w:szCs w:val="18"/>
                    </w:rPr>
                    <w:t>/h</w:t>
                  </w:r>
                </w:p>
              </w:tc>
              <w:tc>
                <w:tcPr>
                  <w:tcW w:w="992" w:type="dxa"/>
                  <w:vMerge w:val="restart"/>
                  <w:tcBorders>
                    <w:top w:val="single" w:color="auto" w:sz="4" w:space="0"/>
                    <w:left w:val="nil"/>
                    <w:right w:val="single" w:color="auto" w:sz="4" w:space="0"/>
                  </w:tcBorders>
                  <w:shd w:val="clear" w:color="auto" w:fill="auto"/>
                  <w:vAlign w:val="center"/>
                </w:tcPr>
                <w:p>
                  <w:pPr>
                    <w:spacing w:line="240" w:lineRule="auto"/>
                    <w:jc w:val="center"/>
                    <w:rPr>
                      <w:color w:val="FF0000"/>
                      <w:kern w:val="0"/>
                      <w:sz w:val="18"/>
                      <w:szCs w:val="18"/>
                    </w:rPr>
                  </w:pPr>
                  <w:r>
                    <w:rPr>
                      <w:color w:val="FF0000"/>
                      <w:kern w:val="0"/>
                      <w:sz w:val="18"/>
                      <w:szCs w:val="18"/>
                    </w:rPr>
                    <w:t>“烟气骤冷+SCR脱硝+</w:t>
                  </w:r>
                  <w:r>
                    <w:rPr>
                      <w:rFonts w:hint="eastAsia"/>
                      <w:color w:val="FF0000"/>
                      <w:kern w:val="0"/>
                      <w:sz w:val="18"/>
                      <w:szCs w:val="18"/>
                    </w:rPr>
                    <w:t>钠碱法</w:t>
                  </w:r>
                  <w:r>
                    <w:rPr>
                      <w:color w:val="FF0000"/>
                      <w:kern w:val="0"/>
                      <w:sz w:val="18"/>
                      <w:szCs w:val="18"/>
                    </w:rPr>
                    <w:t>脱硫+湿电除尘+气液分离+二级活性炭吸附”</w:t>
                  </w:r>
                  <w:r>
                    <w:rPr>
                      <w:rFonts w:hint="eastAsia"/>
                      <w:color w:val="FF0000"/>
                      <w:kern w:val="0"/>
                      <w:sz w:val="18"/>
                      <w:szCs w:val="18"/>
                    </w:rPr>
                    <w:t>；储罐呼吸废气收集后接入二燃室燃烧处理</w:t>
                  </w: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9310Nm</w:t>
                  </w:r>
                  <w:r>
                    <w:rPr>
                      <w:color w:val="FF0000"/>
                      <w:spacing w:val="-10"/>
                      <w:kern w:val="0"/>
                      <w:sz w:val="18"/>
                      <w:szCs w:val="18"/>
                      <w:vertAlign w:val="superscript"/>
                    </w:rPr>
                    <w:t>3</w:t>
                  </w:r>
                  <w:r>
                    <w:rPr>
                      <w:color w:val="FF0000"/>
                      <w:spacing w:val="-10"/>
                      <w:kern w:val="0"/>
                      <w:sz w:val="18"/>
                      <w:szCs w:val="18"/>
                    </w:rPr>
                    <w:t>/h</w:t>
                  </w:r>
                </w:p>
              </w:tc>
            </w:tr>
            <w:tr>
              <w:tblPrEx>
                <w:tblCellMar>
                  <w:top w:w="0" w:type="dxa"/>
                  <w:left w:w="108" w:type="dxa"/>
                  <w:bottom w:w="0" w:type="dxa"/>
                  <w:right w:w="108" w:type="dxa"/>
                </w:tblCellMar>
              </w:tblPrEx>
              <w:trPr>
                <w:trHeight w:val="20" w:hRule="atLeast"/>
              </w:trPr>
              <w:tc>
                <w:tcPr>
                  <w:tcW w:w="658" w:type="dxa"/>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颗粒物</w:t>
                  </w:r>
                </w:p>
              </w:tc>
              <w:tc>
                <w:tcPr>
                  <w:tcW w:w="9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kern w:val="0"/>
                      <w:sz w:val="18"/>
                      <w:szCs w:val="18"/>
                    </w:rPr>
                  </w:pPr>
                  <w:r>
                    <w:rPr>
                      <w:rFonts w:eastAsia="等线"/>
                      <w:color w:val="FF0000"/>
                      <w:sz w:val="18"/>
                      <w:szCs w:val="18"/>
                    </w:rPr>
                    <w:t xml:space="preserve">25.78 </w:t>
                  </w:r>
                </w:p>
              </w:tc>
              <w:tc>
                <w:tcPr>
                  <w:tcW w:w="11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0.012</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kern w:val="0"/>
                      <w:sz w:val="18"/>
                      <w:szCs w:val="18"/>
                    </w:rPr>
                  </w:pPr>
                  <w:r>
                    <w:rPr>
                      <w:rFonts w:eastAsia="等线"/>
                      <w:color w:val="FF0000"/>
                      <w:sz w:val="18"/>
                      <w:szCs w:val="18"/>
                    </w:rPr>
                    <w:t xml:space="preserve">5.16 </w:t>
                  </w:r>
                </w:p>
              </w:tc>
              <w:tc>
                <w:tcPr>
                  <w:tcW w:w="8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0.048</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0.0024</w:t>
                  </w:r>
                </w:p>
              </w:tc>
            </w:tr>
            <w:tr>
              <w:tblPrEx>
                <w:tblCellMar>
                  <w:top w:w="0" w:type="dxa"/>
                  <w:left w:w="108" w:type="dxa"/>
                  <w:bottom w:w="0" w:type="dxa"/>
                  <w:right w:w="108" w:type="dxa"/>
                </w:tblCellMar>
              </w:tblPrEx>
              <w:trPr>
                <w:trHeight w:val="20" w:hRule="atLeast"/>
              </w:trPr>
              <w:tc>
                <w:tcPr>
                  <w:tcW w:w="658" w:type="dxa"/>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NO</w:t>
                  </w:r>
                  <w:r>
                    <w:rPr>
                      <w:color w:val="FF0000"/>
                      <w:kern w:val="0"/>
                      <w:sz w:val="18"/>
                      <w:szCs w:val="18"/>
                      <w:vertAlign w:val="subscript"/>
                    </w:rPr>
                    <w:t>X</w:t>
                  </w:r>
                </w:p>
              </w:tc>
              <w:tc>
                <w:tcPr>
                  <w:tcW w:w="9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148.23 </w:t>
                  </w:r>
                </w:p>
              </w:tc>
              <w:tc>
                <w:tcPr>
                  <w:tcW w:w="11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0.069</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88.94 </w:t>
                  </w:r>
                </w:p>
              </w:tc>
              <w:tc>
                <w:tcPr>
                  <w:tcW w:w="8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0.828</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0.0414</w:t>
                  </w:r>
                </w:p>
              </w:tc>
            </w:tr>
            <w:tr>
              <w:tblPrEx>
                <w:tblCellMar>
                  <w:top w:w="0" w:type="dxa"/>
                  <w:left w:w="108" w:type="dxa"/>
                  <w:bottom w:w="0" w:type="dxa"/>
                  <w:right w:w="108" w:type="dxa"/>
                </w:tblCellMar>
              </w:tblPrEx>
              <w:trPr>
                <w:trHeight w:val="20" w:hRule="atLeast"/>
              </w:trPr>
              <w:tc>
                <w:tcPr>
                  <w:tcW w:w="658" w:type="dxa"/>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bottom w:val="single" w:color="auto" w:sz="4" w:space="0"/>
                    <w:right w:val="single" w:color="auto" w:sz="4" w:space="0"/>
                  </w:tcBorders>
                  <w:shd w:val="clear" w:color="auto" w:fill="auto"/>
                  <w:vAlign w:val="center"/>
                </w:tcPr>
                <w:p>
                  <w:pPr>
                    <w:spacing w:line="240" w:lineRule="auto"/>
                    <w:jc w:val="center"/>
                    <w:rPr>
                      <w:color w:val="FF0000"/>
                      <w:kern w:val="0"/>
                      <w:sz w:val="18"/>
                      <w:szCs w:val="18"/>
                    </w:rPr>
                  </w:pPr>
                </w:p>
              </w:tc>
              <w:tc>
                <w:tcPr>
                  <w:tcW w:w="867" w:type="dxa"/>
                  <w:tcBorders>
                    <w:top w:val="nil"/>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SO</w:t>
                  </w:r>
                  <w:r>
                    <w:rPr>
                      <w:color w:val="FF0000"/>
                      <w:kern w:val="0"/>
                      <w:sz w:val="18"/>
                      <w:szCs w:val="18"/>
                      <w:vertAlign w:val="subscript"/>
                    </w:rPr>
                    <w:t>2</w:t>
                  </w:r>
                </w:p>
              </w:tc>
              <w:tc>
                <w:tcPr>
                  <w:tcW w:w="9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19.33 </w:t>
                  </w:r>
                </w:p>
              </w:tc>
              <w:tc>
                <w:tcPr>
                  <w:tcW w:w="11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0.009</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1.93 </w:t>
                  </w:r>
                </w:p>
              </w:tc>
              <w:tc>
                <w:tcPr>
                  <w:tcW w:w="8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0.018</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0.0009</w:t>
                  </w:r>
                </w:p>
              </w:tc>
            </w:tr>
            <w:tr>
              <w:tblPrEx>
                <w:tblCellMar>
                  <w:top w:w="0" w:type="dxa"/>
                  <w:left w:w="108" w:type="dxa"/>
                  <w:bottom w:w="0" w:type="dxa"/>
                  <w:right w:w="108" w:type="dxa"/>
                </w:tblCellMar>
              </w:tblPrEx>
              <w:trPr>
                <w:trHeight w:val="20" w:hRule="atLeast"/>
              </w:trPr>
              <w:tc>
                <w:tcPr>
                  <w:tcW w:w="65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rFonts w:hint="eastAsia"/>
                      <w:color w:val="FF0000"/>
                      <w:kern w:val="0"/>
                      <w:sz w:val="18"/>
                      <w:szCs w:val="18"/>
                    </w:rPr>
                    <w:t>裂解炉燃烧室、</w:t>
                  </w:r>
                  <w:r>
                    <w:rPr>
                      <w:color w:val="FF0000"/>
                      <w:kern w:val="0"/>
                      <w:sz w:val="18"/>
                      <w:szCs w:val="18"/>
                    </w:rPr>
                    <w:t>二燃室</w:t>
                  </w:r>
                </w:p>
              </w:tc>
              <w:tc>
                <w:tcPr>
                  <w:tcW w:w="851" w:type="dxa"/>
                  <w:vMerge w:val="restart"/>
                  <w:tcBorders>
                    <w:top w:val="single" w:color="auto" w:sz="4" w:space="0"/>
                    <w:left w:val="nil"/>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正常工况</w:t>
                  </w: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烟气量</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rFonts w:hint="eastAsia"/>
                      <w:color w:val="FF0000"/>
                      <w:kern w:val="0"/>
                      <w:sz w:val="18"/>
                      <w:szCs w:val="18"/>
                    </w:rPr>
                    <w:t>/</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15125Nm</w:t>
                  </w:r>
                  <w:r>
                    <w:rPr>
                      <w:color w:val="FF0000"/>
                      <w:spacing w:val="-10"/>
                      <w:kern w:val="0"/>
                      <w:sz w:val="18"/>
                      <w:szCs w:val="18"/>
                      <w:vertAlign w:val="superscript"/>
                    </w:rPr>
                    <w:t>3</w:t>
                  </w:r>
                  <w:r>
                    <w:rPr>
                      <w:color w:val="FF0000"/>
                      <w:spacing w:val="-10"/>
                      <w:kern w:val="0"/>
                      <w:sz w:val="18"/>
                      <w:szCs w:val="18"/>
                    </w:rPr>
                    <w:t>/h</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rFonts w:hint="eastAsia"/>
                      <w:color w:val="FF0000"/>
                      <w:kern w:val="0"/>
                      <w:sz w:val="18"/>
                      <w:szCs w:val="18"/>
                    </w:rPr>
                    <w:t>/</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rFonts w:hint="eastAsia"/>
                      <w:color w:val="FF0000"/>
                      <w:kern w:val="0"/>
                      <w:sz w:val="18"/>
                      <w:szCs w:val="18"/>
                    </w:rPr>
                    <w:t>/</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15125Nm</w:t>
                  </w:r>
                  <w:r>
                    <w:rPr>
                      <w:color w:val="FF0000"/>
                      <w:spacing w:val="-10"/>
                      <w:kern w:val="0"/>
                      <w:sz w:val="18"/>
                      <w:szCs w:val="18"/>
                      <w:vertAlign w:val="superscript"/>
                    </w:rPr>
                    <w:t>3</w:t>
                  </w:r>
                  <w:r>
                    <w:rPr>
                      <w:color w:val="FF0000"/>
                      <w:spacing w:val="-10"/>
                      <w:kern w:val="0"/>
                      <w:sz w:val="18"/>
                      <w:szCs w:val="18"/>
                    </w:rPr>
                    <w:t>/h</w:t>
                  </w:r>
                </w:p>
              </w:tc>
            </w:tr>
            <w:tr>
              <w:trPr>
                <w:trHeight w:val="20" w:hRule="atLeast"/>
              </w:trPr>
              <w:tc>
                <w:tcPr>
                  <w:tcW w:w="65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noWrap/>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颗粒物</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kern w:val="0"/>
                      <w:sz w:val="18"/>
                      <w:szCs w:val="18"/>
                    </w:rPr>
                  </w:pPr>
                  <w:r>
                    <w:rPr>
                      <w:rFonts w:eastAsia="等线"/>
                      <w:color w:val="FF0000"/>
                      <w:sz w:val="18"/>
                      <w:szCs w:val="18"/>
                    </w:rPr>
                    <w:t xml:space="preserve">66.58 </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7.2</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kern w:val="0"/>
                      <w:sz w:val="18"/>
                      <w:szCs w:val="18"/>
                    </w:rPr>
                  </w:pPr>
                  <w:r>
                    <w:rPr>
                      <w:rFonts w:eastAsia="等线"/>
                      <w:color w:val="FF0000"/>
                      <w:sz w:val="18"/>
                      <w:szCs w:val="18"/>
                    </w:rPr>
                    <w:t xml:space="preserve">13.32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0.201 </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1.44</w:t>
                  </w:r>
                </w:p>
              </w:tc>
            </w:tr>
            <w:tr>
              <w:tblPrEx>
                <w:tblCellMar>
                  <w:top w:w="0" w:type="dxa"/>
                  <w:left w:w="108" w:type="dxa"/>
                  <w:bottom w:w="0" w:type="dxa"/>
                  <w:right w:w="108" w:type="dxa"/>
                </w:tblCellMar>
              </w:tblPrEx>
              <w:trPr>
                <w:trHeight w:val="20" w:hRule="atLeast"/>
              </w:trPr>
              <w:tc>
                <w:tcPr>
                  <w:tcW w:w="65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noWrap/>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NO</w:t>
                  </w:r>
                  <w:r>
                    <w:rPr>
                      <w:color w:val="FF0000"/>
                      <w:kern w:val="0"/>
                      <w:sz w:val="18"/>
                      <w:szCs w:val="18"/>
                      <w:vertAlign w:val="subscript"/>
                    </w:rPr>
                    <w:t>X</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166.45 </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18</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99.87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1.510 </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10.8</w:t>
                  </w:r>
                </w:p>
              </w:tc>
            </w:tr>
            <w:tr>
              <w:tblPrEx>
                <w:tblCellMar>
                  <w:top w:w="0" w:type="dxa"/>
                  <w:left w:w="108" w:type="dxa"/>
                  <w:bottom w:w="0" w:type="dxa"/>
                  <w:right w:w="108" w:type="dxa"/>
                </w:tblCellMar>
              </w:tblPrEx>
              <w:trPr>
                <w:trHeight w:val="20" w:hRule="atLeast"/>
              </w:trPr>
              <w:tc>
                <w:tcPr>
                  <w:tcW w:w="65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noWrap/>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SO</w:t>
                  </w:r>
                  <w:r>
                    <w:rPr>
                      <w:color w:val="FF0000"/>
                      <w:kern w:val="0"/>
                      <w:sz w:val="18"/>
                      <w:szCs w:val="18"/>
                      <w:vertAlign w:val="subscript"/>
                    </w:rPr>
                    <w:t>2</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490.83 </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53.08</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49.06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0.742 </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5.308 </w:t>
                  </w:r>
                </w:p>
              </w:tc>
            </w:tr>
            <w:tr>
              <w:tblPrEx>
                <w:tblCellMar>
                  <w:top w:w="0" w:type="dxa"/>
                  <w:left w:w="108" w:type="dxa"/>
                  <w:bottom w:w="0" w:type="dxa"/>
                  <w:right w:w="108" w:type="dxa"/>
                </w:tblCellMar>
              </w:tblPrEx>
              <w:trPr>
                <w:trHeight w:val="20" w:hRule="atLeast"/>
              </w:trPr>
              <w:tc>
                <w:tcPr>
                  <w:tcW w:w="65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noWrap/>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H</w:t>
                  </w:r>
                  <w:r>
                    <w:rPr>
                      <w:color w:val="FF0000"/>
                      <w:kern w:val="0"/>
                      <w:sz w:val="18"/>
                      <w:szCs w:val="18"/>
                      <w:vertAlign w:val="subscript"/>
                    </w:rPr>
                    <w:t>2</w:t>
                  </w:r>
                  <w:r>
                    <w:rPr>
                      <w:color w:val="FF0000"/>
                      <w:kern w:val="0"/>
                      <w:sz w:val="18"/>
                      <w:szCs w:val="18"/>
                    </w:rPr>
                    <w:t>S</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5.27</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0.57</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2.64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0.040 </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0.285</w:t>
                  </w:r>
                </w:p>
              </w:tc>
            </w:tr>
            <w:tr>
              <w:tblPrEx>
                <w:tblCellMar>
                  <w:top w:w="0" w:type="dxa"/>
                  <w:left w:w="108" w:type="dxa"/>
                  <w:bottom w:w="0" w:type="dxa"/>
                  <w:right w:w="108" w:type="dxa"/>
                </w:tblCellMar>
              </w:tblPrEx>
              <w:trPr>
                <w:trHeight w:val="20" w:hRule="atLeast"/>
              </w:trPr>
              <w:tc>
                <w:tcPr>
                  <w:tcW w:w="65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noWrap/>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非甲烷总烃</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99.87 </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10.8</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13.38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0.202 </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1.447 </w:t>
                  </w:r>
                </w:p>
              </w:tc>
            </w:tr>
            <w:tr>
              <w:tblPrEx>
                <w:tblCellMar>
                  <w:top w:w="0" w:type="dxa"/>
                  <w:left w:w="108" w:type="dxa"/>
                  <w:bottom w:w="0" w:type="dxa"/>
                  <w:right w:w="108" w:type="dxa"/>
                </w:tblCellMar>
              </w:tblPrEx>
              <w:trPr>
                <w:trHeight w:val="20" w:hRule="atLeast"/>
              </w:trPr>
              <w:tc>
                <w:tcPr>
                  <w:tcW w:w="65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noWrap/>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甲苯</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8.62 </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0.932</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0.43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0.007 </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0.047 </w:t>
                  </w:r>
                </w:p>
              </w:tc>
            </w:tr>
            <w:tr>
              <w:trPr>
                <w:trHeight w:val="20" w:hRule="atLeast"/>
              </w:trPr>
              <w:tc>
                <w:tcPr>
                  <w:tcW w:w="65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noWrap/>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二甲苯</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8.08 </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0.874</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0.40 </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0.006 </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eastAsia="等线"/>
                      <w:color w:val="FF0000"/>
                      <w:sz w:val="18"/>
                      <w:szCs w:val="18"/>
                    </w:rPr>
                  </w:pPr>
                  <w:r>
                    <w:rPr>
                      <w:rFonts w:eastAsia="等线"/>
                      <w:color w:val="FF0000"/>
                      <w:sz w:val="18"/>
                      <w:szCs w:val="18"/>
                    </w:rPr>
                    <w:t xml:space="preserve">0.044 </w:t>
                  </w:r>
                </w:p>
              </w:tc>
            </w:tr>
            <w:tr>
              <w:tblPrEx>
                <w:tblCellMar>
                  <w:top w:w="0" w:type="dxa"/>
                  <w:left w:w="108" w:type="dxa"/>
                  <w:bottom w:w="0" w:type="dxa"/>
                  <w:right w:w="108" w:type="dxa"/>
                </w:tblCellMar>
              </w:tblPrEx>
              <w:trPr>
                <w:trHeight w:val="20" w:hRule="atLeast"/>
              </w:trPr>
              <w:tc>
                <w:tcPr>
                  <w:tcW w:w="65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noWrap/>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二噁英类</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1.08ng-TEQ/m</w:t>
                  </w:r>
                  <w:r>
                    <w:rPr>
                      <w:color w:val="FF0000"/>
                      <w:kern w:val="0"/>
                      <w:sz w:val="18"/>
                      <w:szCs w:val="18"/>
                      <w:vertAlign w:val="superscript"/>
                    </w:rPr>
                    <w:t>3</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 xml:space="preserve">0.12g-TEQ/a </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0.054ng-TEQ/m</w:t>
                  </w:r>
                  <w:r>
                    <w:rPr>
                      <w:color w:val="FF0000"/>
                      <w:kern w:val="0"/>
                      <w:sz w:val="18"/>
                      <w:szCs w:val="18"/>
                      <w:vertAlign w:val="superscript"/>
                    </w:rPr>
                    <w:t>3</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 xml:space="preserve">0.819μg-TEQ/h </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0.006g-TEQ/a</w:t>
                  </w:r>
                </w:p>
              </w:tc>
            </w:tr>
            <w:tr>
              <w:tblPrEx>
                <w:tblCellMar>
                  <w:top w:w="0" w:type="dxa"/>
                  <w:left w:w="108" w:type="dxa"/>
                  <w:bottom w:w="0" w:type="dxa"/>
                  <w:right w:w="108" w:type="dxa"/>
                </w:tblCellMar>
              </w:tblPrEx>
              <w:trPr>
                <w:trHeight w:val="20" w:hRule="atLeast"/>
              </w:trPr>
              <w:tc>
                <w:tcPr>
                  <w:tcW w:w="65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noWrap/>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臭气浓度</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少量</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spacing w:val="-10"/>
                      <w:kern w:val="0"/>
                      <w:sz w:val="18"/>
                      <w:szCs w:val="18"/>
                    </w:rPr>
                  </w:pPr>
                  <w:r>
                    <w:rPr>
                      <w:color w:val="FF0000"/>
                      <w:spacing w:val="-10"/>
                      <w:kern w:val="0"/>
                      <w:sz w:val="18"/>
                      <w:szCs w:val="18"/>
                    </w:rPr>
                    <w:t>少量</w:t>
                  </w:r>
                </w:p>
              </w:tc>
            </w:tr>
            <w:tr>
              <w:tblPrEx>
                <w:tblCellMar>
                  <w:top w:w="0" w:type="dxa"/>
                  <w:left w:w="108" w:type="dxa"/>
                  <w:bottom w:w="0" w:type="dxa"/>
                  <w:right w:w="108" w:type="dxa"/>
                </w:tblCellMar>
              </w:tblPrEx>
              <w:trPr>
                <w:trHeight w:val="20" w:hRule="atLeast"/>
              </w:trPr>
              <w:tc>
                <w:tcPr>
                  <w:tcW w:w="65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51" w:type="dxa"/>
                  <w:vMerge w:val="continue"/>
                  <w:tcBorders>
                    <w:left w:val="nil"/>
                    <w:right w:val="single" w:color="auto" w:sz="4" w:space="0"/>
                  </w:tcBorders>
                  <w:shd w:val="clear" w:color="auto" w:fill="auto"/>
                  <w:noWrap/>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林格曼黑度</w:t>
                  </w:r>
                </w:p>
              </w:tc>
              <w:tc>
                <w:tcPr>
                  <w:tcW w:w="2127" w:type="dxa"/>
                  <w:gridSpan w:val="2"/>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≤1级</w:t>
                  </w:r>
                </w:p>
              </w:tc>
              <w:tc>
                <w:tcPr>
                  <w:tcW w:w="992" w:type="dxa"/>
                  <w:vMerge w:val="continue"/>
                  <w:tcBorders>
                    <w:left w:val="nil"/>
                    <w:right w:val="single" w:color="auto" w:sz="4" w:space="0"/>
                  </w:tcBorders>
                  <w:shd w:val="clear" w:color="auto" w:fill="auto"/>
                  <w:vAlign w:val="center"/>
                </w:tcPr>
                <w:p>
                  <w:pPr>
                    <w:spacing w:line="240" w:lineRule="auto"/>
                    <w:jc w:val="center"/>
                    <w:rPr>
                      <w:color w:val="FF0000"/>
                      <w:kern w:val="0"/>
                      <w:sz w:val="18"/>
                      <w:szCs w:val="18"/>
                    </w:rPr>
                  </w:pPr>
                </w:p>
              </w:tc>
              <w:tc>
                <w:tcPr>
                  <w:tcW w:w="2960" w:type="dxa"/>
                  <w:gridSpan w:val="3"/>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color w:val="FF0000"/>
                      <w:kern w:val="0"/>
                      <w:sz w:val="18"/>
                      <w:szCs w:val="18"/>
                    </w:rPr>
                    <w:t>≤1级</w:t>
                  </w:r>
                </w:p>
              </w:tc>
            </w:tr>
            <w:tr>
              <w:tblPrEx>
                <w:tblCellMar>
                  <w:top w:w="0" w:type="dxa"/>
                  <w:left w:w="108" w:type="dxa"/>
                  <w:bottom w:w="0" w:type="dxa"/>
                  <w:right w:w="108" w:type="dxa"/>
                </w:tblCellMar>
              </w:tblPrEx>
              <w:trPr>
                <w:trHeight w:val="20" w:hRule="atLeast"/>
              </w:trPr>
              <w:tc>
                <w:tcPr>
                  <w:tcW w:w="65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rFonts w:hint="eastAsia"/>
                      <w:color w:val="FF0000"/>
                      <w:kern w:val="0"/>
                      <w:sz w:val="18"/>
                      <w:szCs w:val="18"/>
                    </w:rPr>
                    <w:t>储罐呼吸废气</w:t>
                  </w:r>
                </w:p>
              </w:tc>
              <w:tc>
                <w:tcPr>
                  <w:tcW w:w="851" w:type="dxa"/>
                  <w:vMerge w:val="continue"/>
                  <w:tcBorders>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p>
              </w:tc>
              <w:tc>
                <w:tcPr>
                  <w:tcW w:w="86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rFonts w:hint="eastAsia"/>
                      <w:color w:val="FF0000"/>
                      <w:kern w:val="0"/>
                      <w:sz w:val="18"/>
                      <w:szCs w:val="18"/>
                    </w:rPr>
                    <w:t>非甲烷总烃</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rFonts w:hint="eastAsia"/>
                      <w:color w:val="FF0000"/>
                      <w:kern w:val="0"/>
                      <w:sz w:val="18"/>
                      <w:szCs w:val="18"/>
                    </w:rPr>
                    <w:t>/</w:t>
                  </w:r>
                </w:p>
              </w:tc>
              <w:tc>
                <w:tcPr>
                  <w:tcW w:w="1151"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FF0000"/>
                      <w:kern w:val="0"/>
                      <w:sz w:val="18"/>
                      <w:szCs w:val="18"/>
                    </w:rPr>
                  </w:pPr>
                  <w:r>
                    <w:rPr>
                      <w:rFonts w:hint="eastAsia"/>
                      <w:color w:val="FF0000"/>
                      <w:kern w:val="0"/>
                      <w:sz w:val="18"/>
                      <w:szCs w:val="18"/>
                    </w:rPr>
                    <w:t>1</w:t>
                  </w:r>
                  <w:r>
                    <w:rPr>
                      <w:color w:val="FF0000"/>
                      <w:kern w:val="0"/>
                      <w:sz w:val="18"/>
                      <w:szCs w:val="18"/>
                    </w:rPr>
                    <w:t>8.140</w:t>
                  </w:r>
                </w:p>
              </w:tc>
              <w:tc>
                <w:tcPr>
                  <w:tcW w:w="992" w:type="dxa"/>
                  <w:vMerge w:val="continue"/>
                  <w:tcBorders>
                    <w:left w:val="nil"/>
                    <w:bottom w:val="single" w:color="auto" w:sz="4" w:space="0"/>
                    <w:right w:val="single" w:color="auto" w:sz="4" w:space="0"/>
                  </w:tcBorders>
                  <w:shd w:val="clear" w:color="auto" w:fill="auto"/>
                  <w:vAlign w:val="center"/>
                </w:tcPr>
                <w:p>
                  <w:pPr>
                    <w:spacing w:line="240" w:lineRule="auto"/>
                    <w:jc w:val="center"/>
                    <w:rPr>
                      <w:color w:val="FF0000"/>
                      <w:kern w:val="0"/>
                      <w:sz w:val="18"/>
                      <w:szCs w:val="18"/>
                    </w:rPr>
                  </w:pPr>
                </w:p>
              </w:tc>
              <w:tc>
                <w:tcPr>
                  <w:tcW w:w="9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color w:val="FF0000"/>
                      <w:kern w:val="0"/>
                      <w:sz w:val="18"/>
                      <w:szCs w:val="18"/>
                    </w:rPr>
                  </w:pPr>
                  <w:r>
                    <w:rPr>
                      <w:rFonts w:hint="eastAsia"/>
                      <w:color w:val="FF0000"/>
                      <w:kern w:val="0"/>
                      <w:sz w:val="18"/>
                      <w:szCs w:val="18"/>
                    </w:rPr>
                    <w:t>/</w:t>
                  </w:r>
                </w:p>
              </w:tc>
              <w:tc>
                <w:tcPr>
                  <w:tcW w:w="851"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FF0000"/>
                      <w:kern w:val="0"/>
                      <w:sz w:val="18"/>
                      <w:szCs w:val="18"/>
                    </w:rPr>
                  </w:pPr>
                  <w:r>
                    <w:rPr>
                      <w:rFonts w:hint="eastAsia"/>
                      <w:color w:val="FF0000"/>
                      <w:kern w:val="0"/>
                      <w:sz w:val="18"/>
                      <w:szCs w:val="18"/>
                    </w:rPr>
                    <w:t>/</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color w:val="FF0000"/>
                      <w:kern w:val="0"/>
                      <w:sz w:val="18"/>
                      <w:szCs w:val="18"/>
                    </w:rPr>
                  </w:pPr>
                  <w:r>
                    <w:rPr>
                      <w:rFonts w:hint="eastAsia"/>
                      <w:color w:val="FF0000"/>
                      <w:kern w:val="0"/>
                      <w:sz w:val="18"/>
                      <w:szCs w:val="18"/>
                    </w:rPr>
                    <w:t>/</w:t>
                  </w:r>
                </w:p>
              </w:tc>
            </w:tr>
          </w:tbl>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（4）炭黑加工车间粉尘G</w:t>
            </w:r>
            <w:r>
              <w:rPr>
                <w:bCs/>
                <w:color w:val="000000" w:themeColor="text1"/>
                <w:sz w:val="24"/>
                <w:szCs w:val="24"/>
                <w14:textFill>
                  <w14:solidFill>
                    <w14:schemeClr w14:val="tx1"/>
                  </w14:solidFill>
                </w14:textFill>
              </w:rPr>
              <w:t>4</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①源强</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根据同行业类比分析，炭黑加工过程粉尘产生量约占加工量</w:t>
            </w:r>
            <w:r>
              <w:rPr>
                <w:bCs/>
                <w:color w:val="000000" w:themeColor="text1"/>
                <w:sz w:val="24"/>
                <w:szCs w:val="24"/>
                <w14:textFill>
                  <w14:solidFill>
                    <w14:schemeClr w14:val="tx1"/>
                  </w14:solidFill>
                </w14:textFill>
              </w:rPr>
              <w:t>的0.2‰。</w:t>
            </w:r>
            <w:r>
              <w:rPr>
                <w:rFonts w:hint="eastAsia"/>
                <w:bCs/>
                <w:color w:val="000000" w:themeColor="text1"/>
                <w:sz w:val="24"/>
                <w:szCs w:val="24"/>
                <w14:textFill>
                  <w14:solidFill>
                    <w14:schemeClr w14:val="tx1"/>
                  </w14:solidFill>
                </w14:textFill>
              </w:rPr>
              <w:t>本项目年粉碎炭黑</w:t>
            </w:r>
            <w:r>
              <w:rPr>
                <w:bCs/>
                <w:color w:val="000000" w:themeColor="text1"/>
                <w:sz w:val="24"/>
                <w:szCs w:val="24"/>
                <w14:textFill>
                  <w14:solidFill>
                    <w14:schemeClr w14:val="tx1"/>
                  </w14:solidFill>
                </w14:textFill>
              </w:rPr>
              <w:t>31500</w:t>
            </w:r>
            <w:r>
              <w:rPr>
                <w:rFonts w:hint="eastAsia"/>
                <w:bCs/>
                <w:color w:val="000000" w:themeColor="text1"/>
                <w:sz w:val="24"/>
                <w:szCs w:val="24"/>
                <w14:textFill>
                  <w14:solidFill>
                    <w14:schemeClr w14:val="tx1"/>
                  </w14:solidFill>
                </w14:textFill>
              </w:rPr>
              <w:t>t（一期工程</w:t>
            </w:r>
            <w:r>
              <w:rPr>
                <w:bCs/>
                <w:color w:val="000000" w:themeColor="text1"/>
                <w:sz w:val="24"/>
                <w:szCs w:val="24"/>
                <w14:textFill>
                  <w14:solidFill>
                    <w14:schemeClr w14:val="tx1"/>
                  </w14:solidFill>
                </w14:textFill>
              </w:rPr>
              <w:t>10500</w:t>
            </w:r>
            <w:r>
              <w:rPr>
                <w:rFonts w:hint="eastAsia"/>
                <w:bCs/>
                <w:color w:val="000000" w:themeColor="text1"/>
                <w:sz w:val="24"/>
                <w:szCs w:val="24"/>
                <w14:textFill>
                  <w14:solidFill>
                    <w14:schemeClr w14:val="tx1"/>
                  </w14:solidFill>
                </w14:textFill>
              </w:rPr>
              <w:t>t、二期工程</w:t>
            </w:r>
            <w:r>
              <w:rPr>
                <w:bCs/>
                <w:color w:val="000000" w:themeColor="text1"/>
                <w:sz w:val="24"/>
                <w:szCs w:val="24"/>
                <w14:textFill>
                  <w14:solidFill>
                    <w14:schemeClr w14:val="tx1"/>
                  </w14:solidFill>
                </w14:textFill>
              </w:rPr>
              <w:t>21000</w:t>
            </w:r>
            <w:r>
              <w:rPr>
                <w:rFonts w:hint="eastAsia"/>
                <w:bCs/>
                <w:color w:val="000000" w:themeColor="text1"/>
                <w:sz w:val="24"/>
                <w:szCs w:val="24"/>
                <w14:textFill>
                  <w14:solidFill>
                    <w14:schemeClr w14:val="tx1"/>
                  </w14:solidFill>
                </w14:textFill>
              </w:rPr>
              <w:t>t），则炭黑车间炭黑尘产生量总量为</w:t>
            </w:r>
            <w:r>
              <w:rPr>
                <w:bCs/>
                <w:color w:val="000000" w:themeColor="text1"/>
                <w:sz w:val="24"/>
                <w:szCs w:val="24"/>
                <w14:textFill>
                  <w14:solidFill>
                    <w14:schemeClr w14:val="tx1"/>
                  </w14:solidFill>
                </w14:textFill>
              </w:rPr>
              <w:t>6.3</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a（一期工程</w:t>
            </w:r>
            <w:r>
              <w:rPr>
                <w:bCs/>
                <w:color w:val="000000" w:themeColor="text1"/>
                <w:sz w:val="24"/>
                <w:szCs w:val="24"/>
                <w14:textFill>
                  <w14:solidFill>
                    <w14:schemeClr w14:val="tx1"/>
                  </w14:solidFill>
                </w14:textFill>
              </w:rPr>
              <w:t>2.1</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a、二期工程</w:t>
            </w:r>
            <w:r>
              <w:rPr>
                <w:bCs/>
                <w:color w:val="000000" w:themeColor="text1"/>
                <w:sz w:val="24"/>
                <w:szCs w:val="24"/>
                <w14:textFill>
                  <w14:solidFill>
                    <w14:schemeClr w14:val="tx1"/>
                  </w14:solidFill>
                </w14:textFill>
              </w:rPr>
              <w:t>4.2</w:t>
            </w:r>
            <w:r>
              <w:rPr>
                <w:rFonts w:hint="eastAsia"/>
                <w:bCs/>
                <w:color w:val="000000" w:themeColor="text1"/>
                <w:sz w:val="24"/>
                <w:szCs w:val="24"/>
                <w14:textFill>
                  <w14:solidFill>
                    <w14:schemeClr w14:val="tx1"/>
                  </w14:solidFill>
                </w14:textFill>
              </w:rPr>
              <w:t>t/a）。</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②治理措施及达标性分析</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炭黑加工全过程采用管道输送，处于密闭状态。磨粉、磁选、打包过程产生的粉尘经过最后的排气口排出，设置收集管道密闭收集，集气效率为9</w:t>
            </w:r>
            <w:r>
              <w:rPr>
                <w:bCs/>
                <w:color w:val="000000" w:themeColor="text1"/>
                <w:sz w:val="24"/>
                <w:szCs w:val="24"/>
                <w14:textFill>
                  <w14:solidFill>
                    <w14:schemeClr w14:val="tx1"/>
                  </w14:solidFill>
                </w14:textFill>
              </w:rPr>
              <w:t>5</w:t>
            </w:r>
            <w:r>
              <w:rPr>
                <w:rFonts w:hint="eastAsia"/>
                <w:bCs/>
                <w:color w:val="000000" w:themeColor="text1"/>
                <w:sz w:val="24"/>
                <w:szCs w:val="24"/>
                <w14:textFill>
                  <w14:solidFill>
                    <w14:schemeClr w14:val="tx1"/>
                  </w14:solidFill>
                </w14:textFill>
              </w:rPr>
              <w:t>%，则炭黑尘收集量为</w:t>
            </w:r>
            <w:r>
              <w:rPr>
                <w:bCs/>
                <w:color w:val="000000" w:themeColor="text1"/>
                <w:sz w:val="24"/>
                <w:szCs w:val="24"/>
                <w14:textFill>
                  <w14:solidFill>
                    <w14:schemeClr w14:val="tx1"/>
                  </w14:solidFill>
                </w14:textFill>
              </w:rPr>
              <w:t>5.985</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a（一期工程</w:t>
            </w:r>
            <w:r>
              <w:rPr>
                <w:bCs/>
                <w:color w:val="000000" w:themeColor="text1"/>
                <w:sz w:val="24"/>
                <w:szCs w:val="24"/>
                <w14:textFill>
                  <w14:solidFill>
                    <w14:schemeClr w14:val="tx1"/>
                  </w14:solidFill>
                </w14:textFill>
              </w:rPr>
              <w:t>1.995</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a、二期工程</w:t>
            </w:r>
            <w:r>
              <w:rPr>
                <w:bCs/>
                <w:color w:val="000000" w:themeColor="text1"/>
                <w:sz w:val="24"/>
                <w:szCs w:val="24"/>
                <w14:textFill>
                  <w14:solidFill>
                    <w14:schemeClr w14:val="tx1"/>
                  </w14:solidFill>
                </w14:textFill>
              </w:rPr>
              <w:t>3.99</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a），炭黑尘无组织排放量为</w:t>
            </w:r>
            <w:r>
              <w:rPr>
                <w:bCs/>
                <w:color w:val="000000" w:themeColor="text1"/>
                <w:sz w:val="24"/>
                <w:szCs w:val="24"/>
                <w14:textFill>
                  <w14:solidFill>
                    <w14:schemeClr w14:val="tx1"/>
                  </w14:solidFill>
                </w14:textFill>
              </w:rPr>
              <w:t>0.315</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a（其中一期工程</w:t>
            </w:r>
            <w:r>
              <w:rPr>
                <w:bCs/>
                <w:color w:val="000000" w:themeColor="text1"/>
                <w:sz w:val="24"/>
                <w:szCs w:val="24"/>
                <w14:textFill>
                  <w14:solidFill>
                    <w14:schemeClr w14:val="tx1"/>
                  </w14:solidFill>
                </w14:textFill>
              </w:rPr>
              <w:t>0.105</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a、二期工程0</w:t>
            </w:r>
            <w:r>
              <w:rPr>
                <w:bCs/>
                <w:color w:val="000000" w:themeColor="text1"/>
                <w:sz w:val="24"/>
                <w:szCs w:val="24"/>
                <w14:textFill>
                  <w14:solidFill>
                    <w14:schemeClr w14:val="tx1"/>
                  </w14:solidFill>
                </w14:textFill>
              </w:rPr>
              <w:t>.21</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a）。2条炭黑加工生产线收集后的炭黑尘各自经1套布袋除尘器处理后通过1根1</w:t>
            </w:r>
            <w:r>
              <w:rPr>
                <w:bCs/>
                <w:color w:val="000000" w:themeColor="text1"/>
                <w:sz w:val="24"/>
                <w:szCs w:val="24"/>
                <w14:textFill>
                  <w14:solidFill>
                    <w14:schemeClr w14:val="tx1"/>
                  </w14:solidFill>
                </w14:textFill>
              </w:rPr>
              <w:t>5</w:t>
            </w:r>
            <w:r>
              <w:rPr>
                <w:rFonts w:hint="eastAsia"/>
                <w:bCs/>
                <w:color w:val="000000" w:themeColor="text1"/>
                <w:sz w:val="24"/>
                <w:szCs w:val="24"/>
                <w14:textFill>
                  <w14:solidFill>
                    <w14:schemeClr w14:val="tx1"/>
                  </w14:solidFill>
                </w14:textFill>
              </w:rPr>
              <w:t>m高排气筒（D</w:t>
            </w:r>
            <w:r>
              <w:rPr>
                <w:bCs/>
                <w:color w:val="000000" w:themeColor="text1"/>
                <w:sz w:val="24"/>
                <w:szCs w:val="24"/>
                <w14:textFill>
                  <w14:solidFill>
                    <w14:schemeClr w14:val="tx1"/>
                  </w14:solidFill>
                </w14:textFill>
              </w:rPr>
              <w:t>A005</w:t>
            </w:r>
            <w:r>
              <w:rPr>
                <w:rFonts w:hint="eastAsia"/>
                <w:bCs/>
                <w:color w:val="000000" w:themeColor="text1"/>
                <w:sz w:val="24"/>
                <w:szCs w:val="24"/>
                <w14:textFill>
                  <w14:solidFill>
                    <w14:schemeClr w14:val="tx1"/>
                  </w14:solidFill>
                </w14:textFill>
              </w:rPr>
              <w:t>）排放，单套布袋除尘器废气量为</w:t>
            </w:r>
            <w:r>
              <w:rPr>
                <w:bCs/>
                <w:color w:val="000000" w:themeColor="text1"/>
                <w:sz w:val="24"/>
                <w:szCs w:val="24"/>
                <w14:textFill>
                  <w14:solidFill>
                    <w14:schemeClr w14:val="tx1"/>
                  </w14:solidFill>
                </w14:textFill>
              </w:rPr>
              <w:t>5000</w:t>
            </w:r>
            <w:r>
              <w:rPr>
                <w:rFonts w:hint="eastAsia"/>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h。布袋收集的炭黑尘全部回收利用。袋式除尘器除尘效率9</w:t>
            </w:r>
            <w:r>
              <w:rPr>
                <w:bCs/>
                <w:color w:val="000000" w:themeColor="text1"/>
                <w:sz w:val="24"/>
                <w:szCs w:val="24"/>
                <w14:textFill>
                  <w14:solidFill>
                    <w14:schemeClr w14:val="tx1"/>
                  </w14:solidFill>
                </w14:textFill>
              </w:rPr>
              <w:t>5</w:t>
            </w:r>
            <w:r>
              <w:rPr>
                <w:rFonts w:hint="eastAsia"/>
                <w:bCs/>
                <w:color w:val="000000" w:themeColor="text1"/>
                <w:sz w:val="24"/>
                <w:szCs w:val="24"/>
                <w14:textFill>
                  <w14:solidFill>
                    <w14:schemeClr w14:val="tx1"/>
                  </w14:solidFill>
                </w14:textFill>
              </w:rPr>
              <w:t>%，则炭黑尘有组织排放量为</w:t>
            </w:r>
            <w:r>
              <w:rPr>
                <w:bCs/>
                <w:color w:val="000000" w:themeColor="text1"/>
                <w:sz w:val="24"/>
                <w:szCs w:val="24"/>
                <w14:textFill>
                  <w14:solidFill>
                    <w14:schemeClr w14:val="tx1"/>
                  </w14:solidFill>
                </w14:textFill>
              </w:rPr>
              <w:t>0.299</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a、排放速率0</w:t>
            </w:r>
            <w:r>
              <w:rPr>
                <w:bCs/>
                <w:color w:val="000000" w:themeColor="text1"/>
                <w:sz w:val="24"/>
                <w:szCs w:val="24"/>
                <w14:textFill>
                  <w14:solidFill>
                    <w14:schemeClr w14:val="tx1"/>
                  </w14:solidFill>
                </w14:textFill>
              </w:rPr>
              <w:t>.042</w:t>
            </w:r>
            <w:r>
              <w:rPr>
                <w:rFonts w:hint="eastAsia"/>
                <w:bCs/>
                <w:color w:val="000000" w:themeColor="text1"/>
                <w:sz w:val="24"/>
                <w:szCs w:val="24"/>
                <w14:textFill>
                  <w14:solidFill>
                    <w14:schemeClr w14:val="tx1"/>
                  </w14:solidFill>
                </w14:textFill>
              </w:rPr>
              <w:t>kg</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h、排放浓度</w:t>
            </w:r>
            <w:r>
              <w:rPr>
                <w:bCs/>
                <w:color w:val="000000" w:themeColor="text1"/>
                <w:sz w:val="24"/>
                <w:szCs w:val="24"/>
                <w14:textFill>
                  <w14:solidFill>
                    <w14:schemeClr w14:val="tx1"/>
                  </w14:solidFill>
                </w14:textFill>
              </w:rPr>
              <w:t>4.16</w:t>
            </w:r>
            <w:r>
              <w:rPr>
                <w:rFonts w:hint="eastAsia"/>
                <w:bCs/>
                <w:color w:val="000000" w:themeColor="text1"/>
                <w:sz w:val="24"/>
                <w:szCs w:val="24"/>
                <w14:textFill>
                  <w14:solidFill>
                    <w14:schemeClr w14:val="tx1"/>
                  </w14:solidFill>
                </w14:textFill>
              </w:rPr>
              <w:t>mg</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。其中一期工程炭黑有组织排放量为0</w:t>
            </w:r>
            <w:r>
              <w:rPr>
                <w:bCs/>
                <w:color w:val="000000" w:themeColor="text1"/>
                <w:sz w:val="24"/>
                <w:szCs w:val="24"/>
                <w14:textFill>
                  <w14:solidFill>
                    <w14:schemeClr w14:val="tx1"/>
                  </w14:solidFill>
                </w14:textFill>
              </w:rPr>
              <w:t>.099</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a、排放速率0</w:t>
            </w:r>
            <w:r>
              <w:rPr>
                <w:bCs/>
                <w:color w:val="000000" w:themeColor="text1"/>
                <w:sz w:val="24"/>
                <w:szCs w:val="24"/>
                <w14:textFill>
                  <w14:solidFill>
                    <w14:schemeClr w14:val="tx1"/>
                  </w14:solidFill>
                </w14:textFill>
              </w:rPr>
              <w:t>.014</w:t>
            </w:r>
            <w:r>
              <w:rPr>
                <w:rFonts w:hint="eastAsia"/>
                <w:bCs/>
                <w:color w:val="000000" w:themeColor="text1"/>
                <w:sz w:val="24"/>
                <w:szCs w:val="24"/>
                <w14:textFill>
                  <w14:solidFill>
                    <w14:schemeClr w14:val="tx1"/>
                  </w14:solidFill>
                </w14:textFill>
              </w:rPr>
              <w:t>kg</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h、排放浓度</w:t>
            </w:r>
            <w:r>
              <w:rPr>
                <w:bCs/>
                <w:color w:val="000000" w:themeColor="text1"/>
                <w:sz w:val="24"/>
                <w:szCs w:val="24"/>
                <w14:textFill>
                  <w14:solidFill>
                    <w14:schemeClr w14:val="tx1"/>
                  </w14:solidFill>
                </w14:textFill>
              </w:rPr>
              <w:t>2.77</w:t>
            </w:r>
            <w:r>
              <w:rPr>
                <w:rFonts w:hint="eastAsia"/>
                <w:bCs/>
                <w:color w:val="000000" w:themeColor="text1"/>
                <w:sz w:val="24"/>
                <w:szCs w:val="24"/>
                <w14:textFill>
                  <w14:solidFill>
                    <w14:schemeClr w14:val="tx1"/>
                  </w14:solidFill>
                </w14:textFill>
              </w:rPr>
              <w:t>mg</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；二期工程炭黑有组织排放量为0</w:t>
            </w:r>
            <w:r>
              <w:rPr>
                <w:bCs/>
                <w:color w:val="000000" w:themeColor="text1"/>
                <w:sz w:val="24"/>
                <w:szCs w:val="24"/>
                <w14:textFill>
                  <w14:solidFill>
                    <w14:schemeClr w14:val="tx1"/>
                  </w14:solidFill>
                </w14:textFill>
              </w:rPr>
              <w:t>.200</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a、排放速率0</w:t>
            </w:r>
            <w:r>
              <w:rPr>
                <w:bCs/>
                <w:color w:val="000000" w:themeColor="text1"/>
                <w:sz w:val="24"/>
                <w:szCs w:val="24"/>
                <w14:textFill>
                  <w14:solidFill>
                    <w14:schemeClr w14:val="tx1"/>
                  </w14:solidFill>
                </w14:textFill>
              </w:rPr>
              <w:t>.028</w:t>
            </w:r>
            <w:r>
              <w:rPr>
                <w:rFonts w:hint="eastAsia"/>
                <w:bCs/>
                <w:color w:val="000000" w:themeColor="text1"/>
                <w:sz w:val="24"/>
                <w:szCs w:val="24"/>
                <w14:textFill>
                  <w14:solidFill>
                    <w14:schemeClr w14:val="tx1"/>
                  </w14:solidFill>
                </w14:textFill>
              </w:rPr>
              <w:t>kg</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h、排放浓度5</w:t>
            </w:r>
            <w:r>
              <w:rPr>
                <w:bCs/>
                <w:color w:val="000000" w:themeColor="text1"/>
                <w:sz w:val="24"/>
                <w:szCs w:val="24"/>
                <w14:textFill>
                  <w14:solidFill>
                    <w14:schemeClr w14:val="tx1"/>
                  </w14:solidFill>
                </w14:textFill>
              </w:rPr>
              <w:t>.54</w:t>
            </w:r>
            <w:r>
              <w:rPr>
                <w:rFonts w:hint="eastAsia"/>
                <w:bCs/>
                <w:color w:val="000000" w:themeColor="text1"/>
                <w:sz w:val="24"/>
                <w:szCs w:val="24"/>
                <w14:textFill>
                  <w14:solidFill>
                    <w14:schemeClr w14:val="tx1"/>
                  </w14:solidFill>
                </w14:textFill>
              </w:rPr>
              <w:t>mg</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（5）食堂油烟</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①源强</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本项目每天</w:t>
            </w:r>
            <w:r>
              <w:rPr>
                <w:bCs/>
                <w:color w:val="000000" w:themeColor="text1"/>
                <w:sz w:val="24"/>
                <w:szCs w:val="24"/>
                <w14:textFill>
                  <w14:solidFill>
                    <w14:schemeClr w14:val="tx1"/>
                  </w14:solidFill>
                </w14:textFill>
              </w:rPr>
              <w:t>60</w:t>
            </w:r>
            <w:r>
              <w:rPr>
                <w:rFonts w:hint="eastAsia"/>
                <w:bCs/>
                <w:color w:val="000000" w:themeColor="text1"/>
                <w:sz w:val="24"/>
                <w:szCs w:val="24"/>
                <w14:textFill>
                  <w14:solidFill>
                    <w14:schemeClr w14:val="tx1"/>
                  </w14:solidFill>
                </w14:textFill>
              </w:rPr>
              <w:t>人用中餐和晚餐，采用清洁能源天然气为燃料。食物在烹饪、加工过程中将产生油脂、有机质及热分解或裂解产物，从而产生油烟废气。根据类比调查资料，人均日食用油用量约6</w:t>
            </w:r>
            <w:r>
              <w:rPr>
                <w:bCs/>
                <w:color w:val="000000" w:themeColor="text1"/>
                <w:sz w:val="24"/>
                <w:szCs w:val="24"/>
                <w14:textFill>
                  <w14:solidFill>
                    <w14:schemeClr w14:val="tx1"/>
                  </w14:solidFill>
                </w14:textFill>
              </w:rPr>
              <w:t>0</w:t>
            </w:r>
            <w:r>
              <w:rPr>
                <w:rFonts w:hint="eastAsia"/>
                <w:bCs/>
                <w:color w:val="000000" w:themeColor="text1"/>
                <w:sz w:val="24"/>
                <w:szCs w:val="24"/>
                <w14:textFill>
                  <w14:solidFill>
                    <w14:schemeClr w14:val="tx1"/>
                  </w14:solidFill>
                </w14:textFill>
              </w:rPr>
              <w:t>g</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人·d，一般油烟挥发量占总耗油量的2~</w:t>
            </w:r>
            <w:r>
              <w:rPr>
                <w:bCs/>
                <w:color w:val="000000" w:themeColor="text1"/>
                <w:sz w:val="24"/>
                <w:szCs w:val="24"/>
                <w14:textFill>
                  <w14:solidFill>
                    <w14:schemeClr w14:val="tx1"/>
                  </w14:solidFill>
                </w14:textFill>
              </w:rPr>
              <w:t>4</w:t>
            </w:r>
            <w:r>
              <w:rPr>
                <w:rFonts w:hint="eastAsia"/>
                <w:bCs/>
                <w:color w:val="000000" w:themeColor="text1"/>
                <w:sz w:val="24"/>
                <w:szCs w:val="24"/>
                <w14:textFill>
                  <w14:solidFill>
                    <w14:schemeClr w14:val="tx1"/>
                  </w14:solidFill>
                </w14:textFill>
              </w:rPr>
              <w:t>%，平均3%，就餐日期按3</w:t>
            </w:r>
            <w:r>
              <w:rPr>
                <w:bCs/>
                <w:color w:val="000000" w:themeColor="text1"/>
                <w:sz w:val="24"/>
                <w:szCs w:val="24"/>
                <w14:textFill>
                  <w14:solidFill>
                    <w14:schemeClr w14:val="tx1"/>
                  </w14:solidFill>
                </w14:textFill>
              </w:rPr>
              <w:t>00</w:t>
            </w:r>
            <w:r>
              <w:rPr>
                <w:rFonts w:hint="eastAsia"/>
                <w:bCs/>
                <w:color w:val="000000" w:themeColor="text1"/>
                <w:sz w:val="24"/>
                <w:szCs w:val="24"/>
                <w14:textFill>
                  <w14:solidFill>
                    <w14:schemeClr w14:val="tx1"/>
                  </w14:solidFill>
                </w14:textFill>
              </w:rPr>
              <w:t>天计算，则项目油烟产生量为0</w:t>
            </w:r>
            <w:r>
              <w:rPr>
                <w:bCs/>
                <w:color w:val="000000" w:themeColor="text1"/>
                <w:sz w:val="24"/>
                <w:szCs w:val="24"/>
                <w14:textFill>
                  <w14:solidFill>
                    <w14:schemeClr w14:val="tx1"/>
                  </w14:solidFill>
                </w14:textFill>
              </w:rPr>
              <w:t>.032</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②治理措施及达标性分析</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本项目食堂设置2个灶头，单个灶头基准排气量为2</w:t>
            </w:r>
            <w:r>
              <w:rPr>
                <w:bCs/>
                <w:color w:val="000000" w:themeColor="text1"/>
                <w:sz w:val="24"/>
                <w:szCs w:val="24"/>
                <w14:textFill>
                  <w14:solidFill>
                    <w14:schemeClr w14:val="tx1"/>
                  </w14:solidFill>
                </w14:textFill>
              </w:rPr>
              <w:t>000</w:t>
            </w:r>
            <w:r>
              <w:rPr>
                <w:rFonts w:hint="eastAsia"/>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h，食堂工作时间每天4h，则油烟产生浓度为</w:t>
            </w:r>
            <w:r>
              <w:rPr>
                <w:bCs/>
                <w:color w:val="000000" w:themeColor="text1"/>
                <w:sz w:val="24"/>
                <w:szCs w:val="24"/>
                <w14:textFill>
                  <w14:solidFill>
                    <w14:schemeClr w14:val="tx1"/>
                  </w14:solidFill>
                </w14:textFill>
              </w:rPr>
              <w:t>6.75</w:t>
            </w:r>
            <w:r>
              <w:rPr>
                <w:rFonts w:hint="eastAsia"/>
                <w:bCs/>
                <w:color w:val="000000" w:themeColor="text1"/>
                <w:sz w:val="24"/>
                <w:szCs w:val="24"/>
                <w14:textFill>
                  <w14:solidFill>
                    <w14:schemeClr w14:val="tx1"/>
                  </w14:solidFill>
                </w14:textFill>
              </w:rPr>
              <w:t>mg</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。食堂油烟经集气罩收集后通过油烟净化器处理，然后经1根1</w:t>
            </w:r>
            <w:r>
              <w:rPr>
                <w:bCs/>
                <w:color w:val="000000" w:themeColor="text1"/>
                <w:sz w:val="24"/>
                <w:szCs w:val="24"/>
                <w14:textFill>
                  <w14:solidFill>
                    <w14:schemeClr w14:val="tx1"/>
                  </w14:solidFill>
                </w14:textFill>
              </w:rPr>
              <w:t>5</w:t>
            </w:r>
            <w:r>
              <w:rPr>
                <w:rFonts w:hint="eastAsia"/>
                <w:bCs/>
                <w:color w:val="000000" w:themeColor="text1"/>
                <w:sz w:val="24"/>
                <w:szCs w:val="24"/>
                <w14:textFill>
                  <w14:solidFill>
                    <w14:schemeClr w14:val="tx1"/>
                  </w14:solidFill>
                </w14:textFill>
              </w:rPr>
              <w:t>m排气筒（D</w:t>
            </w:r>
            <w:r>
              <w:rPr>
                <w:bCs/>
                <w:color w:val="000000" w:themeColor="text1"/>
                <w:sz w:val="24"/>
                <w:szCs w:val="24"/>
                <w14:textFill>
                  <w14:solidFill>
                    <w14:schemeClr w14:val="tx1"/>
                  </w14:solidFill>
                </w14:textFill>
              </w:rPr>
              <w:t>A006</w:t>
            </w:r>
            <w:r>
              <w:rPr>
                <w:rFonts w:hint="eastAsia"/>
                <w:bCs/>
                <w:color w:val="000000" w:themeColor="text1"/>
                <w:sz w:val="24"/>
                <w:szCs w:val="24"/>
                <w14:textFill>
                  <w14:solidFill>
                    <w14:schemeClr w14:val="tx1"/>
                  </w14:solidFill>
                </w14:textFill>
              </w:rPr>
              <w:t>）排放，油烟净化器对油烟的去除效率≥9</w:t>
            </w:r>
            <w:r>
              <w:rPr>
                <w:bCs/>
                <w:color w:val="000000" w:themeColor="text1"/>
                <w:sz w:val="24"/>
                <w:szCs w:val="24"/>
                <w14:textFill>
                  <w14:solidFill>
                    <w14:schemeClr w14:val="tx1"/>
                  </w14:solidFill>
                </w14:textFill>
              </w:rPr>
              <w:t>0</w:t>
            </w:r>
            <w:r>
              <w:rPr>
                <w:rFonts w:hint="eastAsia"/>
                <w:bCs/>
                <w:color w:val="000000" w:themeColor="text1"/>
                <w:sz w:val="24"/>
                <w:szCs w:val="24"/>
                <w14:textFill>
                  <w14:solidFill>
                    <w14:schemeClr w14:val="tx1"/>
                  </w14:solidFill>
                </w14:textFill>
              </w:rPr>
              <w:t>%，处理后油烟的排放量为0</w:t>
            </w:r>
            <w:r>
              <w:rPr>
                <w:bCs/>
                <w:color w:val="000000" w:themeColor="text1"/>
                <w:sz w:val="24"/>
                <w:szCs w:val="24"/>
                <w14:textFill>
                  <w14:solidFill>
                    <w14:schemeClr w14:val="tx1"/>
                  </w14:solidFill>
                </w14:textFill>
              </w:rPr>
              <w:t>.003</w:t>
            </w:r>
            <w:r>
              <w:rPr>
                <w:rFonts w:hint="eastAsia"/>
                <w:bCs/>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a，排放浓度为0</w:t>
            </w:r>
            <w:r>
              <w:rPr>
                <w:bCs/>
                <w:color w:val="000000" w:themeColor="text1"/>
                <w:sz w:val="24"/>
                <w:szCs w:val="24"/>
                <w14:textFill>
                  <w14:solidFill>
                    <w14:schemeClr w14:val="tx1"/>
                  </w14:solidFill>
                </w14:textFill>
              </w:rPr>
              <w:t>.68</w:t>
            </w:r>
            <w:r>
              <w:rPr>
                <w:rFonts w:hint="eastAsia"/>
                <w:bCs/>
                <w:color w:val="000000" w:themeColor="text1"/>
                <w:sz w:val="24"/>
                <w:szCs w:val="24"/>
                <w14:textFill>
                  <w14:solidFill>
                    <w14:schemeClr w14:val="tx1"/>
                  </w14:solidFill>
                </w14:textFill>
              </w:rPr>
              <w:t>mg</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，能够满足《餐饮业大气污染物排放标准》（D</w:t>
            </w:r>
            <w:r>
              <w:rPr>
                <w:bCs/>
                <w:color w:val="000000" w:themeColor="text1"/>
                <w:sz w:val="24"/>
                <w:szCs w:val="24"/>
                <w14:textFill>
                  <w14:solidFill>
                    <w14:schemeClr w14:val="tx1"/>
                  </w14:solidFill>
                </w14:textFill>
              </w:rPr>
              <w:t>B 50/859-2018</w:t>
            </w:r>
            <w:r>
              <w:rPr>
                <w:rFonts w:hint="eastAsia"/>
                <w:bCs/>
                <w:color w:val="000000" w:themeColor="text1"/>
                <w:sz w:val="24"/>
                <w:szCs w:val="24"/>
                <w14:textFill>
                  <w14:solidFill>
                    <w14:schemeClr w14:val="tx1"/>
                  </w14:solidFill>
                </w14:textFill>
              </w:rPr>
              <w:t>）中限值要求（油烟≤1</w:t>
            </w:r>
            <w:r>
              <w:rPr>
                <w:bCs/>
                <w:color w:val="000000" w:themeColor="text1"/>
                <w:sz w:val="24"/>
                <w:szCs w:val="24"/>
                <w14:textFill>
                  <w14:solidFill>
                    <w14:schemeClr w14:val="tx1"/>
                  </w14:solidFill>
                </w14:textFill>
              </w:rPr>
              <w:t>.0</w:t>
            </w:r>
            <w:r>
              <w:rPr>
                <w:rFonts w:hint="eastAsia"/>
                <w:bCs/>
                <w:color w:val="000000" w:themeColor="text1"/>
                <w:sz w:val="24"/>
                <w:szCs w:val="24"/>
                <w14:textFill>
                  <w14:solidFill>
                    <w14:schemeClr w14:val="tx1"/>
                  </w14:solidFill>
                </w14:textFill>
              </w:rPr>
              <w:t>mg</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（6）生产废水处理设施及生化池恶臭</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生产废水处理设施和生化池的厌氧工序在运营过程中会产生恶臭污染物，本次评价提出生产废水处理设施和生化池的厌氧池的恶臭采用管道引至绿化带排放。</w:t>
            </w:r>
          </w:p>
          <w:p>
            <w:pPr>
              <w:pStyle w:val="228"/>
              <w:autoSpaceDE w:val="0"/>
              <w:autoSpaceDN w:val="0"/>
              <w:adjustRightInd w:val="0"/>
              <w:spacing w:line="360" w:lineRule="auto"/>
              <w:ind w:firstLine="480"/>
              <w:textAlignment w:val="baseline"/>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项目</w:t>
            </w:r>
            <w:r>
              <w:rPr>
                <w:rFonts w:hint="eastAsia"/>
                <w:bCs/>
                <w:color w:val="000000" w:themeColor="text1"/>
                <w:sz w:val="24"/>
                <w:szCs w:val="24"/>
                <w14:textFill>
                  <w14:solidFill>
                    <w14:schemeClr w14:val="tx1"/>
                  </w14:solidFill>
                </w14:textFill>
              </w:rPr>
              <w:t>全厂</w:t>
            </w:r>
            <w:r>
              <w:rPr>
                <w:bCs/>
                <w:color w:val="000000" w:themeColor="text1"/>
                <w:sz w:val="24"/>
                <w:szCs w:val="24"/>
                <w14:textFill>
                  <w14:solidFill>
                    <w14:schemeClr w14:val="tx1"/>
                  </w14:solidFill>
                </w14:textFill>
              </w:rPr>
              <w:t>废气</w:t>
            </w:r>
            <w:r>
              <w:rPr>
                <w:rFonts w:hint="eastAsia"/>
                <w:bCs/>
                <w:color w:val="000000" w:themeColor="text1"/>
                <w:sz w:val="24"/>
                <w:szCs w:val="24"/>
                <w14:textFill>
                  <w14:solidFill>
                    <w14:schemeClr w14:val="tx1"/>
                  </w14:solidFill>
                </w14:textFill>
              </w:rPr>
              <w:t>的</w:t>
            </w:r>
            <w:r>
              <w:rPr>
                <w:bCs/>
                <w:color w:val="000000" w:themeColor="text1"/>
                <w:sz w:val="24"/>
                <w:szCs w:val="24"/>
                <w14:textFill>
                  <w14:solidFill>
                    <w14:schemeClr w14:val="tx1"/>
                  </w14:solidFill>
                </w14:textFill>
              </w:rPr>
              <w:t>产排情况详见表</w:t>
            </w:r>
            <w:r>
              <w:rPr>
                <w:rFonts w:hint="eastAsia"/>
                <w:bCs/>
                <w:color w:val="000000" w:themeColor="text1"/>
                <w:sz w:val="24"/>
                <w:szCs w:val="24"/>
                <w14:textFill>
                  <w14:solidFill>
                    <w14:schemeClr w14:val="tx1"/>
                  </w14:solidFill>
                </w14:textFill>
              </w:rPr>
              <w:t>4</w:t>
            </w:r>
            <w:r>
              <w:rPr>
                <w:bCs/>
                <w:color w:val="000000" w:themeColor="text1"/>
                <w:sz w:val="24"/>
                <w:szCs w:val="24"/>
                <w14:textFill>
                  <w14:solidFill>
                    <w14:schemeClr w14:val="tx1"/>
                  </w14:solidFill>
                </w14:textFill>
              </w:rPr>
              <w:t>.2</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3</w:t>
            </w:r>
            <w:r>
              <w:rPr>
                <w:rFonts w:hint="eastAsia"/>
                <w:bCs/>
                <w:color w:val="000000" w:themeColor="text1"/>
                <w:sz w:val="24"/>
                <w:szCs w:val="24"/>
                <w14:textFill>
                  <w14:solidFill>
                    <w14:schemeClr w14:val="tx1"/>
                  </w14:solidFill>
                </w14:textFill>
              </w:rPr>
              <w:t>~表4</w:t>
            </w:r>
            <w:r>
              <w:rPr>
                <w:bCs/>
                <w:color w:val="000000" w:themeColor="text1"/>
                <w:sz w:val="24"/>
                <w:szCs w:val="24"/>
                <w14:textFill>
                  <w14:solidFill>
                    <w14:schemeClr w14:val="tx1"/>
                  </w14:solidFill>
                </w14:textFill>
              </w:rPr>
              <w:t>.2</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4</w:t>
            </w:r>
            <w:r>
              <w:rPr>
                <w:rFonts w:hint="eastAsia"/>
                <w:bCs/>
                <w:color w:val="000000" w:themeColor="text1"/>
                <w:sz w:val="24"/>
                <w:szCs w:val="24"/>
                <w14:textFill>
                  <w14:solidFill>
                    <w14:schemeClr w14:val="tx1"/>
                  </w14:solidFill>
                </w14:textFill>
              </w:rPr>
              <w:t>。</w:t>
            </w:r>
            <w:bookmarkEnd w:id="10"/>
          </w:p>
        </w:tc>
      </w:tr>
    </w:tbl>
    <w:p>
      <w:pPr>
        <w:adjustRightInd w:val="0"/>
        <w:snapToGrid w:val="0"/>
        <w:ind w:firstLine="562"/>
        <w:rPr>
          <w:b/>
          <w:color w:val="000000" w:themeColor="text1"/>
          <w:kern w:val="0"/>
          <w:sz w:val="28"/>
          <w:szCs w:val="28"/>
          <w14:textFill>
            <w14:solidFill>
              <w14:schemeClr w14:val="tx1"/>
            </w14:solidFill>
          </w14:textFill>
        </w:rPr>
        <w:sectPr>
          <w:pgSz w:w="11907" w:h="16840"/>
          <w:pgMar w:top="1560"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spacing w:line="24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项目一期工程</w:t>
      </w:r>
      <w:r>
        <w:rPr>
          <w:b/>
          <w:bCs/>
          <w:color w:val="000000" w:themeColor="text1"/>
          <w:sz w:val="24"/>
          <w14:textFill>
            <w14:solidFill>
              <w14:schemeClr w14:val="tx1"/>
            </w14:solidFill>
          </w14:textFill>
        </w:rPr>
        <w:t>废气排放一览表</w:t>
      </w:r>
      <w:r>
        <w:rPr>
          <w:rFonts w:hint="eastAsia"/>
          <w:b/>
          <w:bCs/>
          <w:color w:val="000000" w:themeColor="text1"/>
          <w:sz w:val="24"/>
          <w14:textFill>
            <w14:solidFill>
              <w14:schemeClr w14:val="tx1"/>
            </w14:solidFill>
          </w14:textFill>
        </w:rPr>
        <w:t>（正常工况）</w:t>
      </w:r>
    </w:p>
    <w:tbl>
      <w:tblPr>
        <w:tblStyle w:val="36"/>
        <w:tblW w:w="1399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851"/>
        <w:gridCol w:w="850"/>
        <w:gridCol w:w="908"/>
        <w:gridCol w:w="851"/>
        <w:gridCol w:w="822"/>
        <w:gridCol w:w="680"/>
        <w:gridCol w:w="1162"/>
        <w:gridCol w:w="851"/>
        <w:gridCol w:w="963"/>
        <w:gridCol w:w="993"/>
        <w:gridCol w:w="850"/>
        <w:gridCol w:w="908"/>
        <w:gridCol w:w="79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restart"/>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工序</w:t>
            </w:r>
          </w:p>
        </w:tc>
        <w:tc>
          <w:tcPr>
            <w:tcW w:w="1134" w:type="dxa"/>
            <w:vMerge w:val="restart"/>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污染源</w:t>
            </w:r>
          </w:p>
        </w:tc>
        <w:tc>
          <w:tcPr>
            <w:tcW w:w="851" w:type="dxa"/>
            <w:vMerge w:val="restart"/>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污染物</w:t>
            </w:r>
          </w:p>
        </w:tc>
        <w:tc>
          <w:tcPr>
            <w:tcW w:w="3431" w:type="dxa"/>
            <w:gridSpan w:val="4"/>
            <w:vMerge w:val="restart"/>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污染物产生</w:t>
            </w:r>
          </w:p>
        </w:tc>
        <w:tc>
          <w:tcPr>
            <w:tcW w:w="2693" w:type="dxa"/>
            <w:gridSpan w:val="3"/>
            <w:vMerge w:val="restart"/>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治理措施</w:t>
            </w:r>
          </w:p>
        </w:tc>
        <w:tc>
          <w:tcPr>
            <w:tcW w:w="5210" w:type="dxa"/>
            <w:gridSpan w:val="6"/>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b/>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b/>
                <w:color w:val="000000" w:themeColor="text1"/>
                <w:kern w:val="0"/>
                <w:szCs w:val="21"/>
                <w14:textFill>
                  <w14:solidFill>
                    <w14:schemeClr w14:val="tx1"/>
                  </w14:solidFill>
                </w14:textFill>
              </w:rPr>
            </w:pPr>
          </w:p>
        </w:tc>
        <w:tc>
          <w:tcPr>
            <w:tcW w:w="851" w:type="dxa"/>
            <w:vMerge w:val="continue"/>
            <w:vAlign w:val="center"/>
          </w:tcPr>
          <w:p>
            <w:pPr>
              <w:spacing w:line="240" w:lineRule="auto"/>
              <w:jc w:val="center"/>
              <w:rPr>
                <w:b/>
                <w:color w:val="000000" w:themeColor="text1"/>
                <w:kern w:val="0"/>
                <w:szCs w:val="21"/>
                <w14:textFill>
                  <w14:solidFill>
                    <w14:schemeClr w14:val="tx1"/>
                  </w14:solidFill>
                </w14:textFill>
              </w:rPr>
            </w:pPr>
          </w:p>
        </w:tc>
        <w:tc>
          <w:tcPr>
            <w:tcW w:w="3431" w:type="dxa"/>
            <w:gridSpan w:val="4"/>
            <w:vMerge w:val="continue"/>
            <w:vAlign w:val="center"/>
          </w:tcPr>
          <w:p>
            <w:pPr>
              <w:spacing w:line="240" w:lineRule="auto"/>
              <w:jc w:val="center"/>
              <w:rPr>
                <w:b/>
                <w:color w:val="000000" w:themeColor="text1"/>
                <w:kern w:val="0"/>
                <w:szCs w:val="21"/>
                <w14:textFill>
                  <w14:solidFill>
                    <w14:schemeClr w14:val="tx1"/>
                  </w14:solidFill>
                </w14:textFill>
              </w:rPr>
            </w:pPr>
          </w:p>
        </w:tc>
        <w:tc>
          <w:tcPr>
            <w:tcW w:w="2693" w:type="dxa"/>
            <w:gridSpan w:val="3"/>
            <w:vMerge w:val="continue"/>
            <w:vAlign w:val="center"/>
          </w:tcPr>
          <w:p>
            <w:pPr>
              <w:spacing w:line="240" w:lineRule="auto"/>
              <w:jc w:val="center"/>
              <w:rPr>
                <w:b/>
                <w:color w:val="000000" w:themeColor="text1"/>
                <w:kern w:val="0"/>
                <w:szCs w:val="21"/>
                <w14:textFill>
                  <w14:solidFill>
                    <w14:schemeClr w14:val="tx1"/>
                  </w14:solidFill>
                </w14:textFill>
              </w:rPr>
            </w:pPr>
          </w:p>
        </w:tc>
        <w:tc>
          <w:tcPr>
            <w:tcW w:w="2806" w:type="dxa"/>
            <w:gridSpan w:val="3"/>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有组织</w:t>
            </w:r>
          </w:p>
        </w:tc>
        <w:tc>
          <w:tcPr>
            <w:tcW w:w="1701" w:type="dxa"/>
            <w:gridSpan w:val="2"/>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无组织</w:t>
            </w:r>
          </w:p>
        </w:tc>
        <w:tc>
          <w:tcPr>
            <w:tcW w:w="703" w:type="dxa"/>
            <w:vMerge w:val="restart"/>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排放时间(h</w:t>
            </w:r>
            <w:r>
              <w:rPr>
                <w:rFonts w:hint="eastAsia"/>
                <w:b/>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b/>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b/>
                <w:color w:val="000000" w:themeColor="text1"/>
                <w:kern w:val="0"/>
                <w:szCs w:val="21"/>
                <w14:textFill>
                  <w14:solidFill>
                    <w14:schemeClr w14:val="tx1"/>
                  </w14:solidFill>
                </w14:textFill>
              </w:rPr>
            </w:pPr>
          </w:p>
        </w:tc>
        <w:tc>
          <w:tcPr>
            <w:tcW w:w="851" w:type="dxa"/>
            <w:vMerge w:val="continue"/>
            <w:vAlign w:val="center"/>
          </w:tcPr>
          <w:p>
            <w:pPr>
              <w:spacing w:line="240" w:lineRule="auto"/>
              <w:jc w:val="center"/>
              <w:rPr>
                <w:b/>
                <w:color w:val="000000" w:themeColor="text1"/>
                <w:kern w:val="0"/>
                <w:szCs w:val="21"/>
                <w14:textFill>
                  <w14:solidFill>
                    <w14:schemeClr w14:val="tx1"/>
                  </w14:solidFill>
                </w14:textFill>
              </w:rPr>
            </w:pPr>
          </w:p>
        </w:tc>
        <w:tc>
          <w:tcPr>
            <w:tcW w:w="850" w:type="dxa"/>
            <w:vAlign w:val="center"/>
          </w:tcPr>
          <w:p>
            <w:pPr>
              <w:spacing w:line="240" w:lineRule="auto"/>
              <w:jc w:val="center"/>
              <w:rPr>
                <w:b/>
                <w:color w:val="000000" w:themeColor="text1"/>
                <w:spacing w:val="-20"/>
                <w:kern w:val="0"/>
                <w:szCs w:val="21"/>
                <w14:textFill>
                  <w14:solidFill>
                    <w14:schemeClr w14:val="tx1"/>
                  </w14:solidFill>
                </w14:textFill>
              </w:rPr>
            </w:pPr>
            <w:r>
              <w:rPr>
                <w:b/>
                <w:color w:val="000000" w:themeColor="text1"/>
                <w:spacing w:val="-20"/>
                <w:kern w:val="0"/>
                <w:szCs w:val="21"/>
                <w14:textFill>
                  <w14:solidFill>
                    <w14:schemeClr w14:val="tx1"/>
                  </w14:solidFill>
                </w14:textFill>
              </w:rPr>
              <w:t>废气产生量</w:t>
            </w:r>
            <w:r>
              <w:rPr>
                <w:b/>
                <w:color w:val="000000" w:themeColor="text1"/>
                <w:spacing w:val="-30"/>
                <w:kern w:val="0"/>
                <w:szCs w:val="21"/>
                <w14:textFill>
                  <w14:solidFill>
                    <w14:schemeClr w14:val="tx1"/>
                  </w14:solidFill>
                </w14:textFill>
              </w:rPr>
              <w:t>(m</w:t>
            </w:r>
            <w:r>
              <w:rPr>
                <w:b/>
                <w:color w:val="000000" w:themeColor="text1"/>
                <w:spacing w:val="-30"/>
                <w:kern w:val="0"/>
                <w:szCs w:val="21"/>
                <w:vertAlign w:val="superscript"/>
                <w14:textFill>
                  <w14:solidFill>
                    <w14:schemeClr w14:val="tx1"/>
                  </w14:solidFill>
                </w14:textFill>
              </w:rPr>
              <w:t>3</w:t>
            </w:r>
            <w:r>
              <w:rPr>
                <w:b/>
                <w:color w:val="000000" w:themeColor="text1"/>
                <w:spacing w:val="-30"/>
                <w:kern w:val="0"/>
                <w:szCs w:val="21"/>
                <w14:textFill>
                  <w14:solidFill>
                    <w14:schemeClr w14:val="tx1"/>
                  </w14:solidFill>
                </w14:textFill>
              </w:rPr>
              <w:t>/h）</w:t>
            </w:r>
          </w:p>
        </w:tc>
        <w:tc>
          <w:tcPr>
            <w:tcW w:w="908" w:type="dxa"/>
            <w:vAlign w:val="center"/>
          </w:tcPr>
          <w:p>
            <w:pPr>
              <w:spacing w:line="240" w:lineRule="auto"/>
              <w:jc w:val="center"/>
              <w:rPr>
                <w:b/>
                <w:color w:val="000000" w:themeColor="text1"/>
                <w:spacing w:val="-20"/>
                <w:kern w:val="0"/>
                <w:szCs w:val="21"/>
                <w14:textFill>
                  <w14:solidFill>
                    <w14:schemeClr w14:val="tx1"/>
                  </w14:solidFill>
                </w14:textFill>
              </w:rPr>
            </w:pPr>
            <w:r>
              <w:rPr>
                <w:b/>
                <w:color w:val="000000" w:themeColor="text1"/>
                <w:spacing w:val="-20"/>
                <w:kern w:val="0"/>
                <w:szCs w:val="21"/>
                <w14:textFill>
                  <w14:solidFill>
                    <w14:schemeClr w14:val="tx1"/>
                  </w14:solidFill>
                </w14:textFill>
              </w:rPr>
              <w:t>废气产生浓度</w:t>
            </w:r>
            <w:r>
              <w:rPr>
                <w:b/>
                <w:color w:val="000000" w:themeColor="text1"/>
                <w:spacing w:val="-40"/>
                <w:kern w:val="0"/>
                <w:szCs w:val="21"/>
                <w14:textFill>
                  <w14:solidFill>
                    <w14:schemeClr w14:val="tx1"/>
                  </w14:solidFill>
                </w14:textFill>
              </w:rPr>
              <w:t>（mg/m</w:t>
            </w:r>
            <w:r>
              <w:rPr>
                <w:b/>
                <w:color w:val="000000" w:themeColor="text1"/>
                <w:spacing w:val="-40"/>
                <w:kern w:val="0"/>
                <w:szCs w:val="21"/>
                <w:vertAlign w:val="superscript"/>
                <w14:textFill>
                  <w14:solidFill>
                    <w14:schemeClr w14:val="tx1"/>
                  </w14:solidFill>
                </w14:textFill>
              </w:rPr>
              <w:t>3</w:t>
            </w:r>
            <w:r>
              <w:rPr>
                <w:b/>
                <w:color w:val="000000" w:themeColor="text1"/>
                <w:spacing w:val="-40"/>
                <w:kern w:val="0"/>
                <w:szCs w:val="21"/>
                <w14:textFill>
                  <w14:solidFill>
                    <w14:schemeClr w14:val="tx1"/>
                  </w14:solidFill>
                </w14:textFill>
              </w:rPr>
              <w:t>）</w:t>
            </w:r>
          </w:p>
        </w:tc>
        <w:tc>
          <w:tcPr>
            <w:tcW w:w="851" w:type="dxa"/>
            <w:vAlign w:val="center"/>
          </w:tcPr>
          <w:p>
            <w:pPr>
              <w:spacing w:line="240" w:lineRule="auto"/>
              <w:jc w:val="center"/>
              <w:rPr>
                <w:b/>
                <w:color w:val="000000" w:themeColor="text1"/>
                <w:spacing w:val="-20"/>
                <w:kern w:val="0"/>
                <w:szCs w:val="21"/>
                <w14:textFill>
                  <w14:solidFill>
                    <w14:schemeClr w14:val="tx1"/>
                  </w14:solidFill>
                </w14:textFill>
              </w:rPr>
            </w:pPr>
            <w:r>
              <w:rPr>
                <w:rFonts w:hint="eastAsia"/>
                <w:b/>
                <w:color w:val="000000" w:themeColor="text1"/>
                <w:spacing w:val="-20"/>
                <w:kern w:val="0"/>
                <w:szCs w:val="21"/>
                <w14:textFill>
                  <w14:solidFill>
                    <w14:schemeClr w14:val="tx1"/>
                  </w14:solidFill>
                </w14:textFill>
              </w:rPr>
              <w:t>产生速率(kg</w:t>
            </w:r>
            <w:r>
              <w:rPr>
                <w:b/>
                <w:color w:val="000000" w:themeColor="text1"/>
                <w:spacing w:val="-20"/>
                <w:kern w:val="0"/>
                <w:szCs w:val="21"/>
                <w14:textFill>
                  <w14:solidFill>
                    <w14:schemeClr w14:val="tx1"/>
                  </w14:solidFill>
                </w14:textFill>
              </w:rPr>
              <w:t>/</w:t>
            </w:r>
            <w:r>
              <w:rPr>
                <w:rFonts w:hint="eastAsia"/>
                <w:b/>
                <w:color w:val="000000" w:themeColor="text1"/>
                <w:spacing w:val="-20"/>
                <w:kern w:val="0"/>
                <w:szCs w:val="21"/>
                <w14:textFill>
                  <w14:solidFill>
                    <w14:schemeClr w14:val="tx1"/>
                  </w14:solidFill>
                </w14:textFill>
              </w:rPr>
              <w:t>h）</w:t>
            </w:r>
          </w:p>
        </w:tc>
        <w:tc>
          <w:tcPr>
            <w:tcW w:w="822" w:type="dxa"/>
            <w:noWrap/>
            <w:vAlign w:val="center"/>
          </w:tcPr>
          <w:p>
            <w:pPr>
              <w:spacing w:line="240" w:lineRule="auto"/>
              <w:jc w:val="center"/>
              <w:rPr>
                <w:b/>
                <w:color w:val="000000" w:themeColor="text1"/>
                <w:spacing w:val="-20"/>
                <w:kern w:val="0"/>
                <w:szCs w:val="21"/>
                <w14:textFill>
                  <w14:solidFill>
                    <w14:schemeClr w14:val="tx1"/>
                  </w14:solidFill>
                </w14:textFill>
              </w:rPr>
            </w:pPr>
            <w:r>
              <w:rPr>
                <w:b/>
                <w:color w:val="000000" w:themeColor="text1"/>
                <w:spacing w:val="-20"/>
                <w:kern w:val="0"/>
                <w:szCs w:val="21"/>
                <w14:textFill>
                  <w14:solidFill>
                    <w14:schemeClr w14:val="tx1"/>
                  </w14:solidFill>
                </w14:textFill>
              </w:rPr>
              <w:t>产生量</w:t>
            </w:r>
            <w:r>
              <w:rPr>
                <w:b/>
                <w:color w:val="000000" w:themeColor="text1"/>
                <w:spacing w:val="-30"/>
                <w:kern w:val="0"/>
                <w:szCs w:val="21"/>
                <w14:textFill>
                  <w14:solidFill>
                    <w14:schemeClr w14:val="tx1"/>
                  </w14:solidFill>
                </w14:textFill>
              </w:rPr>
              <w:t>（t/a）</w:t>
            </w:r>
          </w:p>
        </w:tc>
        <w:tc>
          <w:tcPr>
            <w:tcW w:w="680" w:type="dxa"/>
            <w:noWrap/>
            <w:vAlign w:val="center"/>
          </w:tcPr>
          <w:p>
            <w:pPr>
              <w:spacing w:line="240" w:lineRule="auto"/>
              <w:jc w:val="center"/>
              <w:rPr>
                <w:b/>
                <w:color w:val="000000" w:themeColor="text1"/>
                <w:spacing w:val="-10"/>
                <w:kern w:val="0"/>
                <w:szCs w:val="21"/>
                <w14:textFill>
                  <w14:solidFill>
                    <w14:schemeClr w14:val="tx1"/>
                  </w14:solidFill>
                </w14:textFill>
              </w:rPr>
            </w:pPr>
            <w:r>
              <w:rPr>
                <w:b/>
                <w:color w:val="000000" w:themeColor="text1"/>
                <w:spacing w:val="-20"/>
                <w:kern w:val="0"/>
                <w:szCs w:val="21"/>
                <w14:textFill>
                  <w14:solidFill>
                    <w14:schemeClr w14:val="tx1"/>
                  </w14:solidFill>
                </w14:textFill>
              </w:rPr>
              <w:t>收集效率</w:t>
            </w:r>
            <w:r>
              <w:rPr>
                <w:b/>
                <w:color w:val="000000" w:themeColor="text1"/>
                <w:spacing w:val="-30"/>
                <w:kern w:val="0"/>
                <w:szCs w:val="21"/>
                <w14:textFill>
                  <w14:solidFill>
                    <w14:schemeClr w14:val="tx1"/>
                  </w14:solidFill>
                </w14:textFill>
              </w:rPr>
              <w:t>(%）</w:t>
            </w:r>
          </w:p>
        </w:tc>
        <w:tc>
          <w:tcPr>
            <w:tcW w:w="1162" w:type="dxa"/>
            <w:noWrap/>
            <w:vAlign w:val="center"/>
          </w:tcPr>
          <w:p>
            <w:pPr>
              <w:spacing w:line="240" w:lineRule="auto"/>
              <w:jc w:val="center"/>
              <w:rPr>
                <w:b/>
                <w:color w:val="000000" w:themeColor="text1"/>
                <w:spacing w:val="-20"/>
                <w:kern w:val="0"/>
                <w:szCs w:val="21"/>
                <w14:textFill>
                  <w14:solidFill>
                    <w14:schemeClr w14:val="tx1"/>
                  </w14:solidFill>
                </w14:textFill>
              </w:rPr>
            </w:pPr>
            <w:r>
              <w:rPr>
                <w:b/>
                <w:color w:val="000000" w:themeColor="text1"/>
                <w:spacing w:val="-10"/>
                <w:kern w:val="0"/>
                <w:szCs w:val="21"/>
                <w14:textFill>
                  <w14:solidFill>
                    <w14:schemeClr w14:val="tx1"/>
                  </w14:solidFill>
                </w14:textFill>
              </w:rPr>
              <w:t>治理工艺</w:t>
            </w:r>
          </w:p>
        </w:tc>
        <w:tc>
          <w:tcPr>
            <w:tcW w:w="851" w:type="dxa"/>
            <w:vAlign w:val="center"/>
          </w:tcPr>
          <w:p>
            <w:pPr>
              <w:spacing w:line="240" w:lineRule="auto"/>
              <w:jc w:val="center"/>
              <w:rPr>
                <w:b/>
                <w:color w:val="000000" w:themeColor="text1"/>
                <w:spacing w:val="-10"/>
                <w:kern w:val="0"/>
                <w:szCs w:val="21"/>
                <w14:textFill>
                  <w14:solidFill>
                    <w14:schemeClr w14:val="tx1"/>
                  </w14:solidFill>
                </w14:textFill>
              </w:rPr>
            </w:pPr>
            <w:r>
              <w:rPr>
                <w:b/>
                <w:color w:val="000000" w:themeColor="text1"/>
                <w:spacing w:val="-10"/>
                <w:kern w:val="0"/>
                <w:szCs w:val="21"/>
                <w14:textFill>
                  <w14:solidFill>
                    <w14:schemeClr w14:val="tx1"/>
                  </w14:solidFill>
                </w14:textFill>
              </w:rPr>
              <w:t>去除效率</w:t>
            </w:r>
            <w:r>
              <w:rPr>
                <w:rFonts w:hint="eastAsia"/>
                <w:b/>
                <w:color w:val="000000" w:themeColor="text1"/>
                <w:spacing w:val="-10"/>
                <w:kern w:val="0"/>
                <w:szCs w:val="21"/>
                <w14:textFill>
                  <w14:solidFill>
                    <w14:schemeClr w14:val="tx1"/>
                  </w14:solidFill>
                </w14:textFill>
              </w:rPr>
              <w:t>(</w:t>
            </w:r>
            <w:r>
              <w:rPr>
                <w:b/>
                <w:color w:val="000000" w:themeColor="text1"/>
                <w:spacing w:val="-10"/>
                <w:kern w:val="0"/>
                <w:szCs w:val="21"/>
                <w14:textFill>
                  <w14:solidFill>
                    <w14:schemeClr w14:val="tx1"/>
                  </w14:solidFill>
                </w14:textFill>
              </w:rPr>
              <w:t>%</w:t>
            </w:r>
            <w:r>
              <w:rPr>
                <w:rFonts w:hint="eastAsia"/>
                <w:b/>
                <w:color w:val="000000" w:themeColor="text1"/>
                <w:spacing w:val="-10"/>
                <w:kern w:val="0"/>
                <w:szCs w:val="21"/>
                <w14:textFill>
                  <w14:solidFill>
                    <w14:schemeClr w14:val="tx1"/>
                  </w14:solidFill>
                </w14:textFill>
              </w:rPr>
              <w:t>)</w:t>
            </w:r>
          </w:p>
        </w:tc>
        <w:tc>
          <w:tcPr>
            <w:tcW w:w="963" w:type="dxa"/>
            <w:noWrap/>
            <w:vAlign w:val="center"/>
          </w:tcPr>
          <w:p>
            <w:pPr>
              <w:spacing w:line="240" w:lineRule="auto"/>
              <w:jc w:val="center"/>
              <w:rPr>
                <w:b/>
                <w:color w:val="000000" w:themeColor="text1"/>
                <w:spacing w:val="-20"/>
                <w:kern w:val="0"/>
                <w:szCs w:val="21"/>
                <w14:textFill>
                  <w14:solidFill>
                    <w14:schemeClr w14:val="tx1"/>
                  </w14:solidFill>
                </w14:textFill>
              </w:rPr>
            </w:pPr>
            <w:r>
              <w:rPr>
                <w:b/>
                <w:color w:val="000000" w:themeColor="text1"/>
                <w:spacing w:val="-10"/>
                <w:kern w:val="0"/>
                <w:szCs w:val="21"/>
                <w14:textFill>
                  <w14:solidFill>
                    <w14:schemeClr w14:val="tx1"/>
                  </w14:solidFill>
                </w14:textFill>
              </w:rPr>
              <w:t>排放浓度</w:t>
            </w:r>
            <w:r>
              <w:rPr>
                <w:b/>
                <w:color w:val="000000" w:themeColor="text1"/>
                <w:spacing w:val="-26"/>
                <w:kern w:val="0"/>
                <w:szCs w:val="21"/>
                <w14:textFill>
                  <w14:solidFill>
                    <w14:schemeClr w14:val="tx1"/>
                  </w14:solidFill>
                </w14:textFill>
              </w:rPr>
              <w:t>（</w:t>
            </w:r>
            <w:r>
              <w:rPr>
                <w:b/>
                <w:color w:val="000000" w:themeColor="text1"/>
                <w:spacing w:val="-30"/>
                <w:kern w:val="0"/>
                <w:szCs w:val="21"/>
                <w14:textFill>
                  <w14:solidFill>
                    <w14:schemeClr w14:val="tx1"/>
                  </w14:solidFill>
                </w14:textFill>
              </w:rPr>
              <w:t>mg/m</w:t>
            </w:r>
            <w:r>
              <w:rPr>
                <w:b/>
                <w:color w:val="000000" w:themeColor="text1"/>
                <w:spacing w:val="-30"/>
                <w:kern w:val="0"/>
                <w:szCs w:val="21"/>
                <w:vertAlign w:val="superscript"/>
                <w14:textFill>
                  <w14:solidFill>
                    <w14:schemeClr w14:val="tx1"/>
                  </w14:solidFill>
                </w14:textFill>
              </w:rPr>
              <w:t>3</w:t>
            </w:r>
            <w:r>
              <w:rPr>
                <w:b/>
                <w:color w:val="000000" w:themeColor="text1"/>
                <w:spacing w:val="-30"/>
                <w:kern w:val="0"/>
                <w:szCs w:val="21"/>
                <w14:textFill>
                  <w14:solidFill>
                    <w14:schemeClr w14:val="tx1"/>
                  </w14:solidFill>
                </w14:textFill>
              </w:rPr>
              <w:t>）</w:t>
            </w:r>
          </w:p>
        </w:tc>
        <w:tc>
          <w:tcPr>
            <w:tcW w:w="993" w:type="dxa"/>
            <w:noWrap/>
            <w:vAlign w:val="center"/>
          </w:tcPr>
          <w:p>
            <w:pPr>
              <w:spacing w:line="240" w:lineRule="auto"/>
              <w:jc w:val="center"/>
              <w:rPr>
                <w:b/>
                <w:color w:val="000000" w:themeColor="text1"/>
                <w:spacing w:val="-10"/>
                <w:kern w:val="0"/>
                <w:szCs w:val="21"/>
                <w14:textFill>
                  <w14:solidFill>
                    <w14:schemeClr w14:val="tx1"/>
                  </w14:solidFill>
                </w14:textFill>
              </w:rPr>
            </w:pPr>
            <w:r>
              <w:rPr>
                <w:b/>
                <w:color w:val="000000" w:themeColor="text1"/>
                <w:spacing w:val="-10"/>
                <w:kern w:val="0"/>
                <w:szCs w:val="21"/>
                <w14:textFill>
                  <w14:solidFill>
                    <w14:schemeClr w14:val="tx1"/>
                  </w14:solidFill>
                </w14:textFill>
              </w:rPr>
              <w:t>排放速率（kg/h）</w:t>
            </w:r>
          </w:p>
        </w:tc>
        <w:tc>
          <w:tcPr>
            <w:tcW w:w="850" w:type="dxa"/>
            <w:noWrap/>
            <w:vAlign w:val="center"/>
          </w:tcPr>
          <w:p>
            <w:pPr>
              <w:spacing w:line="240" w:lineRule="auto"/>
              <w:jc w:val="center"/>
              <w:rPr>
                <w:b/>
                <w:color w:val="000000" w:themeColor="text1"/>
                <w:spacing w:val="-10"/>
                <w:kern w:val="0"/>
                <w:szCs w:val="21"/>
                <w14:textFill>
                  <w14:solidFill>
                    <w14:schemeClr w14:val="tx1"/>
                  </w14:solidFill>
                </w14:textFill>
              </w:rPr>
            </w:pPr>
            <w:r>
              <w:rPr>
                <w:b/>
                <w:color w:val="000000" w:themeColor="text1"/>
                <w:spacing w:val="-10"/>
                <w:kern w:val="0"/>
                <w:szCs w:val="21"/>
                <w14:textFill>
                  <w14:solidFill>
                    <w14:schemeClr w14:val="tx1"/>
                  </w14:solidFill>
                </w14:textFill>
              </w:rPr>
              <w:t>排放量（t/a）</w:t>
            </w:r>
          </w:p>
        </w:tc>
        <w:tc>
          <w:tcPr>
            <w:tcW w:w="908" w:type="dxa"/>
            <w:noWrap/>
            <w:vAlign w:val="center"/>
          </w:tcPr>
          <w:p>
            <w:pPr>
              <w:spacing w:line="240" w:lineRule="auto"/>
              <w:jc w:val="center"/>
              <w:rPr>
                <w:b/>
                <w:color w:val="000000" w:themeColor="text1"/>
                <w:spacing w:val="-10"/>
                <w:kern w:val="0"/>
                <w:szCs w:val="21"/>
                <w14:textFill>
                  <w14:solidFill>
                    <w14:schemeClr w14:val="tx1"/>
                  </w14:solidFill>
                </w14:textFill>
              </w:rPr>
            </w:pPr>
            <w:r>
              <w:rPr>
                <w:b/>
                <w:color w:val="000000" w:themeColor="text1"/>
                <w:spacing w:val="-10"/>
                <w:kern w:val="0"/>
                <w:szCs w:val="21"/>
                <w14:textFill>
                  <w14:solidFill>
                    <w14:schemeClr w14:val="tx1"/>
                  </w14:solidFill>
                </w14:textFill>
              </w:rPr>
              <w:t>排放速率</w:t>
            </w:r>
            <w:r>
              <w:rPr>
                <w:b/>
                <w:color w:val="000000" w:themeColor="text1"/>
                <w:spacing w:val="-20"/>
                <w:kern w:val="0"/>
                <w:szCs w:val="21"/>
                <w14:textFill>
                  <w14:solidFill>
                    <w14:schemeClr w14:val="tx1"/>
                  </w14:solidFill>
                </w14:textFill>
              </w:rPr>
              <w:t>（kg/h</w:t>
            </w:r>
            <w:r>
              <w:rPr>
                <w:rFonts w:hint="eastAsia"/>
                <w:b/>
                <w:color w:val="000000" w:themeColor="text1"/>
                <w:spacing w:val="-20"/>
                <w:kern w:val="0"/>
                <w:szCs w:val="21"/>
                <w14:textFill>
                  <w14:solidFill>
                    <w14:schemeClr w14:val="tx1"/>
                  </w14:solidFill>
                </w14:textFill>
              </w:rPr>
              <w:t>）</w:t>
            </w:r>
          </w:p>
        </w:tc>
        <w:tc>
          <w:tcPr>
            <w:tcW w:w="793" w:type="dxa"/>
            <w:noWrap/>
            <w:vAlign w:val="center"/>
          </w:tcPr>
          <w:p>
            <w:pPr>
              <w:spacing w:line="240" w:lineRule="auto"/>
              <w:jc w:val="center"/>
              <w:rPr>
                <w:b/>
                <w:color w:val="000000" w:themeColor="text1"/>
                <w:spacing w:val="-10"/>
                <w:kern w:val="0"/>
                <w:szCs w:val="21"/>
                <w14:textFill>
                  <w14:solidFill>
                    <w14:schemeClr w14:val="tx1"/>
                  </w14:solidFill>
                </w14:textFill>
              </w:rPr>
            </w:pPr>
            <w:r>
              <w:rPr>
                <w:b/>
                <w:color w:val="000000" w:themeColor="text1"/>
                <w:spacing w:val="-10"/>
                <w:kern w:val="0"/>
                <w:szCs w:val="21"/>
                <w14:textFill>
                  <w14:solidFill>
                    <w14:schemeClr w14:val="tx1"/>
                  </w14:solidFill>
                </w14:textFill>
              </w:rPr>
              <w:t>排放量</w:t>
            </w:r>
            <w:r>
              <w:rPr>
                <w:rFonts w:hint="eastAsia"/>
                <w:b/>
                <w:color w:val="000000" w:themeColor="text1"/>
                <w:spacing w:val="-10"/>
                <w:kern w:val="0"/>
                <w:szCs w:val="21"/>
                <w14:textFill>
                  <w14:solidFill>
                    <w14:schemeClr w14:val="tx1"/>
                  </w14:solidFill>
                </w14:textFill>
              </w:rPr>
              <w:t>(</w:t>
            </w:r>
            <w:r>
              <w:rPr>
                <w:b/>
                <w:color w:val="000000" w:themeColor="text1"/>
                <w:spacing w:val="-10"/>
                <w:kern w:val="0"/>
                <w:szCs w:val="21"/>
                <w14:textFill>
                  <w14:solidFill>
                    <w14:schemeClr w14:val="tx1"/>
                  </w14:solidFill>
                </w14:textFill>
              </w:rPr>
              <w:t>t/a</w:t>
            </w:r>
            <w:r>
              <w:rPr>
                <w:rFonts w:hint="eastAsia"/>
                <w:b/>
                <w:color w:val="000000" w:themeColor="text1"/>
                <w:spacing w:val="-10"/>
                <w:kern w:val="0"/>
                <w:szCs w:val="21"/>
                <w14:textFill>
                  <w14:solidFill>
                    <w14:schemeClr w14:val="tx1"/>
                  </w14:solidFill>
                </w14:textFill>
              </w:rPr>
              <w:t>)</w:t>
            </w:r>
          </w:p>
        </w:tc>
        <w:tc>
          <w:tcPr>
            <w:tcW w:w="703" w:type="dxa"/>
            <w:vMerge w:val="continue"/>
            <w:vAlign w:val="center"/>
          </w:tcPr>
          <w:p>
            <w:pPr>
              <w:spacing w:line="240" w:lineRule="auto"/>
              <w:jc w:val="center"/>
              <w:rPr>
                <w:b/>
                <w:color w:val="000000" w:themeColor="text1"/>
                <w:spacing w:val="-10"/>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破碎</w:t>
            </w:r>
          </w:p>
        </w:tc>
        <w:tc>
          <w:tcPr>
            <w:tcW w:w="1134"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磁选、粗破、细破</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850"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8000</w:t>
            </w:r>
          </w:p>
        </w:tc>
        <w:tc>
          <w:tcPr>
            <w:tcW w:w="908"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101.00</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.808</w:t>
            </w:r>
          </w:p>
        </w:tc>
        <w:tc>
          <w:tcPr>
            <w:tcW w:w="822"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.82</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0</w:t>
            </w:r>
          </w:p>
        </w:tc>
        <w:tc>
          <w:tcPr>
            <w:tcW w:w="1162"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布袋除尘器</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5</w:t>
            </w:r>
          </w:p>
        </w:tc>
        <w:tc>
          <w:tcPr>
            <w:tcW w:w="963" w:type="dxa"/>
            <w:vAlign w:val="center"/>
          </w:tcPr>
          <w:p>
            <w:pPr>
              <w:spacing w:line="240" w:lineRule="auto"/>
              <w:jc w:val="center"/>
              <w:rPr>
                <w:rFonts w:eastAsia="等线"/>
                <w:color w:val="000000" w:themeColor="text1"/>
                <w:kern w:val="0"/>
                <w:szCs w:val="21"/>
                <w14:textFill>
                  <w14:solidFill>
                    <w14:schemeClr w14:val="tx1"/>
                  </w14:solidFill>
                </w14:textFill>
              </w:rPr>
            </w:pPr>
            <w:r>
              <w:rPr>
                <w:rFonts w:eastAsia="等线"/>
                <w:color w:val="000000" w:themeColor="text1"/>
                <w:szCs w:val="21"/>
                <w14:textFill>
                  <w14:solidFill>
                    <w14:schemeClr w14:val="tx1"/>
                  </w14:solidFill>
                </w14:textFill>
              </w:rPr>
              <w:t xml:space="preserve">4.55 </w:t>
            </w:r>
          </w:p>
        </w:tc>
        <w:tc>
          <w:tcPr>
            <w:tcW w:w="993"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0.036 </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0.262 </w:t>
            </w:r>
          </w:p>
        </w:tc>
        <w:tc>
          <w:tcPr>
            <w:tcW w:w="908"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0.024 </w:t>
            </w:r>
          </w:p>
        </w:tc>
        <w:tc>
          <w:tcPr>
            <w:tcW w:w="793"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0.175 </w:t>
            </w:r>
          </w:p>
        </w:tc>
        <w:tc>
          <w:tcPr>
            <w:tcW w:w="703"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restar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热裂解</w:t>
            </w:r>
          </w:p>
        </w:tc>
        <w:tc>
          <w:tcPr>
            <w:tcW w:w="1134" w:type="dxa"/>
            <w:vMerge w:val="restar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不凝气</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850" w:type="dxa"/>
            <w:vMerge w:val="restart"/>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5042</w:t>
            </w:r>
          </w:p>
        </w:tc>
        <w:tc>
          <w:tcPr>
            <w:tcW w:w="908"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66.57 </w:t>
            </w:r>
          </w:p>
        </w:tc>
        <w:tc>
          <w:tcPr>
            <w:tcW w:w="851" w:type="dxa"/>
            <w:vAlign w:val="center"/>
          </w:tcPr>
          <w:p>
            <w:pPr>
              <w:spacing w:line="240" w:lineRule="auto"/>
              <w:jc w:val="righ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0.336 </w:t>
            </w:r>
          </w:p>
        </w:tc>
        <w:tc>
          <w:tcPr>
            <w:tcW w:w="822"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2.4</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c>
          <w:tcPr>
            <w:tcW w:w="1162" w:type="dxa"/>
            <w:vMerge w:val="restar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“二次燃烧+烟气骤冷+SCR脱硝+钠碱法脱硫+湿电除尘+气液分离+二级活性炭吸附”；储罐呼吸废气收集后接入二燃室燃烧处理</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w:t>
            </w:r>
          </w:p>
        </w:tc>
        <w:tc>
          <w:tcPr>
            <w:tcW w:w="963" w:type="dxa"/>
            <w:vAlign w:val="center"/>
          </w:tcPr>
          <w:p>
            <w:pPr>
              <w:spacing w:line="240" w:lineRule="auto"/>
              <w:jc w:val="center"/>
              <w:rPr>
                <w:rFonts w:eastAsia="等线"/>
                <w:color w:val="FF0000"/>
                <w:kern w:val="0"/>
                <w:szCs w:val="21"/>
              </w:rPr>
            </w:pPr>
            <w:r>
              <w:rPr>
                <w:rFonts w:eastAsia="等线"/>
                <w:color w:val="FF0000"/>
                <w:szCs w:val="21"/>
              </w:rPr>
              <w:t xml:space="preserve">13.31 </w:t>
            </w:r>
          </w:p>
        </w:tc>
        <w:tc>
          <w:tcPr>
            <w:tcW w:w="993" w:type="dxa"/>
            <w:vAlign w:val="center"/>
          </w:tcPr>
          <w:p>
            <w:pPr>
              <w:spacing w:line="240" w:lineRule="auto"/>
              <w:jc w:val="center"/>
              <w:rPr>
                <w:rFonts w:eastAsia="等线"/>
                <w:color w:val="FF0000"/>
                <w:szCs w:val="21"/>
              </w:rPr>
            </w:pPr>
            <w:r>
              <w:rPr>
                <w:rFonts w:eastAsia="等线"/>
                <w:color w:val="FF0000"/>
                <w:szCs w:val="21"/>
              </w:rPr>
              <w:t xml:space="preserve">0.067 </w:t>
            </w:r>
          </w:p>
        </w:tc>
        <w:tc>
          <w:tcPr>
            <w:tcW w:w="850" w:type="dxa"/>
            <w:vAlign w:val="center"/>
          </w:tcPr>
          <w:p>
            <w:pPr>
              <w:spacing w:line="240" w:lineRule="auto"/>
              <w:jc w:val="center"/>
              <w:rPr>
                <w:rFonts w:eastAsia="等线"/>
                <w:color w:val="FF0000"/>
                <w:szCs w:val="21"/>
              </w:rPr>
            </w:pPr>
            <w:r>
              <w:rPr>
                <w:rFonts w:eastAsia="等线"/>
                <w:color w:val="FF0000"/>
                <w:szCs w:val="21"/>
              </w:rPr>
              <w:t>0.48</w:t>
            </w:r>
          </w:p>
        </w:tc>
        <w:tc>
          <w:tcPr>
            <w:tcW w:w="908"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restar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r>
              <w:rPr>
                <w:color w:val="000000" w:themeColor="text1"/>
                <w:kern w:val="0"/>
                <w:szCs w:val="21"/>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N</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X</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08"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166.43 </w:t>
            </w:r>
          </w:p>
        </w:tc>
        <w:tc>
          <w:tcPr>
            <w:tcW w:w="851" w:type="dxa"/>
            <w:vAlign w:val="center"/>
          </w:tcPr>
          <w:p>
            <w:pPr>
              <w:spacing w:line="240" w:lineRule="auto"/>
              <w:jc w:val="righ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0.839 </w:t>
            </w:r>
          </w:p>
        </w:tc>
        <w:tc>
          <w:tcPr>
            <w:tcW w:w="822"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0</w:t>
            </w:r>
          </w:p>
        </w:tc>
        <w:tc>
          <w:tcPr>
            <w:tcW w:w="963" w:type="dxa"/>
            <w:vAlign w:val="center"/>
          </w:tcPr>
          <w:p>
            <w:pPr>
              <w:spacing w:line="240" w:lineRule="auto"/>
              <w:jc w:val="center"/>
              <w:rPr>
                <w:rFonts w:eastAsia="等线"/>
                <w:color w:val="FF0000"/>
                <w:szCs w:val="21"/>
              </w:rPr>
            </w:pPr>
            <w:r>
              <w:rPr>
                <w:rFonts w:eastAsia="等线"/>
                <w:color w:val="FF0000"/>
                <w:szCs w:val="21"/>
              </w:rPr>
              <w:t xml:space="preserve">99.86 </w:t>
            </w:r>
          </w:p>
        </w:tc>
        <w:tc>
          <w:tcPr>
            <w:tcW w:w="993" w:type="dxa"/>
            <w:vAlign w:val="center"/>
          </w:tcPr>
          <w:p>
            <w:pPr>
              <w:spacing w:line="240" w:lineRule="auto"/>
              <w:jc w:val="center"/>
              <w:rPr>
                <w:rFonts w:eastAsia="等线"/>
                <w:color w:val="FF0000"/>
                <w:szCs w:val="21"/>
              </w:rPr>
            </w:pPr>
            <w:r>
              <w:rPr>
                <w:rFonts w:eastAsia="等线"/>
                <w:color w:val="FF0000"/>
                <w:szCs w:val="21"/>
              </w:rPr>
              <w:t xml:space="preserve">0.503 </w:t>
            </w:r>
          </w:p>
        </w:tc>
        <w:tc>
          <w:tcPr>
            <w:tcW w:w="850" w:type="dxa"/>
            <w:vAlign w:val="center"/>
          </w:tcPr>
          <w:p>
            <w:pPr>
              <w:spacing w:line="240" w:lineRule="auto"/>
              <w:jc w:val="center"/>
              <w:rPr>
                <w:rFonts w:eastAsia="等线"/>
                <w:color w:val="FF0000"/>
                <w:szCs w:val="21"/>
              </w:rPr>
            </w:pPr>
            <w:r>
              <w:rPr>
                <w:rFonts w:eastAsia="等线"/>
                <w:color w:val="FF0000"/>
                <w:szCs w:val="21"/>
              </w:rPr>
              <w:t>3.6</w:t>
            </w:r>
          </w:p>
        </w:tc>
        <w:tc>
          <w:tcPr>
            <w:tcW w:w="908"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S</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2</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08"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490.79 </w:t>
            </w:r>
          </w:p>
        </w:tc>
        <w:tc>
          <w:tcPr>
            <w:tcW w:w="851" w:type="dxa"/>
            <w:vAlign w:val="center"/>
          </w:tcPr>
          <w:p>
            <w:pPr>
              <w:spacing w:line="240" w:lineRule="auto"/>
              <w:jc w:val="righ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2.4</w:t>
            </w:r>
            <w:r>
              <w:rPr>
                <w:color w:val="000000" w:themeColor="text1"/>
                <w:kern w:val="0"/>
                <w:szCs w:val="21"/>
                <w14:textFill>
                  <w14:solidFill>
                    <w14:schemeClr w14:val="tx1"/>
                  </w14:solidFill>
                </w14:textFill>
              </w:rPr>
              <w:t>75</w:t>
            </w:r>
            <w:r>
              <w:rPr>
                <w:rFonts w:hint="eastAsia"/>
                <w:color w:val="000000" w:themeColor="text1"/>
                <w:kern w:val="0"/>
                <w:szCs w:val="21"/>
                <w14:textFill>
                  <w14:solidFill>
                    <w14:schemeClr w14:val="tx1"/>
                  </w14:solidFill>
                </w14:textFill>
              </w:rPr>
              <w:t xml:space="preserve"> </w:t>
            </w:r>
          </w:p>
        </w:tc>
        <w:tc>
          <w:tcPr>
            <w:tcW w:w="822"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17.693 </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w:t>
            </w:r>
          </w:p>
        </w:tc>
        <w:tc>
          <w:tcPr>
            <w:tcW w:w="963" w:type="dxa"/>
            <w:vAlign w:val="center"/>
          </w:tcPr>
          <w:p>
            <w:pPr>
              <w:spacing w:line="240" w:lineRule="auto"/>
              <w:jc w:val="center"/>
              <w:rPr>
                <w:rFonts w:eastAsia="等线"/>
                <w:color w:val="FF0000"/>
                <w:szCs w:val="21"/>
              </w:rPr>
            </w:pPr>
            <w:r>
              <w:rPr>
                <w:rFonts w:eastAsia="等线"/>
                <w:color w:val="FF0000"/>
                <w:szCs w:val="21"/>
              </w:rPr>
              <w:t xml:space="preserve">48.99 </w:t>
            </w:r>
          </w:p>
        </w:tc>
        <w:tc>
          <w:tcPr>
            <w:tcW w:w="993" w:type="dxa"/>
            <w:vAlign w:val="center"/>
          </w:tcPr>
          <w:p>
            <w:pPr>
              <w:spacing w:line="240" w:lineRule="auto"/>
              <w:jc w:val="center"/>
              <w:rPr>
                <w:rFonts w:eastAsia="等线"/>
                <w:color w:val="FF0000"/>
                <w:szCs w:val="21"/>
              </w:rPr>
            </w:pPr>
            <w:r>
              <w:rPr>
                <w:rFonts w:eastAsia="等线"/>
                <w:color w:val="FF0000"/>
                <w:szCs w:val="21"/>
              </w:rPr>
              <w:t xml:space="preserve">0.247 </w:t>
            </w:r>
          </w:p>
        </w:tc>
        <w:tc>
          <w:tcPr>
            <w:tcW w:w="850" w:type="dxa"/>
            <w:vAlign w:val="center"/>
          </w:tcPr>
          <w:p>
            <w:pPr>
              <w:spacing w:line="240" w:lineRule="auto"/>
              <w:jc w:val="center"/>
              <w:rPr>
                <w:rFonts w:eastAsia="等线"/>
                <w:color w:val="FF0000"/>
                <w:szCs w:val="21"/>
              </w:rPr>
            </w:pPr>
            <w:r>
              <w:rPr>
                <w:rFonts w:eastAsia="等线"/>
                <w:color w:val="FF0000"/>
                <w:szCs w:val="21"/>
              </w:rPr>
              <w:t>1.769</w:t>
            </w:r>
          </w:p>
        </w:tc>
        <w:tc>
          <w:tcPr>
            <w:tcW w:w="908"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79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w:t>
            </w:r>
            <w:r>
              <w:rPr>
                <w:rFonts w:hint="eastAsia"/>
                <w:color w:val="000000" w:themeColor="text1"/>
                <w:kern w:val="0"/>
                <w:szCs w:val="21"/>
                <w:vertAlign w:val="subscript"/>
                <w14:textFill>
                  <w14:solidFill>
                    <w14:schemeClr w14:val="tx1"/>
                  </w14:solidFill>
                </w14:textFill>
              </w:rPr>
              <w:t>2</w:t>
            </w:r>
            <w:r>
              <w:rPr>
                <w:color w:val="000000" w:themeColor="text1"/>
                <w:kern w:val="0"/>
                <w:szCs w:val="21"/>
                <w14:textFill>
                  <w14:solidFill>
                    <w14:schemeClr w14:val="tx1"/>
                  </w14:solidFill>
                </w14:textFill>
              </w:rPr>
              <w:t>S</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08"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5.27 </w:t>
            </w:r>
          </w:p>
        </w:tc>
        <w:tc>
          <w:tcPr>
            <w:tcW w:w="851" w:type="dxa"/>
            <w:vAlign w:val="center"/>
          </w:tcPr>
          <w:p>
            <w:pPr>
              <w:spacing w:line="240" w:lineRule="auto"/>
              <w:jc w:val="righ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0.027 </w:t>
            </w:r>
          </w:p>
        </w:tc>
        <w:tc>
          <w:tcPr>
            <w:tcW w:w="822"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0.19</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w:t>
            </w:r>
          </w:p>
        </w:tc>
        <w:tc>
          <w:tcPr>
            <w:tcW w:w="963" w:type="dxa"/>
            <w:vAlign w:val="center"/>
          </w:tcPr>
          <w:p>
            <w:pPr>
              <w:spacing w:line="240" w:lineRule="auto"/>
              <w:jc w:val="center"/>
              <w:rPr>
                <w:rFonts w:eastAsia="等线"/>
                <w:color w:val="FF0000"/>
                <w:szCs w:val="21"/>
              </w:rPr>
            </w:pPr>
            <w:r>
              <w:rPr>
                <w:rFonts w:eastAsia="等线"/>
                <w:color w:val="FF0000"/>
                <w:szCs w:val="21"/>
              </w:rPr>
              <w:t xml:space="preserve">2.64 </w:t>
            </w:r>
          </w:p>
        </w:tc>
        <w:tc>
          <w:tcPr>
            <w:tcW w:w="993" w:type="dxa"/>
            <w:vAlign w:val="center"/>
          </w:tcPr>
          <w:p>
            <w:pPr>
              <w:spacing w:line="240" w:lineRule="auto"/>
              <w:jc w:val="center"/>
              <w:rPr>
                <w:rFonts w:eastAsia="等线"/>
                <w:color w:val="FF0000"/>
                <w:szCs w:val="21"/>
              </w:rPr>
            </w:pPr>
            <w:r>
              <w:rPr>
                <w:rFonts w:eastAsia="等线"/>
                <w:color w:val="FF0000"/>
                <w:szCs w:val="21"/>
              </w:rPr>
              <w:t xml:space="preserve">0.013 </w:t>
            </w:r>
          </w:p>
        </w:tc>
        <w:tc>
          <w:tcPr>
            <w:tcW w:w="850" w:type="dxa"/>
            <w:vAlign w:val="center"/>
          </w:tcPr>
          <w:p>
            <w:pPr>
              <w:spacing w:line="240" w:lineRule="auto"/>
              <w:jc w:val="center"/>
              <w:rPr>
                <w:rFonts w:eastAsia="等线"/>
                <w:color w:val="FF0000"/>
                <w:szCs w:val="21"/>
              </w:rPr>
            </w:pPr>
            <w:r>
              <w:rPr>
                <w:rFonts w:eastAsia="等线"/>
                <w:color w:val="FF0000"/>
                <w:szCs w:val="21"/>
              </w:rPr>
              <w:t>0.095</w:t>
            </w:r>
          </w:p>
        </w:tc>
        <w:tc>
          <w:tcPr>
            <w:tcW w:w="908"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非甲烷总烃</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08"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99.86 </w:t>
            </w:r>
          </w:p>
        </w:tc>
        <w:tc>
          <w:tcPr>
            <w:tcW w:w="851" w:type="dxa"/>
            <w:vAlign w:val="center"/>
          </w:tcPr>
          <w:p>
            <w:pPr>
              <w:spacing w:line="240" w:lineRule="auto"/>
              <w:jc w:val="righ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0.503 </w:t>
            </w:r>
          </w:p>
        </w:tc>
        <w:tc>
          <w:tcPr>
            <w:tcW w:w="822"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3.6</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5</w:t>
            </w:r>
          </w:p>
        </w:tc>
        <w:tc>
          <w:tcPr>
            <w:tcW w:w="963" w:type="dxa"/>
            <w:vAlign w:val="center"/>
          </w:tcPr>
          <w:p>
            <w:pPr>
              <w:spacing w:line="240" w:lineRule="auto"/>
              <w:jc w:val="center"/>
              <w:rPr>
                <w:rFonts w:eastAsia="等线"/>
                <w:color w:val="FF0000"/>
                <w:szCs w:val="21"/>
              </w:rPr>
            </w:pPr>
            <w:r>
              <w:rPr>
                <w:rFonts w:eastAsia="等线"/>
                <w:color w:val="FF0000"/>
                <w:szCs w:val="21"/>
              </w:rPr>
              <w:t xml:space="preserve">14.10 </w:t>
            </w:r>
          </w:p>
        </w:tc>
        <w:tc>
          <w:tcPr>
            <w:tcW w:w="993" w:type="dxa"/>
            <w:vAlign w:val="center"/>
          </w:tcPr>
          <w:p>
            <w:pPr>
              <w:spacing w:line="240" w:lineRule="auto"/>
              <w:jc w:val="center"/>
              <w:rPr>
                <w:rFonts w:eastAsia="等线"/>
                <w:color w:val="FF0000"/>
                <w:szCs w:val="21"/>
              </w:rPr>
            </w:pPr>
            <w:r>
              <w:rPr>
                <w:rFonts w:eastAsia="等线"/>
                <w:color w:val="FF0000"/>
                <w:szCs w:val="21"/>
              </w:rPr>
              <w:t xml:space="preserve">0.071 </w:t>
            </w:r>
          </w:p>
        </w:tc>
        <w:tc>
          <w:tcPr>
            <w:tcW w:w="850" w:type="dxa"/>
            <w:vAlign w:val="center"/>
          </w:tcPr>
          <w:p>
            <w:pPr>
              <w:spacing w:line="240" w:lineRule="auto"/>
              <w:jc w:val="center"/>
              <w:rPr>
                <w:rFonts w:eastAsia="等线"/>
                <w:color w:val="FF0000"/>
                <w:szCs w:val="21"/>
              </w:rPr>
            </w:pPr>
            <w:r>
              <w:rPr>
                <w:rFonts w:eastAsia="等线"/>
                <w:color w:val="FF0000"/>
                <w:szCs w:val="21"/>
              </w:rPr>
              <w:t xml:space="preserve">0.508 </w:t>
            </w:r>
          </w:p>
        </w:tc>
        <w:tc>
          <w:tcPr>
            <w:tcW w:w="908"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甲苯</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08"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8.63 </w:t>
            </w:r>
          </w:p>
        </w:tc>
        <w:tc>
          <w:tcPr>
            <w:tcW w:w="851" w:type="dxa"/>
            <w:vAlign w:val="center"/>
          </w:tcPr>
          <w:p>
            <w:pPr>
              <w:spacing w:line="240" w:lineRule="auto"/>
              <w:jc w:val="righ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0.043 </w:t>
            </w:r>
          </w:p>
        </w:tc>
        <w:tc>
          <w:tcPr>
            <w:tcW w:w="822"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0.311</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95</w:t>
            </w:r>
          </w:p>
        </w:tc>
        <w:tc>
          <w:tcPr>
            <w:tcW w:w="963" w:type="dxa"/>
            <w:vAlign w:val="center"/>
          </w:tcPr>
          <w:p>
            <w:pPr>
              <w:spacing w:line="240" w:lineRule="auto"/>
              <w:jc w:val="center"/>
              <w:rPr>
                <w:rFonts w:eastAsia="等线"/>
                <w:color w:val="FF0000"/>
                <w:szCs w:val="21"/>
              </w:rPr>
            </w:pPr>
            <w:r>
              <w:rPr>
                <w:rFonts w:eastAsia="等线"/>
                <w:color w:val="FF0000"/>
                <w:szCs w:val="21"/>
              </w:rPr>
              <w:t xml:space="preserve">0.43 </w:t>
            </w:r>
          </w:p>
        </w:tc>
        <w:tc>
          <w:tcPr>
            <w:tcW w:w="993" w:type="dxa"/>
            <w:vAlign w:val="center"/>
          </w:tcPr>
          <w:p>
            <w:pPr>
              <w:spacing w:line="240" w:lineRule="auto"/>
              <w:jc w:val="center"/>
              <w:rPr>
                <w:rFonts w:eastAsia="等线"/>
                <w:color w:val="FF0000"/>
                <w:szCs w:val="21"/>
              </w:rPr>
            </w:pPr>
            <w:r>
              <w:rPr>
                <w:rFonts w:eastAsia="等线"/>
                <w:color w:val="FF0000"/>
                <w:szCs w:val="21"/>
              </w:rPr>
              <w:t xml:space="preserve">0.002 </w:t>
            </w:r>
          </w:p>
        </w:tc>
        <w:tc>
          <w:tcPr>
            <w:tcW w:w="850" w:type="dxa"/>
            <w:vAlign w:val="center"/>
          </w:tcPr>
          <w:p>
            <w:pPr>
              <w:spacing w:line="240" w:lineRule="auto"/>
              <w:jc w:val="center"/>
              <w:rPr>
                <w:rFonts w:eastAsia="等线"/>
                <w:color w:val="FF0000"/>
                <w:szCs w:val="21"/>
              </w:rPr>
            </w:pPr>
            <w:r>
              <w:rPr>
                <w:rFonts w:eastAsia="等线"/>
                <w:color w:val="FF0000"/>
                <w:szCs w:val="21"/>
              </w:rPr>
              <w:t xml:space="preserve">0.016 </w:t>
            </w:r>
          </w:p>
        </w:tc>
        <w:tc>
          <w:tcPr>
            <w:tcW w:w="908"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二甲苯</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08"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8.07 </w:t>
            </w:r>
          </w:p>
        </w:tc>
        <w:tc>
          <w:tcPr>
            <w:tcW w:w="851" w:type="dxa"/>
            <w:vAlign w:val="center"/>
          </w:tcPr>
          <w:p>
            <w:pPr>
              <w:spacing w:line="240" w:lineRule="auto"/>
              <w:jc w:val="righ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0.041 </w:t>
            </w:r>
          </w:p>
        </w:tc>
        <w:tc>
          <w:tcPr>
            <w:tcW w:w="822"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0.291</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95</w:t>
            </w:r>
          </w:p>
        </w:tc>
        <w:tc>
          <w:tcPr>
            <w:tcW w:w="963" w:type="dxa"/>
            <w:vAlign w:val="center"/>
          </w:tcPr>
          <w:p>
            <w:pPr>
              <w:spacing w:line="240" w:lineRule="auto"/>
              <w:jc w:val="center"/>
              <w:rPr>
                <w:rFonts w:eastAsia="等线"/>
                <w:color w:val="FF0000"/>
                <w:szCs w:val="21"/>
              </w:rPr>
            </w:pPr>
            <w:r>
              <w:rPr>
                <w:rFonts w:eastAsia="等线"/>
                <w:color w:val="FF0000"/>
                <w:szCs w:val="21"/>
              </w:rPr>
              <w:t xml:space="preserve">0.40 </w:t>
            </w:r>
          </w:p>
        </w:tc>
        <w:tc>
          <w:tcPr>
            <w:tcW w:w="993" w:type="dxa"/>
            <w:vAlign w:val="center"/>
          </w:tcPr>
          <w:p>
            <w:pPr>
              <w:spacing w:line="240" w:lineRule="auto"/>
              <w:jc w:val="center"/>
              <w:rPr>
                <w:rFonts w:eastAsia="等线"/>
                <w:color w:val="FF0000"/>
                <w:szCs w:val="21"/>
              </w:rPr>
            </w:pPr>
            <w:r>
              <w:rPr>
                <w:rFonts w:eastAsia="等线"/>
                <w:color w:val="FF0000"/>
                <w:szCs w:val="21"/>
              </w:rPr>
              <w:t xml:space="preserve">0.002 </w:t>
            </w:r>
          </w:p>
        </w:tc>
        <w:tc>
          <w:tcPr>
            <w:tcW w:w="850" w:type="dxa"/>
            <w:vAlign w:val="center"/>
          </w:tcPr>
          <w:p>
            <w:pPr>
              <w:spacing w:line="240" w:lineRule="auto"/>
              <w:jc w:val="center"/>
              <w:rPr>
                <w:rFonts w:eastAsia="等线"/>
                <w:color w:val="FF0000"/>
                <w:szCs w:val="21"/>
              </w:rPr>
            </w:pPr>
            <w:r>
              <w:rPr>
                <w:rFonts w:eastAsia="等线"/>
                <w:color w:val="FF0000"/>
                <w:szCs w:val="21"/>
              </w:rPr>
              <w:t xml:space="preserve">0.015 </w:t>
            </w:r>
          </w:p>
        </w:tc>
        <w:tc>
          <w:tcPr>
            <w:tcW w:w="908"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二噁英类</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08" w:type="dxa"/>
            <w:vAlign w:val="center"/>
          </w:tcPr>
          <w:p>
            <w:pPr>
              <w:spacing w:line="240" w:lineRule="auto"/>
              <w:jc w:val="center"/>
              <w:rPr>
                <w:rFonts w:eastAsia="等线"/>
                <w:color w:val="000000"/>
                <w:spacing w:val="-20"/>
                <w:szCs w:val="21"/>
              </w:rPr>
            </w:pPr>
            <w:r>
              <w:rPr>
                <w:rFonts w:eastAsia="等线"/>
                <w:color w:val="000000"/>
                <w:spacing w:val="-20"/>
                <w:szCs w:val="21"/>
              </w:rPr>
              <w:t>1.08ng</w:t>
            </w:r>
            <w:r>
              <w:rPr>
                <w:rFonts w:hint="eastAsia" w:eastAsia="等线"/>
                <w:color w:val="000000"/>
                <w:spacing w:val="-20"/>
                <w:szCs w:val="21"/>
              </w:rPr>
              <w:t>-</w:t>
            </w:r>
            <w:r>
              <w:rPr>
                <w:rFonts w:eastAsia="等线"/>
                <w:color w:val="000000"/>
                <w:spacing w:val="-20"/>
                <w:szCs w:val="21"/>
              </w:rPr>
              <w:t>TEQ/m</w:t>
            </w:r>
            <w:r>
              <w:rPr>
                <w:rFonts w:eastAsia="等线"/>
                <w:color w:val="000000"/>
                <w:spacing w:val="-20"/>
                <w:szCs w:val="21"/>
                <w:vertAlign w:val="superscript"/>
              </w:rPr>
              <w:t>3</w:t>
            </w:r>
          </w:p>
        </w:tc>
        <w:tc>
          <w:tcPr>
            <w:tcW w:w="851" w:type="dxa"/>
            <w:vAlign w:val="center"/>
          </w:tcPr>
          <w:p>
            <w:pPr>
              <w:spacing w:line="240" w:lineRule="auto"/>
              <w:jc w:val="center"/>
              <w:rPr>
                <w:rFonts w:eastAsia="等线"/>
                <w:color w:val="000000"/>
                <w:spacing w:val="-20"/>
                <w:szCs w:val="21"/>
              </w:rPr>
            </w:pPr>
            <w:r>
              <w:rPr>
                <w:rFonts w:eastAsia="等线"/>
                <w:color w:val="000000"/>
                <w:spacing w:val="-20"/>
                <w:szCs w:val="21"/>
              </w:rPr>
              <w:t>5.594μg</w:t>
            </w:r>
            <w:r>
              <w:rPr>
                <w:rFonts w:hint="eastAsia" w:eastAsia="等线"/>
                <w:color w:val="000000"/>
                <w:spacing w:val="-20"/>
                <w:szCs w:val="21"/>
              </w:rPr>
              <w:t>-</w:t>
            </w:r>
            <w:r>
              <w:rPr>
                <w:rFonts w:eastAsia="等线"/>
                <w:color w:val="000000"/>
                <w:spacing w:val="-20"/>
                <w:szCs w:val="21"/>
              </w:rPr>
              <w:t xml:space="preserve">TEQ/h </w:t>
            </w:r>
          </w:p>
        </w:tc>
        <w:tc>
          <w:tcPr>
            <w:tcW w:w="822" w:type="dxa"/>
            <w:vAlign w:val="center"/>
          </w:tcPr>
          <w:p>
            <w:pPr>
              <w:spacing w:line="240" w:lineRule="auto"/>
              <w:jc w:val="center"/>
              <w:rPr>
                <w:color w:val="000000"/>
                <w:spacing w:val="-20"/>
                <w:szCs w:val="21"/>
              </w:rPr>
            </w:pPr>
            <w:r>
              <w:rPr>
                <w:color w:val="000000"/>
                <w:spacing w:val="-20"/>
                <w:szCs w:val="21"/>
              </w:rPr>
              <w:t>0.04g</w:t>
            </w:r>
            <w:r>
              <w:rPr>
                <w:rFonts w:hint="eastAsia"/>
                <w:color w:val="000000"/>
                <w:spacing w:val="-20"/>
                <w:szCs w:val="21"/>
              </w:rPr>
              <w:t>-</w:t>
            </w:r>
            <w:r>
              <w:rPr>
                <w:color w:val="000000"/>
                <w:spacing w:val="-20"/>
                <w:szCs w:val="21"/>
              </w:rPr>
              <w:t xml:space="preserve">TEQ/a </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100</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95</w:t>
            </w:r>
          </w:p>
        </w:tc>
        <w:tc>
          <w:tcPr>
            <w:tcW w:w="963" w:type="dxa"/>
            <w:vAlign w:val="center"/>
          </w:tcPr>
          <w:p>
            <w:pPr>
              <w:spacing w:line="240" w:lineRule="auto"/>
              <w:jc w:val="center"/>
              <w:rPr>
                <w:rFonts w:eastAsia="等线"/>
                <w:color w:val="000000"/>
                <w:spacing w:val="-20"/>
                <w:szCs w:val="21"/>
              </w:rPr>
            </w:pPr>
            <w:r>
              <w:rPr>
                <w:rFonts w:eastAsia="等线"/>
                <w:color w:val="000000"/>
                <w:spacing w:val="-20"/>
                <w:szCs w:val="21"/>
              </w:rPr>
              <w:t>0.054ng</w:t>
            </w:r>
            <w:r>
              <w:rPr>
                <w:rFonts w:hint="eastAsia" w:eastAsia="等线"/>
                <w:color w:val="000000"/>
                <w:spacing w:val="-20"/>
                <w:szCs w:val="21"/>
              </w:rPr>
              <w:t>-</w:t>
            </w:r>
            <w:r>
              <w:rPr>
                <w:rFonts w:eastAsia="等线"/>
                <w:color w:val="000000"/>
                <w:spacing w:val="-20"/>
                <w:szCs w:val="21"/>
              </w:rPr>
              <w:t>TEQ/m</w:t>
            </w:r>
            <w:r>
              <w:rPr>
                <w:rFonts w:eastAsia="等线"/>
                <w:color w:val="000000"/>
                <w:spacing w:val="-20"/>
                <w:szCs w:val="21"/>
                <w:vertAlign w:val="superscript"/>
              </w:rPr>
              <w:t>3</w:t>
            </w:r>
            <w:r>
              <w:rPr>
                <w:rFonts w:eastAsia="等线"/>
                <w:color w:val="000000"/>
                <w:spacing w:val="-20"/>
                <w:szCs w:val="21"/>
              </w:rPr>
              <w:t xml:space="preserve"> </w:t>
            </w:r>
          </w:p>
        </w:tc>
        <w:tc>
          <w:tcPr>
            <w:tcW w:w="993" w:type="dxa"/>
            <w:vAlign w:val="center"/>
          </w:tcPr>
          <w:p>
            <w:pPr>
              <w:spacing w:line="240" w:lineRule="auto"/>
              <w:jc w:val="center"/>
              <w:rPr>
                <w:rFonts w:eastAsia="等线"/>
                <w:color w:val="000000"/>
                <w:spacing w:val="-20"/>
                <w:szCs w:val="21"/>
              </w:rPr>
            </w:pPr>
            <w:r>
              <w:rPr>
                <w:rFonts w:eastAsia="等线"/>
                <w:color w:val="000000"/>
                <w:spacing w:val="-20"/>
                <w:szCs w:val="21"/>
              </w:rPr>
              <w:t>0.280μg</w:t>
            </w:r>
            <w:r>
              <w:rPr>
                <w:rFonts w:hint="eastAsia" w:eastAsia="等线"/>
                <w:color w:val="000000"/>
                <w:spacing w:val="-20"/>
                <w:szCs w:val="21"/>
              </w:rPr>
              <w:t>-</w:t>
            </w:r>
            <w:r>
              <w:rPr>
                <w:rFonts w:eastAsia="等线"/>
                <w:color w:val="000000"/>
                <w:spacing w:val="-20"/>
                <w:szCs w:val="21"/>
              </w:rPr>
              <w:t xml:space="preserve">TEQ/h </w:t>
            </w:r>
          </w:p>
        </w:tc>
        <w:tc>
          <w:tcPr>
            <w:tcW w:w="850" w:type="dxa"/>
            <w:vAlign w:val="center"/>
          </w:tcPr>
          <w:p>
            <w:pPr>
              <w:spacing w:line="240" w:lineRule="auto"/>
              <w:jc w:val="center"/>
              <w:rPr>
                <w:rFonts w:ascii="宋体" w:hAnsi="宋体" w:cs="宋体"/>
                <w:color w:val="000000"/>
                <w:spacing w:val="-20"/>
                <w:szCs w:val="21"/>
              </w:rPr>
            </w:pPr>
            <w:r>
              <w:rPr>
                <w:rFonts w:hint="eastAsia"/>
                <w:color w:val="000000"/>
                <w:spacing w:val="-20"/>
                <w:szCs w:val="21"/>
              </w:rPr>
              <w:t>0.00</w:t>
            </w:r>
            <w:r>
              <w:rPr>
                <w:color w:val="000000"/>
                <w:spacing w:val="-20"/>
                <w:szCs w:val="21"/>
              </w:rPr>
              <w:t>2g</w:t>
            </w:r>
            <w:r>
              <w:rPr>
                <w:rFonts w:hint="eastAsia"/>
                <w:color w:val="000000"/>
                <w:spacing w:val="-20"/>
                <w:szCs w:val="21"/>
              </w:rPr>
              <w:t>-</w:t>
            </w:r>
            <w:r>
              <w:rPr>
                <w:color w:val="000000"/>
                <w:spacing w:val="-20"/>
                <w:szCs w:val="21"/>
              </w:rPr>
              <w:t>TEQ/a</w:t>
            </w:r>
            <w:r>
              <w:rPr>
                <w:rFonts w:hint="eastAsia"/>
                <w:color w:val="000000"/>
                <w:spacing w:val="-20"/>
                <w:szCs w:val="21"/>
              </w:rPr>
              <w:t xml:space="preserve"> </w:t>
            </w:r>
          </w:p>
        </w:tc>
        <w:tc>
          <w:tcPr>
            <w:tcW w:w="908"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臭气浓度</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08"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51"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22"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少量</w:t>
            </w:r>
          </w:p>
        </w:tc>
        <w:tc>
          <w:tcPr>
            <w:tcW w:w="680"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63"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93"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50"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少量</w:t>
            </w:r>
          </w:p>
        </w:tc>
        <w:tc>
          <w:tcPr>
            <w:tcW w:w="908"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林格曼黑度</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2581" w:type="dxa"/>
            <w:gridSpan w:val="3"/>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≤1级</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2806" w:type="dxa"/>
            <w:gridSpan w:val="3"/>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≤1级</w:t>
            </w:r>
          </w:p>
        </w:tc>
        <w:tc>
          <w:tcPr>
            <w:tcW w:w="908"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储罐区</w:t>
            </w:r>
          </w:p>
        </w:tc>
        <w:tc>
          <w:tcPr>
            <w:tcW w:w="1134"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储罐区</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非甲烷总烃</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08"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.912</w:t>
            </w:r>
          </w:p>
        </w:tc>
        <w:tc>
          <w:tcPr>
            <w:tcW w:w="822"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6.569</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96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9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908"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炭黑加工</w:t>
            </w:r>
          </w:p>
        </w:tc>
        <w:tc>
          <w:tcPr>
            <w:tcW w:w="1134"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磁选、磨粉、打包</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颗粒物（炭黑尘）</w:t>
            </w:r>
          </w:p>
        </w:tc>
        <w:tc>
          <w:tcPr>
            <w:tcW w:w="85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000</w:t>
            </w:r>
          </w:p>
        </w:tc>
        <w:tc>
          <w:tcPr>
            <w:tcW w:w="908"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8.4</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.292</w:t>
            </w:r>
          </w:p>
        </w:tc>
        <w:tc>
          <w:tcPr>
            <w:tcW w:w="822"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.1</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5</w:t>
            </w:r>
          </w:p>
        </w:tc>
        <w:tc>
          <w:tcPr>
            <w:tcW w:w="1162"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布袋除尘器</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5</w:t>
            </w:r>
          </w:p>
        </w:tc>
        <w:tc>
          <w:tcPr>
            <w:tcW w:w="96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2</w:t>
            </w:r>
            <w:r>
              <w:rPr>
                <w:rFonts w:eastAsia="等线"/>
                <w:color w:val="000000" w:themeColor="text1"/>
                <w:szCs w:val="21"/>
                <w14:textFill>
                  <w14:solidFill>
                    <w14:schemeClr w14:val="tx1"/>
                  </w14:solidFill>
                </w14:textFill>
              </w:rPr>
              <w:t>.77</w:t>
            </w:r>
          </w:p>
        </w:tc>
        <w:tc>
          <w:tcPr>
            <w:tcW w:w="9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.014</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.099</w:t>
            </w:r>
          </w:p>
        </w:tc>
        <w:tc>
          <w:tcPr>
            <w:tcW w:w="908"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.015</w:t>
            </w:r>
          </w:p>
        </w:tc>
        <w:tc>
          <w:tcPr>
            <w:tcW w:w="7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.105</w:t>
            </w:r>
          </w:p>
        </w:tc>
        <w:tc>
          <w:tcPr>
            <w:tcW w:w="70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r>
              <w:rPr>
                <w:color w:val="000000" w:themeColor="text1"/>
                <w:kern w:val="0"/>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食堂油烟</w:t>
            </w:r>
          </w:p>
        </w:tc>
        <w:tc>
          <w:tcPr>
            <w:tcW w:w="1134"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食堂</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油烟</w:t>
            </w:r>
          </w:p>
        </w:tc>
        <w:tc>
          <w:tcPr>
            <w:tcW w:w="85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000</w:t>
            </w:r>
          </w:p>
        </w:tc>
        <w:tc>
          <w:tcPr>
            <w:tcW w:w="908"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4.38</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.018</w:t>
            </w:r>
          </w:p>
        </w:tc>
        <w:tc>
          <w:tcPr>
            <w:tcW w:w="822"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.021</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1162"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油烟净化器</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0</w:t>
            </w:r>
          </w:p>
        </w:tc>
        <w:tc>
          <w:tcPr>
            <w:tcW w:w="96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.44</w:t>
            </w:r>
          </w:p>
        </w:tc>
        <w:tc>
          <w:tcPr>
            <w:tcW w:w="9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.002</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.002</w:t>
            </w:r>
          </w:p>
        </w:tc>
        <w:tc>
          <w:tcPr>
            <w:tcW w:w="908"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200</w:t>
            </w:r>
          </w:p>
        </w:tc>
      </w:tr>
    </w:tbl>
    <w:p>
      <w:pPr>
        <w:spacing w:line="240" w:lineRule="auto"/>
        <w:jc w:val="center"/>
        <w:rPr>
          <w:b/>
          <w:bCs/>
          <w:color w:val="000000" w:themeColor="text1"/>
          <w:sz w:val="24"/>
          <w14:textFill>
            <w14:solidFill>
              <w14:schemeClr w14:val="tx1"/>
            </w14:solidFill>
          </w14:textFill>
        </w:rPr>
        <w:sectPr>
          <w:pgSz w:w="16840" w:h="11907" w:orient="landscape"/>
          <w:pgMar w:top="1021" w:right="1440" w:bottom="1134" w:left="1440" w:header="851" w:footer="851" w:gutter="0"/>
          <w:pgBorders>
            <w:top w:val="none" w:sz="0" w:space="0"/>
            <w:left w:val="none" w:sz="0" w:space="0"/>
            <w:bottom w:val="none" w:sz="0" w:space="0"/>
            <w:right w:val="none" w:sz="0" w:space="0"/>
          </w:pgBorders>
          <w:cols w:space="720" w:num="1"/>
          <w:docGrid w:linePitch="312" w:charSpace="0"/>
        </w:sectPr>
      </w:pPr>
    </w:p>
    <w:p>
      <w:pPr>
        <w:spacing w:line="24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w:t>
      </w:r>
      <w:r>
        <w:rPr>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 xml:space="preserve">4  </w:t>
      </w:r>
      <w:r>
        <w:rPr>
          <w:rFonts w:hint="eastAsia"/>
          <w:b/>
          <w:bCs/>
          <w:color w:val="000000" w:themeColor="text1"/>
          <w:sz w:val="24"/>
          <w14:textFill>
            <w14:solidFill>
              <w14:schemeClr w14:val="tx1"/>
            </w14:solidFill>
          </w14:textFill>
        </w:rPr>
        <w:t>项目二期建成后全厂废气排放一览表（正常工况）</w:t>
      </w:r>
    </w:p>
    <w:tbl>
      <w:tblPr>
        <w:tblStyle w:val="36"/>
        <w:tblW w:w="1399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851"/>
        <w:gridCol w:w="850"/>
        <w:gridCol w:w="993"/>
        <w:gridCol w:w="850"/>
        <w:gridCol w:w="738"/>
        <w:gridCol w:w="680"/>
        <w:gridCol w:w="1162"/>
        <w:gridCol w:w="851"/>
        <w:gridCol w:w="963"/>
        <w:gridCol w:w="993"/>
        <w:gridCol w:w="850"/>
        <w:gridCol w:w="851"/>
        <w:gridCol w:w="850"/>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675" w:type="dxa"/>
            <w:vMerge w:val="restart"/>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工序</w:t>
            </w:r>
          </w:p>
        </w:tc>
        <w:tc>
          <w:tcPr>
            <w:tcW w:w="1134" w:type="dxa"/>
            <w:vMerge w:val="restart"/>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污染源</w:t>
            </w:r>
          </w:p>
        </w:tc>
        <w:tc>
          <w:tcPr>
            <w:tcW w:w="851" w:type="dxa"/>
            <w:vMerge w:val="restart"/>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污染物</w:t>
            </w:r>
          </w:p>
        </w:tc>
        <w:tc>
          <w:tcPr>
            <w:tcW w:w="3431" w:type="dxa"/>
            <w:gridSpan w:val="4"/>
            <w:vMerge w:val="restart"/>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污染物产生</w:t>
            </w:r>
          </w:p>
        </w:tc>
        <w:tc>
          <w:tcPr>
            <w:tcW w:w="2693" w:type="dxa"/>
            <w:gridSpan w:val="3"/>
            <w:vMerge w:val="restart"/>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治理措施</w:t>
            </w:r>
          </w:p>
        </w:tc>
        <w:tc>
          <w:tcPr>
            <w:tcW w:w="5210" w:type="dxa"/>
            <w:gridSpan w:val="6"/>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b/>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b/>
                <w:color w:val="000000" w:themeColor="text1"/>
                <w:kern w:val="0"/>
                <w:szCs w:val="21"/>
                <w14:textFill>
                  <w14:solidFill>
                    <w14:schemeClr w14:val="tx1"/>
                  </w14:solidFill>
                </w14:textFill>
              </w:rPr>
            </w:pPr>
          </w:p>
        </w:tc>
        <w:tc>
          <w:tcPr>
            <w:tcW w:w="851" w:type="dxa"/>
            <w:vMerge w:val="continue"/>
            <w:vAlign w:val="center"/>
          </w:tcPr>
          <w:p>
            <w:pPr>
              <w:spacing w:line="240" w:lineRule="auto"/>
              <w:jc w:val="center"/>
              <w:rPr>
                <w:b/>
                <w:color w:val="000000" w:themeColor="text1"/>
                <w:kern w:val="0"/>
                <w:szCs w:val="21"/>
                <w14:textFill>
                  <w14:solidFill>
                    <w14:schemeClr w14:val="tx1"/>
                  </w14:solidFill>
                </w14:textFill>
              </w:rPr>
            </w:pPr>
          </w:p>
        </w:tc>
        <w:tc>
          <w:tcPr>
            <w:tcW w:w="3431" w:type="dxa"/>
            <w:gridSpan w:val="4"/>
            <w:vMerge w:val="continue"/>
            <w:vAlign w:val="center"/>
          </w:tcPr>
          <w:p>
            <w:pPr>
              <w:spacing w:line="240" w:lineRule="auto"/>
              <w:jc w:val="center"/>
              <w:rPr>
                <w:b/>
                <w:color w:val="000000" w:themeColor="text1"/>
                <w:kern w:val="0"/>
                <w:szCs w:val="21"/>
                <w14:textFill>
                  <w14:solidFill>
                    <w14:schemeClr w14:val="tx1"/>
                  </w14:solidFill>
                </w14:textFill>
              </w:rPr>
            </w:pPr>
          </w:p>
        </w:tc>
        <w:tc>
          <w:tcPr>
            <w:tcW w:w="2693" w:type="dxa"/>
            <w:gridSpan w:val="3"/>
            <w:vMerge w:val="continue"/>
            <w:vAlign w:val="center"/>
          </w:tcPr>
          <w:p>
            <w:pPr>
              <w:spacing w:line="240" w:lineRule="auto"/>
              <w:jc w:val="center"/>
              <w:rPr>
                <w:b/>
                <w:color w:val="000000" w:themeColor="text1"/>
                <w:kern w:val="0"/>
                <w:szCs w:val="21"/>
                <w14:textFill>
                  <w14:solidFill>
                    <w14:schemeClr w14:val="tx1"/>
                  </w14:solidFill>
                </w14:textFill>
              </w:rPr>
            </w:pPr>
          </w:p>
        </w:tc>
        <w:tc>
          <w:tcPr>
            <w:tcW w:w="2806" w:type="dxa"/>
            <w:gridSpan w:val="3"/>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有组织</w:t>
            </w:r>
          </w:p>
        </w:tc>
        <w:tc>
          <w:tcPr>
            <w:tcW w:w="1701" w:type="dxa"/>
            <w:gridSpan w:val="2"/>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无组织</w:t>
            </w:r>
          </w:p>
        </w:tc>
        <w:tc>
          <w:tcPr>
            <w:tcW w:w="703" w:type="dxa"/>
            <w:vMerge w:val="restart"/>
            <w:noWrap/>
            <w:vAlign w:val="center"/>
          </w:tcPr>
          <w:p>
            <w:pPr>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b/>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b/>
                <w:color w:val="000000" w:themeColor="text1"/>
                <w:kern w:val="0"/>
                <w:szCs w:val="21"/>
                <w14:textFill>
                  <w14:solidFill>
                    <w14:schemeClr w14:val="tx1"/>
                  </w14:solidFill>
                </w14:textFill>
              </w:rPr>
            </w:pPr>
          </w:p>
        </w:tc>
        <w:tc>
          <w:tcPr>
            <w:tcW w:w="851" w:type="dxa"/>
            <w:vMerge w:val="continue"/>
            <w:vAlign w:val="center"/>
          </w:tcPr>
          <w:p>
            <w:pPr>
              <w:spacing w:line="240" w:lineRule="auto"/>
              <w:jc w:val="center"/>
              <w:rPr>
                <w:b/>
                <w:color w:val="000000" w:themeColor="text1"/>
                <w:kern w:val="0"/>
                <w:szCs w:val="21"/>
                <w14:textFill>
                  <w14:solidFill>
                    <w14:schemeClr w14:val="tx1"/>
                  </w14:solidFill>
                </w14:textFill>
              </w:rPr>
            </w:pPr>
          </w:p>
        </w:tc>
        <w:tc>
          <w:tcPr>
            <w:tcW w:w="850" w:type="dxa"/>
            <w:vAlign w:val="center"/>
          </w:tcPr>
          <w:p>
            <w:pPr>
              <w:spacing w:line="240" w:lineRule="auto"/>
              <w:jc w:val="center"/>
              <w:rPr>
                <w:b/>
                <w:color w:val="000000" w:themeColor="text1"/>
                <w:spacing w:val="-20"/>
                <w:kern w:val="0"/>
                <w:szCs w:val="21"/>
                <w14:textFill>
                  <w14:solidFill>
                    <w14:schemeClr w14:val="tx1"/>
                  </w14:solidFill>
                </w14:textFill>
              </w:rPr>
            </w:pPr>
            <w:r>
              <w:rPr>
                <w:b/>
                <w:color w:val="000000" w:themeColor="text1"/>
                <w:spacing w:val="-20"/>
                <w:kern w:val="0"/>
                <w:szCs w:val="21"/>
                <w14:textFill>
                  <w14:solidFill>
                    <w14:schemeClr w14:val="tx1"/>
                  </w14:solidFill>
                </w14:textFill>
              </w:rPr>
              <w:t>废气产生量</w:t>
            </w:r>
            <w:r>
              <w:rPr>
                <w:b/>
                <w:color w:val="000000" w:themeColor="text1"/>
                <w:spacing w:val="-30"/>
                <w:kern w:val="0"/>
                <w:szCs w:val="21"/>
                <w14:textFill>
                  <w14:solidFill>
                    <w14:schemeClr w14:val="tx1"/>
                  </w14:solidFill>
                </w14:textFill>
              </w:rPr>
              <w:t>(m</w:t>
            </w:r>
            <w:r>
              <w:rPr>
                <w:b/>
                <w:color w:val="000000" w:themeColor="text1"/>
                <w:spacing w:val="-30"/>
                <w:kern w:val="0"/>
                <w:szCs w:val="21"/>
                <w:vertAlign w:val="superscript"/>
                <w14:textFill>
                  <w14:solidFill>
                    <w14:schemeClr w14:val="tx1"/>
                  </w14:solidFill>
                </w14:textFill>
              </w:rPr>
              <w:t>3</w:t>
            </w:r>
            <w:r>
              <w:rPr>
                <w:b/>
                <w:color w:val="000000" w:themeColor="text1"/>
                <w:spacing w:val="-30"/>
                <w:kern w:val="0"/>
                <w:szCs w:val="21"/>
                <w14:textFill>
                  <w14:solidFill>
                    <w14:schemeClr w14:val="tx1"/>
                  </w14:solidFill>
                </w14:textFill>
              </w:rPr>
              <w:t>/h）</w:t>
            </w:r>
          </w:p>
        </w:tc>
        <w:tc>
          <w:tcPr>
            <w:tcW w:w="993" w:type="dxa"/>
            <w:vAlign w:val="center"/>
          </w:tcPr>
          <w:p>
            <w:pPr>
              <w:spacing w:line="240" w:lineRule="auto"/>
              <w:jc w:val="center"/>
              <w:rPr>
                <w:b/>
                <w:color w:val="000000" w:themeColor="text1"/>
                <w:spacing w:val="-20"/>
                <w:kern w:val="0"/>
                <w:szCs w:val="21"/>
                <w14:textFill>
                  <w14:solidFill>
                    <w14:schemeClr w14:val="tx1"/>
                  </w14:solidFill>
                </w14:textFill>
              </w:rPr>
            </w:pPr>
            <w:r>
              <w:rPr>
                <w:b/>
                <w:color w:val="000000" w:themeColor="text1"/>
                <w:spacing w:val="-20"/>
                <w:kern w:val="0"/>
                <w:szCs w:val="21"/>
                <w14:textFill>
                  <w14:solidFill>
                    <w14:schemeClr w14:val="tx1"/>
                  </w14:solidFill>
                </w14:textFill>
              </w:rPr>
              <w:t>废气产生浓度</w:t>
            </w:r>
            <w:r>
              <w:rPr>
                <w:b/>
                <w:color w:val="000000" w:themeColor="text1"/>
                <w:spacing w:val="-40"/>
                <w:kern w:val="0"/>
                <w:szCs w:val="21"/>
                <w14:textFill>
                  <w14:solidFill>
                    <w14:schemeClr w14:val="tx1"/>
                  </w14:solidFill>
                </w14:textFill>
              </w:rPr>
              <w:t>（mg/m</w:t>
            </w:r>
            <w:r>
              <w:rPr>
                <w:b/>
                <w:color w:val="000000" w:themeColor="text1"/>
                <w:spacing w:val="-40"/>
                <w:kern w:val="0"/>
                <w:szCs w:val="21"/>
                <w:vertAlign w:val="superscript"/>
                <w14:textFill>
                  <w14:solidFill>
                    <w14:schemeClr w14:val="tx1"/>
                  </w14:solidFill>
                </w14:textFill>
              </w:rPr>
              <w:t>3</w:t>
            </w:r>
            <w:r>
              <w:rPr>
                <w:b/>
                <w:color w:val="000000" w:themeColor="text1"/>
                <w:spacing w:val="-40"/>
                <w:kern w:val="0"/>
                <w:szCs w:val="21"/>
                <w14:textFill>
                  <w14:solidFill>
                    <w14:schemeClr w14:val="tx1"/>
                  </w14:solidFill>
                </w14:textFill>
              </w:rPr>
              <w:t>）</w:t>
            </w:r>
          </w:p>
        </w:tc>
        <w:tc>
          <w:tcPr>
            <w:tcW w:w="850" w:type="dxa"/>
            <w:vAlign w:val="center"/>
          </w:tcPr>
          <w:p>
            <w:pPr>
              <w:spacing w:line="240" w:lineRule="auto"/>
              <w:jc w:val="center"/>
              <w:rPr>
                <w:b/>
                <w:color w:val="000000" w:themeColor="text1"/>
                <w:spacing w:val="-20"/>
                <w:kern w:val="0"/>
                <w:szCs w:val="21"/>
                <w14:textFill>
                  <w14:solidFill>
                    <w14:schemeClr w14:val="tx1"/>
                  </w14:solidFill>
                </w14:textFill>
              </w:rPr>
            </w:pPr>
            <w:r>
              <w:rPr>
                <w:rFonts w:hint="eastAsia"/>
                <w:b/>
                <w:color w:val="000000" w:themeColor="text1"/>
                <w:spacing w:val="-20"/>
                <w:kern w:val="0"/>
                <w:szCs w:val="21"/>
                <w14:textFill>
                  <w14:solidFill>
                    <w14:schemeClr w14:val="tx1"/>
                  </w14:solidFill>
                </w14:textFill>
              </w:rPr>
              <w:t>产生速率(kg</w:t>
            </w:r>
            <w:r>
              <w:rPr>
                <w:b/>
                <w:color w:val="000000" w:themeColor="text1"/>
                <w:spacing w:val="-20"/>
                <w:kern w:val="0"/>
                <w:szCs w:val="21"/>
                <w14:textFill>
                  <w14:solidFill>
                    <w14:schemeClr w14:val="tx1"/>
                  </w14:solidFill>
                </w14:textFill>
              </w:rPr>
              <w:t>/</w:t>
            </w:r>
            <w:r>
              <w:rPr>
                <w:rFonts w:hint="eastAsia"/>
                <w:b/>
                <w:color w:val="000000" w:themeColor="text1"/>
                <w:spacing w:val="-20"/>
                <w:kern w:val="0"/>
                <w:szCs w:val="21"/>
                <w14:textFill>
                  <w14:solidFill>
                    <w14:schemeClr w14:val="tx1"/>
                  </w14:solidFill>
                </w14:textFill>
              </w:rPr>
              <w:t>h）</w:t>
            </w:r>
          </w:p>
        </w:tc>
        <w:tc>
          <w:tcPr>
            <w:tcW w:w="738" w:type="dxa"/>
            <w:noWrap/>
            <w:vAlign w:val="center"/>
          </w:tcPr>
          <w:p>
            <w:pPr>
              <w:spacing w:line="240" w:lineRule="auto"/>
              <w:jc w:val="center"/>
              <w:rPr>
                <w:b/>
                <w:color w:val="000000" w:themeColor="text1"/>
                <w:spacing w:val="-20"/>
                <w:kern w:val="0"/>
                <w:szCs w:val="21"/>
                <w14:textFill>
                  <w14:solidFill>
                    <w14:schemeClr w14:val="tx1"/>
                  </w14:solidFill>
                </w14:textFill>
              </w:rPr>
            </w:pPr>
            <w:r>
              <w:rPr>
                <w:b/>
                <w:color w:val="000000" w:themeColor="text1"/>
                <w:spacing w:val="-20"/>
                <w:kern w:val="0"/>
                <w:szCs w:val="21"/>
                <w14:textFill>
                  <w14:solidFill>
                    <w14:schemeClr w14:val="tx1"/>
                  </w14:solidFill>
                </w14:textFill>
              </w:rPr>
              <w:t>产生量</w:t>
            </w:r>
            <w:r>
              <w:rPr>
                <w:b/>
                <w:color w:val="000000" w:themeColor="text1"/>
                <w:spacing w:val="-30"/>
                <w:kern w:val="0"/>
                <w:szCs w:val="21"/>
                <w14:textFill>
                  <w14:solidFill>
                    <w14:schemeClr w14:val="tx1"/>
                  </w14:solidFill>
                </w14:textFill>
              </w:rPr>
              <w:t>（t/a）</w:t>
            </w:r>
          </w:p>
        </w:tc>
        <w:tc>
          <w:tcPr>
            <w:tcW w:w="680" w:type="dxa"/>
            <w:noWrap/>
            <w:vAlign w:val="center"/>
          </w:tcPr>
          <w:p>
            <w:pPr>
              <w:spacing w:line="240" w:lineRule="auto"/>
              <w:jc w:val="center"/>
              <w:rPr>
                <w:b/>
                <w:color w:val="000000" w:themeColor="text1"/>
                <w:spacing w:val="-10"/>
                <w:kern w:val="0"/>
                <w:szCs w:val="21"/>
                <w14:textFill>
                  <w14:solidFill>
                    <w14:schemeClr w14:val="tx1"/>
                  </w14:solidFill>
                </w14:textFill>
              </w:rPr>
            </w:pPr>
            <w:r>
              <w:rPr>
                <w:b/>
                <w:color w:val="000000" w:themeColor="text1"/>
                <w:spacing w:val="-20"/>
                <w:kern w:val="0"/>
                <w:szCs w:val="21"/>
                <w14:textFill>
                  <w14:solidFill>
                    <w14:schemeClr w14:val="tx1"/>
                  </w14:solidFill>
                </w14:textFill>
              </w:rPr>
              <w:t>收集效率</w:t>
            </w:r>
            <w:r>
              <w:rPr>
                <w:b/>
                <w:color w:val="000000" w:themeColor="text1"/>
                <w:spacing w:val="-30"/>
                <w:kern w:val="0"/>
                <w:szCs w:val="21"/>
                <w14:textFill>
                  <w14:solidFill>
                    <w14:schemeClr w14:val="tx1"/>
                  </w14:solidFill>
                </w14:textFill>
              </w:rPr>
              <w:t>(%）</w:t>
            </w:r>
          </w:p>
        </w:tc>
        <w:tc>
          <w:tcPr>
            <w:tcW w:w="1162" w:type="dxa"/>
            <w:noWrap/>
            <w:vAlign w:val="center"/>
          </w:tcPr>
          <w:p>
            <w:pPr>
              <w:spacing w:line="240" w:lineRule="auto"/>
              <w:jc w:val="center"/>
              <w:rPr>
                <w:b/>
                <w:color w:val="000000" w:themeColor="text1"/>
                <w:spacing w:val="-20"/>
                <w:kern w:val="0"/>
                <w:szCs w:val="21"/>
                <w14:textFill>
                  <w14:solidFill>
                    <w14:schemeClr w14:val="tx1"/>
                  </w14:solidFill>
                </w14:textFill>
              </w:rPr>
            </w:pPr>
            <w:r>
              <w:rPr>
                <w:b/>
                <w:color w:val="000000" w:themeColor="text1"/>
                <w:spacing w:val="-10"/>
                <w:kern w:val="0"/>
                <w:szCs w:val="21"/>
                <w14:textFill>
                  <w14:solidFill>
                    <w14:schemeClr w14:val="tx1"/>
                  </w14:solidFill>
                </w14:textFill>
              </w:rPr>
              <w:t>治理工艺</w:t>
            </w:r>
          </w:p>
        </w:tc>
        <w:tc>
          <w:tcPr>
            <w:tcW w:w="851" w:type="dxa"/>
            <w:vAlign w:val="center"/>
          </w:tcPr>
          <w:p>
            <w:pPr>
              <w:spacing w:line="240" w:lineRule="auto"/>
              <w:jc w:val="center"/>
              <w:rPr>
                <w:b/>
                <w:color w:val="000000" w:themeColor="text1"/>
                <w:spacing w:val="-10"/>
                <w:kern w:val="0"/>
                <w:szCs w:val="21"/>
                <w14:textFill>
                  <w14:solidFill>
                    <w14:schemeClr w14:val="tx1"/>
                  </w14:solidFill>
                </w14:textFill>
              </w:rPr>
            </w:pPr>
            <w:r>
              <w:rPr>
                <w:b/>
                <w:color w:val="000000" w:themeColor="text1"/>
                <w:spacing w:val="-10"/>
                <w:kern w:val="0"/>
                <w:szCs w:val="21"/>
                <w14:textFill>
                  <w14:solidFill>
                    <w14:schemeClr w14:val="tx1"/>
                  </w14:solidFill>
                </w14:textFill>
              </w:rPr>
              <w:t>去除效率</w:t>
            </w:r>
            <w:r>
              <w:rPr>
                <w:rFonts w:hint="eastAsia"/>
                <w:b/>
                <w:color w:val="000000" w:themeColor="text1"/>
                <w:spacing w:val="-10"/>
                <w:kern w:val="0"/>
                <w:szCs w:val="21"/>
                <w14:textFill>
                  <w14:solidFill>
                    <w14:schemeClr w14:val="tx1"/>
                  </w14:solidFill>
                </w14:textFill>
              </w:rPr>
              <w:t>(</w:t>
            </w:r>
            <w:r>
              <w:rPr>
                <w:b/>
                <w:color w:val="000000" w:themeColor="text1"/>
                <w:spacing w:val="-10"/>
                <w:kern w:val="0"/>
                <w:szCs w:val="21"/>
                <w14:textFill>
                  <w14:solidFill>
                    <w14:schemeClr w14:val="tx1"/>
                  </w14:solidFill>
                </w14:textFill>
              </w:rPr>
              <w:t>%</w:t>
            </w:r>
            <w:r>
              <w:rPr>
                <w:rFonts w:hint="eastAsia"/>
                <w:b/>
                <w:color w:val="000000" w:themeColor="text1"/>
                <w:spacing w:val="-10"/>
                <w:kern w:val="0"/>
                <w:szCs w:val="21"/>
                <w14:textFill>
                  <w14:solidFill>
                    <w14:schemeClr w14:val="tx1"/>
                  </w14:solidFill>
                </w14:textFill>
              </w:rPr>
              <w:t>)</w:t>
            </w:r>
          </w:p>
        </w:tc>
        <w:tc>
          <w:tcPr>
            <w:tcW w:w="963" w:type="dxa"/>
            <w:noWrap/>
            <w:vAlign w:val="center"/>
          </w:tcPr>
          <w:p>
            <w:pPr>
              <w:spacing w:line="240" w:lineRule="auto"/>
              <w:jc w:val="center"/>
              <w:rPr>
                <w:b/>
                <w:color w:val="000000" w:themeColor="text1"/>
                <w:spacing w:val="-20"/>
                <w:kern w:val="0"/>
                <w:szCs w:val="21"/>
                <w14:textFill>
                  <w14:solidFill>
                    <w14:schemeClr w14:val="tx1"/>
                  </w14:solidFill>
                </w14:textFill>
              </w:rPr>
            </w:pPr>
            <w:r>
              <w:rPr>
                <w:b/>
                <w:color w:val="000000" w:themeColor="text1"/>
                <w:spacing w:val="-10"/>
                <w:kern w:val="0"/>
                <w:szCs w:val="21"/>
                <w14:textFill>
                  <w14:solidFill>
                    <w14:schemeClr w14:val="tx1"/>
                  </w14:solidFill>
                </w14:textFill>
              </w:rPr>
              <w:t>排放浓度</w:t>
            </w:r>
            <w:r>
              <w:rPr>
                <w:b/>
                <w:color w:val="000000" w:themeColor="text1"/>
                <w:spacing w:val="-26"/>
                <w:kern w:val="0"/>
                <w:szCs w:val="21"/>
                <w14:textFill>
                  <w14:solidFill>
                    <w14:schemeClr w14:val="tx1"/>
                  </w14:solidFill>
                </w14:textFill>
              </w:rPr>
              <w:t>（</w:t>
            </w:r>
            <w:r>
              <w:rPr>
                <w:b/>
                <w:color w:val="000000" w:themeColor="text1"/>
                <w:spacing w:val="-30"/>
                <w:kern w:val="0"/>
                <w:szCs w:val="21"/>
                <w14:textFill>
                  <w14:solidFill>
                    <w14:schemeClr w14:val="tx1"/>
                  </w14:solidFill>
                </w14:textFill>
              </w:rPr>
              <w:t>mg/m</w:t>
            </w:r>
            <w:r>
              <w:rPr>
                <w:b/>
                <w:color w:val="000000" w:themeColor="text1"/>
                <w:spacing w:val="-30"/>
                <w:kern w:val="0"/>
                <w:szCs w:val="21"/>
                <w:vertAlign w:val="superscript"/>
                <w14:textFill>
                  <w14:solidFill>
                    <w14:schemeClr w14:val="tx1"/>
                  </w14:solidFill>
                </w14:textFill>
              </w:rPr>
              <w:t>3</w:t>
            </w:r>
            <w:r>
              <w:rPr>
                <w:b/>
                <w:color w:val="000000" w:themeColor="text1"/>
                <w:spacing w:val="-30"/>
                <w:kern w:val="0"/>
                <w:szCs w:val="21"/>
                <w14:textFill>
                  <w14:solidFill>
                    <w14:schemeClr w14:val="tx1"/>
                  </w14:solidFill>
                </w14:textFill>
              </w:rPr>
              <w:t>）</w:t>
            </w:r>
          </w:p>
        </w:tc>
        <w:tc>
          <w:tcPr>
            <w:tcW w:w="993" w:type="dxa"/>
            <w:noWrap/>
            <w:vAlign w:val="center"/>
          </w:tcPr>
          <w:p>
            <w:pPr>
              <w:spacing w:line="240" w:lineRule="auto"/>
              <w:jc w:val="center"/>
              <w:rPr>
                <w:b/>
                <w:color w:val="000000" w:themeColor="text1"/>
                <w:spacing w:val="-10"/>
                <w:kern w:val="0"/>
                <w:szCs w:val="21"/>
                <w14:textFill>
                  <w14:solidFill>
                    <w14:schemeClr w14:val="tx1"/>
                  </w14:solidFill>
                </w14:textFill>
              </w:rPr>
            </w:pPr>
            <w:r>
              <w:rPr>
                <w:b/>
                <w:color w:val="000000" w:themeColor="text1"/>
                <w:spacing w:val="-10"/>
                <w:kern w:val="0"/>
                <w:szCs w:val="21"/>
                <w14:textFill>
                  <w14:solidFill>
                    <w14:schemeClr w14:val="tx1"/>
                  </w14:solidFill>
                </w14:textFill>
              </w:rPr>
              <w:t>排放速率（kg/h）</w:t>
            </w:r>
          </w:p>
        </w:tc>
        <w:tc>
          <w:tcPr>
            <w:tcW w:w="850" w:type="dxa"/>
            <w:noWrap/>
            <w:vAlign w:val="center"/>
          </w:tcPr>
          <w:p>
            <w:pPr>
              <w:spacing w:line="240" w:lineRule="auto"/>
              <w:jc w:val="center"/>
              <w:rPr>
                <w:b/>
                <w:color w:val="000000" w:themeColor="text1"/>
                <w:spacing w:val="-10"/>
                <w:kern w:val="0"/>
                <w:szCs w:val="21"/>
                <w14:textFill>
                  <w14:solidFill>
                    <w14:schemeClr w14:val="tx1"/>
                  </w14:solidFill>
                </w14:textFill>
              </w:rPr>
            </w:pPr>
            <w:r>
              <w:rPr>
                <w:b/>
                <w:color w:val="000000" w:themeColor="text1"/>
                <w:spacing w:val="-10"/>
                <w:kern w:val="0"/>
                <w:szCs w:val="21"/>
                <w14:textFill>
                  <w14:solidFill>
                    <w14:schemeClr w14:val="tx1"/>
                  </w14:solidFill>
                </w14:textFill>
              </w:rPr>
              <w:t>排放量（t/a）</w:t>
            </w:r>
          </w:p>
        </w:tc>
        <w:tc>
          <w:tcPr>
            <w:tcW w:w="851" w:type="dxa"/>
            <w:noWrap/>
            <w:vAlign w:val="center"/>
          </w:tcPr>
          <w:p>
            <w:pPr>
              <w:spacing w:line="240" w:lineRule="auto"/>
              <w:jc w:val="center"/>
              <w:rPr>
                <w:b/>
                <w:color w:val="000000" w:themeColor="text1"/>
                <w:spacing w:val="-10"/>
                <w:kern w:val="0"/>
                <w:szCs w:val="21"/>
                <w14:textFill>
                  <w14:solidFill>
                    <w14:schemeClr w14:val="tx1"/>
                  </w14:solidFill>
                </w14:textFill>
              </w:rPr>
            </w:pPr>
            <w:r>
              <w:rPr>
                <w:b/>
                <w:color w:val="000000" w:themeColor="text1"/>
                <w:spacing w:val="-10"/>
                <w:kern w:val="0"/>
                <w:szCs w:val="21"/>
                <w14:textFill>
                  <w14:solidFill>
                    <w14:schemeClr w14:val="tx1"/>
                  </w14:solidFill>
                </w14:textFill>
              </w:rPr>
              <w:t>排放速率</w:t>
            </w:r>
            <w:r>
              <w:rPr>
                <w:b/>
                <w:color w:val="000000" w:themeColor="text1"/>
                <w:spacing w:val="-20"/>
                <w:kern w:val="0"/>
                <w:szCs w:val="21"/>
                <w14:textFill>
                  <w14:solidFill>
                    <w14:schemeClr w14:val="tx1"/>
                  </w14:solidFill>
                </w14:textFill>
              </w:rPr>
              <w:t>（kg/h）</w:t>
            </w:r>
          </w:p>
        </w:tc>
        <w:tc>
          <w:tcPr>
            <w:tcW w:w="850" w:type="dxa"/>
            <w:noWrap/>
            <w:vAlign w:val="center"/>
          </w:tcPr>
          <w:p>
            <w:pPr>
              <w:spacing w:line="240" w:lineRule="auto"/>
              <w:jc w:val="center"/>
              <w:rPr>
                <w:b/>
                <w:color w:val="000000" w:themeColor="text1"/>
                <w:spacing w:val="-10"/>
                <w:kern w:val="0"/>
                <w:szCs w:val="21"/>
                <w14:textFill>
                  <w14:solidFill>
                    <w14:schemeClr w14:val="tx1"/>
                  </w14:solidFill>
                </w14:textFill>
              </w:rPr>
            </w:pPr>
            <w:r>
              <w:rPr>
                <w:b/>
                <w:color w:val="000000" w:themeColor="text1"/>
                <w:spacing w:val="-10"/>
                <w:kern w:val="0"/>
                <w:szCs w:val="21"/>
                <w14:textFill>
                  <w14:solidFill>
                    <w14:schemeClr w14:val="tx1"/>
                  </w14:solidFill>
                </w14:textFill>
              </w:rPr>
              <w:t>排放量（t/a）</w:t>
            </w:r>
          </w:p>
        </w:tc>
        <w:tc>
          <w:tcPr>
            <w:tcW w:w="703" w:type="dxa"/>
            <w:vMerge w:val="continue"/>
            <w:vAlign w:val="center"/>
          </w:tcPr>
          <w:p>
            <w:pPr>
              <w:spacing w:line="240" w:lineRule="auto"/>
              <w:jc w:val="center"/>
              <w:rPr>
                <w:b/>
                <w:color w:val="000000" w:themeColor="text1"/>
                <w:spacing w:val="-10"/>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restar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破碎</w:t>
            </w:r>
          </w:p>
        </w:tc>
        <w:tc>
          <w:tcPr>
            <w:tcW w:w="1134"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1#原料破碎车间</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850"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8000</w:t>
            </w:r>
          </w:p>
        </w:tc>
        <w:tc>
          <w:tcPr>
            <w:tcW w:w="993" w:type="dxa"/>
            <w:vAlign w:val="center"/>
          </w:tcPr>
          <w:p>
            <w:pPr>
              <w:spacing w:line="240" w:lineRule="auto"/>
              <w:jc w:val="center"/>
              <w:rPr>
                <w:rFonts w:eastAsia="等线"/>
                <w:color w:val="000000" w:themeColor="text1"/>
                <w:spacing w:val="-10"/>
                <w:kern w:val="0"/>
                <w:szCs w:val="21"/>
                <w14:textFill>
                  <w14:solidFill>
                    <w14:schemeClr w14:val="tx1"/>
                  </w14:solidFill>
                </w14:textFill>
              </w:rPr>
            </w:pPr>
            <w:r>
              <w:rPr>
                <w:rFonts w:eastAsia="等线"/>
                <w:color w:val="000000" w:themeColor="text1"/>
                <w:spacing w:val="-10"/>
                <w:szCs w:val="21"/>
                <w14:textFill>
                  <w14:solidFill>
                    <w14:schemeClr w14:val="tx1"/>
                  </w14:solidFill>
                </w14:textFill>
              </w:rPr>
              <w:t xml:space="preserve">101.00 </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0.808</w:t>
            </w:r>
          </w:p>
        </w:tc>
        <w:tc>
          <w:tcPr>
            <w:tcW w:w="738"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5.82</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0</w:t>
            </w:r>
          </w:p>
        </w:tc>
        <w:tc>
          <w:tcPr>
            <w:tcW w:w="1162"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布袋除尘器</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5</w:t>
            </w:r>
          </w:p>
        </w:tc>
        <w:tc>
          <w:tcPr>
            <w:tcW w:w="963" w:type="dxa"/>
            <w:vAlign w:val="center"/>
          </w:tcPr>
          <w:p>
            <w:pPr>
              <w:spacing w:line="240" w:lineRule="auto"/>
              <w:jc w:val="center"/>
              <w:rPr>
                <w:rFonts w:eastAsia="等线"/>
                <w:color w:val="000000" w:themeColor="text1"/>
                <w:kern w:val="0"/>
                <w:szCs w:val="21"/>
                <w14:textFill>
                  <w14:solidFill>
                    <w14:schemeClr w14:val="tx1"/>
                  </w14:solidFill>
                </w14:textFill>
              </w:rPr>
            </w:pPr>
            <w:r>
              <w:rPr>
                <w:rFonts w:eastAsia="等线"/>
                <w:color w:val="000000" w:themeColor="text1"/>
                <w:szCs w:val="21"/>
                <w14:textFill>
                  <w14:solidFill>
                    <w14:schemeClr w14:val="tx1"/>
                  </w14:solidFill>
                </w14:textFill>
              </w:rPr>
              <w:t xml:space="preserve">4.55 </w:t>
            </w:r>
          </w:p>
        </w:tc>
        <w:tc>
          <w:tcPr>
            <w:tcW w:w="993"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0.036 </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0.262 </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0.024 </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0.175 </w:t>
            </w:r>
          </w:p>
        </w:tc>
        <w:tc>
          <w:tcPr>
            <w:tcW w:w="703"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2#原料破碎车间</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850"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16000</w:t>
            </w:r>
          </w:p>
        </w:tc>
        <w:tc>
          <w:tcPr>
            <w:tcW w:w="993" w:type="dxa"/>
            <w:vAlign w:val="center"/>
          </w:tcPr>
          <w:p>
            <w:pPr>
              <w:spacing w:line="240" w:lineRule="auto"/>
              <w:jc w:val="center"/>
              <w:rPr>
                <w:rFonts w:eastAsia="等线"/>
                <w:color w:val="000000" w:themeColor="text1"/>
                <w:spacing w:val="-10"/>
                <w:szCs w:val="21"/>
                <w14:textFill>
                  <w14:solidFill>
                    <w14:schemeClr w14:val="tx1"/>
                  </w14:solidFill>
                </w14:textFill>
              </w:rPr>
            </w:pPr>
            <w:r>
              <w:rPr>
                <w:rFonts w:eastAsia="等线"/>
                <w:color w:val="000000" w:themeColor="text1"/>
                <w:spacing w:val="-10"/>
                <w:szCs w:val="21"/>
                <w14:textFill>
                  <w14:solidFill>
                    <w14:schemeClr w14:val="tx1"/>
                  </w14:solidFill>
                </w14:textFill>
              </w:rPr>
              <w:t xml:space="preserve">101.06 </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1.617</w:t>
            </w:r>
          </w:p>
        </w:tc>
        <w:tc>
          <w:tcPr>
            <w:tcW w:w="738"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11.64</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0</w:t>
            </w:r>
          </w:p>
        </w:tc>
        <w:tc>
          <w:tcPr>
            <w:tcW w:w="1162"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布袋除尘器</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5</w:t>
            </w:r>
          </w:p>
        </w:tc>
        <w:tc>
          <w:tcPr>
            <w:tcW w:w="963"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4.55 </w:t>
            </w:r>
          </w:p>
        </w:tc>
        <w:tc>
          <w:tcPr>
            <w:tcW w:w="993"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0.073 </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0.524 </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0.049 </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0.349 </w:t>
            </w:r>
          </w:p>
        </w:tc>
        <w:tc>
          <w:tcPr>
            <w:tcW w:w="70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r>
              <w:rPr>
                <w:color w:val="000000" w:themeColor="text1"/>
                <w:kern w:val="0"/>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675" w:type="dxa"/>
            <w:vMerge w:val="restar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热裂解</w:t>
            </w:r>
          </w:p>
        </w:tc>
        <w:tc>
          <w:tcPr>
            <w:tcW w:w="1134" w:type="dxa"/>
            <w:vMerge w:val="restar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不凝气</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850" w:type="dxa"/>
            <w:vMerge w:val="restart"/>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15125</w:t>
            </w:r>
          </w:p>
        </w:tc>
        <w:tc>
          <w:tcPr>
            <w:tcW w:w="993"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66.58 </w:t>
            </w:r>
          </w:p>
        </w:tc>
        <w:tc>
          <w:tcPr>
            <w:tcW w:w="850" w:type="dxa"/>
            <w:vAlign w:val="center"/>
          </w:tcPr>
          <w:p>
            <w:pPr>
              <w:spacing w:line="240" w:lineRule="auto"/>
              <w:jc w:val="righ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1.007 </w:t>
            </w:r>
          </w:p>
        </w:tc>
        <w:tc>
          <w:tcPr>
            <w:tcW w:w="738"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7.2</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c>
          <w:tcPr>
            <w:tcW w:w="1162" w:type="dxa"/>
            <w:vMerge w:val="restar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“二次燃烧+烟气骤冷+SCR脱硝+钠碱法脱硫+湿电除尘+气液分离+二级活性炭吸附”；储罐呼吸废气收集后接入二燃室燃烧处理</w:t>
            </w:r>
          </w:p>
        </w:tc>
        <w:tc>
          <w:tcPr>
            <w:tcW w:w="851" w:type="dxa"/>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w:t>
            </w:r>
          </w:p>
        </w:tc>
        <w:tc>
          <w:tcPr>
            <w:tcW w:w="963" w:type="dxa"/>
            <w:vAlign w:val="center"/>
          </w:tcPr>
          <w:p>
            <w:pPr>
              <w:spacing w:line="240" w:lineRule="auto"/>
              <w:jc w:val="center"/>
              <w:rPr>
                <w:rFonts w:eastAsia="等线"/>
                <w:color w:val="FF0000"/>
                <w:kern w:val="0"/>
                <w:szCs w:val="21"/>
              </w:rPr>
            </w:pPr>
            <w:r>
              <w:rPr>
                <w:rFonts w:eastAsia="等线"/>
                <w:color w:val="FF0000"/>
                <w:szCs w:val="21"/>
              </w:rPr>
              <w:t xml:space="preserve">13.32 </w:t>
            </w:r>
          </w:p>
        </w:tc>
        <w:tc>
          <w:tcPr>
            <w:tcW w:w="993" w:type="dxa"/>
            <w:vAlign w:val="center"/>
          </w:tcPr>
          <w:p>
            <w:pPr>
              <w:spacing w:line="240" w:lineRule="auto"/>
              <w:jc w:val="center"/>
              <w:rPr>
                <w:rFonts w:eastAsia="等线"/>
                <w:color w:val="FF0000"/>
                <w:szCs w:val="21"/>
              </w:rPr>
            </w:pPr>
            <w:r>
              <w:rPr>
                <w:rFonts w:eastAsia="等线"/>
                <w:color w:val="FF0000"/>
                <w:szCs w:val="21"/>
              </w:rPr>
              <w:t xml:space="preserve">0.201 </w:t>
            </w:r>
          </w:p>
        </w:tc>
        <w:tc>
          <w:tcPr>
            <w:tcW w:w="850" w:type="dxa"/>
            <w:vAlign w:val="center"/>
          </w:tcPr>
          <w:p>
            <w:pPr>
              <w:spacing w:line="240" w:lineRule="auto"/>
              <w:jc w:val="center"/>
              <w:rPr>
                <w:rFonts w:eastAsia="等线"/>
                <w:color w:val="FF0000"/>
                <w:szCs w:val="21"/>
              </w:rPr>
            </w:pPr>
            <w:r>
              <w:rPr>
                <w:rFonts w:eastAsia="等线"/>
                <w:color w:val="FF0000"/>
                <w:szCs w:val="21"/>
              </w:rPr>
              <w:t>1.44</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restart"/>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N</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X</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93"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166.45 </w:t>
            </w:r>
          </w:p>
        </w:tc>
        <w:tc>
          <w:tcPr>
            <w:tcW w:w="850" w:type="dxa"/>
            <w:vAlign w:val="center"/>
          </w:tcPr>
          <w:p>
            <w:pPr>
              <w:spacing w:line="240" w:lineRule="auto"/>
              <w:jc w:val="righ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2.517 </w:t>
            </w:r>
          </w:p>
        </w:tc>
        <w:tc>
          <w:tcPr>
            <w:tcW w:w="738"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18</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0</w:t>
            </w:r>
          </w:p>
        </w:tc>
        <w:tc>
          <w:tcPr>
            <w:tcW w:w="963" w:type="dxa"/>
            <w:vAlign w:val="center"/>
          </w:tcPr>
          <w:p>
            <w:pPr>
              <w:spacing w:line="240" w:lineRule="auto"/>
              <w:jc w:val="center"/>
              <w:rPr>
                <w:rFonts w:eastAsia="等线"/>
                <w:color w:val="FF0000"/>
                <w:szCs w:val="21"/>
              </w:rPr>
            </w:pPr>
            <w:r>
              <w:rPr>
                <w:rFonts w:eastAsia="等线"/>
                <w:color w:val="FF0000"/>
                <w:szCs w:val="21"/>
              </w:rPr>
              <w:t xml:space="preserve">99.87 </w:t>
            </w:r>
          </w:p>
        </w:tc>
        <w:tc>
          <w:tcPr>
            <w:tcW w:w="993" w:type="dxa"/>
            <w:vAlign w:val="center"/>
          </w:tcPr>
          <w:p>
            <w:pPr>
              <w:spacing w:line="240" w:lineRule="auto"/>
              <w:jc w:val="center"/>
              <w:rPr>
                <w:rFonts w:eastAsia="等线"/>
                <w:color w:val="FF0000"/>
                <w:szCs w:val="21"/>
              </w:rPr>
            </w:pPr>
            <w:r>
              <w:rPr>
                <w:rFonts w:eastAsia="等线"/>
                <w:color w:val="FF0000"/>
                <w:szCs w:val="21"/>
              </w:rPr>
              <w:t xml:space="preserve">1.510 </w:t>
            </w:r>
          </w:p>
        </w:tc>
        <w:tc>
          <w:tcPr>
            <w:tcW w:w="850" w:type="dxa"/>
            <w:vAlign w:val="center"/>
          </w:tcPr>
          <w:p>
            <w:pPr>
              <w:spacing w:line="240" w:lineRule="auto"/>
              <w:jc w:val="center"/>
              <w:rPr>
                <w:rFonts w:eastAsia="等线"/>
                <w:color w:val="FF0000"/>
                <w:szCs w:val="21"/>
              </w:rPr>
            </w:pPr>
            <w:r>
              <w:rPr>
                <w:rFonts w:eastAsia="等线"/>
                <w:color w:val="FF0000"/>
                <w:szCs w:val="21"/>
              </w:rPr>
              <w:t>10.8</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S</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2</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93"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490.83 </w:t>
            </w:r>
          </w:p>
        </w:tc>
        <w:tc>
          <w:tcPr>
            <w:tcW w:w="850" w:type="dxa"/>
            <w:vAlign w:val="center"/>
          </w:tcPr>
          <w:p>
            <w:pPr>
              <w:spacing w:line="240" w:lineRule="auto"/>
              <w:jc w:val="righ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r>
              <w:rPr>
                <w:color w:val="000000" w:themeColor="text1"/>
                <w:kern w:val="0"/>
                <w:szCs w:val="21"/>
                <w14:textFill>
                  <w14:solidFill>
                    <w14:schemeClr w14:val="tx1"/>
                  </w14:solidFill>
                </w14:textFill>
              </w:rPr>
              <w:t>424</w:t>
            </w:r>
            <w:r>
              <w:rPr>
                <w:rFonts w:hint="eastAsia"/>
                <w:color w:val="000000" w:themeColor="text1"/>
                <w:kern w:val="0"/>
                <w:szCs w:val="21"/>
                <w14:textFill>
                  <w14:solidFill>
                    <w14:schemeClr w14:val="tx1"/>
                  </w14:solidFill>
                </w14:textFill>
              </w:rPr>
              <w:t xml:space="preserve"> </w:t>
            </w:r>
          </w:p>
        </w:tc>
        <w:tc>
          <w:tcPr>
            <w:tcW w:w="738"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53.08</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w:t>
            </w:r>
          </w:p>
        </w:tc>
        <w:tc>
          <w:tcPr>
            <w:tcW w:w="963" w:type="dxa"/>
            <w:vAlign w:val="center"/>
          </w:tcPr>
          <w:p>
            <w:pPr>
              <w:spacing w:line="240" w:lineRule="auto"/>
              <w:jc w:val="center"/>
              <w:rPr>
                <w:rFonts w:eastAsia="等线"/>
                <w:color w:val="FF0000"/>
                <w:szCs w:val="21"/>
              </w:rPr>
            </w:pPr>
            <w:r>
              <w:rPr>
                <w:rFonts w:eastAsia="等线"/>
                <w:color w:val="FF0000"/>
                <w:szCs w:val="21"/>
              </w:rPr>
              <w:t xml:space="preserve">49.06 </w:t>
            </w:r>
          </w:p>
        </w:tc>
        <w:tc>
          <w:tcPr>
            <w:tcW w:w="993" w:type="dxa"/>
            <w:vAlign w:val="center"/>
          </w:tcPr>
          <w:p>
            <w:pPr>
              <w:spacing w:line="240" w:lineRule="auto"/>
              <w:jc w:val="center"/>
              <w:rPr>
                <w:rFonts w:eastAsia="等线"/>
                <w:color w:val="FF0000"/>
                <w:szCs w:val="21"/>
              </w:rPr>
            </w:pPr>
            <w:r>
              <w:rPr>
                <w:rFonts w:eastAsia="等线"/>
                <w:color w:val="FF0000"/>
                <w:szCs w:val="21"/>
              </w:rPr>
              <w:t xml:space="preserve">0.742 </w:t>
            </w:r>
          </w:p>
        </w:tc>
        <w:tc>
          <w:tcPr>
            <w:tcW w:w="850" w:type="dxa"/>
            <w:vAlign w:val="center"/>
          </w:tcPr>
          <w:p>
            <w:pPr>
              <w:spacing w:line="240" w:lineRule="auto"/>
              <w:jc w:val="center"/>
              <w:rPr>
                <w:rFonts w:eastAsia="等线"/>
                <w:color w:val="FF0000"/>
                <w:szCs w:val="21"/>
              </w:rPr>
            </w:pPr>
            <w:r>
              <w:rPr>
                <w:rFonts w:eastAsia="等线"/>
                <w:color w:val="FF0000"/>
                <w:szCs w:val="21"/>
              </w:rPr>
              <w:t xml:space="preserve">5.308 </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85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w:t>
            </w:r>
            <w:r>
              <w:rPr>
                <w:rFonts w:hint="eastAsia"/>
                <w:color w:val="000000" w:themeColor="text1"/>
                <w:kern w:val="0"/>
                <w:szCs w:val="21"/>
                <w:vertAlign w:val="subscript"/>
                <w14:textFill>
                  <w14:solidFill>
                    <w14:schemeClr w14:val="tx1"/>
                  </w14:solidFill>
                </w14:textFill>
              </w:rPr>
              <w:t>2</w:t>
            </w:r>
            <w:r>
              <w:rPr>
                <w:color w:val="000000" w:themeColor="text1"/>
                <w:kern w:val="0"/>
                <w:szCs w:val="21"/>
                <w14:textFill>
                  <w14:solidFill>
                    <w14:schemeClr w14:val="tx1"/>
                  </w14:solidFill>
                </w14:textFill>
              </w:rPr>
              <w:t>S</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93"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5.27</w:t>
            </w:r>
          </w:p>
        </w:tc>
        <w:tc>
          <w:tcPr>
            <w:tcW w:w="850" w:type="dxa"/>
            <w:vAlign w:val="center"/>
          </w:tcPr>
          <w:p>
            <w:pPr>
              <w:spacing w:line="240" w:lineRule="auto"/>
              <w:jc w:val="righ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0.080 </w:t>
            </w:r>
          </w:p>
        </w:tc>
        <w:tc>
          <w:tcPr>
            <w:tcW w:w="738"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0.57</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w:t>
            </w:r>
          </w:p>
        </w:tc>
        <w:tc>
          <w:tcPr>
            <w:tcW w:w="963" w:type="dxa"/>
            <w:vAlign w:val="center"/>
          </w:tcPr>
          <w:p>
            <w:pPr>
              <w:spacing w:line="240" w:lineRule="auto"/>
              <w:jc w:val="center"/>
              <w:rPr>
                <w:rFonts w:eastAsia="等线"/>
                <w:color w:val="FF0000"/>
                <w:szCs w:val="21"/>
              </w:rPr>
            </w:pPr>
            <w:r>
              <w:rPr>
                <w:rFonts w:eastAsia="等线"/>
                <w:color w:val="FF0000"/>
                <w:szCs w:val="21"/>
              </w:rPr>
              <w:t xml:space="preserve">2.64 </w:t>
            </w:r>
          </w:p>
        </w:tc>
        <w:tc>
          <w:tcPr>
            <w:tcW w:w="993" w:type="dxa"/>
            <w:vAlign w:val="center"/>
          </w:tcPr>
          <w:p>
            <w:pPr>
              <w:spacing w:line="240" w:lineRule="auto"/>
              <w:jc w:val="center"/>
              <w:rPr>
                <w:rFonts w:eastAsia="等线"/>
                <w:color w:val="FF0000"/>
                <w:szCs w:val="21"/>
              </w:rPr>
            </w:pPr>
            <w:r>
              <w:rPr>
                <w:rFonts w:eastAsia="等线"/>
                <w:color w:val="FF0000"/>
                <w:szCs w:val="21"/>
              </w:rPr>
              <w:t xml:space="preserve">0.040 </w:t>
            </w:r>
          </w:p>
        </w:tc>
        <w:tc>
          <w:tcPr>
            <w:tcW w:w="850" w:type="dxa"/>
            <w:vAlign w:val="center"/>
          </w:tcPr>
          <w:p>
            <w:pPr>
              <w:spacing w:line="240" w:lineRule="auto"/>
              <w:jc w:val="center"/>
              <w:rPr>
                <w:rFonts w:eastAsia="等线"/>
                <w:color w:val="FF0000"/>
                <w:szCs w:val="21"/>
              </w:rPr>
            </w:pPr>
            <w:r>
              <w:rPr>
                <w:rFonts w:eastAsia="等线"/>
                <w:color w:val="FF0000"/>
                <w:szCs w:val="21"/>
              </w:rPr>
              <w:t>0.285</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非甲烷总烃</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93"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99.87 </w:t>
            </w:r>
          </w:p>
        </w:tc>
        <w:tc>
          <w:tcPr>
            <w:tcW w:w="850" w:type="dxa"/>
            <w:vAlign w:val="center"/>
          </w:tcPr>
          <w:p>
            <w:pPr>
              <w:spacing w:line="240" w:lineRule="auto"/>
              <w:jc w:val="righ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1.510 </w:t>
            </w:r>
          </w:p>
        </w:tc>
        <w:tc>
          <w:tcPr>
            <w:tcW w:w="738"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10.8</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5</w:t>
            </w:r>
          </w:p>
        </w:tc>
        <w:tc>
          <w:tcPr>
            <w:tcW w:w="963" w:type="dxa"/>
            <w:vAlign w:val="center"/>
          </w:tcPr>
          <w:p>
            <w:pPr>
              <w:spacing w:line="240" w:lineRule="auto"/>
              <w:jc w:val="center"/>
              <w:rPr>
                <w:rFonts w:eastAsia="等线"/>
                <w:color w:val="FF0000"/>
                <w:szCs w:val="21"/>
              </w:rPr>
            </w:pPr>
            <w:r>
              <w:rPr>
                <w:rFonts w:eastAsia="等线"/>
                <w:color w:val="FF0000"/>
                <w:szCs w:val="21"/>
              </w:rPr>
              <w:t xml:space="preserve">13.38 </w:t>
            </w:r>
          </w:p>
        </w:tc>
        <w:tc>
          <w:tcPr>
            <w:tcW w:w="993" w:type="dxa"/>
            <w:vAlign w:val="center"/>
          </w:tcPr>
          <w:p>
            <w:pPr>
              <w:spacing w:line="240" w:lineRule="auto"/>
              <w:jc w:val="center"/>
              <w:rPr>
                <w:rFonts w:eastAsia="等线"/>
                <w:color w:val="FF0000"/>
                <w:szCs w:val="21"/>
              </w:rPr>
            </w:pPr>
            <w:r>
              <w:rPr>
                <w:rFonts w:eastAsia="等线"/>
                <w:color w:val="FF0000"/>
                <w:szCs w:val="21"/>
              </w:rPr>
              <w:t xml:space="preserve">0.202 </w:t>
            </w:r>
          </w:p>
        </w:tc>
        <w:tc>
          <w:tcPr>
            <w:tcW w:w="850" w:type="dxa"/>
            <w:vAlign w:val="center"/>
          </w:tcPr>
          <w:p>
            <w:pPr>
              <w:spacing w:line="240" w:lineRule="auto"/>
              <w:jc w:val="center"/>
              <w:rPr>
                <w:rFonts w:eastAsia="等线"/>
                <w:color w:val="FF0000"/>
                <w:szCs w:val="21"/>
              </w:rPr>
            </w:pPr>
            <w:r>
              <w:rPr>
                <w:rFonts w:eastAsia="等线"/>
                <w:color w:val="FF0000"/>
                <w:szCs w:val="21"/>
              </w:rPr>
              <w:t xml:space="preserve">1.447 </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甲苯</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93"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8.62 </w:t>
            </w:r>
          </w:p>
        </w:tc>
        <w:tc>
          <w:tcPr>
            <w:tcW w:w="850" w:type="dxa"/>
            <w:vAlign w:val="center"/>
          </w:tcPr>
          <w:p>
            <w:pPr>
              <w:spacing w:line="240" w:lineRule="auto"/>
              <w:jc w:val="righ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0.130 </w:t>
            </w:r>
          </w:p>
        </w:tc>
        <w:tc>
          <w:tcPr>
            <w:tcW w:w="738"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0.932</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95</w:t>
            </w:r>
          </w:p>
        </w:tc>
        <w:tc>
          <w:tcPr>
            <w:tcW w:w="963" w:type="dxa"/>
            <w:vAlign w:val="center"/>
          </w:tcPr>
          <w:p>
            <w:pPr>
              <w:spacing w:line="240" w:lineRule="auto"/>
              <w:jc w:val="center"/>
              <w:rPr>
                <w:rFonts w:eastAsia="等线"/>
                <w:color w:val="FF0000"/>
                <w:szCs w:val="21"/>
              </w:rPr>
            </w:pPr>
            <w:r>
              <w:rPr>
                <w:rFonts w:eastAsia="等线"/>
                <w:color w:val="FF0000"/>
                <w:szCs w:val="21"/>
              </w:rPr>
              <w:t xml:space="preserve">0.43 </w:t>
            </w:r>
          </w:p>
        </w:tc>
        <w:tc>
          <w:tcPr>
            <w:tcW w:w="993" w:type="dxa"/>
            <w:vAlign w:val="center"/>
          </w:tcPr>
          <w:p>
            <w:pPr>
              <w:spacing w:line="240" w:lineRule="auto"/>
              <w:jc w:val="center"/>
              <w:rPr>
                <w:rFonts w:eastAsia="等线"/>
                <w:color w:val="FF0000"/>
                <w:szCs w:val="21"/>
              </w:rPr>
            </w:pPr>
            <w:r>
              <w:rPr>
                <w:rFonts w:eastAsia="等线"/>
                <w:color w:val="FF0000"/>
                <w:szCs w:val="21"/>
              </w:rPr>
              <w:t xml:space="preserve">0.007 </w:t>
            </w:r>
          </w:p>
        </w:tc>
        <w:tc>
          <w:tcPr>
            <w:tcW w:w="850" w:type="dxa"/>
            <w:vAlign w:val="center"/>
          </w:tcPr>
          <w:p>
            <w:pPr>
              <w:spacing w:line="240" w:lineRule="auto"/>
              <w:jc w:val="center"/>
              <w:rPr>
                <w:rFonts w:eastAsia="等线"/>
                <w:color w:val="FF0000"/>
                <w:szCs w:val="21"/>
              </w:rPr>
            </w:pPr>
            <w:r>
              <w:rPr>
                <w:rFonts w:eastAsia="等线"/>
                <w:color w:val="FF0000"/>
                <w:szCs w:val="21"/>
              </w:rPr>
              <w:t xml:space="preserve">0.047 </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二甲苯</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93"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8.08 </w:t>
            </w:r>
          </w:p>
        </w:tc>
        <w:tc>
          <w:tcPr>
            <w:tcW w:w="850" w:type="dxa"/>
            <w:vAlign w:val="center"/>
          </w:tcPr>
          <w:p>
            <w:pPr>
              <w:spacing w:line="240" w:lineRule="auto"/>
              <w:jc w:val="righ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0.122 </w:t>
            </w:r>
          </w:p>
        </w:tc>
        <w:tc>
          <w:tcPr>
            <w:tcW w:w="738"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0.874</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95</w:t>
            </w:r>
          </w:p>
        </w:tc>
        <w:tc>
          <w:tcPr>
            <w:tcW w:w="963" w:type="dxa"/>
            <w:vAlign w:val="center"/>
          </w:tcPr>
          <w:p>
            <w:pPr>
              <w:spacing w:line="240" w:lineRule="auto"/>
              <w:jc w:val="center"/>
              <w:rPr>
                <w:rFonts w:eastAsia="等线"/>
                <w:color w:val="FF0000"/>
                <w:szCs w:val="21"/>
              </w:rPr>
            </w:pPr>
            <w:r>
              <w:rPr>
                <w:rFonts w:eastAsia="等线"/>
                <w:color w:val="FF0000"/>
                <w:szCs w:val="21"/>
              </w:rPr>
              <w:t xml:space="preserve">0.40 </w:t>
            </w:r>
          </w:p>
        </w:tc>
        <w:tc>
          <w:tcPr>
            <w:tcW w:w="993" w:type="dxa"/>
            <w:vAlign w:val="center"/>
          </w:tcPr>
          <w:p>
            <w:pPr>
              <w:spacing w:line="240" w:lineRule="auto"/>
              <w:jc w:val="center"/>
              <w:rPr>
                <w:rFonts w:eastAsia="等线"/>
                <w:color w:val="FF0000"/>
                <w:szCs w:val="21"/>
              </w:rPr>
            </w:pPr>
            <w:r>
              <w:rPr>
                <w:rFonts w:eastAsia="等线"/>
                <w:color w:val="FF0000"/>
                <w:szCs w:val="21"/>
              </w:rPr>
              <w:t xml:space="preserve">0.006 </w:t>
            </w:r>
          </w:p>
        </w:tc>
        <w:tc>
          <w:tcPr>
            <w:tcW w:w="850" w:type="dxa"/>
            <w:vAlign w:val="center"/>
          </w:tcPr>
          <w:p>
            <w:pPr>
              <w:spacing w:line="240" w:lineRule="auto"/>
              <w:jc w:val="center"/>
              <w:rPr>
                <w:rFonts w:eastAsia="等线"/>
                <w:color w:val="FF0000"/>
                <w:szCs w:val="21"/>
              </w:rPr>
            </w:pPr>
            <w:r>
              <w:rPr>
                <w:rFonts w:eastAsia="等线"/>
                <w:color w:val="FF0000"/>
                <w:szCs w:val="21"/>
              </w:rPr>
              <w:t xml:space="preserve">0.044 </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二噁英类</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93" w:type="dxa"/>
            <w:vAlign w:val="center"/>
          </w:tcPr>
          <w:p>
            <w:pPr>
              <w:spacing w:line="240" w:lineRule="auto"/>
              <w:jc w:val="center"/>
              <w:rPr>
                <w:rFonts w:eastAsia="等线"/>
                <w:color w:val="000000"/>
                <w:spacing w:val="-20"/>
                <w:szCs w:val="21"/>
              </w:rPr>
            </w:pPr>
            <w:r>
              <w:rPr>
                <w:rFonts w:eastAsia="等线"/>
                <w:color w:val="000000"/>
                <w:spacing w:val="-20"/>
                <w:szCs w:val="21"/>
              </w:rPr>
              <w:t>1.08ngTEQ/m</w:t>
            </w:r>
            <w:r>
              <w:rPr>
                <w:rFonts w:eastAsia="等线"/>
                <w:color w:val="000000"/>
                <w:spacing w:val="-20"/>
                <w:szCs w:val="21"/>
                <w:vertAlign w:val="superscript"/>
              </w:rPr>
              <w:t>3</w:t>
            </w:r>
            <w:r>
              <w:rPr>
                <w:rFonts w:eastAsia="等线"/>
                <w:color w:val="000000"/>
                <w:spacing w:val="-20"/>
                <w:szCs w:val="21"/>
              </w:rPr>
              <w:t xml:space="preserve"> </w:t>
            </w:r>
          </w:p>
        </w:tc>
        <w:tc>
          <w:tcPr>
            <w:tcW w:w="850" w:type="dxa"/>
            <w:vAlign w:val="center"/>
          </w:tcPr>
          <w:p>
            <w:pPr>
              <w:spacing w:line="240" w:lineRule="auto"/>
              <w:jc w:val="center"/>
              <w:rPr>
                <w:rFonts w:eastAsia="等线"/>
                <w:color w:val="000000"/>
                <w:spacing w:val="-20"/>
                <w:szCs w:val="21"/>
              </w:rPr>
            </w:pPr>
            <w:r>
              <w:rPr>
                <w:rFonts w:eastAsia="等线"/>
                <w:color w:val="000000"/>
                <w:spacing w:val="-20"/>
                <w:szCs w:val="21"/>
              </w:rPr>
              <w:t xml:space="preserve">16.783μgTEQ/h </w:t>
            </w:r>
          </w:p>
        </w:tc>
        <w:tc>
          <w:tcPr>
            <w:tcW w:w="738" w:type="dxa"/>
            <w:vAlign w:val="center"/>
          </w:tcPr>
          <w:p>
            <w:pPr>
              <w:spacing w:line="240" w:lineRule="auto"/>
              <w:jc w:val="center"/>
              <w:rPr>
                <w:rFonts w:ascii="宋体" w:hAnsi="宋体" w:cs="宋体"/>
                <w:color w:val="000000"/>
                <w:spacing w:val="-20"/>
                <w:szCs w:val="21"/>
              </w:rPr>
            </w:pPr>
            <w:r>
              <w:rPr>
                <w:color w:val="000000"/>
                <w:spacing w:val="-20"/>
                <w:szCs w:val="21"/>
              </w:rPr>
              <w:t>0.12gTEQ/a</w:t>
            </w:r>
            <w:r>
              <w:rPr>
                <w:rFonts w:hint="eastAsia"/>
                <w:color w:val="000000"/>
                <w:spacing w:val="-20"/>
                <w:szCs w:val="21"/>
              </w:rPr>
              <w:t xml:space="preserve"> </w:t>
            </w:r>
          </w:p>
        </w:tc>
        <w:tc>
          <w:tcPr>
            <w:tcW w:w="680"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95</w:t>
            </w:r>
          </w:p>
        </w:tc>
        <w:tc>
          <w:tcPr>
            <w:tcW w:w="963" w:type="dxa"/>
            <w:vAlign w:val="center"/>
          </w:tcPr>
          <w:p>
            <w:pPr>
              <w:spacing w:line="240" w:lineRule="auto"/>
              <w:jc w:val="center"/>
              <w:rPr>
                <w:rFonts w:eastAsia="等线"/>
                <w:color w:val="000000"/>
                <w:spacing w:val="-20"/>
                <w:szCs w:val="21"/>
              </w:rPr>
            </w:pPr>
            <w:r>
              <w:rPr>
                <w:rFonts w:eastAsia="等线"/>
                <w:color w:val="000000"/>
                <w:spacing w:val="-20"/>
                <w:szCs w:val="21"/>
              </w:rPr>
              <w:t>0.054ng-TEQ/m</w:t>
            </w:r>
            <w:r>
              <w:rPr>
                <w:rFonts w:eastAsia="等线"/>
                <w:color w:val="000000"/>
                <w:spacing w:val="-20"/>
                <w:szCs w:val="21"/>
                <w:vertAlign w:val="superscript"/>
              </w:rPr>
              <w:t>3</w:t>
            </w:r>
          </w:p>
        </w:tc>
        <w:tc>
          <w:tcPr>
            <w:tcW w:w="993" w:type="dxa"/>
            <w:vAlign w:val="center"/>
          </w:tcPr>
          <w:p>
            <w:pPr>
              <w:spacing w:line="240" w:lineRule="auto"/>
              <w:jc w:val="center"/>
              <w:rPr>
                <w:rFonts w:eastAsia="等线"/>
                <w:color w:val="000000"/>
                <w:spacing w:val="-20"/>
                <w:szCs w:val="21"/>
              </w:rPr>
            </w:pPr>
            <w:r>
              <w:rPr>
                <w:rFonts w:eastAsia="等线"/>
                <w:color w:val="000000"/>
                <w:spacing w:val="-20"/>
                <w:szCs w:val="21"/>
              </w:rPr>
              <w:t xml:space="preserve">0.839μg-TEQ/h </w:t>
            </w:r>
          </w:p>
        </w:tc>
        <w:tc>
          <w:tcPr>
            <w:tcW w:w="850" w:type="dxa"/>
            <w:vAlign w:val="center"/>
          </w:tcPr>
          <w:p>
            <w:pPr>
              <w:spacing w:line="240" w:lineRule="auto"/>
              <w:jc w:val="center"/>
              <w:rPr>
                <w:rFonts w:ascii="宋体" w:hAnsi="宋体" w:cs="宋体"/>
                <w:color w:val="000000"/>
                <w:spacing w:val="-20"/>
                <w:szCs w:val="21"/>
              </w:rPr>
            </w:pPr>
            <w:r>
              <w:rPr>
                <w:rFonts w:hint="eastAsia"/>
                <w:color w:val="000000"/>
                <w:spacing w:val="-20"/>
                <w:szCs w:val="21"/>
              </w:rPr>
              <w:t>0.00</w:t>
            </w:r>
            <w:r>
              <w:rPr>
                <w:color w:val="000000"/>
                <w:spacing w:val="-20"/>
                <w:szCs w:val="21"/>
              </w:rPr>
              <w:t>6g-TEQ/a</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臭气浓度</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93"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50"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38"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少量</w:t>
            </w:r>
          </w:p>
        </w:tc>
        <w:tc>
          <w:tcPr>
            <w:tcW w:w="680"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63"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93"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50"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少量</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1134"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林格曼黑度</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2581" w:type="dxa"/>
            <w:gridSpan w:val="3"/>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≤1级</w:t>
            </w:r>
          </w:p>
        </w:tc>
        <w:tc>
          <w:tcPr>
            <w:tcW w:w="680"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2806" w:type="dxa"/>
            <w:gridSpan w:val="3"/>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≤1级</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储罐区</w:t>
            </w:r>
          </w:p>
        </w:tc>
        <w:tc>
          <w:tcPr>
            <w:tcW w:w="1134"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储罐区</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非甲烷总烃</w:t>
            </w:r>
          </w:p>
        </w:tc>
        <w:tc>
          <w:tcPr>
            <w:tcW w:w="850"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99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2</w:t>
            </w:r>
            <w:r>
              <w:rPr>
                <w:rFonts w:eastAsia="等线"/>
                <w:color w:val="000000" w:themeColor="text1"/>
                <w:szCs w:val="21"/>
                <w14:textFill>
                  <w14:solidFill>
                    <w14:schemeClr w14:val="tx1"/>
                  </w14:solidFill>
                </w14:textFill>
              </w:rPr>
              <w:t>.519</w:t>
            </w:r>
          </w:p>
        </w:tc>
        <w:tc>
          <w:tcPr>
            <w:tcW w:w="738"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8.140</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00</w:t>
            </w:r>
          </w:p>
        </w:tc>
        <w:tc>
          <w:tcPr>
            <w:tcW w:w="1162" w:type="dxa"/>
            <w:vMerge w:val="continue"/>
            <w:vAlign w:val="center"/>
          </w:tcPr>
          <w:p>
            <w:pPr>
              <w:spacing w:line="240" w:lineRule="auto"/>
              <w:jc w:val="center"/>
              <w:rPr>
                <w:color w:val="000000" w:themeColor="text1"/>
                <w:kern w:val="0"/>
                <w:szCs w:val="21"/>
                <w14:textFill>
                  <w14:solidFill>
                    <w14:schemeClr w14:val="tx1"/>
                  </w14:solidFill>
                </w14:textFill>
              </w:rPr>
            </w:pP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96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9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Merge w:val="continue"/>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675"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炭黑加工</w:t>
            </w:r>
          </w:p>
        </w:tc>
        <w:tc>
          <w:tcPr>
            <w:tcW w:w="1134"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磁选、磨粉、打包</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850" w:type="dxa"/>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10000</w:t>
            </w:r>
          </w:p>
        </w:tc>
        <w:tc>
          <w:tcPr>
            <w:tcW w:w="99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r>
              <w:rPr>
                <w:color w:val="000000" w:themeColor="text1"/>
                <w:kern w:val="0"/>
                <w:szCs w:val="21"/>
                <w14:textFill>
                  <w14:solidFill>
                    <w14:schemeClr w14:val="tx1"/>
                  </w14:solidFill>
                </w14:textFill>
              </w:rPr>
              <w:t>7.5</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.875</w:t>
            </w:r>
          </w:p>
        </w:tc>
        <w:tc>
          <w:tcPr>
            <w:tcW w:w="738"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.3</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5</w:t>
            </w:r>
          </w:p>
        </w:tc>
        <w:tc>
          <w:tcPr>
            <w:tcW w:w="1162"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布袋除尘器</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5</w:t>
            </w:r>
          </w:p>
        </w:tc>
        <w:tc>
          <w:tcPr>
            <w:tcW w:w="96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w:t>
            </w:r>
            <w:r>
              <w:rPr>
                <w:rFonts w:eastAsia="等线"/>
                <w:color w:val="000000" w:themeColor="text1"/>
                <w:szCs w:val="21"/>
                <w14:textFill>
                  <w14:solidFill>
                    <w14:schemeClr w14:val="tx1"/>
                  </w14:solidFill>
                </w14:textFill>
              </w:rPr>
              <w:t>.16</w:t>
            </w:r>
          </w:p>
        </w:tc>
        <w:tc>
          <w:tcPr>
            <w:tcW w:w="9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.042</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.299</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.044</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.315</w:t>
            </w:r>
          </w:p>
        </w:tc>
        <w:tc>
          <w:tcPr>
            <w:tcW w:w="70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r>
              <w:rPr>
                <w:color w:val="000000" w:themeColor="text1"/>
                <w:kern w:val="0"/>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食堂油烟</w:t>
            </w:r>
          </w:p>
        </w:tc>
        <w:tc>
          <w:tcPr>
            <w:tcW w:w="1134"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食堂</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油烟</w:t>
            </w:r>
          </w:p>
        </w:tc>
        <w:tc>
          <w:tcPr>
            <w:tcW w:w="85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000</w:t>
            </w:r>
          </w:p>
        </w:tc>
        <w:tc>
          <w:tcPr>
            <w:tcW w:w="99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.75</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.027</w:t>
            </w:r>
          </w:p>
        </w:tc>
        <w:tc>
          <w:tcPr>
            <w:tcW w:w="738"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.032</w:t>
            </w:r>
          </w:p>
        </w:tc>
        <w:tc>
          <w:tcPr>
            <w:tcW w:w="680"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1162"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油烟净化器</w:t>
            </w:r>
          </w:p>
        </w:tc>
        <w:tc>
          <w:tcPr>
            <w:tcW w:w="851"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0</w:t>
            </w:r>
          </w:p>
        </w:tc>
        <w:tc>
          <w:tcPr>
            <w:tcW w:w="96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.68</w:t>
            </w:r>
          </w:p>
        </w:tc>
        <w:tc>
          <w:tcPr>
            <w:tcW w:w="993"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.003</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.003</w:t>
            </w:r>
          </w:p>
        </w:tc>
        <w:tc>
          <w:tcPr>
            <w:tcW w:w="851"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85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70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200</w:t>
            </w:r>
          </w:p>
        </w:tc>
      </w:tr>
    </w:tbl>
    <w:p>
      <w:pPr>
        <w:pStyle w:val="2"/>
        <w:rPr>
          <w:color w:val="000000" w:themeColor="text1"/>
          <w14:textFill>
            <w14:solidFill>
              <w14:schemeClr w14:val="tx1"/>
            </w14:solidFill>
          </w14:textFill>
        </w:rPr>
      </w:pPr>
    </w:p>
    <w:p>
      <w:pPr>
        <w:pStyle w:val="75"/>
        <w:ind w:firstLine="480"/>
        <w:rPr>
          <w:color w:val="000000" w:themeColor="text1"/>
          <w14:textFill>
            <w14:solidFill>
              <w14:schemeClr w14:val="tx1"/>
            </w14:solidFill>
          </w14:textFill>
        </w:rPr>
        <w:sectPr>
          <w:pgSz w:w="16840" w:h="11907" w:orient="landscape"/>
          <w:pgMar w:top="851" w:right="1440" w:bottom="1134" w:left="1440" w:header="851" w:footer="851" w:gutter="0"/>
          <w:pgBorders>
            <w:top w:val="none" w:sz="0" w:space="0"/>
            <w:left w:val="none" w:sz="0" w:space="0"/>
            <w:bottom w:val="none" w:sz="0" w:space="0"/>
            <w:right w:val="none" w:sz="0" w:space="0"/>
          </w:pgBorders>
          <w:cols w:space="720" w:num="1"/>
          <w:docGrid w:linePitch="312" w:charSpace="0"/>
        </w:sectPr>
      </w:pPr>
    </w:p>
    <w:tbl>
      <w:tblPr>
        <w:tblStyle w:val="36"/>
        <w:tblW w:w="94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7"/>
        <w:gridCol w:w="90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4" w:hRule="atLeast"/>
          <w:jc w:val="center"/>
        </w:trPr>
        <w:tc>
          <w:tcPr>
            <w:tcW w:w="397" w:type="dxa"/>
            <w:tcMar>
              <w:left w:w="28" w:type="dxa"/>
              <w:right w:w="28" w:type="dxa"/>
            </w:tcMar>
            <w:vAlign w:val="center"/>
          </w:tcPr>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pPr>
              <w:pStyle w:val="32"/>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bCs/>
                <w:color w:val="000000" w:themeColor="text1"/>
                <w:szCs w:val="24"/>
                <w14:textFill>
                  <w14:solidFill>
                    <w14:schemeClr w14:val="tx1"/>
                  </w14:solidFill>
                </w14:textFill>
              </w:rPr>
              <w:t>措施</w:t>
            </w:r>
          </w:p>
        </w:tc>
        <w:tc>
          <w:tcPr>
            <w:tcW w:w="9060" w:type="dxa"/>
          </w:tcPr>
          <w:p>
            <w:pPr>
              <w:pStyle w:val="72"/>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2</w:t>
            </w:r>
            <w:r>
              <w:rPr>
                <w:rFonts w:hint="eastAsia" w:cs="Times New Roman"/>
                <w:b/>
                <w:color w:val="000000" w:themeColor="text1"/>
                <w14:textFill>
                  <w14:solidFill>
                    <w14:schemeClr w14:val="tx1"/>
                  </w14:solidFill>
                </w14:textFill>
              </w:rPr>
              <w:t>、</w:t>
            </w:r>
            <w:r>
              <w:rPr>
                <w:rFonts w:cs="Times New Roman"/>
                <w:b/>
                <w:color w:val="000000" w:themeColor="text1"/>
                <w14:textFill>
                  <w14:solidFill>
                    <w14:schemeClr w14:val="tx1"/>
                  </w14:solidFill>
                </w14:textFill>
              </w:rPr>
              <w:t>废气</w:t>
            </w:r>
            <w:r>
              <w:rPr>
                <w:rFonts w:hint="eastAsia" w:cs="Times New Roman"/>
                <w:b/>
                <w:color w:val="000000" w:themeColor="text1"/>
                <w14:textFill>
                  <w14:solidFill>
                    <w14:schemeClr w14:val="tx1"/>
                  </w14:solidFill>
                </w14:textFill>
              </w:rPr>
              <w:t>排放口基本情况</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大气污染物有组织排放</w:t>
            </w:r>
            <w:r>
              <w:rPr>
                <w:rFonts w:hint="eastAsia" w:cs="Times New Roman"/>
                <w:color w:val="000000" w:themeColor="text1"/>
                <w14:textFill>
                  <w14:solidFill>
                    <w14:schemeClr w14:val="tx1"/>
                  </w14:solidFill>
                </w14:textFill>
              </w:rPr>
              <w:t>口基本情况</w:t>
            </w:r>
            <w:r>
              <w:rPr>
                <w:rFonts w:cs="Times New Roman"/>
                <w:color w:val="000000" w:themeColor="text1"/>
                <w14:textFill>
                  <w14:solidFill>
                    <w14:schemeClr w14:val="tx1"/>
                  </w14:solidFill>
                </w14:textFill>
              </w:rPr>
              <w:t>详见表4.2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5。</w:t>
            </w:r>
          </w:p>
          <w:p>
            <w:pPr>
              <w:pStyle w:val="72"/>
              <w:spacing w:line="240" w:lineRule="auto"/>
              <w:ind w:firstLine="0" w:firstLineChars="0"/>
              <w:jc w:val="center"/>
              <w:rPr>
                <w:rFonts w:cs="Times New Roman"/>
                <w:b/>
                <w:bCs/>
                <w:color w:val="000000" w:themeColor="text1"/>
                <w:szCs w:val="24"/>
                <w14:textFill>
                  <w14:solidFill>
                    <w14:schemeClr w14:val="tx1"/>
                  </w14:solidFill>
                </w14:textFill>
              </w:rPr>
            </w:pPr>
            <w:r>
              <w:rPr>
                <w:rFonts w:cs="Times New Roman"/>
                <w:b/>
                <w:bCs/>
                <w:color w:val="000000" w:themeColor="text1"/>
                <w:szCs w:val="24"/>
                <w14:textFill>
                  <w14:solidFill>
                    <w14:schemeClr w14:val="tx1"/>
                  </w14:solidFill>
                </w14:textFill>
              </w:rPr>
              <w:t>表4.2</w:t>
            </w:r>
            <w:r>
              <w:rPr>
                <w:rFonts w:hint="eastAsia" w:cs="Times New Roman"/>
                <w:b/>
                <w:bCs/>
                <w:color w:val="000000" w:themeColor="text1"/>
                <w:szCs w:val="24"/>
                <w14:textFill>
                  <w14:solidFill>
                    <w14:schemeClr w14:val="tx1"/>
                  </w14:solidFill>
                </w14:textFill>
              </w:rPr>
              <w:t>-</w:t>
            </w:r>
            <w:r>
              <w:rPr>
                <w:rFonts w:cs="Times New Roman"/>
                <w:b/>
                <w:bCs/>
                <w:color w:val="000000" w:themeColor="text1"/>
                <w:szCs w:val="24"/>
                <w14:textFill>
                  <w14:solidFill>
                    <w14:schemeClr w14:val="tx1"/>
                  </w14:solidFill>
                </w14:textFill>
              </w:rPr>
              <w:t>5</w:t>
            </w:r>
            <w:r>
              <w:rPr>
                <w:rFonts w:hint="eastAsia" w:cs="Times New Roman"/>
                <w:b/>
                <w:bCs/>
                <w:color w:val="000000" w:themeColor="text1"/>
                <w:szCs w:val="24"/>
                <w14:textFill>
                  <w14:solidFill>
                    <w14:schemeClr w14:val="tx1"/>
                  </w14:solidFill>
                </w14:textFill>
              </w:rPr>
              <w:t xml:space="preserve"> </w:t>
            </w:r>
            <w:r>
              <w:rPr>
                <w:rFonts w:cs="Times New Roman"/>
                <w:b/>
                <w:bCs/>
                <w:color w:val="000000" w:themeColor="text1"/>
                <w:szCs w:val="24"/>
                <w14:textFill>
                  <w14:solidFill>
                    <w14:schemeClr w14:val="tx1"/>
                  </w14:solidFill>
                </w14:textFill>
              </w:rPr>
              <w:t xml:space="preserve"> 有组织废气正常排放</w:t>
            </w:r>
            <w:r>
              <w:rPr>
                <w:rFonts w:hint="eastAsia" w:cs="Times New Roman"/>
                <w:b/>
                <w:bCs/>
                <w:color w:val="000000" w:themeColor="text1"/>
                <w:szCs w:val="24"/>
                <w14:textFill>
                  <w14:solidFill>
                    <w14:schemeClr w14:val="tx1"/>
                  </w14:solidFill>
                </w14:textFill>
              </w:rPr>
              <w:t>情况表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769"/>
              <w:gridCol w:w="992"/>
              <w:gridCol w:w="900"/>
              <w:gridCol w:w="711"/>
              <w:gridCol w:w="604"/>
              <w:gridCol w:w="613"/>
              <w:gridCol w:w="716"/>
              <w:gridCol w:w="567"/>
              <w:gridCol w:w="567"/>
              <w:gridCol w:w="709"/>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8"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编号</w:t>
                  </w:r>
                </w:p>
              </w:tc>
              <w:tc>
                <w:tcPr>
                  <w:tcW w:w="769"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名称</w:t>
                  </w:r>
                </w:p>
              </w:tc>
              <w:tc>
                <w:tcPr>
                  <w:tcW w:w="1892" w:type="dxa"/>
                  <w:gridSpan w:val="2"/>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排气筒底部</w:t>
                  </w:r>
                </w:p>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中心坐标</w:t>
                  </w:r>
                </w:p>
              </w:tc>
              <w:tc>
                <w:tcPr>
                  <w:tcW w:w="711"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排气筒底部海拔高度/m</w:t>
                  </w:r>
                </w:p>
              </w:tc>
              <w:tc>
                <w:tcPr>
                  <w:tcW w:w="604"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排气筒高度/m</w:t>
                  </w:r>
                </w:p>
              </w:tc>
              <w:tc>
                <w:tcPr>
                  <w:tcW w:w="613"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排气筒出口内径/m</w:t>
                  </w:r>
                </w:p>
              </w:tc>
              <w:tc>
                <w:tcPr>
                  <w:tcW w:w="716"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烟气流速/（m/s）</w:t>
                  </w:r>
                </w:p>
              </w:tc>
              <w:tc>
                <w:tcPr>
                  <w:tcW w:w="567"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烟气温度/℃</w:t>
                  </w:r>
                </w:p>
              </w:tc>
              <w:tc>
                <w:tcPr>
                  <w:tcW w:w="567"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年排放小时数/h</w:t>
                  </w:r>
                </w:p>
              </w:tc>
              <w:tc>
                <w:tcPr>
                  <w:tcW w:w="709"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排放工况</w:t>
                  </w:r>
                </w:p>
              </w:tc>
              <w:tc>
                <w:tcPr>
                  <w:tcW w:w="1199"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8"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9"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992"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X</w:t>
                  </w:r>
                </w:p>
              </w:tc>
              <w:tc>
                <w:tcPr>
                  <w:tcW w:w="900"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Y</w:t>
                  </w:r>
                </w:p>
              </w:tc>
              <w:tc>
                <w:tcPr>
                  <w:tcW w:w="711"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04"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13"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16"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67"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67"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09"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199"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8"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769" w:type="dxa"/>
                  <w:vAlign w:val="center"/>
                </w:tcPr>
                <w:p>
                  <w:pPr>
                    <w:spacing w:line="240" w:lineRule="auto"/>
                    <w:jc w:val="center"/>
                    <w:rPr>
                      <w:color w:val="000000" w:themeColor="text1"/>
                      <w:spacing w:val="-20"/>
                      <w14:textFill>
                        <w14:solidFill>
                          <w14:schemeClr w14:val="tx1"/>
                        </w14:solidFill>
                      </w14:textFill>
                    </w:rPr>
                  </w:pPr>
                  <w:r>
                    <w:rPr>
                      <w:rFonts w:hint="eastAsia"/>
                      <w:color w:val="000000" w:themeColor="text1"/>
                      <w:spacing w:val="-20"/>
                      <w14:textFill>
                        <w14:solidFill>
                          <w14:schemeClr w14:val="tx1"/>
                        </w14:solidFill>
                      </w14:textFill>
                    </w:rPr>
                    <w:t>D</w:t>
                  </w:r>
                  <w:r>
                    <w:rPr>
                      <w:color w:val="000000" w:themeColor="text1"/>
                      <w:spacing w:val="-20"/>
                      <w14:textFill>
                        <w14:solidFill>
                          <w14:schemeClr w14:val="tx1"/>
                        </w14:solidFill>
                      </w14:textFill>
                    </w:rPr>
                    <w:t>A001</w:t>
                  </w:r>
                </w:p>
              </w:tc>
              <w:tc>
                <w:tcPr>
                  <w:tcW w:w="992" w:type="dxa"/>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r>
                    <w:rPr>
                      <w:rFonts w:hint="eastAsia" w:cs="Times New Roman"/>
                      <w:color w:val="000000" w:themeColor="text1"/>
                      <w:spacing w:val="-26"/>
                      <w:sz w:val="21"/>
                      <w:szCs w:val="21"/>
                      <w14:textFill>
                        <w14:solidFill>
                          <w14:schemeClr w14:val="tx1"/>
                        </w14:solidFill>
                      </w14:textFill>
                    </w:rPr>
                    <w:t>1</w:t>
                  </w:r>
                  <w:r>
                    <w:rPr>
                      <w:rFonts w:cs="Times New Roman"/>
                      <w:color w:val="000000" w:themeColor="text1"/>
                      <w:spacing w:val="-26"/>
                      <w:sz w:val="21"/>
                      <w:szCs w:val="21"/>
                      <w14:textFill>
                        <w14:solidFill>
                          <w14:schemeClr w14:val="tx1"/>
                        </w14:solidFill>
                      </w14:textFill>
                    </w:rPr>
                    <w:t>05</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44</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1.329</w:t>
                  </w:r>
                  <w:r>
                    <w:rPr>
                      <w:rFonts w:hint="eastAsia" w:cs="Times New Roman"/>
                      <w:color w:val="000000" w:themeColor="text1"/>
                      <w:spacing w:val="-26"/>
                      <w:sz w:val="21"/>
                      <w:szCs w:val="21"/>
                      <w14:textFill>
                        <w14:solidFill>
                          <w14:schemeClr w14:val="tx1"/>
                        </w14:solidFill>
                      </w14:textFill>
                    </w:rPr>
                    <w:t>″</w:t>
                  </w:r>
                </w:p>
              </w:tc>
              <w:tc>
                <w:tcPr>
                  <w:tcW w:w="900" w:type="dxa"/>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r>
                    <w:rPr>
                      <w:rFonts w:hint="eastAsia" w:cs="Times New Roman"/>
                      <w:color w:val="000000" w:themeColor="text1"/>
                      <w:spacing w:val="-26"/>
                      <w:sz w:val="21"/>
                      <w:szCs w:val="21"/>
                      <w14:textFill>
                        <w14:solidFill>
                          <w14:schemeClr w14:val="tx1"/>
                        </w14:solidFill>
                      </w14:textFill>
                    </w:rPr>
                    <w:t>2</w:t>
                  </w:r>
                  <w:r>
                    <w:rPr>
                      <w:rFonts w:cs="Times New Roman"/>
                      <w:color w:val="000000" w:themeColor="text1"/>
                      <w:spacing w:val="-26"/>
                      <w:sz w:val="21"/>
                      <w:szCs w:val="21"/>
                      <w14:textFill>
                        <w14:solidFill>
                          <w14:schemeClr w14:val="tx1"/>
                        </w14:solidFill>
                      </w14:textFill>
                    </w:rPr>
                    <w:t>9</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27</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16.423</w:t>
                  </w:r>
                  <w:r>
                    <w:rPr>
                      <w:rFonts w:hint="eastAsia" w:cs="Times New Roman"/>
                      <w:color w:val="000000" w:themeColor="text1"/>
                      <w:spacing w:val="-26"/>
                      <w:sz w:val="21"/>
                      <w:szCs w:val="21"/>
                      <w14:textFill>
                        <w14:solidFill>
                          <w14:schemeClr w14:val="tx1"/>
                        </w14:solidFill>
                      </w14:textFill>
                    </w:rPr>
                    <w:t>″</w:t>
                  </w:r>
                </w:p>
              </w:tc>
              <w:tc>
                <w:tcPr>
                  <w:tcW w:w="711"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26</w:t>
                  </w:r>
                </w:p>
              </w:tc>
              <w:tc>
                <w:tcPr>
                  <w:tcW w:w="604"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5</w:t>
                  </w:r>
                </w:p>
              </w:tc>
              <w:tc>
                <w:tcPr>
                  <w:tcW w:w="613"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.4</w:t>
                  </w:r>
                </w:p>
              </w:tc>
              <w:tc>
                <w:tcPr>
                  <w:tcW w:w="716" w:type="dxa"/>
                  <w:vAlign w:val="center"/>
                </w:tcPr>
                <w:p>
                  <w:pPr>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7.69</w:t>
                  </w:r>
                </w:p>
              </w:tc>
              <w:tc>
                <w:tcPr>
                  <w:tcW w:w="567"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6</w:t>
                  </w:r>
                </w:p>
              </w:tc>
              <w:tc>
                <w:tcPr>
                  <w:tcW w:w="567" w:type="dxa"/>
                  <w:vAlign w:val="center"/>
                </w:tcPr>
                <w:p>
                  <w:pPr>
                    <w:spacing w:line="240" w:lineRule="auto"/>
                    <w:jc w:val="center"/>
                    <w:rPr>
                      <w:color w:val="000000" w:themeColor="text1"/>
                      <w:spacing w:val="-20"/>
                      <w14:textFill>
                        <w14:solidFill>
                          <w14:schemeClr w14:val="tx1"/>
                        </w14:solidFill>
                      </w14:textFill>
                    </w:rPr>
                  </w:pPr>
                  <w:r>
                    <w:rPr>
                      <w:rFonts w:hint="eastAsia"/>
                      <w:color w:val="000000" w:themeColor="text1"/>
                      <w:spacing w:val="-20"/>
                      <w14:textFill>
                        <w14:solidFill>
                          <w14:schemeClr w14:val="tx1"/>
                        </w14:solidFill>
                      </w14:textFill>
                    </w:rPr>
                    <w:t>7</w:t>
                  </w:r>
                  <w:r>
                    <w:rPr>
                      <w:color w:val="000000" w:themeColor="text1"/>
                      <w:spacing w:val="-20"/>
                      <w14:textFill>
                        <w14:solidFill>
                          <w14:schemeClr w14:val="tx1"/>
                        </w14:solidFill>
                      </w14:textFill>
                    </w:rPr>
                    <w:t>200</w:t>
                  </w:r>
                </w:p>
              </w:tc>
              <w:tc>
                <w:tcPr>
                  <w:tcW w:w="709" w:type="dxa"/>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正常排放</w:t>
                  </w:r>
                </w:p>
              </w:tc>
              <w:tc>
                <w:tcPr>
                  <w:tcW w:w="1199" w:type="dxa"/>
                  <w:vAlign w:val="center"/>
                </w:tcPr>
                <w:p>
                  <w:pPr>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.036</w:t>
                  </w:r>
                  <w:r>
                    <w:rPr>
                      <w:rFonts w:hint="eastAsia"/>
                      <w:color w:val="000000" w:themeColor="text1"/>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8" w:type="dxa"/>
                  <w:vAlign w:val="center"/>
                </w:tcPr>
                <w:p>
                  <w:pPr>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769" w:type="dxa"/>
                  <w:vAlign w:val="center"/>
                </w:tcPr>
                <w:p>
                  <w:pPr>
                    <w:adjustRightInd w:val="0"/>
                    <w:snapToGrid w:val="0"/>
                    <w:spacing w:line="240" w:lineRule="auto"/>
                    <w:jc w:val="center"/>
                    <w:rPr>
                      <w:color w:val="000000" w:themeColor="text1"/>
                      <w:spacing w:val="-20"/>
                      <w14:textFill>
                        <w14:solidFill>
                          <w14:schemeClr w14:val="tx1"/>
                        </w14:solidFill>
                      </w14:textFill>
                    </w:rPr>
                  </w:pPr>
                  <w:r>
                    <w:rPr>
                      <w:rFonts w:hint="eastAsia"/>
                      <w:color w:val="000000" w:themeColor="text1"/>
                      <w:spacing w:val="-20"/>
                      <w14:textFill>
                        <w14:solidFill>
                          <w14:schemeClr w14:val="tx1"/>
                        </w14:solidFill>
                      </w14:textFill>
                    </w:rPr>
                    <w:t>D</w:t>
                  </w:r>
                  <w:r>
                    <w:rPr>
                      <w:color w:val="000000" w:themeColor="text1"/>
                      <w:spacing w:val="-20"/>
                      <w14:textFill>
                        <w14:solidFill>
                          <w14:schemeClr w14:val="tx1"/>
                        </w14:solidFill>
                      </w14:textFill>
                    </w:rPr>
                    <w:t>A002</w:t>
                  </w:r>
                </w:p>
              </w:tc>
              <w:tc>
                <w:tcPr>
                  <w:tcW w:w="992" w:type="dxa"/>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r>
                    <w:rPr>
                      <w:rFonts w:hint="eastAsia" w:cs="Times New Roman"/>
                      <w:color w:val="000000" w:themeColor="text1"/>
                      <w:spacing w:val="-26"/>
                      <w:sz w:val="21"/>
                      <w:szCs w:val="21"/>
                      <w14:textFill>
                        <w14:solidFill>
                          <w14:schemeClr w14:val="tx1"/>
                        </w14:solidFill>
                      </w14:textFill>
                    </w:rPr>
                    <w:t>1</w:t>
                  </w:r>
                  <w:r>
                    <w:rPr>
                      <w:rFonts w:cs="Times New Roman"/>
                      <w:color w:val="000000" w:themeColor="text1"/>
                      <w:spacing w:val="-26"/>
                      <w:sz w:val="21"/>
                      <w:szCs w:val="21"/>
                      <w14:textFill>
                        <w14:solidFill>
                          <w14:schemeClr w14:val="tx1"/>
                        </w14:solidFill>
                      </w14:textFill>
                    </w:rPr>
                    <w:t>05</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44</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0.730</w:t>
                  </w:r>
                  <w:r>
                    <w:rPr>
                      <w:rFonts w:hint="eastAsia" w:cs="Times New Roman"/>
                      <w:color w:val="000000" w:themeColor="text1"/>
                      <w:spacing w:val="-26"/>
                      <w:sz w:val="21"/>
                      <w:szCs w:val="21"/>
                      <w14:textFill>
                        <w14:solidFill>
                          <w14:schemeClr w14:val="tx1"/>
                        </w14:solidFill>
                      </w14:textFill>
                    </w:rPr>
                    <w:t>″</w:t>
                  </w:r>
                </w:p>
              </w:tc>
              <w:tc>
                <w:tcPr>
                  <w:tcW w:w="900" w:type="dxa"/>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r>
                    <w:rPr>
                      <w:rFonts w:hint="eastAsia" w:cs="Times New Roman"/>
                      <w:color w:val="000000" w:themeColor="text1"/>
                      <w:spacing w:val="-26"/>
                      <w:sz w:val="21"/>
                      <w:szCs w:val="21"/>
                      <w14:textFill>
                        <w14:solidFill>
                          <w14:schemeClr w14:val="tx1"/>
                        </w14:solidFill>
                      </w14:textFill>
                    </w:rPr>
                    <w:t>2</w:t>
                  </w:r>
                  <w:r>
                    <w:rPr>
                      <w:rFonts w:cs="Times New Roman"/>
                      <w:color w:val="000000" w:themeColor="text1"/>
                      <w:spacing w:val="-26"/>
                      <w:sz w:val="21"/>
                      <w:szCs w:val="21"/>
                      <w14:textFill>
                        <w14:solidFill>
                          <w14:schemeClr w14:val="tx1"/>
                        </w14:solidFill>
                      </w14:textFill>
                    </w:rPr>
                    <w:t>9</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27</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14.666</w:t>
                  </w:r>
                  <w:r>
                    <w:rPr>
                      <w:rFonts w:hint="eastAsia" w:cs="Times New Roman"/>
                      <w:color w:val="000000" w:themeColor="text1"/>
                      <w:spacing w:val="-26"/>
                      <w:sz w:val="21"/>
                      <w:szCs w:val="21"/>
                      <w14:textFill>
                        <w14:solidFill>
                          <w14:schemeClr w14:val="tx1"/>
                        </w14:solidFill>
                      </w14:textFill>
                    </w:rPr>
                    <w:t>″</w:t>
                  </w:r>
                </w:p>
              </w:tc>
              <w:tc>
                <w:tcPr>
                  <w:tcW w:w="711"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26</w:t>
                  </w:r>
                </w:p>
              </w:tc>
              <w:tc>
                <w:tcPr>
                  <w:tcW w:w="604"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5</w:t>
                  </w:r>
                </w:p>
              </w:tc>
              <w:tc>
                <w:tcPr>
                  <w:tcW w:w="613"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.6</w:t>
                  </w:r>
                </w:p>
              </w:tc>
              <w:tc>
                <w:tcPr>
                  <w:tcW w:w="716" w:type="dxa"/>
                  <w:vAlign w:val="center"/>
                </w:tcPr>
                <w:p>
                  <w:pPr>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5.73</w:t>
                  </w:r>
                </w:p>
              </w:tc>
              <w:tc>
                <w:tcPr>
                  <w:tcW w:w="567"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6</w:t>
                  </w:r>
                </w:p>
              </w:tc>
              <w:tc>
                <w:tcPr>
                  <w:tcW w:w="567" w:type="dxa"/>
                  <w:vAlign w:val="center"/>
                </w:tcPr>
                <w:p>
                  <w:pPr>
                    <w:spacing w:line="240" w:lineRule="auto"/>
                    <w:jc w:val="center"/>
                    <w:rPr>
                      <w:color w:val="000000" w:themeColor="text1"/>
                      <w:spacing w:val="-20"/>
                      <w14:textFill>
                        <w14:solidFill>
                          <w14:schemeClr w14:val="tx1"/>
                        </w14:solidFill>
                      </w14:textFill>
                    </w:rPr>
                  </w:pPr>
                  <w:r>
                    <w:rPr>
                      <w:rFonts w:hint="eastAsia"/>
                      <w:color w:val="000000" w:themeColor="text1"/>
                      <w:spacing w:val="-20"/>
                      <w14:textFill>
                        <w14:solidFill>
                          <w14:schemeClr w14:val="tx1"/>
                        </w14:solidFill>
                      </w14:textFill>
                    </w:rPr>
                    <w:t>7</w:t>
                  </w:r>
                  <w:r>
                    <w:rPr>
                      <w:color w:val="000000" w:themeColor="text1"/>
                      <w:spacing w:val="-20"/>
                      <w14:textFill>
                        <w14:solidFill>
                          <w14:schemeClr w14:val="tx1"/>
                        </w14:solidFill>
                      </w14:textFill>
                    </w:rPr>
                    <w:t>200</w:t>
                  </w:r>
                </w:p>
              </w:tc>
              <w:tc>
                <w:tcPr>
                  <w:tcW w:w="709" w:type="dxa"/>
                  <w:vAlign w:val="center"/>
                </w:tcPr>
                <w:p>
                  <w:pPr>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正常排放</w:t>
                  </w:r>
                </w:p>
              </w:tc>
              <w:tc>
                <w:tcPr>
                  <w:tcW w:w="1199"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.073</w:t>
                  </w:r>
                  <w:r>
                    <w:rPr>
                      <w:rFonts w:hint="eastAsia"/>
                      <w:color w:val="000000" w:themeColor="text1"/>
                      <w:szCs w:val="21"/>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8" w:type="dxa"/>
                  <w:vMerge w:val="restart"/>
                  <w:vAlign w:val="center"/>
                </w:tcPr>
                <w:p>
                  <w:pPr>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769" w:type="dxa"/>
                  <w:vMerge w:val="restart"/>
                  <w:vAlign w:val="center"/>
                </w:tcPr>
                <w:p>
                  <w:pPr>
                    <w:adjustRightInd w:val="0"/>
                    <w:snapToGrid w:val="0"/>
                    <w:spacing w:line="240" w:lineRule="auto"/>
                    <w:jc w:val="center"/>
                    <w:rPr>
                      <w:color w:val="000000" w:themeColor="text1"/>
                      <w:spacing w:val="-20"/>
                      <w14:textFill>
                        <w14:solidFill>
                          <w14:schemeClr w14:val="tx1"/>
                        </w14:solidFill>
                      </w14:textFill>
                    </w:rPr>
                  </w:pPr>
                  <w:r>
                    <w:rPr>
                      <w:rFonts w:hint="eastAsia"/>
                      <w:color w:val="000000" w:themeColor="text1"/>
                      <w:spacing w:val="-20"/>
                      <w14:textFill>
                        <w14:solidFill>
                          <w14:schemeClr w14:val="tx1"/>
                        </w14:solidFill>
                      </w14:textFill>
                    </w:rPr>
                    <w:t>D</w:t>
                  </w:r>
                  <w:r>
                    <w:rPr>
                      <w:color w:val="000000" w:themeColor="text1"/>
                      <w:spacing w:val="-20"/>
                      <w14:textFill>
                        <w14:solidFill>
                          <w14:schemeClr w14:val="tx1"/>
                        </w14:solidFill>
                      </w14:textFill>
                    </w:rPr>
                    <w:t>A003</w:t>
                  </w:r>
                </w:p>
              </w:tc>
              <w:tc>
                <w:tcPr>
                  <w:tcW w:w="992" w:type="dxa"/>
                  <w:vMerge w:val="restart"/>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r>
                    <w:rPr>
                      <w:rFonts w:hint="eastAsia" w:cs="Times New Roman"/>
                      <w:color w:val="000000" w:themeColor="text1"/>
                      <w:spacing w:val="-26"/>
                      <w:sz w:val="21"/>
                      <w:szCs w:val="21"/>
                      <w14:textFill>
                        <w14:solidFill>
                          <w14:schemeClr w14:val="tx1"/>
                        </w14:solidFill>
                      </w14:textFill>
                    </w:rPr>
                    <w:t>1</w:t>
                  </w:r>
                  <w:r>
                    <w:rPr>
                      <w:rFonts w:cs="Times New Roman"/>
                      <w:color w:val="000000" w:themeColor="text1"/>
                      <w:spacing w:val="-26"/>
                      <w:sz w:val="21"/>
                      <w:szCs w:val="21"/>
                      <w14:textFill>
                        <w14:solidFill>
                          <w14:schemeClr w14:val="tx1"/>
                        </w14:solidFill>
                      </w14:textFill>
                    </w:rPr>
                    <w:t>05</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44</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4.477</w:t>
                  </w:r>
                  <w:r>
                    <w:rPr>
                      <w:rFonts w:hint="eastAsia" w:cs="Times New Roman"/>
                      <w:color w:val="000000" w:themeColor="text1"/>
                      <w:spacing w:val="-26"/>
                      <w:sz w:val="21"/>
                      <w:szCs w:val="21"/>
                      <w14:textFill>
                        <w14:solidFill>
                          <w14:schemeClr w14:val="tx1"/>
                        </w14:solidFill>
                      </w14:textFill>
                    </w:rPr>
                    <w:t>″</w:t>
                  </w:r>
                </w:p>
              </w:tc>
              <w:tc>
                <w:tcPr>
                  <w:tcW w:w="900" w:type="dxa"/>
                  <w:vMerge w:val="restart"/>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r>
                    <w:rPr>
                      <w:rFonts w:hint="eastAsia" w:cs="Times New Roman"/>
                      <w:color w:val="000000" w:themeColor="text1"/>
                      <w:spacing w:val="-26"/>
                      <w:sz w:val="21"/>
                      <w:szCs w:val="21"/>
                      <w14:textFill>
                        <w14:solidFill>
                          <w14:schemeClr w14:val="tx1"/>
                        </w14:solidFill>
                      </w14:textFill>
                    </w:rPr>
                    <w:t>2</w:t>
                  </w:r>
                  <w:r>
                    <w:rPr>
                      <w:rFonts w:cs="Times New Roman"/>
                      <w:color w:val="000000" w:themeColor="text1"/>
                      <w:spacing w:val="-26"/>
                      <w:sz w:val="21"/>
                      <w:szCs w:val="21"/>
                      <w14:textFill>
                        <w14:solidFill>
                          <w14:schemeClr w14:val="tx1"/>
                        </w14:solidFill>
                      </w14:textFill>
                    </w:rPr>
                    <w:t>9</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27</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15.902</w:t>
                  </w:r>
                  <w:r>
                    <w:rPr>
                      <w:rFonts w:hint="eastAsia" w:cs="Times New Roman"/>
                      <w:color w:val="000000" w:themeColor="text1"/>
                      <w:spacing w:val="-26"/>
                      <w:sz w:val="21"/>
                      <w:szCs w:val="21"/>
                      <w14:textFill>
                        <w14:solidFill>
                          <w14:schemeClr w14:val="tx1"/>
                        </w14:solidFill>
                      </w14:textFill>
                    </w:rPr>
                    <w:t>″</w:t>
                  </w:r>
                </w:p>
              </w:tc>
              <w:tc>
                <w:tcPr>
                  <w:tcW w:w="711" w:type="dxa"/>
                  <w:vMerge w:val="restart"/>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26</w:t>
                  </w:r>
                </w:p>
              </w:tc>
              <w:tc>
                <w:tcPr>
                  <w:tcW w:w="604" w:type="dxa"/>
                  <w:vMerge w:val="restart"/>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5</w:t>
                  </w:r>
                </w:p>
              </w:tc>
              <w:tc>
                <w:tcPr>
                  <w:tcW w:w="613" w:type="dxa"/>
                  <w:vMerge w:val="restart"/>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.6</w:t>
                  </w:r>
                </w:p>
              </w:tc>
              <w:tc>
                <w:tcPr>
                  <w:tcW w:w="716" w:type="dxa"/>
                  <w:vMerge w:val="restart"/>
                  <w:vAlign w:val="center"/>
                </w:tcPr>
                <w:p>
                  <w:pPr>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4.45</w:t>
                  </w:r>
                </w:p>
              </w:tc>
              <w:tc>
                <w:tcPr>
                  <w:tcW w:w="567" w:type="dxa"/>
                  <w:vMerge w:val="restart"/>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00</w:t>
                  </w:r>
                </w:p>
              </w:tc>
              <w:tc>
                <w:tcPr>
                  <w:tcW w:w="567" w:type="dxa"/>
                  <w:vMerge w:val="restart"/>
                  <w:vAlign w:val="center"/>
                </w:tcPr>
                <w:p>
                  <w:pPr>
                    <w:spacing w:line="240" w:lineRule="auto"/>
                    <w:jc w:val="center"/>
                    <w:rPr>
                      <w:color w:val="000000" w:themeColor="text1"/>
                      <w:spacing w:val="-20"/>
                      <w14:textFill>
                        <w14:solidFill>
                          <w14:schemeClr w14:val="tx1"/>
                        </w14:solidFill>
                      </w14:textFill>
                    </w:rPr>
                  </w:pPr>
                  <w:r>
                    <w:rPr>
                      <w:rFonts w:hint="eastAsia"/>
                      <w:color w:val="000000" w:themeColor="text1"/>
                      <w:spacing w:val="-20"/>
                      <w14:textFill>
                        <w14:solidFill>
                          <w14:schemeClr w14:val="tx1"/>
                        </w14:solidFill>
                      </w14:textFill>
                    </w:rPr>
                    <w:t>7</w:t>
                  </w:r>
                  <w:r>
                    <w:rPr>
                      <w:color w:val="000000" w:themeColor="text1"/>
                      <w:spacing w:val="-20"/>
                      <w14:textFill>
                        <w14:solidFill>
                          <w14:schemeClr w14:val="tx1"/>
                        </w14:solidFill>
                      </w14:textFill>
                    </w:rPr>
                    <w:t>150</w:t>
                  </w:r>
                </w:p>
              </w:tc>
              <w:tc>
                <w:tcPr>
                  <w:tcW w:w="709" w:type="dxa"/>
                  <w:vMerge w:val="restart"/>
                  <w:vAlign w:val="center"/>
                </w:tcPr>
                <w:p>
                  <w:pPr>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正常排放</w:t>
                  </w:r>
                </w:p>
              </w:tc>
              <w:tc>
                <w:tcPr>
                  <w:tcW w:w="1199"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.201</w:t>
                  </w:r>
                  <w:r>
                    <w:rPr>
                      <w:rFonts w:hint="eastAsia"/>
                      <w:color w:val="000000" w:themeColor="text1"/>
                      <w:szCs w:val="21"/>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8"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769" w:type="dxa"/>
                  <w:vMerge w:val="continue"/>
                  <w:vAlign w:val="center"/>
                </w:tcPr>
                <w:p>
                  <w:pPr>
                    <w:adjustRightInd w:val="0"/>
                    <w:snapToGrid w:val="0"/>
                    <w:spacing w:line="240" w:lineRule="auto"/>
                    <w:jc w:val="center"/>
                    <w:rPr>
                      <w:color w:val="000000" w:themeColor="text1"/>
                      <w:spacing w:val="-20"/>
                      <w14:textFill>
                        <w14:solidFill>
                          <w14:schemeClr w14:val="tx1"/>
                        </w14:solidFill>
                      </w14:textFill>
                    </w:rPr>
                  </w:pPr>
                </w:p>
              </w:tc>
              <w:tc>
                <w:tcPr>
                  <w:tcW w:w="992"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900"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711" w:type="dxa"/>
                  <w:vMerge w:val="continue"/>
                  <w:vAlign w:val="center"/>
                </w:tcPr>
                <w:p>
                  <w:pPr>
                    <w:spacing w:line="240" w:lineRule="auto"/>
                    <w:jc w:val="center"/>
                    <w:rPr>
                      <w:color w:val="000000" w:themeColor="text1"/>
                      <w14:textFill>
                        <w14:solidFill>
                          <w14:schemeClr w14:val="tx1"/>
                        </w14:solidFill>
                      </w14:textFill>
                    </w:rPr>
                  </w:pPr>
                </w:p>
              </w:tc>
              <w:tc>
                <w:tcPr>
                  <w:tcW w:w="604"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13"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16"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567"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67" w:type="dxa"/>
                  <w:vMerge w:val="continue"/>
                  <w:vAlign w:val="center"/>
                </w:tcPr>
                <w:p>
                  <w:pPr>
                    <w:spacing w:line="240" w:lineRule="auto"/>
                    <w:jc w:val="center"/>
                    <w:rPr>
                      <w:color w:val="000000" w:themeColor="text1"/>
                      <w:spacing w:val="-20"/>
                      <w14:textFill>
                        <w14:solidFill>
                          <w14:schemeClr w14:val="tx1"/>
                        </w14:solidFill>
                      </w14:textFill>
                    </w:rPr>
                  </w:pPr>
                </w:p>
              </w:tc>
              <w:tc>
                <w:tcPr>
                  <w:tcW w:w="709"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1199" w:type="dxa"/>
                  <w:vAlign w:val="center"/>
                </w:tcPr>
                <w:p>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1.510</w:t>
                  </w: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8"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769" w:type="dxa"/>
                  <w:vMerge w:val="continue"/>
                  <w:vAlign w:val="center"/>
                </w:tcPr>
                <w:p>
                  <w:pPr>
                    <w:adjustRightInd w:val="0"/>
                    <w:snapToGrid w:val="0"/>
                    <w:spacing w:line="240" w:lineRule="auto"/>
                    <w:jc w:val="center"/>
                    <w:rPr>
                      <w:color w:val="000000" w:themeColor="text1"/>
                      <w:spacing w:val="-20"/>
                      <w14:textFill>
                        <w14:solidFill>
                          <w14:schemeClr w14:val="tx1"/>
                        </w14:solidFill>
                      </w14:textFill>
                    </w:rPr>
                  </w:pPr>
                </w:p>
              </w:tc>
              <w:tc>
                <w:tcPr>
                  <w:tcW w:w="992"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900"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711" w:type="dxa"/>
                  <w:vMerge w:val="continue"/>
                  <w:vAlign w:val="center"/>
                </w:tcPr>
                <w:p>
                  <w:pPr>
                    <w:spacing w:line="240" w:lineRule="auto"/>
                    <w:jc w:val="center"/>
                    <w:rPr>
                      <w:color w:val="000000" w:themeColor="text1"/>
                      <w14:textFill>
                        <w14:solidFill>
                          <w14:schemeClr w14:val="tx1"/>
                        </w14:solidFill>
                      </w14:textFill>
                    </w:rPr>
                  </w:pPr>
                </w:p>
              </w:tc>
              <w:tc>
                <w:tcPr>
                  <w:tcW w:w="604"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13"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16"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567"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67" w:type="dxa"/>
                  <w:vMerge w:val="continue"/>
                  <w:vAlign w:val="center"/>
                </w:tcPr>
                <w:p>
                  <w:pPr>
                    <w:spacing w:line="240" w:lineRule="auto"/>
                    <w:jc w:val="center"/>
                    <w:rPr>
                      <w:color w:val="000000" w:themeColor="text1"/>
                      <w:spacing w:val="-20"/>
                      <w14:textFill>
                        <w14:solidFill>
                          <w14:schemeClr w14:val="tx1"/>
                        </w14:solidFill>
                      </w14:textFill>
                    </w:rPr>
                  </w:pPr>
                </w:p>
              </w:tc>
              <w:tc>
                <w:tcPr>
                  <w:tcW w:w="709"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1199" w:type="dxa"/>
                  <w:vAlign w:val="center"/>
                </w:tcPr>
                <w:p>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0.742</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8"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769" w:type="dxa"/>
                  <w:vMerge w:val="continue"/>
                  <w:vAlign w:val="center"/>
                </w:tcPr>
                <w:p>
                  <w:pPr>
                    <w:adjustRightInd w:val="0"/>
                    <w:snapToGrid w:val="0"/>
                    <w:spacing w:line="240" w:lineRule="auto"/>
                    <w:jc w:val="center"/>
                    <w:rPr>
                      <w:color w:val="000000" w:themeColor="text1"/>
                      <w:spacing w:val="-20"/>
                      <w14:textFill>
                        <w14:solidFill>
                          <w14:schemeClr w14:val="tx1"/>
                        </w14:solidFill>
                      </w14:textFill>
                    </w:rPr>
                  </w:pPr>
                </w:p>
              </w:tc>
              <w:tc>
                <w:tcPr>
                  <w:tcW w:w="992"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900"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711" w:type="dxa"/>
                  <w:vMerge w:val="continue"/>
                  <w:vAlign w:val="center"/>
                </w:tcPr>
                <w:p>
                  <w:pPr>
                    <w:spacing w:line="240" w:lineRule="auto"/>
                    <w:jc w:val="center"/>
                    <w:rPr>
                      <w:color w:val="000000" w:themeColor="text1"/>
                      <w14:textFill>
                        <w14:solidFill>
                          <w14:schemeClr w14:val="tx1"/>
                        </w14:solidFill>
                      </w14:textFill>
                    </w:rPr>
                  </w:pPr>
                </w:p>
              </w:tc>
              <w:tc>
                <w:tcPr>
                  <w:tcW w:w="604"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13"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16"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567"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67" w:type="dxa"/>
                  <w:vMerge w:val="continue"/>
                  <w:vAlign w:val="center"/>
                </w:tcPr>
                <w:p>
                  <w:pPr>
                    <w:spacing w:line="240" w:lineRule="auto"/>
                    <w:jc w:val="center"/>
                    <w:rPr>
                      <w:color w:val="000000" w:themeColor="text1"/>
                      <w:spacing w:val="-20"/>
                      <w14:textFill>
                        <w14:solidFill>
                          <w14:schemeClr w14:val="tx1"/>
                        </w14:solidFill>
                      </w14:textFill>
                    </w:rPr>
                  </w:pPr>
                </w:p>
              </w:tc>
              <w:tc>
                <w:tcPr>
                  <w:tcW w:w="709"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1199" w:type="dxa"/>
                  <w:vAlign w:val="center"/>
                </w:tcPr>
                <w:p>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0.040</w:t>
                  </w:r>
                  <w:r>
                    <w:rPr>
                      <w:rFonts w:hint="eastAsia"/>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8"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769" w:type="dxa"/>
                  <w:vMerge w:val="continue"/>
                  <w:vAlign w:val="center"/>
                </w:tcPr>
                <w:p>
                  <w:pPr>
                    <w:adjustRightInd w:val="0"/>
                    <w:snapToGrid w:val="0"/>
                    <w:spacing w:line="240" w:lineRule="auto"/>
                    <w:jc w:val="center"/>
                    <w:rPr>
                      <w:color w:val="000000" w:themeColor="text1"/>
                      <w:spacing w:val="-20"/>
                      <w14:textFill>
                        <w14:solidFill>
                          <w14:schemeClr w14:val="tx1"/>
                        </w14:solidFill>
                      </w14:textFill>
                    </w:rPr>
                  </w:pPr>
                </w:p>
              </w:tc>
              <w:tc>
                <w:tcPr>
                  <w:tcW w:w="992"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900"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711" w:type="dxa"/>
                  <w:vMerge w:val="continue"/>
                  <w:vAlign w:val="center"/>
                </w:tcPr>
                <w:p>
                  <w:pPr>
                    <w:spacing w:line="240" w:lineRule="auto"/>
                    <w:jc w:val="center"/>
                    <w:rPr>
                      <w:color w:val="000000" w:themeColor="text1"/>
                      <w14:textFill>
                        <w14:solidFill>
                          <w14:schemeClr w14:val="tx1"/>
                        </w14:solidFill>
                      </w14:textFill>
                    </w:rPr>
                  </w:pPr>
                </w:p>
              </w:tc>
              <w:tc>
                <w:tcPr>
                  <w:tcW w:w="604"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13"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16"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567"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67" w:type="dxa"/>
                  <w:vMerge w:val="continue"/>
                  <w:vAlign w:val="center"/>
                </w:tcPr>
                <w:p>
                  <w:pPr>
                    <w:spacing w:line="240" w:lineRule="auto"/>
                    <w:jc w:val="center"/>
                    <w:rPr>
                      <w:color w:val="000000" w:themeColor="text1"/>
                      <w:spacing w:val="-20"/>
                      <w14:textFill>
                        <w14:solidFill>
                          <w14:schemeClr w14:val="tx1"/>
                        </w14:solidFill>
                      </w14:textFill>
                    </w:rPr>
                  </w:pPr>
                </w:p>
              </w:tc>
              <w:tc>
                <w:tcPr>
                  <w:tcW w:w="709"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1199" w:type="dxa"/>
                  <w:vAlign w:val="center"/>
                </w:tcPr>
                <w:p>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0.202</w:t>
                  </w:r>
                  <w:r>
                    <w:rPr>
                      <w:rFonts w:hint="eastAsia"/>
                      <w:color w:val="000000" w:themeColor="text1"/>
                      <w:szCs w:val="21"/>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8"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769" w:type="dxa"/>
                  <w:vMerge w:val="continue"/>
                  <w:vAlign w:val="center"/>
                </w:tcPr>
                <w:p>
                  <w:pPr>
                    <w:adjustRightInd w:val="0"/>
                    <w:snapToGrid w:val="0"/>
                    <w:spacing w:line="240" w:lineRule="auto"/>
                    <w:jc w:val="center"/>
                    <w:rPr>
                      <w:color w:val="000000" w:themeColor="text1"/>
                      <w:spacing w:val="-20"/>
                      <w14:textFill>
                        <w14:solidFill>
                          <w14:schemeClr w14:val="tx1"/>
                        </w14:solidFill>
                      </w14:textFill>
                    </w:rPr>
                  </w:pPr>
                </w:p>
              </w:tc>
              <w:tc>
                <w:tcPr>
                  <w:tcW w:w="992"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900"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711" w:type="dxa"/>
                  <w:vMerge w:val="continue"/>
                  <w:vAlign w:val="center"/>
                </w:tcPr>
                <w:p>
                  <w:pPr>
                    <w:spacing w:line="240" w:lineRule="auto"/>
                    <w:jc w:val="center"/>
                    <w:rPr>
                      <w:color w:val="000000" w:themeColor="text1"/>
                      <w14:textFill>
                        <w14:solidFill>
                          <w14:schemeClr w14:val="tx1"/>
                        </w14:solidFill>
                      </w14:textFill>
                    </w:rPr>
                  </w:pPr>
                </w:p>
              </w:tc>
              <w:tc>
                <w:tcPr>
                  <w:tcW w:w="604"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13"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16"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567"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67" w:type="dxa"/>
                  <w:vMerge w:val="continue"/>
                  <w:vAlign w:val="center"/>
                </w:tcPr>
                <w:p>
                  <w:pPr>
                    <w:spacing w:line="240" w:lineRule="auto"/>
                    <w:jc w:val="center"/>
                    <w:rPr>
                      <w:color w:val="000000" w:themeColor="text1"/>
                      <w:spacing w:val="-20"/>
                      <w14:textFill>
                        <w14:solidFill>
                          <w14:schemeClr w14:val="tx1"/>
                        </w14:solidFill>
                      </w14:textFill>
                    </w:rPr>
                  </w:pPr>
                </w:p>
              </w:tc>
              <w:tc>
                <w:tcPr>
                  <w:tcW w:w="709"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1199"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.007</w:t>
                  </w:r>
                  <w:r>
                    <w:rPr>
                      <w:rFonts w:hint="eastAsia"/>
                      <w:color w:val="000000" w:themeColor="text1"/>
                      <w:szCs w:val="21"/>
                      <w14:textFill>
                        <w14:solidFill>
                          <w14:schemeClr w14:val="tx1"/>
                        </w14:solidFill>
                      </w14:textFill>
                    </w:rPr>
                    <w:t>-甲苯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8"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769" w:type="dxa"/>
                  <w:vMerge w:val="continue"/>
                  <w:vAlign w:val="center"/>
                </w:tcPr>
                <w:p>
                  <w:pPr>
                    <w:adjustRightInd w:val="0"/>
                    <w:snapToGrid w:val="0"/>
                    <w:spacing w:line="240" w:lineRule="auto"/>
                    <w:jc w:val="center"/>
                    <w:rPr>
                      <w:color w:val="000000" w:themeColor="text1"/>
                      <w:spacing w:val="-20"/>
                      <w14:textFill>
                        <w14:solidFill>
                          <w14:schemeClr w14:val="tx1"/>
                        </w14:solidFill>
                      </w14:textFill>
                    </w:rPr>
                  </w:pPr>
                </w:p>
              </w:tc>
              <w:tc>
                <w:tcPr>
                  <w:tcW w:w="992"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900"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711" w:type="dxa"/>
                  <w:vMerge w:val="continue"/>
                  <w:vAlign w:val="center"/>
                </w:tcPr>
                <w:p>
                  <w:pPr>
                    <w:spacing w:line="240" w:lineRule="auto"/>
                    <w:jc w:val="center"/>
                    <w:rPr>
                      <w:color w:val="000000" w:themeColor="text1"/>
                      <w14:textFill>
                        <w14:solidFill>
                          <w14:schemeClr w14:val="tx1"/>
                        </w14:solidFill>
                      </w14:textFill>
                    </w:rPr>
                  </w:pPr>
                </w:p>
              </w:tc>
              <w:tc>
                <w:tcPr>
                  <w:tcW w:w="604"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13"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16"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567"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67" w:type="dxa"/>
                  <w:vMerge w:val="continue"/>
                  <w:vAlign w:val="center"/>
                </w:tcPr>
                <w:p>
                  <w:pPr>
                    <w:spacing w:line="240" w:lineRule="auto"/>
                    <w:jc w:val="center"/>
                    <w:rPr>
                      <w:color w:val="000000" w:themeColor="text1"/>
                      <w:spacing w:val="-20"/>
                      <w14:textFill>
                        <w14:solidFill>
                          <w14:schemeClr w14:val="tx1"/>
                        </w14:solidFill>
                      </w14:textFill>
                    </w:rPr>
                  </w:pPr>
                </w:p>
              </w:tc>
              <w:tc>
                <w:tcPr>
                  <w:tcW w:w="709"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1199"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.006</w:t>
                  </w:r>
                  <w:r>
                    <w:rPr>
                      <w:rFonts w:hint="eastAsia"/>
                      <w:color w:val="000000" w:themeColor="text1"/>
                      <w:szCs w:val="21"/>
                      <w14:textFill>
                        <w14:solidFill>
                          <w14:schemeClr w14:val="tx1"/>
                        </w14:solidFill>
                      </w14:textFill>
                    </w:rPr>
                    <w:t>-二甲苯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8"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769" w:type="dxa"/>
                  <w:vMerge w:val="continue"/>
                  <w:vAlign w:val="center"/>
                </w:tcPr>
                <w:p>
                  <w:pPr>
                    <w:adjustRightInd w:val="0"/>
                    <w:snapToGrid w:val="0"/>
                    <w:spacing w:line="240" w:lineRule="auto"/>
                    <w:jc w:val="center"/>
                    <w:rPr>
                      <w:color w:val="000000" w:themeColor="text1"/>
                      <w:spacing w:val="-20"/>
                      <w14:textFill>
                        <w14:solidFill>
                          <w14:schemeClr w14:val="tx1"/>
                        </w14:solidFill>
                      </w14:textFill>
                    </w:rPr>
                  </w:pPr>
                </w:p>
              </w:tc>
              <w:tc>
                <w:tcPr>
                  <w:tcW w:w="992"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900"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711" w:type="dxa"/>
                  <w:vMerge w:val="continue"/>
                  <w:vAlign w:val="center"/>
                </w:tcPr>
                <w:p>
                  <w:pPr>
                    <w:spacing w:line="240" w:lineRule="auto"/>
                    <w:jc w:val="center"/>
                    <w:rPr>
                      <w:color w:val="000000" w:themeColor="text1"/>
                      <w14:textFill>
                        <w14:solidFill>
                          <w14:schemeClr w14:val="tx1"/>
                        </w14:solidFill>
                      </w14:textFill>
                    </w:rPr>
                  </w:pPr>
                </w:p>
              </w:tc>
              <w:tc>
                <w:tcPr>
                  <w:tcW w:w="604"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13"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16"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567"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67" w:type="dxa"/>
                  <w:vMerge w:val="continue"/>
                  <w:vAlign w:val="center"/>
                </w:tcPr>
                <w:p>
                  <w:pPr>
                    <w:spacing w:line="240" w:lineRule="auto"/>
                    <w:jc w:val="center"/>
                    <w:rPr>
                      <w:color w:val="000000" w:themeColor="text1"/>
                      <w:spacing w:val="-20"/>
                      <w14:textFill>
                        <w14:solidFill>
                          <w14:schemeClr w14:val="tx1"/>
                        </w14:solidFill>
                      </w14:textFill>
                    </w:rPr>
                  </w:pPr>
                </w:p>
              </w:tc>
              <w:tc>
                <w:tcPr>
                  <w:tcW w:w="709"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1199" w:type="dxa"/>
                  <w:vAlign w:val="center"/>
                </w:tcPr>
                <w:p>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0.819</w:t>
                  </w:r>
                  <w:r>
                    <w:rPr>
                      <w:rFonts w:eastAsia="等线"/>
                      <w:color w:val="000000"/>
                      <w:szCs w:val="21"/>
                    </w:rPr>
                    <w:t>μg-TEQ/h</w:t>
                  </w:r>
                  <w:r>
                    <w:rPr>
                      <w:rFonts w:hint="eastAsia"/>
                      <w:color w:val="000000" w:themeColor="text1"/>
                      <w:szCs w:val="21"/>
                      <w14:textFill>
                        <w14:solidFill>
                          <w14:schemeClr w14:val="tx1"/>
                        </w14:solidFill>
                      </w14:textFill>
                    </w:rPr>
                    <w:t>-二噁英类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8"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769" w:type="dxa"/>
                  <w:vMerge w:val="continue"/>
                  <w:vAlign w:val="center"/>
                </w:tcPr>
                <w:p>
                  <w:pPr>
                    <w:adjustRightInd w:val="0"/>
                    <w:snapToGrid w:val="0"/>
                    <w:spacing w:line="240" w:lineRule="auto"/>
                    <w:jc w:val="center"/>
                    <w:rPr>
                      <w:color w:val="000000" w:themeColor="text1"/>
                      <w:spacing w:val="-20"/>
                      <w14:textFill>
                        <w14:solidFill>
                          <w14:schemeClr w14:val="tx1"/>
                        </w14:solidFill>
                      </w14:textFill>
                    </w:rPr>
                  </w:pPr>
                </w:p>
              </w:tc>
              <w:tc>
                <w:tcPr>
                  <w:tcW w:w="992"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900"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711" w:type="dxa"/>
                  <w:vMerge w:val="continue"/>
                  <w:vAlign w:val="center"/>
                </w:tcPr>
                <w:p>
                  <w:pPr>
                    <w:spacing w:line="240" w:lineRule="auto"/>
                    <w:jc w:val="center"/>
                    <w:rPr>
                      <w:color w:val="000000" w:themeColor="text1"/>
                      <w14:textFill>
                        <w14:solidFill>
                          <w14:schemeClr w14:val="tx1"/>
                        </w14:solidFill>
                      </w14:textFill>
                    </w:rPr>
                  </w:pPr>
                </w:p>
              </w:tc>
              <w:tc>
                <w:tcPr>
                  <w:tcW w:w="604"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13"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16"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567"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67" w:type="dxa"/>
                  <w:vMerge w:val="continue"/>
                  <w:vAlign w:val="center"/>
                </w:tcPr>
                <w:p>
                  <w:pPr>
                    <w:spacing w:line="240" w:lineRule="auto"/>
                    <w:jc w:val="center"/>
                    <w:rPr>
                      <w:color w:val="000000" w:themeColor="text1"/>
                      <w:spacing w:val="-20"/>
                      <w14:textFill>
                        <w14:solidFill>
                          <w14:schemeClr w14:val="tx1"/>
                        </w14:solidFill>
                      </w14:textFill>
                    </w:rPr>
                  </w:pPr>
                </w:p>
              </w:tc>
              <w:tc>
                <w:tcPr>
                  <w:tcW w:w="709"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1199" w:type="dxa"/>
                  <w:vAlign w:val="center"/>
                </w:tcPr>
                <w:p>
                  <w:pPr>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≤1级-林格曼黑度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8"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769" w:type="dxa"/>
                  <w:vMerge w:val="continue"/>
                  <w:vAlign w:val="center"/>
                </w:tcPr>
                <w:p>
                  <w:pPr>
                    <w:adjustRightInd w:val="0"/>
                    <w:snapToGrid w:val="0"/>
                    <w:spacing w:line="240" w:lineRule="auto"/>
                    <w:jc w:val="center"/>
                    <w:rPr>
                      <w:color w:val="000000" w:themeColor="text1"/>
                      <w:spacing w:val="-20"/>
                      <w14:textFill>
                        <w14:solidFill>
                          <w14:schemeClr w14:val="tx1"/>
                        </w14:solidFill>
                      </w14:textFill>
                    </w:rPr>
                  </w:pPr>
                </w:p>
              </w:tc>
              <w:tc>
                <w:tcPr>
                  <w:tcW w:w="992"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900" w:type="dxa"/>
                  <w:vMerge w:val="continue"/>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p>
              </w:tc>
              <w:tc>
                <w:tcPr>
                  <w:tcW w:w="711" w:type="dxa"/>
                  <w:vMerge w:val="continue"/>
                  <w:vAlign w:val="center"/>
                </w:tcPr>
                <w:p>
                  <w:pPr>
                    <w:spacing w:line="240" w:lineRule="auto"/>
                    <w:jc w:val="center"/>
                    <w:rPr>
                      <w:color w:val="000000" w:themeColor="text1"/>
                      <w14:textFill>
                        <w14:solidFill>
                          <w14:schemeClr w14:val="tx1"/>
                        </w14:solidFill>
                      </w14:textFill>
                    </w:rPr>
                  </w:pPr>
                </w:p>
              </w:tc>
              <w:tc>
                <w:tcPr>
                  <w:tcW w:w="604"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13"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16"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567"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67" w:type="dxa"/>
                  <w:vMerge w:val="continue"/>
                  <w:vAlign w:val="center"/>
                </w:tcPr>
                <w:p>
                  <w:pPr>
                    <w:spacing w:line="240" w:lineRule="auto"/>
                    <w:jc w:val="center"/>
                    <w:rPr>
                      <w:color w:val="000000" w:themeColor="text1"/>
                      <w:spacing w:val="-20"/>
                      <w14:textFill>
                        <w14:solidFill>
                          <w14:schemeClr w14:val="tx1"/>
                        </w14:solidFill>
                      </w14:textFill>
                    </w:rPr>
                  </w:pPr>
                </w:p>
              </w:tc>
              <w:tc>
                <w:tcPr>
                  <w:tcW w:w="709" w:type="dxa"/>
                  <w:vMerge w:val="continue"/>
                  <w:vAlign w:val="center"/>
                </w:tcPr>
                <w:p>
                  <w:pPr>
                    <w:adjustRightInd w:val="0"/>
                    <w:snapToGrid w:val="0"/>
                    <w:spacing w:line="240" w:lineRule="auto"/>
                    <w:jc w:val="center"/>
                    <w:rPr>
                      <w:color w:val="000000" w:themeColor="text1"/>
                      <w14:textFill>
                        <w14:solidFill>
                          <w14:schemeClr w14:val="tx1"/>
                        </w14:solidFill>
                      </w14:textFill>
                    </w:rPr>
                  </w:pPr>
                </w:p>
              </w:tc>
              <w:tc>
                <w:tcPr>
                  <w:tcW w:w="1199"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少量-臭气浓度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8" w:type="dxa"/>
                  <w:vAlign w:val="center"/>
                </w:tcPr>
                <w:p>
                  <w:pPr>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769" w:type="dxa"/>
                  <w:vAlign w:val="center"/>
                </w:tcPr>
                <w:p>
                  <w:pPr>
                    <w:adjustRightInd w:val="0"/>
                    <w:snapToGrid w:val="0"/>
                    <w:spacing w:line="240" w:lineRule="auto"/>
                    <w:jc w:val="center"/>
                    <w:rPr>
                      <w:color w:val="000000" w:themeColor="text1"/>
                      <w:spacing w:val="-20"/>
                      <w14:textFill>
                        <w14:solidFill>
                          <w14:schemeClr w14:val="tx1"/>
                        </w14:solidFill>
                      </w14:textFill>
                    </w:rPr>
                  </w:pPr>
                  <w:r>
                    <w:rPr>
                      <w:rFonts w:hint="eastAsia"/>
                      <w:color w:val="000000" w:themeColor="text1"/>
                      <w:spacing w:val="-20"/>
                      <w14:textFill>
                        <w14:solidFill>
                          <w14:schemeClr w14:val="tx1"/>
                        </w14:solidFill>
                      </w14:textFill>
                    </w:rPr>
                    <w:t>D</w:t>
                  </w:r>
                  <w:r>
                    <w:rPr>
                      <w:color w:val="000000" w:themeColor="text1"/>
                      <w:spacing w:val="-20"/>
                      <w14:textFill>
                        <w14:solidFill>
                          <w14:schemeClr w14:val="tx1"/>
                        </w14:solidFill>
                      </w14:textFill>
                    </w:rPr>
                    <w:t>A004</w:t>
                  </w:r>
                </w:p>
              </w:tc>
              <w:tc>
                <w:tcPr>
                  <w:tcW w:w="992" w:type="dxa"/>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r>
                    <w:rPr>
                      <w:rFonts w:hint="eastAsia" w:cs="Times New Roman"/>
                      <w:color w:val="000000" w:themeColor="text1"/>
                      <w:spacing w:val="-26"/>
                      <w:sz w:val="21"/>
                      <w:szCs w:val="21"/>
                      <w14:textFill>
                        <w14:solidFill>
                          <w14:schemeClr w14:val="tx1"/>
                        </w14:solidFill>
                      </w14:textFill>
                    </w:rPr>
                    <w:t>1</w:t>
                  </w:r>
                  <w:r>
                    <w:rPr>
                      <w:rFonts w:cs="Times New Roman"/>
                      <w:color w:val="000000" w:themeColor="text1"/>
                      <w:spacing w:val="-26"/>
                      <w:sz w:val="21"/>
                      <w:szCs w:val="21"/>
                      <w14:textFill>
                        <w14:solidFill>
                          <w14:schemeClr w14:val="tx1"/>
                        </w14:solidFill>
                      </w14:textFill>
                    </w:rPr>
                    <w:t>05</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44</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59.359</w:t>
                  </w:r>
                  <w:r>
                    <w:rPr>
                      <w:rFonts w:hint="eastAsia" w:cs="Times New Roman"/>
                      <w:color w:val="000000" w:themeColor="text1"/>
                      <w:spacing w:val="-26"/>
                      <w:sz w:val="21"/>
                      <w:szCs w:val="21"/>
                      <w14:textFill>
                        <w14:solidFill>
                          <w14:schemeClr w14:val="tx1"/>
                        </w14:solidFill>
                      </w14:textFill>
                    </w:rPr>
                    <w:t>″</w:t>
                  </w:r>
                </w:p>
              </w:tc>
              <w:tc>
                <w:tcPr>
                  <w:tcW w:w="900" w:type="dxa"/>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r>
                    <w:rPr>
                      <w:rFonts w:hint="eastAsia" w:cs="Times New Roman"/>
                      <w:color w:val="000000" w:themeColor="text1"/>
                      <w:spacing w:val="-26"/>
                      <w:sz w:val="21"/>
                      <w:szCs w:val="21"/>
                      <w14:textFill>
                        <w14:solidFill>
                          <w14:schemeClr w14:val="tx1"/>
                        </w14:solidFill>
                      </w14:textFill>
                    </w:rPr>
                    <w:t>2</w:t>
                  </w:r>
                  <w:r>
                    <w:rPr>
                      <w:rFonts w:cs="Times New Roman"/>
                      <w:color w:val="000000" w:themeColor="text1"/>
                      <w:spacing w:val="-26"/>
                      <w:sz w:val="21"/>
                      <w:szCs w:val="21"/>
                      <w14:textFill>
                        <w14:solidFill>
                          <w14:schemeClr w14:val="tx1"/>
                        </w14:solidFill>
                      </w14:textFill>
                    </w:rPr>
                    <w:t>9</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27</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10.166</w:t>
                  </w:r>
                  <w:r>
                    <w:rPr>
                      <w:rFonts w:hint="eastAsia" w:cs="Times New Roman"/>
                      <w:color w:val="000000" w:themeColor="text1"/>
                      <w:spacing w:val="-26"/>
                      <w:sz w:val="21"/>
                      <w:szCs w:val="21"/>
                      <w14:textFill>
                        <w14:solidFill>
                          <w14:schemeClr w14:val="tx1"/>
                        </w14:solidFill>
                      </w14:textFill>
                    </w:rPr>
                    <w:t>″</w:t>
                  </w:r>
                </w:p>
              </w:tc>
              <w:tc>
                <w:tcPr>
                  <w:tcW w:w="711"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26</w:t>
                  </w:r>
                </w:p>
              </w:tc>
              <w:tc>
                <w:tcPr>
                  <w:tcW w:w="604"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5</w:t>
                  </w:r>
                </w:p>
              </w:tc>
              <w:tc>
                <w:tcPr>
                  <w:tcW w:w="613"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.5</w:t>
                  </w:r>
                </w:p>
              </w:tc>
              <w:tc>
                <w:tcPr>
                  <w:tcW w:w="716" w:type="dxa"/>
                  <w:vAlign w:val="center"/>
                </w:tcPr>
                <w:p>
                  <w:pPr>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4.15</w:t>
                  </w:r>
                </w:p>
              </w:tc>
              <w:tc>
                <w:tcPr>
                  <w:tcW w:w="567"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6</w:t>
                  </w:r>
                </w:p>
              </w:tc>
              <w:tc>
                <w:tcPr>
                  <w:tcW w:w="567" w:type="dxa"/>
                  <w:vAlign w:val="center"/>
                </w:tcPr>
                <w:p>
                  <w:pPr>
                    <w:spacing w:line="240" w:lineRule="auto"/>
                    <w:jc w:val="center"/>
                    <w:rPr>
                      <w:color w:val="000000" w:themeColor="text1"/>
                      <w:spacing w:val="-20"/>
                      <w14:textFill>
                        <w14:solidFill>
                          <w14:schemeClr w14:val="tx1"/>
                        </w14:solidFill>
                      </w14:textFill>
                    </w:rPr>
                  </w:pPr>
                  <w:r>
                    <w:rPr>
                      <w:rFonts w:hint="eastAsia"/>
                      <w:color w:val="000000" w:themeColor="text1"/>
                      <w:spacing w:val="-20"/>
                      <w14:textFill>
                        <w14:solidFill>
                          <w14:schemeClr w14:val="tx1"/>
                        </w14:solidFill>
                      </w14:textFill>
                    </w:rPr>
                    <w:t>7</w:t>
                  </w:r>
                  <w:r>
                    <w:rPr>
                      <w:color w:val="000000" w:themeColor="text1"/>
                      <w:spacing w:val="-20"/>
                      <w14:textFill>
                        <w14:solidFill>
                          <w14:schemeClr w14:val="tx1"/>
                        </w14:solidFill>
                      </w14:textFill>
                    </w:rPr>
                    <w:t>200</w:t>
                  </w:r>
                </w:p>
              </w:tc>
              <w:tc>
                <w:tcPr>
                  <w:tcW w:w="709" w:type="dxa"/>
                  <w:vAlign w:val="center"/>
                </w:tcPr>
                <w:p>
                  <w:pPr>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正常排放</w:t>
                  </w:r>
                </w:p>
              </w:tc>
              <w:tc>
                <w:tcPr>
                  <w:tcW w:w="1199"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.042</w:t>
                  </w:r>
                  <w:r>
                    <w:rPr>
                      <w:rFonts w:hint="eastAsia"/>
                      <w:color w:val="000000" w:themeColor="text1"/>
                      <w:szCs w:val="21"/>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8" w:type="dxa"/>
                  <w:vAlign w:val="center"/>
                </w:tcPr>
                <w:p>
                  <w:pPr>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769" w:type="dxa"/>
                  <w:vAlign w:val="center"/>
                </w:tcPr>
                <w:p>
                  <w:pPr>
                    <w:adjustRightInd w:val="0"/>
                    <w:snapToGrid w:val="0"/>
                    <w:spacing w:line="240" w:lineRule="auto"/>
                    <w:jc w:val="center"/>
                    <w:rPr>
                      <w:color w:val="000000" w:themeColor="text1"/>
                      <w14:textFill>
                        <w14:solidFill>
                          <w14:schemeClr w14:val="tx1"/>
                        </w14:solidFill>
                      </w14:textFill>
                    </w:rPr>
                  </w:pPr>
                  <w:r>
                    <w:rPr>
                      <w:rFonts w:hint="eastAsia"/>
                      <w:color w:val="000000" w:themeColor="text1"/>
                      <w:spacing w:val="-20"/>
                      <w14:textFill>
                        <w14:solidFill>
                          <w14:schemeClr w14:val="tx1"/>
                        </w14:solidFill>
                      </w14:textFill>
                    </w:rPr>
                    <w:t>D</w:t>
                  </w:r>
                  <w:r>
                    <w:rPr>
                      <w:color w:val="000000" w:themeColor="text1"/>
                      <w:spacing w:val="-20"/>
                      <w14:textFill>
                        <w14:solidFill>
                          <w14:schemeClr w14:val="tx1"/>
                        </w14:solidFill>
                      </w14:textFill>
                    </w:rPr>
                    <w:t>A005</w:t>
                  </w:r>
                </w:p>
              </w:tc>
              <w:tc>
                <w:tcPr>
                  <w:tcW w:w="992" w:type="dxa"/>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r>
                    <w:rPr>
                      <w:rFonts w:hint="eastAsia" w:cs="Times New Roman"/>
                      <w:color w:val="000000" w:themeColor="text1"/>
                      <w:spacing w:val="-26"/>
                      <w:sz w:val="21"/>
                      <w:szCs w:val="21"/>
                      <w14:textFill>
                        <w14:solidFill>
                          <w14:schemeClr w14:val="tx1"/>
                        </w14:solidFill>
                      </w14:textFill>
                    </w:rPr>
                    <w:t>1</w:t>
                  </w:r>
                  <w:r>
                    <w:rPr>
                      <w:rFonts w:cs="Times New Roman"/>
                      <w:color w:val="000000" w:themeColor="text1"/>
                      <w:spacing w:val="-26"/>
                      <w:sz w:val="21"/>
                      <w:szCs w:val="21"/>
                      <w14:textFill>
                        <w14:solidFill>
                          <w14:schemeClr w14:val="tx1"/>
                        </w14:solidFill>
                      </w14:textFill>
                    </w:rPr>
                    <w:t>05</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44</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4.959</w:t>
                  </w:r>
                  <w:r>
                    <w:rPr>
                      <w:rFonts w:hint="eastAsia" w:cs="Times New Roman"/>
                      <w:color w:val="000000" w:themeColor="text1"/>
                      <w:spacing w:val="-26"/>
                      <w:sz w:val="21"/>
                      <w:szCs w:val="21"/>
                      <w14:textFill>
                        <w14:solidFill>
                          <w14:schemeClr w14:val="tx1"/>
                        </w14:solidFill>
                      </w14:textFill>
                    </w:rPr>
                    <w:t>″</w:t>
                  </w:r>
                </w:p>
              </w:tc>
              <w:tc>
                <w:tcPr>
                  <w:tcW w:w="900" w:type="dxa"/>
                  <w:vAlign w:val="center"/>
                </w:tcPr>
                <w:p>
                  <w:pPr>
                    <w:pStyle w:val="72"/>
                    <w:spacing w:line="240" w:lineRule="auto"/>
                    <w:ind w:firstLine="0" w:firstLineChars="0"/>
                    <w:jc w:val="center"/>
                    <w:rPr>
                      <w:rFonts w:cs="Times New Roman"/>
                      <w:color w:val="000000" w:themeColor="text1"/>
                      <w:spacing w:val="-26"/>
                      <w:sz w:val="21"/>
                      <w:szCs w:val="21"/>
                      <w14:textFill>
                        <w14:solidFill>
                          <w14:schemeClr w14:val="tx1"/>
                        </w14:solidFill>
                      </w14:textFill>
                    </w:rPr>
                  </w:pPr>
                  <w:r>
                    <w:rPr>
                      <w:rFonts w:hint="eastAsia" w:cs="Times New Roman"/>
                      <w:color w:val="000000" w:themeColor="text1"/>
                      <w:spacing w:val="-26"/>
                      <w:sz w:val="21"/>
                      <w:szCs w:val="21"/>
                      <w14:textFill>
                        <w14:solidFill>
                          <w14:schemeClr w14:val="tx1"/>
                        </w14:solidFill>
                      </w14:textFill>
                    </w:rPr>
                    <w:t>2</w:t>
                  </w:r>
                  <w:r>
                    <w:rPr>
                      <w:rFonts w:cs="Times New Roman"/>
                      <w:color w:val="000000" w:themeColor="text1"/>
                      <w:spacing w:val="-26"/>
                      <w:sz w:val="21"/>
                      <w:szCs w:val="21"/>
                      <w14:textFill>
                        <w14:solidFill>
                          <w14:schemeClr w14:val="tx1"/>
                        </w14:solidFill>
                      </w14:textFill>
                    </w:rPr>
                    <w:t>9</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27</w:t>
                  </w:r>
                  <w:r>
                    <w:rPr>
                      <w:rFonts w:hint="eastAsia" w:cs="Times New Roman"/>
                      <w:color w:val="000000" w:themeColor="text1"/>
                      <w:spacing w:val="-26"/>
                      <w:sz w:val="21"/>
                      <w:szCs w:val="21"/>
                      <w14:textFill>
                        <w14:solidFill>
                          <w14:schemeClr w14:val="tx1"/>
                        </w14:solidFill>
                      </w14:textFill>
                    </w:rPr>
                    <w:t>′</w:t>
                  </w:r>
                  <w:r>
                    <w:rPr>
                      <w:rFonts w:cs="Times New Roman"/>
                      <w:color w:val="000000" w:themeColor="text1"/>
                      <w:spacing w:val="-26"/>
                      <w:sz w:val="21"/>
                      <w:szCs w:val="21"/>
                      <w14:textFill>
                        <w14:solidFill>
                          <w14:schemeClr w14:val="tx1"/>
                        </w14:solidFill>
                      </w14:textFill>
                    </w:rPr>
                    <w:t>17.215</w:t>
                  </w:r>
                  <w:r>
                    <w:rPr>
                      <w:rFonts w:hint="eastAsia" w:cs="Times New Roman"/>
                      <w:color w:val="000000" w:themeColor="text1"/>
                      <w:spacing w:val="-26"/>
                      <w:sz w:val="21"/>
                      <w:szCs w:val="21"/>
                      <w14:textFill>
                        <w14:solidFill>
                          <w14:schemeClr w14:val="tx1"/>
                        </w14:solidFill>
                      </w14:textFill>
                    </w:rPr>
                    <w:t>″</w:t>
                  </w:r>
                </w:p>
              </w:tc>
              <w:tc>
                <w:tcPr>
                  <w:tcW w:w="711"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26</w:t>
                  </w:r>
                </w:p>
              </w:tc>
              <w:tc>
                <w:tcPr>
                  <w:tcW w:w="604"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5</w:t>
                  </w:r>
                </w:p>
              </w:tc>
              <w:tc>
                <w:tcPr>
                  <w:tcW w:w="613"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.3</w:t>
                  </w:r>
                </w:p>
              </w:tc>
              <w:tc>
                <w:tcPr>
                  <w:tcW w:w="716" w:type="dxa"/>
                  <w:vAlign w:val="center"/>
                </w:tcPr>
                <w:p>
                  <w:pPr>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5.73</w:t>
                  </w:r>
                </w:p>
              </w:tc>
              <w:tc>
                <w:tcPr>
                  <w:tcW w:w="567"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0</w:t>
                  </w:r>
                </w:p>
              </w:tc>
              <w:tc>
                <w:tcPr>
                  <w:tcW w:w="567" w:type="dxa"/>
                  <w:vAlign w:val="center"/>
                </w:tcPr>
                <w:p>
                  <w:pPr>
                    <w:spacing w:line="240" w:lineRule="auto"/>
                    <w:jc w:val="center"/>
                    <w:rPr>
                      <w:color w:val="000000" w:themeColor="text1"/>
                      <w:spacing w:val="-20"/>
                      <w14:textFill>
                        <w14:solidFill>
                          <w14:schemeClr w14:val="tx1"/>
                        </w14:solidFill>
                      </w14:textFill>
                    </w:rPr>
                  </w:pPr>
                  <w:r>
                    <w:rPr>
                      <w:rFonts w:hint="eastAsia"/>
                      <w:color w:val="000000" w:themeColor="text1"/>
                      <w:spacing w:val="-20"/>
                      <w14:textFill>
                        <w14:solidFill>
                          <w14:schemeClr w14:val="tx1"/>
                        </w14:solidFill>
                      </w14:textFill>
                    </w:rPr>
                    <w:t>1</w:t>
                  </w:r>
                  <w:r>
                    <w:rPr>
                      <w:color w:val="000000" w:themeColor="text1"/>
                      <w:spacing w:val="-20"/>
                      <w14:textFill>
                        <w14:solidFill>
                          <w14:schemeClr w14:val="tx1"/>
                        </w14:solidFill>
                      </w14:textFill>
                    </w:rPr>
                    <w:t>200</w:t>
                  </w:r>
                </w:p>
              </w:tc>
              <w:tc>
                <w:tcPr>
                  <w:tcW w:w="709" w:type="dxa"/>
                  <w:vAlign w:val="center"/>
                </w:tcPr>
                <w:p>
                  <w:pPr>
                    <w:adjustRightInd w:val="0"/>
                    <w:snapToGrid w:val="0"/>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正常排放</w:t>
                  </w:r>
                </w:p>
              </w:tc>
              <w:tc>
                <w:tcPr>
                  <w:tcW w:w="1199"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.003</w:t>
                  </w:r>
                  <w:r>
                    <w:rPr>
                      <w:rFonts w:hint="eastAsia"/>
                      <w:color w:val="000000" w:themeColor="text1"/>
                      <w:szCs w:val="21"/>
                      <w14:textFill>
                        <w14:solidFill>
                          <w14:schemeClr w14:val="tx1"/>
                        </w14:solidFill>
                      </w14:textFill>
                    </w:rPr>
                    <w:t>-油烟</w:t>
                  </w:r>
                </w:p>
              </w:tc>
            </w:tr>
          </w:tbl>
          <w:p>
            <w:pPr>
              <w:pStyle w:val="72"/>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3</w:t>
            </w:r>
            <w:r>
              <w:rPr>
                <w:rFonts w:hint="eastAsia" w:cs="Times New Roman"/>
                <w:b/>
                <w:color w:val="000000" w:themeColor="text1"/>
                <w14:textFill>
                  <w14:solidFill>
                    <w14:schemeClr w14:val="tx1"/>
                  </w14:solidFill>
                </w14:textFill>
              </w:rPr>
              <w:t>、大气污染防治措施及可行性分析</w:t>
            </w:r>
          </w:p>
          <w:p>
            <w:pPr>
              <w:pStyle w:val="72"/>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（1）项目连续性自动化生产要求分析</w:t>
            </w:r>
          </w:p>
          <w:p>
            <w:pPr>
              <w:pStyle w:val="72"/>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本项目连续干馏裂解生产线采用连续化裂解工艺技术，属于连续化废轮胎裂解设备。该设备已由生产厂家在国内进行多次成功应用，该设备进料过程自动化程度高，工艺成熟稳定。</w:t>
            </w:r>
          </w:p>
          <w:p>
            <w:pPr>
              <w:pStyle w:val="72"/>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（2）</w:t>
            </w:r>
            <w:r>
              <w:rPr>
                <w:rFonts w:hint="eastAsia" w:cs="Times New Roman"/>
                <w:bCs/>
                <w:color w:val="000000" w:themeColor="text1"/>
                <w:szCs w:val="24"/>
                <w14:textFill>
                  <w14:solidFill>
                    <w14:schemeClr w14:val="tx1"/>
                  </w14:solidFill>
                </w14:textFill>
              </w:rPr>
              <w:t>燃烧烟气污染防治措施</w:t>
            </w:r>
          </w:p>
          <w:p>
            <w:pPr>
              <w:pStyle w:val="72"/>
              <w:ind w:firstLine="480"/>
              <w:rPr>
                <w:rFonts w:cs="Times New Roman"/>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每条裂解生产线的燃烧室对裂解不凝气燃烧处理。各生产线燃烧室燃烧烟气和多余不凝气采用一套“二次燃烧+烟气骤冷+</w:t>
            </w:r>
            <w:r>
              <w:rPr>
                <w:bCs/>
                <w:color w:val="000000" w:themeColor="text1"/>
                <w:szCs w:val="24"/>
                <w14:textFill>
                  <w14:solidFill>
                    <w14:schemeClr w14:val="tx1"/>
                  </w14:solidFill>
                </w14:textFill>
              </w:rPr>
              <w:t>SCR</w:t>
            </w:r>
            <w:r>
              <w:rPr>
                <w:rFonts w:hint="eastAsia"/>
                <w:bCs/>
                <w:color w:val="000000" w:themeColor="text1"/>
                <w:szCs w:val="24"/>
                <w14:textFill>
                  <w14:solidFill>
                    <w14:schemeClr w14:val="tx1"/>
                  </w14:solidFill>
                </w14:textFill>
              </w:rPr>
              <w:t>脱硝+钠碱法脱硫+湿电除尘+气液分离+二级活性炭吸附”处理工艺</w:t>
            </w:r>
            <w:r>
              <w:rPr>
                <w:rFonts w:hint="eastAsia" w:cs="Times New Roman"/>
                <w:bCs/>
                <w:color w:val="000000" w:themeColor="text1"/>
                <w:szCs w:val="24"/>
                <w14:textFill>
                  <w14:solidFill>
                    <w14:schemeClr w14:val="tx1"/>
                  </w14:solidFill>
                </w14:textFill>
              </w:rPr>
              <w:t>，处理达标后经1根1</w:t>
            </w:r>
            <w:r>
              <w:rPr>
                <w:rFonts w:cs="Times New Roman"/>
                <w:bCs/>
                <w:color w:val="000000" w:themeColor="text1"/>
                <w:szCs w:val="24"/>
                <w14:textFill>
                  <w14:solidFill>
                    <w14:schemeClr w14:val="tx1"/>
                  </w14:solidFill>
                </w14:textFill>
              </w:rPr>
              <w:t>5</w:t>
            </w:r>
            <w:r>
              <w:rPr>
                <w:rFonts w:hint="eastAsia" w:cs="Times New Roman"/>
                <w:bCs/>
                <w:color w:val="000000" w:themeColor="text1"/>
                <w:szCs w:val="24"/>
                <w14:textFill>
                  <w14:solidFill>
                    <w14:schemeClr w14:val="tx1"/>
                  </w14:solidFill>
                </w14:textFill>
              </w:rPr>
              <w:t>m高排气筒排放。所采取的废气处理措施原理如下：</w:t>
            </w:r>
          </w:p>
          <w:p>
            <w:pPr>
              <w:pStyle w:val="72"/>
              <w:ind w:firstLine="480"/>
              <w:rPr>
                <w:rFonts w:ascii="宋体" w:hAnsi="宋体"/>
                <w:bCs/>
                <w:color w:val="000000" w:themeColor="text1"/>
                <w:szCs w:val="24"/>
                <w14:textFill>
                  <w14:solidFill>
                    <w14:schemeClr w14:val="tx1"/>
                  </w14:solidFill>
                </w14:textFill>
              </w:rPr>
            </w:pPr>
            <w:r>
              <w:rPr>
                <w:rFonts w:hint="eastAsia" w:ascii="宋体" w:hAnsi="宋体"/>
                <w:bCs/>
                <w:color w:val="000000" w:themeColor="text1"/>
                <w:szCs w:val="24"/>
                <w14:textFill>
                  <w14:solidFill>
                    <w14:schemeClr w14:val="tx1"/>
                  </w14:solidFill>
                </w14:textFill>
              </w:rPr>
              <w:t>①燃烧室含氧量充足性</w:t>
            </w:r>
          </w:p>
          <w:p>
            <w:pPr>
              <w:pStyle w:val="72"/>
              <w:ind w:firstLine="480"/>
              <w:rPr>
                <w:rFonts w:ascii="宋体" w:hAnsi="宋体"/>
                <w:bCs/>
                <w:color w:val="000000" w:themeColor="text1"/>
                <w:szCs w:val="24"/>
                <w14:textFill>
                  <w14:solidFill>
                    <w14:schemeClr w14:val="tx1"/>
                  </w14:solidFill>
                </w14:textFill>
              </w:rPr>
            </w:pPr>
            <w:r>
              <w:rPr>
                <w:rFonts w:hint="eastAsia" w:ascii="宋体" w:hAnsi="宋体"/>
                <w:bCs/>
                <w:color w:val="000000" w:themeColor="text1"/>
                <w:szCs w:val="24"/>
                <w14:textFill>
                  <w14:solidFill>
                    <w14:schemeClr w14:val="tx1"/>
                  </w14:solidFill>
                </w14:textFill>
              </w:rPr>
              <w:t>本项目燃烧室配套的烧嘴的参数见下表。</w:t>
            </w:r>
          </w:p>
          <w:p>
            <w:pPr>
              <w:pStyle w:val="72"/>
              <w:spacing w:line="240" w:lineRule="auto"/>
              <w:ind w:firstLine="0" w:firstLineChars="0"/>
              <w:jc w:val="center"/>
              <w:rPr>
                <w:rFonts w:cs="Times New Roman"/>
                <w:b/>
                <w:bCs/>
                <w:color w:val="000000" w:themeColor="text1"/>
                <w:szCs w:val="24"/>
                <w14:textFill>
                  <w14:solidFill>
                    <w14:schemeClr w14:val="tx1"/>
                  </w14:solidFill>
                </w14:textFill>
              </w:rPr>
            </w:pPr>
            <w:r>
              <w:rPr>
                <w:rFonts w:cs="Times New Roman"/>
                <w:b/>
                <w:bCs/>
                <w:color w:val="000000" w:themeColor="text1"/>
                <w:szCs w:val="24"/>
                <w14:textFill>
                  <w14:solidFill>
                    <w14:schemeClr w14:val="tx1"/>
                  </w14:solidFill>
                </w14:textFill>
              </w:rPr>
              <w:t>表4.2-6  烧嘴参数表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103"/>
              <w:gridCol w:w="1103"/>
              <w:gridCol w:w="1104"/>
              <w:gridCol w:w="1104"/>
              <w:gridCol w:w="1104"/>
              <w:gridCol w:w="976"/>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3" w:type="dxa"/>
                  <w:shd w:val="clear" w:color="auto" w:fill="auto"/>
                  <w:vAlign w:val="center"/>
                </w:tcPr>
                <w:p>
                  <w:pPr>
                    <w:pStyle w:val="72"/>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功率</w:t>
                  </w:r>
                </w:p>
              </w:tc>
              <w:tc>
                <w:tcPr>
                  <w:tcW w:w="1103" w:type="dxa"/>
                  <w:shd w:val="clear" w:color="auto" w:fill="auto"/>
                  <w:vAlign w:val="center"/>
                </w:tcPr>
                <w:p>
                  <w:pPr>
                    <w:pStyle w:val="72"/>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废气压力（pa）</w:t>
                  </w:r>
                </w:p>
              </w:tc>
              <w:tc>
                <w:tcPr>
                  <w:tcW w:w="1103" w:type="dxa"/>
                  <w:shd w:val="clear" w:color="auto" w:fill="auto"/>
                  <w:vAlign w:val="center"/>
                </w:tcPr>
                <w:p>
                  <w:pPr>
                    <w:pStyle w:val="72"/>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阻燃风压力（pa）</w:t>
                  </w:r>
                </w:p>
              </w:tc>
              <w:tc>
                <w:tcPr>
                  <w:tcW w:w="1104" w:type="dxa"/>
                  <w:shd w:val="clear" w:color="auto" w:fill="auto"/>
                  <w:vAlign w:val="center"/>
                </w:tcPr>
                <w:p>
                  <w:pPr>
                    <w:pStyle w:val="72"/>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废气流量</w:t>
                  </w:r>
                  <w:r>
                    <w:rPr>
                      <w:rFonts w:hint="eastAsia" w:cs="Times New Roman"/>
                      <w:b/>
                      <w:bCs/>
                      <w:color w:val="000000" w:themeColor="text1"/>
                      <w:sz w:val="21"/>
                      <w:szCs w:val="21"/>
                      <w14:textFill>
                        <w14:solidFill>
                          <w14:schemeClr w14:val="tx1"/>
                        </w14:solidFill>
                      </w14:textFill>
                    </w:rPr>
                    <w:t>(</w:t>
                  </w:r>
                  <w:r>
                    <w:rPr>
                      <w:rFonts w:cs="Times New Roman"/>
                      <w:b/>
                      <w:bCs/>
                      <w:color w:val="000000" w:themeColor="text1"/>
                      <w:sz w:val="21"/>
                      <w:szCs w:val="21"/>
                      <w14:textFill>
                        <w14:solidFill>
                          <w14:schemeClr w14:val="tx1"/>
                        </w14:solidFill>
                      </w14:textFill>
                    </w:rPr>
                    <w:t>Nm</w:t>
                  </w:r>
                  <w:r>
                    <w:rPr>
                      <w:rFonts w:cs="Times New Roman"/>
                      <w:b/>
                      <w:bCs/>
                      <w:color w:val="000000" w:themeColor="text1"/>
                      <w:sz w:val="21"/>
                      <w:szCs w:val="21"/>
                      <w:vertAlign w:val="superscript"/>
                      <w14:textFill>
                        <w14:solidFill>
                          <w14:schemeClr w14:val="tx1"/>
                        </w14:solidFill>
                      </w14:textFill>
                    </w:rPr>
                    <w:t>3</w:t>
                  </w:r>
                  <w:r>
                    <w:rPr>
                      <w:rFonts w:cs="Times New Roman"/>
                      <w:b/>
                      <w:bCs/>
                      <w:color w:val="000000" w:themeColor="text1"/>
                      <w:sz w:val="21"/>
                      <w:szCs w:val="21"/>
                      <w14:textFill>
                        <w14:solidFill>
                          <w14:schemeClr w14:val="tx1"/>
                        </w14:solidFill>
                      </w14:textFill>
                    </w:rPr>
                    <w:t>/h</w:t>
                  </w:r>
                  <w:r>
                    <w:rPr>
                      <w:rFonts w:hint="eastAsia" w:cs="Times New Roman"/>
                      <w:b/>
                      <w:bCs/>
                      <w:color w:val="000000" w:themeColor="text1"/>
                      <w:sz w:val="21"/>
                      <w:szCs w:val="21"/>
                      <w14:textFill>
                        <w14:solidFill>
                          <w14:schemeClr w14:val="tx1"/>
                        </w14:solidFill>
                      </w14:textFill>
                    </w:rPr>
                    <w:t>)</w:t>
                  </w:r>
                </w:p>
              </w:tc>
              <w:tc>
                <w:tcPr>
                  <w:tcW w:w="1104" w:type="dxa"/>
                  <w:shd w:val="clear" w:color="auto" w:fill="auto"/>
                  <w:vAlign w:val="center"/>
                </w:tcPr>
                <w:p>
                  <w:pPr>
                    <w:pStyle w:val="72"/>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助燃风量</w:t>
                  </w:r>
                  <w:r>
                    <w:rPr>
                      <w:rFonts w:hint="eastAsia" w:cs="Times New Roman"/>
                      <w:b/>
                      <w:bCs/>
                      <w:color w:val="000000" w:themeColor="text1"/>
                      <w:sz w:val="21"/>
                      <w:szCs w:val="21"/>
                      <w14:textFill>
                        <w14:solidFill>
                          <w14:schemeClr w14:val="tx1"/>
                        </w14:solidFill>
                      </w14:textFill>
                    </w:rPr>
                    <w:t>(</w:t>
                  </w:r>
                  <w:r>
                    <w:rPr>
                      <w:rFonts w:cs="Times New Roman"/>
                      <w:b/>
                      <w:bCs/>
                      <w:color w:val="000000" w:themeColor="text1"/>
                      <w:sz w:val="21"/>
                      <w:szCs w:val="21"/>
                      <w14:textFill>
                        <w14:solidFill>
                          <w14:schemeClr w14:val="tx1"/>
                        </w14:solidFill>
                      </w14:textFill>
                    </w:rPr>
                    <w:t>Nm</w:t>
                  </w:r>
                  <w:r>
                    <w:rPr>
                      <w:rFonts w:cs="Times New Roman"/>
                      <w:b/>
                      <w:bCs/>
                      <w:color w:val="000000" w:themeColor="text1"/>
                      <w:sz w:val="21"/>
                      <w:szCs w:val="21"/>
                      <w:vertAlign w:val="superscript"/>
                      <w14:textFill>
                        <w14:solidFill>
                          <w14:schemeClr w14:val="tx1"/>
                        </w14:solidFill>
                      </w14:textFill>
                    </w:rPr>
                    <w:t>3</w:t>
                  </w:r>
                  <w:r>
                    <w:rPr>
                      <w:rFonts w:cs="Times New Roman"/>
                      <w:b/>
                      <w:bCs/>
                      <w:color w:val="000000" w:themeColor="text1"/>
                      <w:sz w:val="21"/>
                      <w:szCs w:val="21"/>
                      <w14:textFill>
                        <w14:solidFill>
                          <w14:schemeClr w14:val="tx1"/>
                        </w14:solidFill>
                      </w14:textFill>
                    </w:rPr>
                    <w:t>/h</w:t>
                  </w:r>
                  <w:r>
                    <w:rPr>
                      <w:rFonts w:hint="eastAsia" w:cs="Times New Roman"/>
                      <w:b/>
                      <w:bCs/>
                      <w:color w:val="000000" w:themeColor="text1"/>
                      <w:sz w:val="21"/>
                      <w:szCs w:val="21"/>
                      <w14:textFill>
                        <w14:solidFill>
                          <w14:schemeClr w14:val="tx1"/>
                        </w14:solidFill>
                      </w14:textFill>
                    </w:rPr>
                    <w:t>)</w:t>
                  </w:r>
                </w:p>
              </w:tc>
              <w:tc>
                <w:tcPr>
                  <w:tcW w:w="1104" w:type="dxa"/>
                  <w:shd w:val="clear" w:color="auto" w:fill="auto"/>
                  <w:vAlign w:val="center"/>
                </w:tcPr>
                <w:p>
                  <w:pPr>
                    <w:pStyle w:val="72"/>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进气口</w:t>
                  </w:r>
                </w:p>
              </w:tc>
              <w:tc>
                <w:tcPr>
                  <w:tcW w:w="976" w:type="dxa"/>
                  <w:shd w:val="clear" w:color="auto" w:fill="auto"/>
                  <w:vAlign w:val="center"/>
                </w:tcPr>
                <w:p>
                  <w:pPr>
                    <w:pStyle w:val="72"/>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进风口</w:t>
                  </w:r>
                </w:p>
              </w:tc>
              <w:tc>
                <w:tcPr>
                  <w:tcW w:w="1232" w:type="dxa"/>
                  <w:shd w:val="clear" w:color="auto" w:fill="auto"/>
                  <w:vAlign w:val="center"/>
                </w:tcPr>
                <w:p>
                  <w:pPr>
                    <w:pStyle w:val="72"/>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套管尺寸与长度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3" w:type="dxa"/>
                  <w:shd w:val="clear" w:color="auto" w:fill="auto"/>
                  <w:vAlign w:val="center"/>
                </w:tcPr>
                <w:p>
                  <w:pPr>
                    <w:pStyle w:val="72"/>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10万大卡</w:t>
                  </w:r>
                </w:p>
              </w:tc>
              <w:tc>
                <w:tcPr>
                  <w:tcW w:w="1103" w:type="dxa"/>
                  <w:shd w:val="clear" w:color="auto" w:fill="auto"/>
                  <w:vAlign w:val="center"/>
                </w:tcPr>
                <w:p>
                  <w:pPr>
                    <w:pStyle w:val="72"/>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＞1500</w:t>
                  </w:r>
                </w:p>
              </w:tc>
              <w:tc>
                <w:tcPr>
                  <w:tcW w:w="1103" w:type="dxa"/>
                  <w:shd w:val="clear" w:color="auto" w:fill="auto"/>
                  <w:vAlign w:val="center"/>
                </w:tcPr>
                <w:p>
                  <w:pPr>
                    <w:pStyle w:val="72"/>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＞1500</w:t>
                  </w:r>
                </w:p>
              </w:tc>
              <w:tc>
                <w:tcPr>
                  <w:tcW w:w="1104" w:type="dxa"/>
                  <w:shd w:val="clear" w:color="auto" w:fill="auto"/>
                  <w:vAlign w:val="center"/>
                </w:tcPr>
                <w:p>
                  <w:pPr>
                    <w:pStyle w:val="72"/>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12</w:t>
                  </w:r>
                </w:p>
              </w:tc>
              <w:tc>
                <w:tcPr>
                  <w:tcW w:w="1104" w:type="dxa"/>
                  <w:shd w:val="clear" w:color="auto" w:fill="auto"/>
                  <w:vAlign w:val="center"/>
                </w:tcPr>
                <w:p>
                  <w:pPr>
                    <w:pStyle w:val="72"/>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125</w:t>
                  </w:r>
                </w:p>
              </w:tc>
              <w:tc>
                <w:tcPr>
                  <w:tcW w:w="1104" w:type="dxa"/>
                  <w:shd w:val="clear" w:color="auto" w:fill="auto"/>
                  <w:vAlign w:val="center"/>
                </w:tcPr>
                <w:p>
                  <w:pPr>
                    <w:pStyle w:val="72"/>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1寸</w:t>
                  </w:r>
                </w:p>
              </w:tc>
              <w:tc>
                <w:tcPr>
                  <w:tcW w:w="976" w:type="dxa"/>
                  <w:shd w:val="clear" w:color="auto" w:fill="auto"/>
                  <w:vAlign w:val="center"/>
                </w:tcPr>
                <w:p>
                  <w:pPr>
                    <w:pStyle w:val="72"/>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1.5寸外丝牙</w:t>
                  </w:r>
                </w:p>
              </w:tc>
              <w:tc>
                <w:tcPr>
                  <w:tcW w:w="1232" w:type="dxa"/>
                  <w:shd w:val="clear" w:color="auto" w:fill="auto"/>
                  <w:vAlign w:val="center"/>
                </w:tcPr>
                <w:p>
                  <w:pPr>
                    <w:pStyle w:val="72"/>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304不锈钢</w:t>
                  </w:r>
                </w:p>
                <w:p>
                  <w:pPr>
                    <w:pStyle w:val="72"/>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直径76</w:t>
                  </w:r>
                </w:p>
                <w:p>
                  <w:pPr>
                    <w:pStyle w:val="72"/>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长度400</w:t>
                  </w:r>
                </w:p>
              </w:tc>
            </w:tr>
          </w:tbl>
          <w:p>
            <w:pPr>
              <w:pStyle w:val="72"/>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本项目</w:t>
            </w:r>
            <w:r>
              <w:rPr>
                <w:rFonts w:hint="eastAsia" w:cs="Times New Roman"/>
                <w:bCs/>
                <w:color w:val="000000" w:themeColor="text1"/>
                <w:szCs w:val="24"/>
                <w14:textFill>
                  <w14:solidFill>
                    <w14:schemeClr w14:val="tx1"/>
                  </w14:solidFill>
                </w14:textFill>
              </w:rPr>
              <w:t>共设置6条连续干馏裂解生产线，每条线配套的燃烧室配套1</w:t>
            </w:r>
            <w:r>
              <w:rPr>
                <w:rFonts w:cs="Times New Roman"/>
                <w:bCs/>
                <w:color w:val="000000" w:themeColor="text1"/>
                <w:szCs w:val="24"/>
                <w14:textFill>
                  <w14:solidFill>
                    <w14:schemeClr w14:val="tx1"/>
                  </w14:solidFill>
                </w14:textFill>
              </w:rPr>
              <w:t>0</w:t>
            </w:r>
            <w:r>
              <w:rPr>
                <w:rFonts w:hint="eastAsia" w:cs="Times New Roman"/>
                <w:bCs/>
                <w:color w:val="000000" w:themeColor="text1"/>
                <w:szCs w:val="24"/>
                <w14:textFill>
                  <w14:solidFill>
                    <w14:schemeClr w14:val="tx1"/>
                  </w14:solidFill>
                </w14:textFill>
              </w:rPr>
              <w:t>把烧嘴，烧嘴助燃风量最大可达1</w:t>
            </w:r>
            <w:r>
              <w:rPr>
                <w:rFonts w:cs="Times New Roman"/>
                <w:bCs/>
                <w:color w:val="000000" w:themeColor="text1"/>
                <w:szCs w:val="24"/>
                <w14:textFill>
                  <w14:solidFill>
                    <w14:schemeClr w14:val="tx1"/>
                  </w14:solidFill>
                </w14:textFill>
              </w:rPr>
              <w:t>250</w:t>
            </w:r>
            <w:r>
              <w:rPr>
                <w:rFonts w:hint="eastAsia" w:cs="Times New Roman"/>
                <w:bCs/>
                <w:color w:val="000000" w:themeColor="text1"/>
                <w:szCs w:val="24"/>
                <w14:textFill>
                  <w14:solidFill>
                    <w14:schemeClr w14:val="tx1"/>
                  </w14:solidFill>
                </w14:textFill>
              </w:rPr>
              <w:t>m</w:t>
            </w:r>
            <w:r>
              <w:rPr>
                <w:rFonts w:cs="Times New Roman"/>
                <w:bCs/>
                <w:color w:val="000000" w:themeColor="text1"/>
                <w:szCs w:val="24"/>
                <w:vertAlign w:val="superscript"/>
                <w14:textFill>
                  <w14:solidFill>
                    <w14:schemeClr w14:val="tx1"/>
                  </w14:solidFill>
                </w14:textFill>
              </w:rPr>
              <w:t>3</w:t>
            </w:r>
            <w:r>
              <w:rPr>
                <w:rFonts w:cs="Times New Roman"/>
                <w:bCs/>
                <w:color w:val="000000" w:themeColor="text1"/>
                <w:szCs w:val="24"/>
                <w14:textFill>
                  <w14:solidFill>
                    <w14:schemeClr w14:val="tx1"/>
                  </w14:solidFill>
                </w14:textFill>
              </w:rPr>
              <w:t>/</w:t>
            </w:r>
            <w:r>
              <w:rPr>
                <w:rFonts w:hint="eastAsia" w:cs="Times New Roman"/>
                <w:bCs/>
                <w:color w:val="000000" w:themeColor="text1"/>
                <w:szCs w:val="24"/>
                <w14:textFill>
                  <w14:solidFill>
                    <w14:schemeClr w14:val="tx1"/>
                  </w14:solidFill>
                </w14:textFill>
              </w:rPr>
              <w:t>h。根据工程分析，单条连续干馏裂解生产线废气量约</w:t>
            </w:r>
            <w:r>
              <w:rPr>
                <w:rFonts w:cs="Times New Roman"/>
                <w:bCs/>
                <w:color w:val="000000" w:themeColor="text1"/>
                <w:szCs w:val="24"/>
                <w14:textFill>
                  <w14:solidFill>
                    <w14:schemeClr w14:val="tx1"/>
                  </w14:solidFill>
                </w14:textFill>
              </w:rPr>
              <w:t>1949</w:t>
            </w:r>
            <w:r>
              <w:rPr>
                <w:rFonts w:hint="eastAsia" w:cs="Times New Roman"/>
                <w:bCs/>
                <w:color w:val="000000" w:themeColor="text1"/>
                <w:szCs w:val="24"/>
                <w14:textFill>
                  <w14:solidFill>
                    <w14:schemeClr w14:val="tx1"/>
                  </w14:solidFill>
                </w14:textFill>
              </w:rPr>
              <w:t>m</w:t>
            </w:r>
            <w:r>
              <w:rPr>
                <w:rFonts w:cs="Times New Roman"/>
                <w:bCs/>
                <w:color w:val="000000" w:themeColor="text1"/>
                <w:szCs w:val="24"/>
                <w:vertAlign w:val="superscript"/>
                <w14:textFill>
                  <w14:solidFill>
                    <w14:schemeClr w14:val="tx1"/>
                  </w14:solidFill>
                </w14:textFill>
              </w:rPr>
              <w:t>3</w:t>
            </w:r>
            <w:r>
              <w:rPr>
                <w:rFonts w:cs="Times New Roman"/>
                <w:bCs/>
                <w:color w:val="000000" w:themeColor="text1"/>
                <w:szCs w:val="24"/>
                <w14:textFill>
                  <w14:solidFill>
                    <w14:schemeClr w14:val="tx1"/>
                  </w14:solidFill>
                </w14:textFill>
              </w:rPr>
              <w:t>/</w:t>
            </w:r>
            <w:r>
              <w:rPr>
                <w:rFonts w:hint="eastAsia" w:cs="Times New Roman"/>
                <w:bCs/>
                <w:color w:val="000000" w:themeColor="text1"/>
                <w:szCs w:val="24"/>
                <w14:textFill>
                  <w14:solidFill>
                    <w14:schemeClr w14:val="tx1"/>
                  </w14:solidFill>
                </w14:textFill>
              </w:rPr>
              <w:t>h。因此，燃烧室的氧气足够满足燃烧室内不凝气充分燃烧；同时，烧嘴底部设置有阀门，可控制进气量，保证氧气不存在过剩的情况。</w:t>
            </w:r>
          </w:p>
          <w:p>
            <w:pPr>
              <w:ind w:firstLine="45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二燃室尾气骤冷</w:t>
            </w:r>
          </w:p>
          <w:p>
            <w:pPr>
              <w:pStyle w:val="72"/>
              <w:ind w:firstLine="480"/>
              <w:rPr>
                <w:rFonts w:cs="Times New Roman"/>
                <w:bCs/>
                <w:color w:val="000000" w:themeColor="text1"/>
                <w:szCs w:val="24"/>
                <w14:textFill>
                  <w14:solidFill>
                    <w14:schemeClr w14:val="tx1"/>
                  </w14:solidFill>
                </w14:textFill>
              </w:rPr>
            </w:pPr>
            <w:r>
              <w:rPr>
                <w:rFonts w:hint="eastAsia" w:cs="Times New Roman"/>
                <w:bCs/>
                <w:color w:val="000000" w:themeColor="text1"/>
                <w:szCs w:val="24"/>
                <w14:textFill>
                  <w14:solidFill>
                    <w14:schemeClr w14:val="tx1"/>
                  </w14:solidFill>
                </w14:textFill>
              </w:rPr>
              <w:t>烟气</w:t>
            </w:r>
            <w:r>
              <w:rPr>
                <w:rFonts w:cs="Times New Roman"/>
                <w:bCs/>
                <w:color w:val="000000" w:themeColor="text1"/>
                <w:szCs w:val="24"/>
                <w14:textFill>
                  <w14:solidFill>
                    <w14:schemeClr w14:val="tx1"/>
                  </w14:solidFill>
                </w14:textFill>
              </w:rPr>
              <w:t>骤冷主要采取急冷塔，</w:t>
            </w:r>
            <w:r>
              <w:rPr>
                <w:rFonts w:hint="eastAsia" w:cs="Times New Roman"/>
                <w:bCs/>
                <w:color w:val="000000" w:themeColor="text1"/>
                <w:szCs w:val="24"/>
                <w14:textFill>
                  <w14:solidFill>
                    <w14:schemeClr w14:val="tx1"/>
                  </w14:solidFill>
                </w14:textFill>
              </w:rPr>
              <w:t>入口烟气温度850℃，出口烟气温度＜200℃。采用喷雾的方式，烟气从顶部进入吸收塔内，在喷嘴下方区域与雾化的水剂充分混合。雾化喷头靠压缩空气完成浆液雾化，其结构为双层夹套管，吸收剂浆液走内管，压缩空气走外管，浆液与压缩空气在喷嘴处强烈混合后从雾化器喷嘴喷出，使浆液雾化为细小的颗粒，与烟气进行充分接触吸收。急冷塔装置烟气设计停留时间为5S，急冷时间不超过1S。为了保证喷入塔内的浆液完全蒸发、防止浆液粘壁及防止腐蚀，内部采用双层结构，与烟气接触面为防腐耐高温胶泥，中间为隔热层。</w:t>
            </w:r>
          </w:p>
          <w:p>
            <w:pPr>
              <w:pStyle w:val="72"/>
              <w:ind w:firstLine="480"/>
              <w:rPr>
                <w:rFonts w:cs="Times New Roman"/>
                <w:bCs/>
                <w:color w:val="000000" w:themeColor="text1"/>
                <w:szCs w:val="24"/>
                <w14:textFill>
                  <w14:solidFill>
                    <w14:schemeClr w14:val="tx1"/>
                  </w14:solidFill>
                </w14:textFill>
              </w:rPr>
            </w:pPr>
            <w:r>
              <w:rPr>
                <w:rFonts w:hint="eastAsia" w:cs="Times New Roman"/>
                <w:bCs/>
                <w:color w:val="000000" w:themeColor="text1"/>
                <w:szCs w:val="24"/>
                <w14:textFill>
                  <w14:solidFill>
                    <w14:schemeClr w14:val="tx1"/>
                  </w14:solidFill>
                </w14:textFill>
              </w:rPr>
              <w:t>吸收塔采用喷水直接冷却的方式。流经塔内的烟气直接与雾化后喷入的液体接触，传质速度和传热速度较快，喷入的液体迅速汽化带走大量的热量，烟气温度得以迅速降温，从而减少了二噁英类物质的排放。</w:t>
            </w:r>
          </w:p>
          <w:p>
            <w:pPr>
              <w:pStyle w:val="72"/>
              <w:ind w:firstLine="480"/>
              <w:rPr>
                <w:rFonts w:cs="Times New Roman"/>
                <w:bCs/>
                <w:color w:val="000000" w:themeColor="text1"/>
                <w:szCs w:val="24"/>
                <w14:textFill>
                  <w14:solidFill>
                    <w14:schemeClr w14:val="tx1"/>
                  </w14:solidFill>
                </w14:textFill>
              </w:rPr>
            </w:pPr>
            <w:r>
              <w:rPr>
                <w:rFonts w:hint="eastAsia" w:ascii="宋体" w:hAnsi="宋体"/>
                <w:bCs/>
                <w:color w:val="000000" w:themeColor="text1"/>
                <w14:textFill>
                  <w14:solidFill>
                    <w14:schemeClr w14:val="tx1"/>
                  </w14:solidFill>
                </w14:textFill>
              </w:rPr>
              <w:t>③</w:t>
            </w:r>
            <w:r>
              <w:rPr>
                <w:rFonts w:cs="Times New Roman"/>
                <w:bCs/>
                <w:color w:val="000000" w:themeColor="text1"/>
                <w:szCs w:val="24"/>
                <w14:textFill>
                  <w14:solidFill>
                    <w14:schemeClr w14:val="tx1"/>
                  </w14:solidFill>
                </w14:textFill>
              </w:rPr>
              <w:t>SCR</w:t>
            </w:r>
            <w:r>
              <w:rPr>
                <w:rFonts w:hint="eastAsia" w:cs="Times New Roman"/>
                <w:bCs/>
                <w:color w:val="000000" w:themeColor="text1"/>
                <w:szCs w:val="24"/>
                <w14:textFill>
                  <w14:solidFill>
                    <w14:schemeClr w14:val="tx1"/>
                  </w14:solidFill>
                </w14:textFill>
              </w:rPr>
              <w:t>脱硝</w:t>
            </w:r>
          </w:p>
          <w:p>
            <w:pPr>
              <w:pStyle w:val="72"/>
              <w:ind w:firstLine="480"/>
              <w:rPr>
                <w:rFonts w:cs="Times New Roman"/>
                <w:bCs/>
                <w:color w:val="000000" w:themeColor="text1"/>
                <w:szCs w:val="24"/>
                <w14:textFill>
                  <w14:solidFill>
                    <w14:schemeClr w14:val="tx1"/>
                  </w14:solidFill>
                </w14:textFill>
              </w:rPr>
            </w:pPr>
            <w:r>
              <w:rPr>
                <w:rFonts w:hint="eastAsia" w:cs="Times New Roman"/>
                <w:bCs/>
                <w:color w:val="000000" w:themeColor="text1"/>
                <w:szCs w:val="24"/>
                <w14:textFill>
                  <w14:solidFill>
                    <w14:schemeClr w14:val="tx1"/>
                  </w14:solidFill>
                </w14:textFill>
              </w:rPr>
              <w:t>项目烟气采用选择性催化还原法（S</w:t>
            </w:r>
            <w:r>
              <w:rPr>
                <w:rFonts w:cs="Times New Roman"/>
                <w:bCs/>
                <w:color w:val="000000" w:themeColor="text1"/>
                <w:szCs w:val="24"/>
                <w14:textFill>
                  <w14:solidFill>
                    <w14:schemeClr w14:val="tx1"/>
                  </w14:solidFill>
                </w14:textFill>
              </w:rPr>
              <w:t>CR</w:t>
            </w:r>
            <w:r>
              <w:rPr>
                <w:rFonts w:hint="eastAsia" w:cs="Times New Roman"/>
                <w:bCs/>
                <w:color w:val="000000" w:themeColor="text1"/>
                <w:szCs w:val="24"/>
                <w14:textFill>
                  <w14:solidFill>
                    <w14:schemeClr w14:val="tx1"/>
                  </w14:solidFill>
                </w14:textFill>
              </w:rPr>
              <w:t>）脱硝工艺。脱硝还原剂为氨，在金属催化剂的作用下，与烟气中的氮氧化物发生还原反应生成无害的氮气和水蒸气，而不与烟气中的氧气发生反应，从而达到去除烟气中的氮氧化物的目的。其主要反应式为：</w:t>
            </w:r>
          </w:p>
          <w:p>
            <w:pPr>
              <w:pStyle w:val="72"/>
              <w:ind w:firstLine="0" w:firstLineChars="0"/>
              <w:jc w:val="center"/>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4NH</w:t>
            </w:r>
            <w:r>
              <w:rPr>
                <w:rFonts w:cs="Times New Roman"/>
                <w:bCs/>
                <w:color w:val="000000" w:themeColor="text1"/>
                <w:szCs w:val="24"/>
                <w:vertAlign w:val="subscript"/>
                <w14:textFill>
                  <w14:solidFill>
                    <w14:schemeClr w14:val="tx1"/>
                  </w14:solidFill>
                </w14:textFill>
              </w:rPr>
              <w:t>3</w:t>
            </w:r>
            <w:r>
              <w:rPr>
                <w:rFonts w:cs="Times New Roman"/>
                <w:bCs/>
                <w:color w:val="000000" w:themeColor="text1"/>
                <w:szCs w:val="24"/>
                <w14:textFill>
                  <w14:solidFill>
                    <w14:schemeClr w14:val="tx1"/>
                  </w14:solidFill>
                </w14:textFill>
              </w:rPr>
              <w:t>+4NO+O</w:t>
            </w:r>
            <w:r>
              <w:rPr>
                <w:rFonts w:cs="Times New Roman"/>
                <w:bCs/>
                <w:color w:val="000000" w:themeColor="text1"/>
                <w:szCs w:val="24"/>
                <w:vertAlign w:val="subscript"/>
                <w14:textFill>
                  <w14:solidFill>
                    <w14:schemeClr w14:val="tx1"/>
                  </w14:solidFill>
                </w14:textFill>
              </w:rPr>
              <w:t>2</w:t>
            </w:r>
            <w:r>
              <w:rPr>
                <w:rFonts w:cs="Times New Roman"/>
                <w:bCs/>
                <w:color w:val="000000" w:themeColor="text1"/>
                <w:szCs w:val="24"/>
                <w14:textFill>
                  <w14:solidFill>
                    <w14:schemeClr w14:val="tx1"/>
                  </w14:solidFill>
                </w14:textFill>
              </w:rPr>
              <w:t>=4N</w:t>
            </w:r>
            <w:r>
              <w:rPr>
                <w:rFonts w:cs="Times New Roman"/>
                <w:bCs/>
                <w:color w:val="000000" w:themeColor="text1"/>
                <w:szCs w:val="24"/>
                <w:vertAlign w:val="subscript"/>
                <w14:textFill>
                  <w14:solidFill>
                    <w14:schemeClr w14:val="tx1"/>
                  </w14:solidFill>
                </w14:textFill>
              </w:rPr>
              <w:t>2</w:t>
            </w:r>
            <w:r>
              <w:rPr>
                <w:rFonts w:cs="Times New Roman"/>
                <w:bCs/>
                <w:color w:val="000000" w:themeColor="text1"/>
                <w:szCs w:val="24"/>
                <w14:textFill>
                  <w14:solidFill>
                    <w14:schemeClr w14:val="tx1"/>
                  </w14:solidFill>
                </w14:textFill>
              </w:rPr>
              <w:t>+6H</w:t>
            </w:r>
            <w:r>
              <w:rPr>
                <w:rFonts w:cs="Times New Roman"/>
                <w:bCs/>
                <w:color w:val="000000" w:themeColor="text1"/>
                <w:szCs w:val="24"/>
                <w:vertAlign w:val="subscript"/>
                <w14:textFill>
                  <w14:solidFill>
                    <w14:schemeClr w14:val="tx1"/>
                  </w14:solidFill>
                </w14:textFill>
              </w:rPr>
              <w:t>2</w:t>
            </w:r>
            <w:r>
              <w:rPr>
                <w:rFonts w:cs="Times New Roman"/>
                <w:bCs/>
                <w:color w:val="000000" w:themeColor="text1"/>
                <w:szCs w:val="24"/>
                <w14:textFill>
                  <w14:solidFill>
                    <w14:schemeClr w14:val="tx1"/>
                  </w14:solidFill>
                </w14:textFill>
              </w:rPr>
              <w:t>O</w:t>
            </w:r>
          </w:p>
          <w:p>
            <w:pPr>
              <w:pStyle w:val="72"/>
              <w:ind w:firstLine="0" w:firstLineChars="0"/>
              <w:jc w:val="center"/>
              <w:rPr>
                <w:rFonts w:cs="Times New Roman"/>
                <w:bCs/>
                <w:color w:val="000000" w:themeColor="text1"/>
                <w:szCs w:val="24"/>
                <w14:textFill>
                  <w14:solidFill>
                    <w14:schemeClr w14:val="tx1"/>
                  </w14:solidFill>
                </w14:textFill>
              </w:rPr>
            </w:pPr>
            <w:r>
              <w:rPr>
                <w:rFonts w:hint="eastAsia" w:cs="Times New Roman"/>
                <w:bCs/>
                <w:color w:val="000000" w:themeColor="text1"/>
                <w:szCs w:val="24"/>
                <w14:textFill>
                  <w14:solidFill>
                    <w14:schemeClr w14:val="tx1"/>
                  </w14:solidFill>
                </w14:textFill>
              </w:rPr>
              <w:t>4NH</w:t>
            </w:r>
            <w:r>
              <w:rPr>
                <w:rFonts w:hint="eastAsia" w:cs="Times New Roman"/>
                <w:bCs/>
                <w:color w:val="000000" w:themeColor="text1"/>
                <w:szCs w:val="24"/>
                <w:vertAlign w:val="subscript"/>
                <w14:textFill>
                  <w14:solidFill>
                    <w14:schemeClr w14:val="tx1"/>
                  </w14:solidFill>
                </w14:textFill>
              </w:rPr>
              <w:t>3</w:t>
            </w:r>
            <w:r>
              <w:rPr>
                <w:rFonts w:hint="eastAsia" w:cs="Times New Roman"/>
                <w:bCs/>
                <w:color w:val="000000" w:themeColor="text1"/>
                <w:szCs w:val="24"/>
                <w14:textFill>
                  <w14:solidFill>
                    <w14:schemeClr w14:val="tx1"/>
                  </w14:solidFill>
                </w14:textFill>
              </w:rPr>
              <w:t>+2NO</w:t>
            </w:r>
            <w:r>
              <w:rPr>
                <w:rFonts w:hint="eastAsia" w:cs="Times New Roman"/>
                <w:bCs/>
                <w:color w:val="000000" w:themeColor="text1"/>
                <w:szCs w:val="24"/>
                <w:vertAlign w:val="subscript"/>
                <w14:textFill>
                  <w14:solidFill>
                    <w14:schemeClr w14:val="tx1"/>
                  </w14:solidFill>
                </w14:textFill>
              </w:rPr>
              <w:t>2</w:t>
            </w:r>
            <w:r>
              <w:rPr>
                <w:rFonts w:hint="eastAsia" w:cs="Times New Roman"/>
                <w:bCs/>
                <w:color w:val="000000" w:themeColor="text1"/>
                <w:szCs w:val="24"/>
                <w14:textFill>
                  <w14:solidFill>
                    <w14:schemeClr w14:val="tx1"/>
                  </w14:solidFill>
                </w14:textFill>
              </w:rPr>
              <w:t>+O</w:t>
            </w:r>
            <w:r>
              <w:rPr>
                <w:rFonts w:hint="eastAsia" w:cs="Times New Roman"/>
                <w:bCs/>
                <w:color w:val="000000" w:themeColor="text1"/>
                <w:szCs w:val="24"/>
                <w:vertAlign w:val="subscript"/>
                <w14:textFill>
                  <w14:solidFill>
                    <w14:schemeClr w14:val="tx1"/>
                  </w14:solidFill>
                </w14:textFill>
              </w:rPr>
              <w:t>2</w:t>
            </w:r>
            <w:r>
              <w:rPr>
                <w:rFonts w:hint="eastAsia" w:cs="Times New Roman"/>
                <w:bCs/>
                <w:color w:val="000000" w:themeColor="text1"/>
                <w:szCs w:val="24"/>
                <w14:textFill>
                  <w14:solidFill>
                    <w14:schemeClr w14:val="tx1"/>
                  </w14:solidFill>
                </w14:textFill>
              </w:rPr>
              <w:t>=3N</w:t>
            </w:r>
            <w:r>
              <w:rPr>
                <w:rFonts w:hint="eastAsia" w:cs="Times New Roman"/>
                <w:bCs/>
                <w:color w:val="000000" w:themeColor="text1"/>
                <w:szCs w:val="24"/>
                <w:vertAlign w:val="subscript"/>
                <w14:textFill>
                  <w14:solidFill>
                    <w14:schemeClr w14:val="tx1"/>
                  </w14:solidFill>
                </w14:textFill>
              </w:rPr>
              <w:t>2</w:t>
            </w:r>
            <w:r>
              <w:rPr>
                <w:rFonts w:hint="eastAsia" w:cs="Times New Roman"/>
                <w:bCs/>
                <w:color w:val="000000" w:themeColor="text1"/>
                <w:szCs w:val="24"/>
                <w14:textFill>
                  <w14:solidFill>
                    <w14:schemeClr w14:val="tx1"/>
                  </w14:solidFill>
                </w14:textFill>
              </w:rPr>
              <w:t>+6H</w:t>
            </w:r>
            <w:r>
              <w:rPr>
                <w:rFonts w:hint="eastAsia" w:cs="Times New Roman"/>
                <w:bCs/>
                <w:color w:val="000000" w:themeColor="text1"/>
                <w:szCs w:val="24"/>
                <w:vertAlign w:val="subscript"/>
                <w14:textFill>
                  <w14:solidFill>
                    <w14:schemeClr w14:val="tx1"/>
                  </w14:solidFill>
                </w14:textFill>
              </w:rPr>
              <w:t>2</w:t>
            </w:r>
            <w:r>
              <w:rPr>
                <w:rFonts w:hint="eastAsia" w:cs="Times New Roman"/>
                <w:bCs/>
                <w:color w:val="000000" w:themeColor="text1"/>
                <w:szCs w:val="24"/>
                <w14:textFill>
                  <w14:solidFill>
                    <w14:schemeClr w14:val="tx1"/>
                  </w14:solidFill>
                </w14:textFill>
              </w:rPr>
              <w:t>O</w:t>
            </w:r>
          </w:p>
          <w:p>
            <w:pPr>
              <w:ind w:firstLine="450"/>
              <w:rPr>
                <w:rFonts w:ascii="宋体" w:hAnsi="宋体"/>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SCR脱硝装置由液氨存储与供应、氨/空气喷雾系统、气流调节装置、气流混合装置、SCR反应器、SCR控制系统和SCR吹灰和输灰等部分组成。首先，液氨存储到液氨储管中，输出的液氨经氨蒸发器后变成气氨并存于缓冲槽备用。缓冲槽中气氨经减压后送入气氨/空气混合器中，与空气预热气出来的热空气混合，喷氨格栅的喷嘴将氨水溶液以微小的雾滴喷入来自烟气内，气流调节装置使喷嘴处的气流保持均匀稳定，由气流混合装置将氨气与烟气充分混合，继而进入SCR反应器。当烟气流经SCR反应器催化层时，与雾化氨/空气发生选择性催化还原反应，生成无害的氮气(N</w:t>
            </w:r>
            <w:r>
              <w:rPr>
                <w:rFonts w:hint="eastAsia"/>
                <w:bCs/>
                <w:color w:val="000000" w:themeColor="text1"/>
                <w:sz w:val="24"/>
                <w:vertAlign w:val="subscript"/>
                <w14:textFill>
                  <w14:solidFill>
                    <w14:schemeClr w14:val="tx1"/>
                  </w14:solidFill>
                </w14:textFill>
              </w:rPr>
              <w:t>2</w:t>
            </w:r>
            <w:r>
              <w:rPr>
                <w:rFonts w:hint="eastAsia"/>
                <w:bCs/>
                <w:color w:val="000000" w:themeColor="text1"/>
                <w:sz w:val="24"/>
                <w14:textFill>
                  <w14:solidFill>
                    <w14:schemeClr w14:val="tx1"/>
                  </w14:solidFill>
                </w14:textFill>
              </w:rPr>
              <w:t>)。控制系统自动控制整套SCR系统运行，在保证脱硝效率的前提下防止过量的氨溢出，避免产生二次污染。项目采用S</w:t>
            </w:r>
            <w:r>
              <w:rPr>
                <w:bCs/>
                <w:color w:val="000000" w:themeColor="text1"/>
                <w:sz w:val="24"/>
                <w14:textFill>
                  <w14:solidFill>
                    <w14:schemeClr w14:val="tx1"/>
                  </w14:solidFill>
                </w14:textFill>
              </w:rPr>
              <w:t>CR</w:t>
            </w:r>
            <w:r>
              <w:rPr>
                <w:rFonts w:hint="eastAsia"/>
                <w:bCs/>
                <w:color w:val="000000" w:themeColor="text1"/>
                <w:sz w:val="24"/>
                <w14:textFill>
                  <w14:solidFill>
                    <w14:schemeClr w14:val="tx1"/>
                  </w14:solidFill>
                </w14:textFill>
              </w:rPr>
              <w:t>脱硝系统工艺技术成熟可靠，对N</w:t>
            </w:r>
            <w:r>
              <w:rPr>
                <w:bCs/>
                <w:color w:val="000000" w:themeColor="text1"/>
                <w:sz w:val="24"/>
                <w14:textFill>
                  <w14:solidFill>
                    <w14:schemeClr w14:val="tx1"/>
                  </w14:solidFill>
                </w14:textFill>
              </w:rPr>
              <w:t>O</w:t>
            </w:r>
            <w:r>
              <w:rPr>
                <w:bCs/>
                <w:color w:val="000000" w:themeColor="text1"/>
                <w:sz w:val="24"/>
                <w:vertAlign w:val="subscript"/>
                <w14:textFill>
                  <w14:solidFill>
                    <w14:schemeClr w14:val="tx1"/>
                  </w14:solidFill>
                </w14:textFill>
              </w:rPr>
              <w:t>X</w:t>
            </w:r>
            <w:r>
              <w:rPr>
                <w:rFonts w:hint="eastAsia"/>
                <w:bCs/>
                <w:color w:val="000000" w:themeColor="text1"/>
                <w:sz w:val="24"/>
                <w14:textFill>
                  <w14:solidFill>
                    <w14:schemeClr w14:val="tx1"/>
                  </w14:solidFill>
                </w14:textFill>
              </w:rPr>
              <w:t>去除效率可到4</w:t>
            </w:r>
            <w:r>
              <w:rPr>
                <w:bCs/>
                <w:color w:val="000000" w:themeColor="text1"/>
                <w:sz w:val="24"/>
                <w14:textFill>
                  <w14:solidFill>
                    <w14:schemeClr w14:val="tx1"/>
                  </w14:solidFill>
                </w14:textFill>
              </w:rPr>
              <w:t>0</w:t>
            </w:r>
            <w:r>
              <w:rPr>
                <w:rFonts w:hint="eastAsia"/>
                <w:bCs/>
                <w:color w:val="000000" w:themeColor="text1"/>
                <w:sz w:val="24"/>
                <w14:textFill>
                  <w14:solidFill>
                    <w14:schemeClr w14:val="tx1"/>
                  </w14:solidFill>
                </w14:textFill>
              </w:rPr>
              <w:t>%以上，脱硝处理后烟气中N</w:t>
            </w:r>
            <w:r>
              <w:rPr>
                <w:bCs/>
                <w:color w:val="000000" w:themeColor="text1"/>
                <w:sz w:val="24"/>
                <w14:textFill>
                  <w14:solidFill>
                    <w14:schemeClr w14:val="tx1"/>
                  </w14:solidFill>
                </w14:textFill>
              </w:rPr>
              <w:t>O</w:t>
            </w:r>
            <w:r>
              <w:rPr>
                <w:bCs/>
                <w:color w:val="000000" w:themeColor="text1"/>
                <w:sz w:val="24"/>
                <w:vertAlign w:val="subscript"/>
                <w14:textFill>
                  <w14:solidFill>
                    <w14:schemeClr w14:val="tx1"/>
                  </w14:solidFill>
                </w14:textFill>
              </w:rPr>
              <w:t>X</w:t>
            </w:r>
            <w:r>
              <w:rPr>
                <w:rFonts w:hint="eastAsia"/>
                <w:bCs/>
                <w:color w:val="000000" w:themeColor="text1"/>
                <w:sz w:val="24"/>
                <w14:textFill>
                  <w14:solidFill>
                    <w14:schemeClr w14:val="tx1"/>
                  </w14:solidFill>
                </w14:textFill>
              </w:rPr>
              <w:t>满足</w:t>
            </w:r>
            <w:r>
              <w:rPr>
                <w:rFonts w:hint="eastAsia"/>
                <w:color w:val="000000" w:themeColor="text1"/>
                <w:spacing w:val="-4"/>
                <w:kern w:val="24"/>
                <w:sz w:val="24"/>
                <w14:textFill>
                  <w14:solidFill>
                    <w14:schemeClr w14:val="tx1"/>
                  </w14:solidFill>
                </w14:textFill>
              </w:rPr>
              <w:t>《石油化学工业污染物排放标准》（GB31571-2015）中限值要求，实现达标排放。</w:t>
            </w:r>
          </w:p>
          <w:p>
            <w:pPr>
              <w:ind w:firstLine="450"/>
              <w:rPr>
                <w:spacing w:val="-4"/>
                <w:kern w:val="24"/>
                <w:sz w:val="24"/>
              </w:rPr>
            </w:pPr>
            <w:r>
              <w:rPr>
                <w:rFonts w:hint="eastAsia" w:ascii="宋体" w:hAnsi="宋体"/>
                <w:bCs/>
                <w:color w:val="000000" w:themeColor="text1"/>
                <w:sz w:val="24"/>
                <w14:textFill>
                  <w14:solidFill>
                    <w14:schemeClr w14:val="tx1"/>
                  </w14:solidFill>
                </w14:textFill>
              </w:rPr>
              <w:t>④钠碱法</w:t>
            </w:r>
            <w:r>
              <w:rPr>
                <w:rFonts w:hint="eastAsia"/>
                <w:spacing w:val="-4"/>
                <w:kern w:val="24"/>
                <w:sz w:val="24"/>
              </w:rPr>
              <w:t>脱硫</w:t>
            </w:r>
          </w:p>
          <w:p>
            <w:pPr>
              <w:ind w:firstLine="450"/>
              <w:rPr>
                <w:sz w:val="24"/>
              </w:rPr>
            </w:pPr>
            <w:r>
              <w:rPr>
                <w:spacing w:val="-4"/>
                <w:kern w:val="24"/>
                <w:sz w:val="24"/>
              </w:rPr>
              <w:t>该</w:t>
            </w:r>
            <w:r>
              <w:rPr>
                <w:rFonts w:hint="eastAsia"/>
                <w:spacing w:val="-4"/>
                <w:kern w:val="24"/>
                <w:sz w:val="24"/>
              </w:rPr>
              <w:t>钠碱法</w:t>
            </w:r>
            <w:r>
              <w:rPr>
                <w:spacing w:val="-4"/>
                <w:kern w:val="24"/>
                <w:sz w:val="24"/>
              </w:rPr>
              <w:t>脱硫主要采取</w:t>
            </w:r>
            <w:r>
              <w:rPr>
                <w:sz w:val="24"/>
              </w:rPr>
              <w:t>片碱溶于水后形成</w:t>
            </w:r>
            <w:r>
              <w:rPr>
                <w:rFonts w:hint="eastAsia"/>
                <w:sz w:val="24"/>
              </w:rPr>
              <w:t>N</w:t>
            </w:r>
            <w:r>
              <w:rPr>
                <w:sz w:val="24"/>
              </w:rPr>
              <w:t>aOH</w:t>
            </w:r>
            <w:r>
              <w:rPr>
                <w:rFonts w:hint="eastAsia"/>
                <w:sz w:val="24"/>
              </w:rPr>
              <w:t>溶液，再将N</w:t>
            </w:r>
            <w:r>
              <w:rPr>
                <w:sz w:val="24"/>
              </w:rPr>
              <w:t>aOH</w:t>
            </w:r>
            <w:r>
              <w:rPr>
                <w:rFonts w:hint="eastAsia"/>
                <w:sz w:val="24"/>
              </w:rPr>
              <w:t>溶液加入喷淋塔形成水膜，与废气中的S</w:t>
            </w:r>
            <w:r>
              <w:rPr>
                <w:sz w:val="24"/>
              </w:rPr>
              <w:t>O</w:t>
            </w:r>
            <w:r>
              <w:rPr>
                <w:sz w:val="24"/>
                <w:vertAlign w:val="subscript"/>
              </w:rPr>
              <w:t>2</w:t>
            </w:r>
            <w:r>
              <w:rPr>
                <w:sz w:val="24"/>
              </w:rPr>
              <w:t>进行发生反应</w:t>
            </w:r>
            <w:r>
              <w:rPr>
                <w:rFonts w:hint="eastAsia"/>
                <w:sz w:val="24"/>
              </w:rPr>
              <w:t>，</w:t>
            </w:r>
            <w:r>
              <w:rPr>
                <w:sz w:val="24"/>
              </w:rPr>
              <w:t>从而达到脱硫的效果。</w:t>
            </w:r>
            <w:r>
              <w:rPr>
                <w:rFonts w:hint="eastAsia"/>
                <w:sz w:val="24"/>
              </w:rPr>
              <w:t>S</w:t>
            </w:r>
            <w:r>
              <w:rPr>
                <w:sz w:val="24"/>
              </w:rPr>
              <w:t>O</w:t>
            </w:r>
            <w:r>
              <w:rPr>
                <w:sz w:val="24"/>
                <w:vertAlign w:val="subscript"/>
              </w:rPr>
              <w:t>2</w:t>
            </w:r>
            <w:r>
              <w:rPr>
                <w:sz w:val="24"/>
              </w:rPr>
              <w:t>与</w:t>
            </w:r>
            <w:r>
              <w:rPr>
                <w:rFonts w:hint="eastAsia"/>
                <w:sz w:val="24"/>
              </w:rPr>
              <w:t>氢氧化钠作用</w:t>
            </w:r>
            <w:r>
              <w:rPr>
                <w:sz w:val="24"/>
              </w:rPr>
              <w:t>，生产</w:t>
            </w:r>
            <w:r>
              <w:rPr>
                <w:rFonts w:hint="eastAsia"/>
                <w:sz w:val="24"/>
              </w:rPr>
              <w:t>可溶性</w:t>
            </w:r>
            <w:r>
              <w:rPr>
                <w:sz w:val="24"/>
              </w:rPr>
              <w:t>硫</w:t>
            </w:r>
            <w:r>
              <w:rPr>
                <w:rFonts w:hint="eastAsia"/>
                <w:sz w:val="24"/>
              </w:rPr>
              <w:t>酸</w:t>
            </w:r>
            <w:r>
              <w:rPr>
                <w:sz w:val="24"/>
              </w:rPr>
              <w:t>钠</w:t>
            </w:r>
            <w:r>
              <w:rPr>
                <w:rFonts w:hint="eastAsia"/>
                <w:sz w:val="24"/>
              </w:rPr>
              <w:t>；化学反应机理如下：</w:t>
            </w:r>
          </w:p>
          <w:p>
            <w:pPr>
              <w:jc w:val="center"/>
              <w:rPr>
                <w:sz w:val="24"/>
              </w:rPr>
            </w:pPr>
            <w:r>
              <w:rPr>
                <w:sz w:val="24"/>
              </w:rPr>
              <w:t>2NaOH+SO</w:t>
            </w:r>
            <w:r>
              <w:rPr>
                <w:sz w:val="24"/>
                <w:vertAlign w:val="subscript"/>
              </w:rPr>
              <w:t>2</w:t>
            </w:r>
            <w:r>
              <w:rPr>
                <w:sz w:val="24"/>
              </w:rPr>
              <w:t>=Na</w:t>
            </w:r>
            <w:r>
              <w:rPr>
                <w:sz w:val="24"/>
                <w:vertAlign w:val="subscript"/>
              </w:rPr>
              <w:t>2</w:t>
            </w:r>
            <w:r>
              <w:rPr>
                <w:sz w:val="24"/>
              </w:rPr>
              <w:t>SO</w:t>
            </w:r>
            <w:r>
              <w:rPr>
                <w:sz w:val="24"/>
                <w:vertAlign w:val="subscript"/>
              </w:rPr>
              <w:t>3</w:t>
            </w:r>
            <w:r>
              <w:rPr>
                <w:sz w:val="24"/>
              </w:rPr>
              <w:t>+H</w:t>
            </w:r>
            <w:r>
              <w:rPr>
                <w:sz w:val="24"/>
                <w:vertAlign w:val="subscript"/>
              </w:rPr>
              <w:t>2</w:t>
            </w:r>
            <w:r>
              <w:rPr>
                <w:sz w:val="24"/>
              </w:rPr>
              <w:t>O</w:t>
            </w:r>
          </w:p>
          <w:p>
            <w:pPr>
              <w:jc w:val="center"/>
              <w:rPr>
                <w:sz w:val="24"/>
              </w:rPr>
            </w:pPr>
            <w:r>
              <w:rPr>
                <w:sz w:val="24"/>
              </w:rPr>
              <w:t>Na</w:t>
            </w:r>
            <w:r>
              <w:rPr>
                <w:sz w:val="24"/>
                <w:vertAlign w:val="subscript"/>
              </w:rPr>
              <w:t>2</w:t>
            </w:r>
            <w:r>
              <w:rPr>
                <w:sz w:val="24"/>
              </w:rPr>
              <w:t>SO</w:t>
            </w:r>
            <w:r>
              <w:rPr>
                <w:sz w:val="24"/>
                <w:vertAlign w:val="subscript"/>
              </w:rPr>
              <w:t>3</w:t>
            </w:r>
            <w:r>
              <w:rPr>
                <w:sz w:val="24"/>
              </w:rPr>
              <w:t>+SO</w:t>
            </w:r>
            <w:r>
              <w:rPr>
                <w:sz w:val="24"/>
                <w:vertAlign w:val="subscript"/>
              </w:rPr>
              <w:t>2</w:t>
            </w:r>
            <w:r>
              <w:rPr>
                <w:sz w:val="24"/>
              </w:rPr>
              <w:t>+H</w:t>
            </w:r>
            <w:r>
              <w:rPr>
                <w:sz w:val="24"/>
                <w:vertAlign w:val="subscript"/>
              </w:rPr>
              <w:t>2</w:t>
            </w:r>
            <w:r>
              <w:rPr>
                <w:sz w:val="24"/>
              </w:rPr>
              <w:t>O=2NaHSO</w:t>
            </w:r>
            <w:r>
              <w:rPr>
                <w:sz w:val="24"/>
                <w:vertAlign w:val="subscript"/>
              </w:rPr>
              <w:t>3</w:t>
            </w:r>
          </w:p>
          <w:p>
            <w:pPr>
              <w:jc w:val="center"/>
              <w:rPr>
                <w:sz w:val="24"/>
              </w:rPr>
            </w:pPr>
            <w:r>
              <w:rPr>
                <w:sz w:val="24"/>
              </w:rPr>
              <w:t>NaHSO</w:t>
            </w:r>
            <w:r>
              <w:rPr>
                <w:sz w:val="24"/>
                <w:vertAlign w:val="subscript"/>
              </w:rPr>
              <w:t>3</w:t>
            </w:r>
            <w:r>
              <w:rPr>
                <w:sz w:val="24"/>
              </w:rPr>
              <w:t>+NaOH=Na</w:t>
            </w:r>
            <w:r>
              <w:rPr>
                <w:sz w:val="24"/>
                <w:vertAlign w:val="subscript"/>
              </w:rPr>
              <w:t>2</w:t>
            </w:r>
            <w:r>
              <w:rPr>
                <w:sz w:val="24"/>
              </w:rPr>
              <w:t>SO</w:t>
            </w:r>
            <w:r>
              <w:rPr>
                <w:sz w:val="24"/>
                <w:vertAlign w:val="subscript"/>
              </w:rPr>
              <w:t>3</w:t>
            </w:r>
            <w:r>
              <w:rPr>
                <w:sz w:val="24"/>
              </w:rPr>
              <w:t>+H</w:t>
            </w:r>
            <w:r>
              <w:rPr>
                <w:sz w:val="24"/>
                <w:vertAlign w:val="subscript"/>
              </w:rPr>
              <w:t>2</w:t>
            </w:r>
            <w:r>
              <w:rPr>
                <w:sz w:val="24"/>
              </w:rPr>
              <w:t>O</w:t>
            </w:r>
          </w:p>
          <w:p>
            <w:pPr>
              <w:ind w:firstLine="480" w:firstLineChars="200"/>
              <w:rPr>
                <w:sz w:val="24"/>
              </w:rPr>
            </w:pPr>
            <w:r>
              <w:rPr>
                <w:rFonts w:hint="eastAsia"/>
                <w:sz w:val="24"/>
              </w:rPr>
              <w:t>副反应：吸收过程的主要副反应为烟气中</w:t>
            </w:r>
            <w:r>
              <w:rPr>
                <w:sz w:val="24"/>
              </w:rPr>
              <w:t>极</w:t>
            </w:r>
            <w:r>
              <w:rPr>
                <w:rFonts w:hint="eastAsia"/>
                <w:sz w:val="24"/>
              </w:rPr>
              <w:t>少量</w:t>
            </w:r>
            <w:r>
              <w:rPr>
                <w:sz w:val="24"/>
              </w:rPr>
              <w:t>的</w:t>
            </w:r>
            <w:r>
              <w:rPr>
                <w:rFonts w:hint="eastAsia"/>
                <w:sz w:val="24"/>
              </w:rPr>
              <w:t>H</w:t>
            </w:r>
            <w:r>
              <w:rPr>
                <w:sz w:val="24"/>
                <w:vertAlign w:val="subscript"/>
              </w:rPr>
              <w:t>2</w:t>
            </w:r>
            <w:r>
              <w:rPr>
                <w:sz w:val="24"/>
              </w:rPr>
              <w:t>S</w:t>
            </w:r>
            <w:r>
              <w:rPr>
                <w:rFonts w:hint="eastAsia"/>
                <w:sz w:val="24"/>
              </w:rPr>
              <w:t>与N</w:t>
            </w:r>
            <w:r>
              <w:rPr>
                <w:sz w:val="24"/>
              </w:rPr>
              <w:t>aOH</w:t>
            </w:r>
            <w:r>
              <w:rPr>
                <w:rFonts w:hint="eastAsia"/>
                <w:sz w:val="24"/>
              </w:rPr>
              <w:t>发生</w:t>
            </w:r>
            <w:r>
              <w:rPr>
                <w:sz w:val="24"/>
              </w:rPr>
              <w:t>反应</w:t>
            </w:r>
            <w:r>
              <w:rPr>
                <w:rFonts w:hint="eastAsia"/>
                <w:sz w:val="24"/>
              </w:rPr>
              <w:t>，反应</w:t>
            </w:r>
            <w:r>
              <w:rPr>
                <w:sz w:val="24"/>
              </w:rPr>
              <w:t>方程式如下：</w:t>
            </w:r>
          </w:p>
          <w:p>
            <w:pPr>
              <w:jc w:val="center"/>
              <w:rPr>
                <w:sz w:val="24"/>
              </w:rPr>
            </w:pPr>
            <w:r>
              <w:rPr>
                <w:sz w:val="24"/>
              </w:rPr>
              <w:t>2NaOH+H</w:t>
            </w:r>
            <w:r>
              <w:rPr>
                <w:sz w:val="24"/>
                <w:vertAlign w:val="subscript"/>
              </w:rPr>
              <w:t>2</w:t>
            </w:r>
            <w:r>
              <w:rPr>
                <w:sz w:val="24"/>
              </w:rPr>
              <w:t>S=Na</w:t>
            </w:r>
            <w:r>
              <w:rPr>
                <w:sz w:val="24"/>
                <w:vertAlign w:val="subscript"/>
              </w:rPr>
              <w:t>2</w:t>
            </w:r>
            <w:r>
              <w:rPr>
                <w:sz w:val="24"/>
              </w:rPr>
              <w:t>S+2H</w:t>
            </w:r>
            <w:r>
              <w:rPr>
                <w:sz w:val="24"/>
                <w:vertAlign w:val="subscript"/>
              </w:rPr>
              <w:t>2</w:t>
            </w:r>
            <w:r>
              <w:rPr>
                <w:sz w:val="24"/>
              </w:rPr>
              <w:t>O</w:t>
            </w:r>
          </w:p>
          <w:p>
            <w:pPr>
              <w:jc w:val="center"/>
              <w:rPr>
                <w:sz w:val="24"/>
              </w:rPr>
            </w:pPr>
            <w:r>
              <w:rPr>
                <w:sz w:val="24"/>
              </w:rPr>
              <w:t>NaOH+H</w:t>
            </w:r>
            <w:r>
              <w:rPr>
                <w:sz w:val="24"/>
                <w:vertAlign w:val="subscript"/>
              </w:rPr>
              <w:t>2</w:t>
            </w:r>
            <w:r>
              <w:rPr>
                <w:sz w:val="24"/>
              </w:rPr>
              <w:t>S=NaHS+H</w:t>
            </w:r>
            <w:r>
              <w:rPr>
                <w:sz w:val="24"/>
                <w:vertAlign w:val="subscript"/>
              </w:rPr>
              <w:t>2</w:t>
            </w:r>
            <w:r>
              <w:rPr>
                <w:sz w:val="24"/>
              </w:rPr>
              <w:t>O</w:t>
            </w:r>
          </w:p>
          <w:p>
            <w:pPr>
              <w:jc w:val="center"/>
              <w:rPr>
                <w:sz w:val="24"/>
              </w:rPr>
            </w:pPr>
            <w:r>
              <w:rPr>
                <w:sz w:val="24"/>
              </w:rPr>
              <w:t>NaOH+NaHS=Na</w:t>
            </w:r>
            <w:r>
              <w:rPr>
                <w:sz w:val="24"/>
                <w:vertAlign w:val="subscript"/>
              </w:rPr>
              <w:t>2</w:t>
            </w:r>
            <w:r>
              <w:rPr>
                <w:sz w:val="24"/>
              </w:rPr>
              <w:t>S+H</w:t>
            </w:r>
            <w:r>
              <w:rPr>
                <w:sz w:val="24"/>
                <w:vertAlign w:val="subscript"/>
              </w:rPr>
              <w:t>2</w:t>
            </w:r>
            <w:r>
              <w:rPr>
                <w:sz w:val="24"/>
              </w:rPr>
              <w:t>O</w:t>
            </w:r>
          </w:p>
          <w:p>
            <w:pPr>
              <w:pStyle w:val="72"/>
              <w:ind w:firstLine="464"/>
              <w:rPr>
                <w:rFonts w:cs="Times New Roman"/>
                <w:bCs/>
                <w:color w:val="000000" w:themeColor="text1"/>
                <w:szCs w:val="24"/>
                <w14:textFill>
                  <w14:solidFill>
                    <w14:schemeClr w14:val="tx1"/>
                  </w14:solidFill>
                </w14:textFill>
              </w:rPr>
            </w:pPr>
            <w:r>
              <w:rPr>
                <w:spacing w:val="-4"/>
                <w:kern w:val="24"/>
              </w:rPr>
              <w:t>该</w:t>
            </w:r>
            <w:r>
              <w:rPr>
                <w:rFonts w:hint="eastAsia"/>
                <w:spacing w:val="-4"/>
                <w:kern w:val="24"/>
              </w:rPr>
              <w:t>钠碱法</w:t>
            </w:r>
            <w:r>
              <w:rPr>
                <w:spacing w:val="-4"/>
                <w:kern w:val="24"/>
              </w:rPr>
              <w:t>脱硫过程中</w:t>
            </w:r>
            <w:r>
              <w:rPr>
                <w:rFonts w:hint="eastAsia"/>
                <w:spacing w:val="-4"/>
                <w:kern w:val="24"/>
              </w:rPr>
              <w:t>，</w:t>
            </w:r>
            <w:r>
              <w:rPr>
                <w:spacing w:val="-4"/>
                <w:kern w:val="24"/>
              </w:rPr>
              <w:t>根据工程经验</w:t>
            </w:r>
            <w:r>
              <w:rPr>
                <w:rFonts w:hint="eastAsia"/>
                <w:spacing w:val="-4"/>
                <w:kern w:val="24"/>
              </w:rPr>
              <w:t>，</w:t>
            </w:r>
            <w:r>
              <w:rPr>
                <w:spacing w:val="-4"/>
                <w:kern w:val="24"/>
              </w:rPr>
              <w:t>钠碱液对SO</w:t>
            </w:r>
            <w:r>
              <w:rPr>
                <w:spacing w:val="-4"/>
                <w:kern w:val="24"/>
                <w:vertAlign w:val="subscript"/>
              </w:rPr>
              <w:t>2</w:t>
            </w:r>
            <w:r>
              <w:rPr>
                <w:rFonts w:hint="eastAsia"/>
                <w:spacing w:val="-4"/>
                <w:kern w:val="24"/>
                <w:vertAlign w:val="subscript"/>
                <w:lang w:eastAsia="zh-CN"/>
              </w:rPr>
              <w:t>的</w:t>
            </w:r>
            <w:r>
              <w:rPr>
                <w:spacing w:val="-4"/>
                <w:kern w:val="24"/>
              </w:rPr>
              <w:t>去除效率可达90</w:t>
            </w:r>
            <w:r>
              <w:rPr>
                <w:rFonts w:hint="eastAsia"/>
                <w:spacing w:val="-4"/>
                <w:kern w:val="24"/>
              </w:rPr>
              <w:t>%</w:t>
            </w:r>
            <w:r>
              <w:rPr>
                <w:spacing w:val="-4"/>
                <w:kern w:val="24"/>
              </w:rPr>
              <w:t>以上</w:t>
            </w:r>
            <w:r>
              <w:rPr>
                <w:rFonts w:hint="eastAsia"/>
                <w:spacing w:val="-4"/>
                <w:kern w:val="24"/>
              </w:rPr>
              <w:t>。</w:t>
            </w:r>
            <w:r>
              <w:rPr>
                <w:spacing w:val="-4"/>
                <w:kern w:val="24"/>
              </w:rPr>
              <w:t>根据工程分析可知</w:t>
            </w:r>
            <w:r>
              <w:rPr>
                <w:rFonts w:hint="eastAsia"/>
                <w:spacing w:val="-4"/>
                <w:kern w:val="24"/>
              </w:rPr>
              <w:t>，钠碱法</w:t>
            </w:r>
            <w:r>
              <w:rPr>
                <w:spacing w:val="-4"/>
                <w:kern w:val="24"/>
              </w:rPr>
              <w:t>脱硫处理后</w:t>
            </w:r>
            <w:r>
              <w:rPr>
                <w:rFonts w:hint="eastAsia"/>
                <w:spacing w:val="-4"/>
                <w:kern w:val="24"/>
              </w:rPr>
              <w:t>，</w:t>
            </w:r>
            <w:r>
              <w:rPr>
                <w:spacing w:val="-4"/>
                <w:kern w:val="24"/>
              </w:rPr>
              <w:t>烟气中的二氧化硫能够满足</w:t>
            </w:r>
            <w:r>
              <w:rPr>
                <w:rFonts w:hint="eastAsia"/>
                <w:spacing w:val="-4"/>
                <w:kern w:val="24"/>
              </w:rPr>
              <w:t>《石油化学工业污染物排放标准》（GB31571-2015）标准限值，污染物可达标排放。因此，本项目烟气脱硫采取的湿法技术成熟可靠，工程应用广泛，脱硫方式较合理</w:t>
            </w:r>
            <w:r>
              <w:rPr>
                <w:rFonts w:hint="eastAsia" w:cs="Times New Roman"/>
                <w:bCs/>
                <w:color w:val="000000" w:themeColor="text1"/>
                <w:szCs w:val="24"/>
                <w14:textFill>
                  <w14:solidFill>
                    <w14:schemeClr w14:val="tx1"/>
                  </w14:solidFill>
                </w14:textFill>
              </w:rPr>
              <w:t>。</w:t>
            </w:r>
          </w:p>
          <w:p>
            <w:pPr>
              <w:ind w:firstLine="45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⑤湿电除尘</w:t>
            </w:r>
          </w:p>
          <w:p>
            <w:pPr>
              <w:pStyle w:val="72"/>
              <w:ind w:firstLine="480"/>
              <w:rPr>
                <w:rFonts w:cs="Times New Roman"/>
                <w:bCs/>
                <w:color w:val="000000" w:themeColor="text1"/>
                <w:szCs w:val="24"/>
                <w14:textFill>
                  <w14:solidFill>
                    <w14:schemeClr w14:val="tx1"/>
                  </w14:solidFill>
                </w14:textFill>
              </w:rPr>
            </w:pPr>
            <w:r>
              <w:rPr>
                <w:rFonts w:hint="eastAsia" w:cs="Times New Roman"/>
                <w:bCs/>
                <w:color w:val="000000" w:themeColor="text1"/>
                <w:szCs w:val="24"/>
                <w14:textFill>
                  <w14:solidFill>
                    <w14:schemeClr w14:val="tx1"/>
                  </w14:solidFill>
                </w14:textFill>
              </w:rPr>
              <w:t>湿式电除尘器和与干式电除尘器的收尘原理相同，都是靠高压电晕放电使得粉尘荷电，荷电后的粉尘在电场力的作用下到达到集尘板/管。湿式电除尘器主要处理含水较高乃至饱和的湿气体。然后定期对集成板/管上捕集的粉尘进行清理。</w:t>
            </w:r>
          </w:p>
          <w:p>
            <w:pPr>
              <w:ind w:firstLine="450"/>
              <w:rPr>
                <w:rFonts w:ascii="宋体" w:hAnsi="宋体"/>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本项目脱硫后的烟气是含水较高的湿气体，采用湿电除尘能进一步去除烟气中的颗粒物。根据工程经验，湿电除尘对颗粒物去除效率可达8</w:t>
            </w:r>
            <w:r>
              <w:rPr>
                <w:bCs/>
                <w:color w:val="000000" w:themeColor="text1"/>
                <w:sz w:val="24"/>
                <w14:textFill>
                  <w14:solidFill>
                    <w14:schemeClr w14:val="tx1"/>
                  </w14:solidFill>
                </w14:textFill>
              </w:rPr>
              <w:t>0</w:t>
            </w:r>
            <w:r>
              <w:rPr>
                <w:rFonts w:hint="eastAsia"/>
                <w:bCs/>
                <w:color w:val="000000" w:themeColor="text1"/>
                <w:sz w:val="24"/>
                <w14:textFill>
                  <w14:solidFill>
                    <w14:schemeClr w14:val="tx1"/>
                  </w14:solidFill>
                </w14:textFill>
              </w:rPr>
              <w:t>%以上，本次评价取8</w:t>
            </w:r>
            <w:r>
              <w:rPr>
                <w:bCs/>
                <w:color w:val="000000" w:themeColor="text1"/>
                <w:sz w:val="24"/>
                <w14:textFill>
                  <w14:solidFill>
                    <w14:schemeClr w14:val="tx1"/>
                  </w14:solidFill>
                </w14:textFill>
              </w:rPr>
              <w:t>0</w:t>
            </w:r>
            <w:r>
              <w:rPr>
                <w:rFonts w:hint="eastAsia"/>
                <w:bCs/>
                <w:color w:val="000000" w:themeColor="text1"/>
                <w:sz w:val="24"/>
                <w14:textFill>
                  <w14:solidFill>
                    <w14:schemeClr w14:val="tx1"/>
                  </w14:solidFill>
                </w14:textFill>
              </w:rPr>
              <w:t>%。根据工程分析可知，湿电除尘处理后，烟气中的颗粒物能够满足</w:t>
            </w:r>
            <w:r>
              <w:rPr>
                <w:rFonts w:hint="eastAsia"/>
                <w:color w:val="000000" w:themeColor="text1"/>
                <w:spacing w:val="-4"/>
                <w:kern w:val="24"/>
                <w:sz w:val="24"/>
                <w14:textFill>
                  <w14:solidFill>
                    <w14:schemeClr w14:val="tx1"/>
                  </w14:solidFill>
                </w14:textFill>
              </w:rPr>
              <w:t>《石油化学工业污染物排放标准》（GB31571-2015）标准限值。因此，本项目烟气除尘采用湿电除尘，方式较合理</w:t>
            </w:r>
            <w:r>
              <w:rPr>
                <w:rFonts w:hint="eastAsia"/>
                <w:bCs/>
                <w:color w:val="000000" w:themeColor="text1"/>
                <w:sz w:val="24"/>
                <w14:textFill>
                  <w14:solidFill>
                    <w14:schemeClr w14:val="tx1"/>
                  </w14:solidFill>
                </w14:textFill>
              </w:rPr>
              <w:t>。</w:t>
            </w:r>
          </w:p>
          <w:p>
            <w:pPr>
              <w:pStyle w:val="72"/>
              <w:ind w:firstLine="480"/>
              <w:rPr>
                <w:rFonts w:cs="Times New Roman"/>
                <w:bCs/>
                <w:color w:val="000000" w:themeColor="text1"/>
                <w:szCs w:val="24"/>
                <w14:textFill>
                  <w14:solidFill>
                    <w14:schemeClr w14:val="tx1"/>
                  </w14:solidFill>
                </w14:textFill>
              </w:rPr>
            </w:pPr>
            <w:r>
              <w:rPr>
                <w:rFonts w:hint="eastAsia" w:ascii="宋体" w:hAnsi="宋体"/>
                <w:bCs/>
                <w:color w:val="000000" w:themeColor="text1"/>
                <w:szCs w:val="24"/>
                <w14:textFill>
                  <w14:solidFill>
                    <w14:schemeClr w14:val="tx1"/>
                  </w14:solidFill>
                </w14:textFill>
              </w:rPr>
              <w:t>⑥</w:t>
            </w:r>
            <w:r>
              <w:rPr>
                <w:rFonts w:hint="eastAsia" w:cs="Times New Roman"/>
                <w:bCs/>
                <w:color w:val="000000" w:themeColor="text1"/>
                <w:szCs w:val="24"/>
                <w14:textFill>
                  <w14:solidFill>
                    <w14:schemeClr w14:val="tx1"/>
                  </w14:solidFill>
                </w14:textFill>
              </w:rPr>
              <w:t>二级活性炭吸附</w:t>
            </w:r>
          </w:p>
          <w:p>
            <w:pPr>
              <w:pStyle w:val="72"/>
              <w:ind w:firstLine="480"/>
              <w:rPr>
                <w:rFonts w:cs="Times New Roman"/>
                <w:bCs/>
                <w:color w:val="000000" w:themeColor="text1"/>
                <w:szCs w:val="24"/>
                <w14:textFill>
                  <w14:solidFill>
                    <w14:schemeClr w14:val="tx1"/>
                  </w14:solidFill>
                </w14:textFill>
              </w:rPr>
            </w:pPr>
            <w:r>
              <w:rPr>
                <w:rFonts w:hint="eastAsia" w:cs="Times New Roman"/>
                <w:bCs/>
                <w:color w:val="000000" w:themeColor="text1"/>
                <w:szCs w:val="24"/>
                <w14:textFill>
                  <w14:solidFill>
                    <w14:schemeClr w14:val="tx1"/>
                  </w14:solidFill>
                </w14:textFill>
              </w:rPr>
              <w:t>由于燃烧烟气中可能存在未完全燃烧的有机废气（以非甲烷总烃计）、甲苯、二甲苯等。因此，设计在烟气末端设置二级活性炭吸附装置，对燃烧废气进行有机废气处理后排放。</w:t>
            </w:r>
          </w:p>
          <w:p>
            <w:pPr>
              <w:pStyle w:val="72"/>
              <w:ind w:firstLine="480"/>
              <w:rPr>
                <w:rFonts w:cs="Times New Roman"/>
                <w:bCs/>
                <w:color w:val="000000" w:themeColor="text1"/>
                <w:szCs w:val="24"/>
                <w14:textFill>
                  <w14:solidFill>
                    <w14:schemeClr w14:val="tx1"/>
                  </w14:solidFill>
                </w14:textFill>
              </w:rPr>
            </w:pPr>
            <w:r>
              <w:rPr>
                <w:rFonts w:hint="eastAsia" w:cs="Times New Roman"/>
                <w:bCs/>
                <w:color w:val="000000" w:themeColor="text1"/>
                <w:szCs w:val="24"/>
                <w14:textFill>
                  <w14:solidFill>
                    <w14:schemeClr w14:val="tx1"/>
                  </w14:solidFill>
                </w14:textFill>
              </w:rPr>
              <w:t>活性炭是一种很细小的炭粒有很大的表面积，而且炭粒中还有更细小的孔——毛细管。这种毛细管具有很强的吸附能力，由于炭粒的表面积很大，所以能与气体（杂质）充分接触。当这些气体（杂质）碰到毛细管被吸附，起净化作用。</w:t>
            </w:r>
          </w:p>
          <w:p>
            <w:pPr>
              <w:pStyle w:val="72"/>
              <w:ind w:firstLine="480"/>
              <w:rPr>
                <w:rFonts w:cs="Times New Roman"/>
                <w:bCs/>
                <w:color w:val="000000" w:themeColor="text1"/>
                <w:szCs w:val="24"/>
                <w14:textFill>
                  <w14:solidFill>
                    <w14:schemeClr w14:val="tx1"/>
                  </w14:solidFill>
                </w14:textFill>
              </w:rPr>
            </w:pPr>
            <w:r>
              <w:rPr>
                <w:rFonts w:hint="eastAsia" w:cs="Times New Roman"/>
                <w:bCs/>
                <w:color w:val="000000" w:themeColor="text1"/>
                <w:szCs w:val="24"/>
                <w14:textFill>
                  <w14:solidFill>
                    <w14:schemeClr w14:val="tx1"/>
                  </w14:solidFill>
                </w14:textFill>
              </w:rPr>
              <w:t>类比同类项目，经过二次燃烧+骤冷，再经二级活性炭吸附对非甲烷总烃、二噁英类、甲苯、二甲苯的处理效率可达9</w:t>
            </w:r>
            <w:r>
              <w:rPr>
                <w:rFonts w:cs="Times New Roman"/>
                <w:bCs/>
                <w:color w:val="000000" w:themeColor="text1"/>
                <w:szCs w:val="24"/>
                <w14:textFill>
                  <w14:solidFill>
                    <w14:schemeClr w14:val="tx1"/>
                  </w14:solidFill>
                </w14:textFill>
              </w:rPr>
              <w:t>5</w:t>
            </w:r>
            <w:r>
              <w:rPr>
                <w:rFonts w:hint="eastAsia" w:cs="Times New Roman"/>
                <w:bCs/>
                <w:color w:val="000000" w:themeColor="text1"/>
                <w:szCs w:val="24"/>
                <w14:textFill>
                  <w14:solidFill>
                    <w14:schemeClr w14:val="tx1"/>
                  </w14:solidFill>
                </w14:textFill>
              </w:rPr>
              <w:t>%。活性炭吸附技术在有机废气治理中应用广泛，工程技术成熟可靠，合理可行。</w:t>
            </w:r>
          </w:p>
          <w:p>
            <w:pPr>
              <w:pStyle w:val="72"/>
              <w:ind w:firstLine="480"/>
              <w:rPr>
                <w:rFonts w:cs="Times New Roman"/>
                <w:bCs/>
                <w:color w:val="000000" w:themeColor="text1"/>
                <w:szCs w:val="24"/>
                <w14:textFill>
                  <w14:solidFill>
                    <w14:schemeClr w14:val="tx1"/>
                  </w14:solidFill>
                </w14:textFill>
              </w:rPr>
            </w:pPr>
            <w:r>
              <w:rPr>
                <w:rFonts w:hint="eastAsia" w:cs="Times New Roman"/>
                <w:bCs/>
                <w:color w:val="000000" w:themeColor="text1"/>
                <w:szCs w:val="24"/>
                <w14:textFill>
                  <w14:solidFill>
                    <w14:schemeClr w14:val="tx1"/>
                  </w14:solidFill>
                </w14:textFill>
              </w:rPr>
              <w:t>根据《排污许可证申请与核发技术规范 废弃资源加工工业》（H</w:t>
            </w:r>
            <w:r>
              <w:rPr>
                <w:rFonts w:cs="Times New Roman"/>
                <w:bCs/>
                <w:color w:val="000000" w:themeColor="text1"/>
                <w:szCs w:val="24"/>
                <w14:textFill>
                  <w14:solidFill>
                    <w14:schemeClr w14:val="tx1"/>
                  </w14:solidFill>
                </w14:textFill>
              </w:rPr>
              <w:t>J 1034-2019</w:t>
            </w:r>
            <w:r>
              <w:rPr>
                <w:rFonts w:hint="eastAsia" w:cs="Times New Roman"/>
                <w:bCs/>
                <w:color w:val="000000" w:themeColor="text1"/>
                <w:szCs w:val="24"/>
                <w14:textFill>
                  <w14:solidFill>
                    <w14:schemeClr w14:val="tx1"/>
                  </w14:solidFill>
                </w14:textFill>
              </w:rPr>
              <w:t>）附录A.废弃资源加工工业排污单位废气污染防治技术参考表，项目裂解设备燃烧废气治理措施可行性分析见表4</w:t>
            </w:r>
            <w:r>
              <w:rPr>
                <w:rFonts w:cs="Times New Roman"/>
                <w:bCs/>
                <w:color w:val="000000" w:themeColor="text1"/>
                <w:szCs w:val="24"/>
                <w14:textFill>
                  <w14:solidFill>
                    <w14:schemeClr w14:val="tx1"/>
                  </w14:solidFill>
                </w14:textFill>
              </w:rPr>
              <w:t>.2</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7</w:t>
            </w:r>
            <w:r>
              <w:rPr>
                <w:rFonts w:hint="eastAsia" w:cs="Times New Roman"/>
                <w:bCs/>
                <w:color w:val="000000" w:themeColor="text1"/>
                <w:szCs w:val="24"/>
                <w14:textFill>
                  <w14:solidFill>
                    <w14:schemeClr w14:val="tx1"/>
                  </w14:solidFill>
                </w14:textFill>
              </w:rPr>
              <w:t>。</w:t>
            </w:r>
          </w:p>
          <w:p>
            <w:pPr>
              <w:adjustRightInd w:val="0"/>
              <w:snapToGrid w:val="0"/>
              <w:spacing w:line="24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表4</w:t>
            </w:r>
            <w:r>
              <w:rPr>
                <w:b/>
                <w:color w:val="000000" w:themeColor="text1"/>
                <w:sz w:val="24"/>
                <w14:textFill>
                  <w14:solidFill>
                    <w14:schemeClr w14:val="tx1"/>
                  </w14:solidFill>
                </w14:textFill>
              </w:rPr>
              <w:t>.2</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 xml:space="preserve">7  </w:t>
            </w:r>
            <w:r>
              <w:rPr>
                <w:rFonts w:hint="eastAsia"/>
                <w:b/>
                <w:color w:val="000000" w:themeColor="text1"/>
                <w:sz w:val="24"/>
                <w14:textFill>
                  <w14:solidFill>
                    <w14:schemeClr w14:val="tx1"/>
                  </w14:solidFill>
                </w14:textFill>
              </w:rPr>
              <w:t>项目废气治理措施可行性分析表</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134"/>
              <w:gridCol w:w="2793"/>
              <w:gridCol w:w="2307"/>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restart"/>
                  <w:vAlign w:val="center"/>
                </w:tcPr>
                <w:p>
                  <w:pPr>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生产工艺</w:t>
                  </w:r>
                </w:p>
              </w:tc>
              <w:tc>
                <w:tcPr>
                  <w:tcW w:w="642" w:type="pct"/>
                  <w:vMerge w:val="restart"/>
                  <w:vAlign w:val="center"/>
                </w:tcPr>
                <w:p>
                  <w:pPr>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污染物种类</w:t>
                  </w:r>
                </w:p>
              </w:tc>
              <w:tc>
                <w:tcPr>
                  <w:tcW w:w="3990" w:type="pct"/>
                  <w:gridSpan w:val="3"/>
                  <w:vAlign w:val="center"/>
                </w:tcPr>
                <w:p>
                  <w:pPr>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污染治理设施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642"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1581" w:type="pct"/>
                  <w:vAlign w:val="center"/>
                </w:tcPr>
                <w:p>
                  <w:pPr>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技术规范中的污染治理工艺</w:t>
                  </w:r>
                </w:p>
              </w:tc>
              <w:tc>
                <w:tcPr>
                  <w:tcW w:w="1306" w:type="pct"/>
                  <w:vAlign w:val="center"/>
                </w:tcPr>
                <w:p>
                  <w:pPr>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项目污染治理工艺</w:t>
                  </w:r>
                </w:p>
              </w:tc>
              <w:tc>
                <w:tcPr>
                  <w:tcW w:w="1103" w:type="pct"/>
                  <w:vAlign w:val="center"/>
                </w:tcPr>
                <w:p>
                  <w:pPr>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restar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热裂解</w:t>
                  </w:r>
                </w:p>
              </w:tc>
              <w:tc>
                <w:tcPr>
                  <w:tcW w:w="642"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5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湿式除尘、布袋除尘</w:t>
                  </w:r>
                </w:p>
              </w:tc>
              <w:tc>
                <w:tcPr>
                  <w:tcW w:w="1306"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湿电除尘</w:t>
                  </w:r>
                </w:p>
              </w:tc>
              <w:tc>
                <w:tcPr>
                  <w:tcW w:w="1103"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属于规范中的污染治理工艺，可行。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642"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2</w:t>
                  </w:r>
                </w:p>
              </w:tc>
              <w:tc>
                <w:tcPr>
                  <w:tcW w:w="15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湿法脱硫技术</w:t>
                  </w:r>
                </w:p>
              </w:tc>
              <w:tc>
                <w:tcPr>
                  <w:tcW w:w="1306"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钠碱法脱硫</w:t>
                  </w:r>
                </w:p>
              </w:tc>
              <w:tc>
                <w:tcPr>
                  <w:tcW w:w="1103"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属于规范中的污染治理工艺，可行。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642"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X</w:t>
                  </w:r>
                </w:p>
              </w:tc>
              <w:tc>
                <w:tcPr>
                  <w:tcW w:w="15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低氮燃烧，</w:t>
                  </w:r>
                  <w:r>
                    <w:rPr>
                      <w:color w:val="000000" w:themeColor="text1"/>
                      <w:szCs w:val="21"/>
                      <w14:textFill>
                        <w14:solidFill>
                          <w14:schemeClr w14:val="tx1"/>
                        </w14:solidFill>
                      </w14:textFill>
                    </w:rPr>
                    <w:t>SCR</w:t>
                  </w:r>
                  <w:r>
                    <w:rPr>
                      <w:rFonts w:hint="eastAsia"/>
                      <w:color w:val="000000" w:themeColor="text1"/>
                      <w:szCs w:val="21"/>
                      <w14:textFill>
                        <w14:solidFill>
                          <w14:schemeClr w14:val="tx1"/>
                        </w14:solidFill>
                      </w14:textFill>
                    </w:rPr>
                    <w:t>脱硝</w:t>
                  </w:r>
                </w:p>
              </w:tc>
              <w:tc>
                <w:tcPr>
                  <w:tcW w:w="1306"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CR</w:t>
                  </w:r>
                  <w:r>
                    <w:rPr>
                      <w:rFonts w:hint="eastAsia"/>
                      <w:color w:val="000000" w:themeColor="text1"/>
                      <w:szCs w:val="21"/>
                      <w14:textFill>
                        <w14:solidFill>
                          <w14:schemeClr w14:val="tx1"/>
                        </w14:solidFill>
                      </w14:textFill>
                    </w:rPr>
                    <w:t>脱硝</w:t>
                  </w:r>
                </w:p>
              </w:tc>
              <w:tc>
                <w:tcPr>
                  <w:tcW w:w="1103"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属于规范中的污染治理工艺，可行。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642"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5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热力焚烧，催化燃烧，活性炭吸附</w:t>
                  </w:r>
                </w:p>
              </w:tc>
              <w:tc>
                <w:tcPr>
                  <w:tcW w:w="1306"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二次燃烧，二级活性炭吸附</w:t>
                  </w:r>
                </w:p>
              </w:tc>
              <w:tc>
                <w:tcPr>
                  <w:tcW w:w="1103"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属于规范中的污染治理工艺，可行。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642"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S</w:t>
                  </w:r>
                </w:p>
              </w:tc>
              <w:tc>
                <w:tcPr>
                  <w:tcW w:w="15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碱液喷淋，活性炭吸附</w:t>
                  </w:r>
                </w:p>
              </w:tc>
              <w:tc>
                <w:tcPr>
                  <w:tcW w:w="1306"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碱液喷淋，二级活性炭吸附</w:t>
                  </w:r>
                </w:p>
              </w:tc>
              <w:tc>
                <w:tcPr>
                  <w:tcW w:w="1103"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属于规范中的污染治理工艺，可行。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642"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w:t>
                  </w:r>
                </w:p>
              </w:tc>
              <w:tc>
                <w:tcPr>
                  <w:tcW w:w="1581"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二次燃烧+骤冷+活性炭吸附</w:t>
                  </w:r>
                </w:p>
              </w:tc>
              <w:tc>
                <w:tcPr>
                  <w:tcW w:w="1306"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二次燃烧+骤冷+二级活性炭吸附</w:t>
                  </w:r>
                </w:p>
              </w:tc>
              <w:tc>
                <w:tcPr>
                  <w:tcW w:w="1103" w:type="pc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属于规范中的污染治理工艺，可行。</w:t>
                  </w:r>
                </w:p>
              </w:tc>
            </w:tr>
          </w:tbl>
          <w:p>
            <w:pPr>
              <w:pStyle w:val="72"/>
              <w:ind w:firstLine="480"/>
              <w:rPr>
                <w:rFonts w:cs="Times New Roman"/>
                <w:bCs/>
                <w:color w:val="000000" w:themeColor="text1"/>
                <w:szCs w:val="24"/>
                <w14:textFill>
                  <w14:solidFill>
                    <w14:schemeClr w14:val="tx1"/>
                  </w14:solidFill>
                </w14:textFill>
              </w:rPr>
            </w:pPr>
            <w:r>
              <w:rPr>
                <w:rFonts w:hint="eastAsia" w:cs="Times New Roman"/>
                <w:bCs/>
                <w:color w:val="000000" w:themeColor="text1"/>
                <w:szCs w:val="24"/>
                <w14:textFill>
                  <w14:solidFill>
                    <w14:schemeClr w14:val="tx1"/>
                  </w14:solidFill>
                </w14:textFill>
              </w:rPr>
              <w:t>由上表可知，项目不凝气污染防治措施可行，符合《排污许可证申请与核发技术规范 废弃资源加工工业》（H</w:t>
            </w:r>
            <w:r>
              <w:rPr>
                <w:rFonts w:cs="Times New Roman"/>
                <w:bCs/>
                <w:color w:val="000000" w:themeColor="text1"/>
                <w:szCs w:val="24"/>
                <w14:textFill>
                  <w14:solidFill>
                    <w14:schemeClr w14:val="tx1"/>
                  </w14:solidFill>
                </w14:textFill>
              </w:rPr>
              <w:t>J 1034-2019</w:t>
            </w:r>
            <w:r>
              <w:rPr>
                <w:rFonts w:hint="eastAsia" w:cs="Times New Roman"/>
                <w:bCs/>
                <w:color w:val="000000" w:themeColor="text1"/>
                <w:szCs w:val="24"/>
                <w14:textFill>
                  <w14:solidFill>
                    <w14:schemeClr w14:val="tx1"/>
                  </w14:solidFill>
                </w14:textFill>
              </w:rPr>
              <w:t>）中相关技术要求。</w:t>
            </w:r>
          </w:p>
          <w:p>
            <w:pPr>
              <w:pStyle w:val="72"/>
              <w:ind w:firstLine="480"/>
              <w:rPr>
                <w:rFonts w:cs="Times New Roman"/>
                <w:bCs/>
                <w:color w:val="000000" w:themeColor="text1"/>
                <w:szCs w:val="24"/>
                <w14:textFill>
                  <w14:solidFill>
                    <w14:schemeClr w14:val="tx1"/>
                  </w14:solidFill>
                </w14:textFill>
              </w:rPr>
            </w:pPr>
            <w:r>
              <w:rPr>
                <w:rFonts w:hint="eastAsia" w:cs="Times New Roman"/>
                <w:bCs/>
                <w:color w:val="000000" w:themeColor="text1"/>
                <w:szCs w:val="24"/>
                <w14:textFill>
                  <w14:solidFill>
                    <w14:schemeClr w14:val="tx1"/>
                  </w14:solidFill>
                </w14:textFill>
              </w:rPr>
              <w:t>（3）轮胎处理、炭黑加工废气污染防治措施</w:t>
            </w:r>
          </w:p>
          <w:p>
            <w:pPr>
              <w:pStyle w:val="72"/>
              <w:ind w:firstLine="480"/>
              <w:rPr>
                <w:rFonts w:cs="Times New Roman"/>
                <w:bCs/>
                <w:color w:val="000000" w:themeColor="text1"/>
                <w:szCs w:val="24"/>
                <w14:textFill>
                  <w14:solidFill>
                    <w14:schemeClr w14:val="tx1"/>
                  </w14:solidFill>
                </w14:textFill>
              </w:rPr>
            </w:pPr>
            <w:r>
              <w:rPr>
                <w:rFonts w:hint="eastAsia" w:cs="Times New Roman"/>
                <w:bCs/>
                <w:color w:val="000000" w:themeColor="text1"/>
                <w:szCs w:val="24"/>
                <w14:textFill>
                  <w14:solidFill>
                    <w14:schemeClr w14:val="tx1"/>
                  </w14:solidFill>
                </w14:textFill>
              </w:rPr>
              <w:t>项目1#原料破碎车间、2#原料破碎车间预处理产生的粉尘采用</w:t>
            </w:r>
            <w:r>
              <w:rPr>
                <w:rFonts w:cs="Times New Roman"/>
                <w:bCs/>
                <w:color w:val="000000" w:themeColor="text1"/>
                <w:szCs w:val="24"/>
                <w14:textFill>
                  <w14:solidFill>
                    <w14:schemeClr w14:val="tx1"/>
                  </w14:solidFill>
                </w14:textFill>
              </w:rPr>
              <w:t>6</w:t>
            </w:r>
            <w:r>
              <w:rPr>
                <w:rFonts w:hint="eastAsia" w:cs="Times New Roman"/>
                <w:bCs/>
                <w:color w:val="000000" w:themeColor="text1"/>
                <w:szCs w:val="24"/>
                <w14:textFill>
                  <w14:solidFill>
                    <w14:schemeClr w14:val="tx1"/>
                  </w14:solidFill>
                </w14:textFill>
              </w:rPr>
              <w:t>套布袋除尘器处理，然后经</w:t>
            </w:r>
            <w:r>
              <w:rPr>
                <w:rFonts w:cs="Times New Roman"/>
                <w:bCs/>
                <w:color w:val="000000" w:themeColor="text1"/>
                <w:szCs w:val="24"/>
                <w14:textFill>
                  <w14:solidFill>
                    <w14:schemeClr w14:val="tx1"/>
                  </w14:solidFill>
                </w14:textFill>
              </w:rPr>
              <w:t>2</w:t>
            </w:r>
            <w:r>
              <w:rPr>
                <w:rFonts w:hint="eastAsia" w:cs="Times New Roman"/>
                <w:bCs/>
                <w:color w:val="000000" w:themeColor="text1"/>
                <w:szCs w:val="24"/>
                <w14:textFill>
                  <w14:solidFill>
                    <w14:schemeClr w14:val="tx1"/>
                  </w14:solidFill>
                </w14:textFill>
              </w:rPr>
              <w:t>根1</w:t>
            </w:r>
            <w:r>
              <w:rPr>
                <w:rFonts w:cs="Times New Roman"/>
                <w:bCs/>
                <w:color w:val="000000" w:themeColor="text1"/>
                <w:szCs w:val="24"/>
                <w14:textFill>
                  <w14:solidFill>
                    <w14:schemeClr w14:val="tx1"/>
                  </w14:solidFill>
                </w14:textFill>
              </w:rPr>
              <w:t>5</w:t>
            </w:r>
            <w:r>
              <w:rPr>
                <w:rFonts w:hint="eastAsia" w:cs="Times New Roman"/>
                <w:bCs/>
                <w:color w:val="000000" w:themeColor="text1"/>
                <w:szCs w:val="24"/>
                <w14:textFill>
                  <w14:solidFill>
                    <w14:schemeClr w14:val="tx1"/>
                  </w14:solidFill>
                </w14:textFill>
              </w:rPr>
              <w:t>m高排气筒排放。项目炭黑深加工产生的炭黑尘采用</w:t>
            </w:r>
            <w:r>
              <w:rPr>
                <w:rFonts w:cs="Times New Roman"/>
                <w:bCs/>
                <w:color w:val="000000" w:themeColor="text1"/>
                <w:szCs w:val="24"/>
                <w14:textFill>
                  <w14:solidFill>
                    <w14:schemeClr w14:val="tx1"/>
                  </w14:solidFill>
                </w14:textFill>
              </w:rPr>
              <w:t>2</w:t>
            </w:r>
            <w:r>
              <w:rPr>
                <w:rFonts w:hint="eastAsia" w:cs="Times New Roman"/>
                <w:bCs/>
                <w:color w:val="000000" w:themeColor="text1"/>
                <w:szCs w:val="24"/>
                <w14:textFill>
                  <w14:solidFill>
                    <w14:schemeClr w14:val="tx1"/>
                  </w14:solidFill>
                </w14:textFill>
              </w:rPr>
              <w:t>套布袋除尘器处理，处理后的废气通过1根1</w:t>
            </w:r>
            <w:r>
              <w:rPr>
                <w:rFonts w:cs="Times New Roman"/>
                <w:bCs/>
                <w:color w:val="000000" w:themeColor="text1"/>
                <w:szCs w:val="24"/>
                <w14:textFill>
                  <w14:solidFill>
                    <w14:schemeClr w14:val="tx1"/>
                  </w14:solidFill>
                </w14:textFill>
              </w:rPr>
              <w:t>5</w:t>
            </w:r>
            <w:r>
              <w:rPr>
                <w:rFonts w:hint="eastAsia" w:cs="Times New Roman"/>
                <w:bCs/>
                <w:color w:val="000000" w:themeColor="text1"/>
                <w:szCs w:val="24"/>
                <w14:textFill>
                  <w14:solidFill>
                    <w14:schemeClr w14:val="tx1"/>
                  </w14:solidFill>
                </w14:textFill>
              </w:rPr>
              <w:t>m高排气筒排放。</w:t>
            </w:r>
          </w:p>
          <w:p>
            <w:pPr>
              <w:pStyle w:val="72"/>
              <w:ind w:firstLine="480"/>
              <w:rPr>
                <w:color w:val="000000" w:themeColor="text1"/>
                <w14:textFill>
                  <w14:solidFill>
                    <w14:schemeClr w14:val="tx1"/>
                  </w14:solidFill>
                </w14:textFill>
              </w:rPr>
            </w:pPr>
            <w:r>
              <w:rPr>
                <w:rFonts w:hint="eastAsia" w:cs="Times New Roman"/>
                <w:bCs/>
                <w:color w:val="000000" w:themeColor="text1"/>
                <w:szCs w:val="24"/>
                <w14:textFill>
                  <w14:solidFill>
                    <w14:schemeClr w14:val="tx1"/>
                  </w14:solidFill>
                </w14:textFill>
              </w:rPr>
              <w:t>根据《排污许可证申请与核发技术规范 废弃资源加工工业》（H</w:t>
            </w:r>
            <w:r>
              <w:rPr>
                <w:rFonts w:cs="Times New Roman"/>
                <w:bCs/>
                <w:color w:val="000000" w:themeColor="text1"/>
                <w:szCs w:val="24"/>
                <w14:textFill>
                  <w14:solidFill>
                    <w14:schemeClr w14:val="tx1"/>
                  </w14:solidFill>
                </w14:textFill>
              </w:rPr>
              <w:t>J 1034-2019</w:t>
            </w:r>
            <w:r>
              <w:rPr>
                <w:rFonts w:hint="eastAsia" w:cs="Times New Roman"/>
                <w:bCs/>
                <w:color w:val="000000" w:themeColor="text1"/>
                <w:szCs w:val="24"/>
                <w14:textFill>
                  <w14:solidFill>
                    <w14:schemeClr w14:val="tx1"/>
                  </w14:solidFill>
                </w14:textFill>
              </w:rPr>
              <w:t>）附录A.废弃资源加工工业排污单位废气污染防治技术参考表，项目轮胎处理、炭黑加工的粉尘经布袋除尘器处理后有组织排放，污染防治措施可行。</w:t>
            </w:r>
          </w:p>
          <w:p>
            <w:pPr>
              <w:pStyle w:val="72"/>
              <w:ind w:firstLine="480"/>
              <w:rPr>
                <w:rFonts w:cs="Times New Roman"/>
                <w:bCs/>
                <w:color w:val="FF0000"/>
                <w:szCs w:val="24"/>
              </w:rPr>
            </w:pPr>
            <w:r>
              <w:rPr>
                <w:rFonts w:hint="eastAsia" w:cs="Times New Roman"/>
                <w:bCs/>
                <w:color w:val="FF0000"/>
                <w:szCs w:val="24"/>
              </w:rPr>
              <w:t>（</w:t>
            </w:r>
            <w:r>
              <w:rPr>
                <w:rFonts w:cs="Times New Roman"/>
                <w:bCs/>
                <w:color w:val="FF0000"/>
                <w:szCs w:val="24"/>
              </w:rPr>
              <w:t>4</w:t>
            </w:r>
            <w:r>
              <w:rPr>
                <w:rFonts w:hint="eastAsia" w:cs="Times New Roman"/>
                <w:bCs/>
                <w:color w:val="FF0000"/>
                <w:szCs w:val="24"/>
              </w:rPr>
              <w:t>）储油罐区废气治理措施</w:t>
            </w:r>
          </w:p>
          <w:p>
            <w:pPr>
              <w:pStyle w:val="72"/>
              <w:ind w:firstLine="480"/>
              <w:rPr>
                <w:rFonts w:cs="Times New Roman"/>
                <w:bCs/>
                <w:color w:val="FF0000"/>
                <w:szCs w:val="24"/>
              </w:rPr>
            </w:pPr>
            <w:r>
              <w:rPr>
                <w:rFonts w:hint="eastAsia" w:cs="Times New Roman"/>
                <w:bCs/>
                <w:color w:val="FF0000"/>
                <w:szCs w:val="24"/>
              </w:rPr>
              <w:t>项目储油罐区大小呼吸废气，主要污染物为非甲烷总烃。呼吸废气经密闭排气系统收集后接入二燃室燃烧处理，二燃室的燃烧烟气再经二级活性炭吸附，非甲烷总烃可以得到有效去除。</w:t>
            </w:r>
          </w:p>
          <w:p>
            <w:pPr>
              <w:pStyle w:val="72"/>
              <w:ind w:firstLine="480"/>
              <w:rPr>
                <w:rFonts w:cs="Times New Roman"/>
                <w:bCs/>
                <w:color w:val="FF0000"/>
                <w:szCs w:val="24"/>
              </w:rPr>
            </w:pPr>
            <w:r>
              <w:rPr>
                <w:rFonts w:hint="eastAsia" w:cs="Times New Roman"/>
                <w:bCs/>
                <w:color w:val="FF0000"/>
                <w:szCs w:val="24"/>
              </w:rPr>
              <w:t>本次评价提出，为减少无组织废气排放，油品装卸车采用底部装卸方式，以减少装卸过程中非甲烷总烃的散逸；对储罐及其相关附属设备（如管道、阀门、泵等）每年应彻底检查2次，做到气密性符合要求，并应定期检修，以避免由于检修不及时，密封不严而造成泄漏；储罐应尽量缩短出油与再进油之间的时间间隔，以降低呼出气的油气浓度，减少大呼吸损耗。</w:t>
            </w:r>
          </w:p>
          <w:p>
            <w:pPr>
              <w:pStyle w:val="72"/>
              <w:ind w:firstLine="480"/>
              <w:rPr>
                <w:rFonts w:cs="Times New Roman"/>
                <w:bCs/>
                <w:color w:val="000000" w:themeColor="text1"/>
                <w:szCs w:val="24"/>
                <w14:textFill>
                  <w14:solidFill>
                    <w14:schemeClr w14:val="tx1"/>
                  </w14:solidFill>
                </w14:textFill>
              </w:rPr>
            </w:pPr>
            <w:r>
              <w:rPr>
                <w:rFonts w:hint="eastAsia" w:cs="Times New Roman"/>
                <w:bCs/>
                <w:color w:val="000000" w:themeColor="text1"/>
                <w:szCs w:val="24"/>
                <w14:textFill>
                  <w14:solidFill>
                    <w14:schemeClr w14:val="tx1"/>
                  </w14:solidFill>
                </w14:textFill>
              </w:rPr>
              <w:t>综上所述，本项目采取的废气治理措施可行。项目废气处理工艺流程图如下所示：</w:t>
            </w:r>
          </w:p>
          <w:p>
            <w:pPr>
              <w:pStyle w:val="72"/>
              <w:spacing w:line="240" w:lineRule="auto"/>
              <w:ind w:firstLine="0" w:firstLineChars="0"/>
              <w:jc w:val="center"/>
              <w:rPr>
                <w:color w:val="000000" w:themeColor="text1"/>
                <w14:textFill>
                  <w14:solidFill>
                    <w14:schemeClr w14:val="tx1"/>
                  </w14:solidFill>
                </w14:textFill>
              </w:rPr>
            </w:pPr>
            <w:r>
              <w:object>
                <v:shape id="_x0000_i1039" o:spt="75" type="#_x0000_t75" style="height:206.6pt;width:306.85pt;" o:ole="t" filled="f" o:preferrelative="t" stroked="f" coordsize="21600,21600">
                  <v:path/>
                  <v:fill on="f" focussize="0,0"/>
                  <v:stroke on="f" joinstyle="miter"/>
                  <v:imagedata r:id="rId47" o:title=""/>
                  <o:lock v:ext="edit" aspectratio="t"/>
                  <w10:wrap type="none"/>
                  <w10:anchorlock/>
                </v:shape>
                <o:OLEObject Type="Embed" ProgID="Visio.Drawing.15" ShapeID="_x0000_i1039" DrawAspect="Content" ObjectID="_1468075739" r:id="rId46">
                  <o:LockedField>false</o:LockedField>
                </o:OLEObject>
              </w:object>
            </w:r>
          </w:p>
          <w:p>
            <w:pPr>
              <w:pStyle w:val="72"/>
              <w:spacing w:line="240" w:lineRule="auto"/>
              <w:ind w:firstLine="0" w:firstLineChars="0"/>
              <w:jc w:val="center"/>
              <w:rPr>
                <w:rFonts w:cs="Times New Roman"/>
                <w:b/>
                <w:bCs/>
                <w:color w:val="FF0000"/>
                <w:szCs w:val="24"/>
              </w:rPr>
            </w:pPr>
            <w:r>
              <w:rPr>
                <w:rFonts w:hint="eastAsia"/>
                <w:b/>
                <w:color w:val="FF0000"/>
              </w:rPr>
              <w:t>图4</w:t>
            </w:r>
            <w:r>
              <w:rPr>
                <w:b/>
                <w:color w:val="FF0000"/>
              </w:rPr>
              <w:t>.2</w:t>
            </w:r>
            <w:r>
              <w:rPr>
                <w:rFonts w:hint="eastAsia"/>
                <w:b/>
                <w:color w:val="FF0000"/>
              </w:rPr>
              <w:t>-</w:t>
            </w:r>
            <w:r>
              <w:rPr>
                <w:b/>
                <w:color w:val="FF0000"/>
              </w:rPr>
              <w:t xml:space="preserve">1  </w:t>
            </w:r>
            <w:r>
              <w:rPr>
                <w:rFonts w:hint="eastAsia"/>
                <w:b/>
                <w:color w:val="FF0000"/>
              </w:rPr>
              <w:t>项目废气处理工艺流程示意图</w:t>
            </w:r>
          </w:p>
          <w:p>
            <w:pPr>
              <w:pStyle w:val="72"/>
              <w:ind w:firstLine="482"/>
              <w:rPr>
                <w:rFonts w:cs="Times New Roman"/>
                <w:b/>
                <w:bCs/>
                <w:color w:val="000000" w:themeColor="text1"/>
                <w:szCs w:val="24"/>
                <w14:textFill>
                  <w14:solidFill>
                    <w14:schemeClr w14:val="tx1"/>
                  </w14:solidFill>
                </w14:textFill>
              </w:rPr>
            </w:pPr>
            <w:r>
              <w:rPr>
                <w:rFonts w:hint="eastAsia" w:cs="Times New Roman"/>
                <w:b/>
                <w:bCs/>
                <w:color w:val="000000" w:themeColor="text1"/>
                <w:szCs w:val="24"/>
                <w14:textFill>
                  <w14:solidFill>
                    <w14:schemeClr w14:val="tx1"/>
                  </w14:solidFill>
                </w14:textFill>
              </w:rPr>
              <w:t>4、大气环境影响分析</w:t>
            </w:r>
          </w:p>
          <w:p>
            <w:pPr>
              <w:pStyle w:val="72"/>
              <w:ind w:firstLine="48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本项目厂房建设高度为1</w:t>
            </w:r>
            <w:r>
              <w:rPr>
                <w:rFonts w:cs="Times New Roman"/>
                <w:color w:val="000000" w:themeColor="text1"/>
                <w:szCs w:val="24"/>
                <w14:textFill>
                  <w14:solidFill>
                    <w14:schemeClr w14:val="tx1"/>
                  </w14:solidFill>
                </w14:textFill>
              </w:rPr>
              <w:t>0</w:t>
            </w:r>
            <w:r>
              <w:rPr>
                <w:rFonts w:hint="eastAsia" w:cs="Times New Roman"/>
                <w:color w:val="000000" w:themeColor="text1"/>
                <w:szCs w:val="24"/>
                <w14:textFill>
                  <w14:solidFill>
                    <w14:schemeClr w14:val="tx1"/>
                  </w14:solidFill>
                </w14:textFill>
              </w:rPr>
              <w:t>m，排气筒高度均设置为15m，高于厂房高度</w:t>
            </w:r>
            <w:r>
              <w:rPr>
                <w:rFonts w:cs="Times New Roman"/>
                <w:color w:val="000000" w:themeColor="text1"/>
                <w:szCs w:val="24"/>
                <w14:textFill>
                  <w14:solidFill>
                    <w14:schemeClr w14:val="tx1"/>
                  </w14:solidFill>
                </w14:textFill>
              </w:rPr>
              <w:t>5</w:t>
            </w:r>
            <w:r>
              <w:rPr>
                <w:rFonts w:hint="eastAsia" w:cs="Times New Roman"/>
                <w:color w:val="000000" w:themeColor="text1"/>
                <w:szCs w:val="24"/>
                <w14:textFill>
                  <w14:solidFill>
                    <w14:schemeClr w14:val="tx1"/>
                  </w14:solidFill>
                </w14:textFill>
              </w:rPr>
              <w:t>m；同时，排气筒高出周围2</w:t>
            </w:r>
            <w:r>
              <w:rPr>
                <w:rFonts w:cs="Times New Roman"/>
                <w:color w:val="000000" w:themeColor="text1"/>
                <w:szCs w:val="24"/>
                <w14:textFill>
                  <w14:solidFill>
                    <w14:schemeClr w14:val="tx1"/>
                  </w14:solidFill>
                </w14:textFill>
              </w:rPr>
              <w:t>00</w:t>
            </w:r>
            <w:r>
              <w:rPr>
                <w:rFonts w:hint="eastAsia" w:cs="Times New Roman"/>
                <w:color w:val="000000" w:themeColor="text1"/>
                <w:szCs w:val="24"/>
                <w14:textFill>
                  <w14:solidFill>
                    <w14:schemeClr w14:val="tx1"/>
                  </w14:solidFill>
                </w14:textFill>
              </w:rPr>
              <w:t>m范围内周边建筑物3m以上，排气筒高度设置合理。</w:t>
            </w:r>
          </w:p>
          <w:p>
            <w:pPr>
              <w:pStyle w:val="72"/>
              <w:ind w:firstLine="48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项目所在区域为大气环境达标区，评价范围内无环境保护目标，采取上述废气治理措施后，项目废气均能实现达标排放，对周围大气环境影响可接受。</w:t>
            </w:r>
          </w:p>
          <w:p>
            <w:pPr>
              <w:pStyle w:val="72"/>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5</w:t>
            </w:r>
            <w:r>
              <w:rPr>
                <w:rFonts w:hint="eastAsia" w:cs="Times New Roman"/>
                <w:b/>
                <w:color w:val="000000" w:themeColor="text1"/>
                <w14:textFill>
                  <w14:solidFill>
                    <w14:schemeClr w14:val="tx1"/>
                  </w14:solidFill>
                </w14:textFill>
              </w:rPr>
              <w:t>、废气非正常排放情况分析</w:t>
            </w:r>
          </w:p>
          <w:p>
            <w:pPr>
              <w:pStyle w:val="72"/>
              <w:ind w:firstLine="480"/>
              <w:rPr>
                <w:rFonts w:cs="Times New Roman"/>
                <w:color w:val="FF0000"/>
              </w:rPr>
            </w:pPr>
            <w:r>
              <w:rPr>
                <w:rFonts w:hint="eastAsia" w:cs="Times New Roman"/>
                <w:color w:val="FF0000"/>
              </w:rPr>
              <w:t>非正常工况排放是指因停电或设备故障，导致环保设施不能正常运转，污染物未经处理或处理效率低下，以有组织或无组织的形式排放到大气中；在生产运行阶段的停电、停车检修以及污染治理设施效率下降等环节将产生非正常排放，其大小及频率与生产装置的工艺水平、操作管理水平等因素有关，若不采取有效的控制措施，将造成严重的环境污染。</w:t>
            </w:r>
          </w:p>
          <w:p>
            <w:pPr>
              <w:pStyle w:val="72"/>
              <w:ind w:firstLine="480"/>
              <w:rPr>
                <w:rFonts w:cs="Times New Roman"/>
                <w:color w:val="FF0000"/>
              </w:rPr>
            </w:pPr>
            <w:r>
              <w:rPr>
                <w:rFonts w:hint="eastAsia" w:cs="Times New Roman"/>
                <w:color w:val="FF0000"/>
              </w:rPr>
              <w:t>本次评价非正常工况</w:t>
            </w:r>
            <w:r>
              <w:rPr>
                <w:rFonts w:hint="eastAsia" w:cs="Times New Roman"/>
                <w:color w:val="FF0000"/>
                <w:lang w:eastAsia="zh-CN"/>
              </w:rPr>
              <w:t>主要</w:t>
            </w:r>
            <w:r>
              <w:rPr>
                <w:rFonts w:hint="eastAsia" w:cs="Times New Roman"/>
                <w:color w:val="FF0000"/>
              </w:rPr>
              <w:t>考虑项目燃烧烟气处理装置全部失效，处理效率为0的极端条件下和初次启动开工情况，燃烧烟气污染物的排放情况，其大气污染物的产排情况见表4</w:t>
            </w:r>
            <w:r>
              <w:rPr>
                <w:rFonts w:cs="Times New Roman"/>
                <w:color w:val="FF0000"/>
              </w:rPr>
              <w:t>.2</w:t>
            </w:r>
            <w:r>
              <w:rPr>
                <w:rFonts w:hint="eastAsia" w:cs="Times New Roman"/>
                <w:color w:val="FF0000"/>
              </w:rPr>
              <w:t>-</w:t>
            </w:r>
            <w:r>
              <w:rPr>
                <w:rFonts w:cs="Times New Roman"/>
                <w:color w:val="FF0000"/>
              </w:rPr>
              <w:t>8</w:t>
            </w:r>
            <w:r>
              <w:rPr>
                <w:rFonts w:hint="eastAsia" w:cs="Times New Roman"/>
                <w:color w:val="FF0000"/>
              </w:rPr>
              <w:t>。</w:t>
            </w:r>
          </w:p>
          <w:p>
            <w:pPr>
              <w:pStyle w:val="72"/>
              <w:spacing w:line="240" w:lineRule="auto"/>
              <w:ind w:firstLine="0" w:firstLineChars="0"/>
              <w:jc w:val="center"/>
              <w:rPr>
                <w:rFonts w:cs="Times New Roman"/>
                <w:b/>
                <w:bCs/>
                <w:color w:val="000000" w:themeColor="text1"/>
                <w:szCs w:val="24"/>
                <w14:textFill>
                  <w14:solidFill>
                    <w14:schemeClr w14:val="tx1"/>
                  </w14:solidFill>
                </w14:textFill>
              </w:rPr>
            </w:pPr>
            <w:r>
              <w:rPr>
                <w:rFonts w:cs="Times New Roman"/>
                <w:b/>
                <w:bCs/>
                <w:color w:val="000000" w:themeColor="text1"/>
                <w:szCs w:val="24"/>
                <w14:textFill>
                  <w14:solidFill>
                    <w14:schemeClr w14:val="tx1"/>
                  </w14:solidFill>
                </w14:textFill>
              </w:rPr>
              <w:t>表4.2</w:t>
            </w:r>
            <w:r>
              <w:rPr>
                <w:rFonts w:hint="eastAsia" w:cs="Times New Roman"/>
                <w:b/>
                <w:bCs/>
                <w:color w:val="000000" w:themeColor="text1"/>
                <w:szCs w:val="24"/>
                <w14:textFill>
                  <w14:solidFill>
                    <w14:schemeClr w14:val="tx1"/>
                  </w14:solidFill>
                </w14:textFill>
              </w:rPr>
              <w:t>-</w:t>
            </w:r>
            <w:r>
              <w:rPr>
                <w:rFonts w:cs="Times New Roman"/>
                <w:b/>
                <w:bCs/>
                <w:color w:val="000000" w:themeColor="text1"/>
                <w:szCs w:val="24"/>
                <w14:textFill>
                  <w14:solidFill>
                    <w14:schemeClr w14:val="tx1"/>
                  </w14:solidFill>
                </w14:textFill>
              </w:rPr>
              <w:t>8</w:t>
            </w:r>
            <w:r>
              <w:rPr>
                <w:rFonts w:hint="eastAsia" w:cs="Times New Roman"/>
                <w:b/>
                <w:bCs/>
                <w:color w:val="000000" w:themeColor="text1"/>
                <w:szCs w:val="24"/>
                <w14:textFill>
                  <w14:solidFill>
                    <w14:schemeClr w14:val="tx1"/>
                  </w14:solidFill>
                </w14:textFill>
              </w:rPr>
              <w:t xml:space="preserve"> </w:t>
            </w:r>
            <w:r>
              <w:rPr>
                <w:rFonts w:cs="Times New Roman"/>
                <w:b/>
                <w:bCs/>
                <w:color w:val="000000" w:themeColor="text1"/>
                <w:szCs w:val="24"/>
                <w14:textFill>
                  <w14:solidFill>
                    <w14:schemeClr w14:val="tx1"/>
                  </w14:solidFill>
                </w14:textFill>
              </w:rPr>
              <w:t xml:space="preserve"> </w:t>
            </w:r>
            <w:r>
              <w:rPr>
                <w:rFonts w:hint="eastAsia" w:cs="Times New Roman"/>
                <w:b/>
                <w:bCs/>
                <w:color w:val="000000" w:themeColor="text1"/>
                <w:szCs w:val="24"/>
                <w14:textFill>
                  <w14:solidFill>
                    <w14:schemeClr w14:val="tx1"/>
                  </w14:solidFill>
                </w14:textFill>
              </w:rPr>
              <w:t>非正常工况下大气污染物源强</w:t>
            </w:r>
          </w:p>
          <w:tbl>
            <w:tblPr>
              <w:tblStyle w:val="36"/>
              <w:tblW w:w="8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906"/>
              <w:gridCol w:w="1134"/>
              <w:gridCol w:w="1417"/>
              <w:gridCol w:w="1094"/>
              <w:gridCol w:w="1103"/>
              <w:gridCol w:w="909"/>
              <w:gridCol w:w="82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dxa"/>
                  <w:vAlign w:val="center"/>
                </w:tcPr>
                <w:p>
                  <w:pPr>
                    <w:spacing w:line="240" w:lineRule="auto"/>
                    <w:jc w:val="center"/>
                    <w:rPr>
                      <w:b/>
                      <w:color w:val="FF0000"/>
                      <w:szCs w:val="21"/>
                    </w:rPr>
                  </w:pPr>
                  <w:r>
                    <w:rPr>
                      <w:b/>
                      <w:color w:val="FF0000"/>
                      <w:szCs w:val="21"/>
                    </w:rPr>
                    <w:t>序号</w:t>
                  </w:r>
                </w:p>
              </w:tc>
              <w:tc>
                <w:tcPr>
                  <w:tcW w:w="906" w:type="dxa"/>
                  <w:vAlign w:val="center"/>
                </w:tcPr>
                <w:p>
                  <w:pPr>
                    <w:spacing w:line="240" w:lineRule="auto"/>
                    <w:jc w:val="center"/>
                    <w:rPr>
                      <w:b/>
                      <w:color w:val="FF0000"/>
                      <w:szCs w:val="21"/>
                    </w:rPr>
                  </w:pPr>
                  <w:r>
                    <w:rPr>
                      <w:b/>
                      <w:color w:val="FF0000"/>
                      <w:szCs w:val="21"/>
                    </w:rPr>
                    <w:t>污染源</w:t>
                  </w:r>
                </w:p>
              </w:tc>
              <w:tc>
                <w:tcPr>
                  <w:tcW w:w="1134" w:type="dxa"/>
                  <w:vAlign w:val="center"/>
                </w:tcPr>
                <w:p>
                  <w:pPr>
                    <w:spacing w:line="240" w:lineRule="auto"/>
                    <w:jc w:val="center"/>
                    <w:rPr>
                      <w:b/>
                      <w:color w:val="FF0000"/>
                      <w:szCs w:val="21"/>
                    </w:rPr>
                  </w:pPr>
                  <w:r>
                    <w:rPr>
                      <w:b/>
                      <w:color w:val="FF0000"/>
                      <w:szCs w:val="21"/>
                    </w:rPr>
                    <w:t>非正常排放原因</w:t>
                  </w:r>
                </w:p>
              </w:tc>
              <w:tc>
                <w:tcPr>
                  <w:tcW w:w="1417" w:type="dxa"/>
                  <w:vAlign w:val="center"/>
                </w:tcPr>
                <w:p>
                  <w:pPr>
                    <w:spacing w:line="240" w:lineRule="auto"/>
                    <w:jc w:val="center"/>
                    <w:rPr>
                      <w:b/>
                      <w:color w:val="FF0000"/>
                      <w:szCs w:val="21"/>
                    </w:rPr>
                  </w:pPr>
                  <w:r>
                    <w:rPr>
                      <w:b/>
                      <w:color w:val="FF0000"/>
                      <w:szCs w:val="21"/>
                    </w:rPr>
                    <w:t>污染物</w:t>
                  </w:r>
                </w:p>
              </w:tc>
              <w:tc>
                <w:tcPr>
                  <w:tcW w:w="1094" w:type="dxa"/>
                  <w:vAlign w:val="center"/>
                </w:tcPr>
                <w:p>
                  <w:pPr>
                    <w:spacing w:line="240" w:lineRule="auto"/>
                    <w:jc w:val="center"/>
                    <w:rPr>
                      <w:b/>
                      <w:color w:val="FF0000"/>
                      <w:szCs w:val="21"/>
                    </w:rPr>
                  </w:pPr>
                  <w:r>
                    <w:rPr>
                      <w:b/>
                      <w:color w:val="FF0000"/>
                      <w:szCs w:val="21"/>
                    </w:rPr>
                    <w:t>非正常排放速率（kg/h）</w:t>
                  </w:r>
                </w:p>
              </w:tc>
              <w:tc>
                <w:tcPr>
                  <w:tcW w:w="1103" w:type="dxa"/>
                  <w:vAlign w:val="center"/>
                </w:tcPr>
                <w:p>
                  <w:pPr>
                    <w:spacing w:line="240" w:lineRule="auto"/>
                    <w:jc w:val="center"/>
                    <w:rPr>
                      <w:b/>
                      <w:color w:val="FF0000"/>
                      <w:szCs w:val="21"/>
                    </w:rPr>
                  </w:pPr>
                  <w:r>
                    <w:rPr>
                      <w:b/>
                      <w:color w:val="FF0000"/>
                      <w:szCs w:val="21"/>
                    </w:rPr>
                    <w:t>非正常排放浓度</w:t>
                  </w:r>
                  <w:r>
                    <w:rPr>
                      <w:rFonts w:hint="eastAsia"/>
                      <w:b/>
                      <w:color w:val="FF0000"/>
                      <w:szCs w:val="21"/>
                    </w:rPr>
                    <w:t>(</w:t>
                  </w:r>
                  <w:r>
                    <w:rPr>
                      <w:b/>
                      <w:color w:val="FF0000"/>
                      <w:szCs w:val="21"/>
                    </w:rPr>
                    <w:t>mg/m</w:t>
                  </w:r>
                  <w:r>
                    <w:rPr>
                      <w:b/>
                      <w:color w:val="FF0000"/>
                      <w:szCs w:val="21"/>
                      <w:vertAlign w:val="superscript"/>
                    </w:rPr>
                    <w:t>3</w:t>
                  </w:r>
                  <w:r>
                    <w:rPr>
                      <w:rFonts w:hint="eastAsia"/>
                      <w:b/>
                      <w:color w:val="FF0000"/>
                      <w:szCs w:val="21"/>
                    </w:rPr>
                    <w:t>)</w:t>
                  </w:r>
                </w:p>
              </w:tc>
              <w:tc>
                <w:tcPr>
                  <w:tcW w:w="909" w:type="dxa"/>
                  <w:vAlign w:val="center"/>
                </w:tcPr>
                <w:p>
                  <w:pPr>
                    <w:spacing w:line="240" w:lineRule="auto"/>
                    <w:jc w:val="center"/>
                    <w:rPr>
                      <w:b/>
                      <w:color w:val="FF0000"/>
                      <w:szCs w:val="21"/>
                    </w:rPr>
                  </w:pPr>
                  <w:r>
                    <w:rPr>
                      <w:b/>
                      <w:color w:val="FF0000"/>
                      <w:szCs w:val="21"/>
                    </w:rPr>
                    <w:t>单次持续时间(h)</w:t>
                  </w:r>
                </w:p>
              </w:tc>
              <w:tc>
                <w:tcPr>
                  <w:tcW w:w="825" w:type="dxa"/>
                  <w:vAlign w:val="center"/>
                </w:tcPr>
                <w:p>
                  <w:pPr>
                    <w:spacing w:line="240" w:lineRule="auto"/>
                    <w:jc w:val="center"/>
                    <w:rPr>
                      <w:b/>
                      <w:color w:val="FF0000"/>
                      <w:szCs w:val="21"/>
                    </w:rPr>
                  </w:pPr>
                  <w:r>
                    <w:rPr>
                      <w:b/>
                      <w:color w:val="FF0000"/>
                      <w:szCs w:val="21"/>
                    </w:rPr>
                    <w:t>年发生频次</w:t>
                  </w:r>
                </w:p>
              </w:tc>
              <w:tc>
                <w:tcPr>
                  <w:tcW w:w="945" w:type="dxa"/>
                  <w:vAlign w:val="center"/>
                </w:tcPr>
                <w:p>
                  <w:pPr>
                    <w:spacing w:line="240" w:lineRule="auto"/>
                    <w:jc w:val="center"/>
                    <w:rPr>
                      <w:b/>
                      <w:color w:val="FF0000"/>
                      <w:szCs w:val="21"/>
                    </w:rPr>
                  </w:pPr>
                  <w:r>
                    <w:rPr>
                      <w:b/>
                      <w:color w:val="FF0000"/>
                      <w:szCs w:val="21"/>
                    </w:rPr>
                    <w:t>应对</w:t>
                  </w:r>
                </w:p>
                <w:p>
                  <w:pPr>
                    <w:spacing w:line="240" w:lineRule="auto"/>
                    <w:jc w:val="center"/>
                    <w:rPr>
                      <w:b/>
                      <w:color w:val="FF0000"/>
                      <w:szCs w:val="21"/>
                    </w:rPr>
                  </w:pPr>
                  <w:r>
                    <w:rPr>
                      <w:b/>
                      <w:color w:val="FF0000"/>
                      <w:szCs w:val="21"/>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dxa"/>
                  <w:vMerge w:val="restart"/>
                  <w:vAlign w:val="center"/>
                </w:tcPr>
                <w:p>
                  <w:pPr>
                    <w:spacing w:line="240" w:lineRule="auto"/>
                    <w:jc w:val="center"/>
                    <w:rPr>
                      <w:color w:val="FF0000"/>
                      <w:szCs w:val="21"/>
                    </w:rPr>
                  </w:pPr>
                  <w:r>
                    <w:rPr>
                      <w:color w:val="FF0000"/>
                      <w:szCs w:val="21"/>
                    </w:rPr>
                    <w:t>1</w:t>
                  </w:r>
                </w:p>
              </w:tc>
              <w:tc>
                <w:tcPr>
                  <w:tcW w:w="906" w:type="dxa"/>
                  <w:vMerge w:val="restart"/>
                  <w:vAlign w:val="center"/>
                </w:tcPr>
                <w:p>
                  <w:pPr>
                    <w:pStyle w:val="228"/>
                    <w:autoSpaceDE w:val="0"/>
                    <w:autoSpaceDN w:val="0"/>
                    <w:adjustRightInd w:val="0"/>
                    <w:spacing w:line="240" w:lineRule="auto"/>
                    <w:ind w:firstLine="0" w:firstLineChars="0"/>
                    <w:jc w:val="center"/>
                    <w:textAlignment w:val="baseline"/>
                    <w:rPr>
                      <w:color w:val="FF0000"/>
                      <w:sz w:val="21"/>
                      <w:szCs w:val="21"/>
                    </w:rPr>
                  </w:pPr>
                  <w:r>
                    <w:rPr>
                      <w:rFonts w:hint="eastAsia"/>
                      <w:color w:val="FF0000"/>
                      <w:sz w:val="21"/>
                      <w:szCs w:val="21"/>
                    </w:rPr>
                    <w:t>裂解燃烧烟气</w:t>
                  </w:r>
                </w:p>
              </w:tc>
              <w:tc>
                <w:tcPr>
                  <w:tcW w:w="1134" w:type="dxa"/>
                  <w:vMerge w:val="restart"/>
                  <w:vAlign w:val="center"/>
                </w:tcPr>
                <w:p>
                  <w:pPr>
                    <w:spacing w:line="240" w:lineRule="auto"/>
                    <w:jc w:val="center"/>
                    <w:rPr>
                      <w:color w:val="FF0000"/>
                      <w:szCs w:val="21"/>
                    </w:rPr>
                  </w:pPr>
                  <w:r>
                    <w:rPr>
                      <w:rFonts w:hint="eastAsia"/>
                      <w:color w:val="FF0000"/>
                      <w:szCs w:val="21"/>
                    </w:rPr>
                    <w:t>初次启动开工情况</w:t>
                  </w:r>
                </w:p>
              </w:tc>
              <w:tc>
                <w:tcPr>
                  <w:tcW w:w="1417" w:type="dxa"/>
                  <w:vAlign w:val="center"/>
                </w:tcPr>
                <w:p>
                  <w:pPr>
                    <w:spacing w:line="240" w:lineRule="auto"/>
                    <w:jc w:val="center"/>
                    <w:rPr>
                      <w:color w:val="FF0000"/>
                      <w:szCs w:val="21"/>
                    </w:rPr>
                  </w:pPr>
                  <w:r>
                    <w:rPr>
                      <w:color w:val="FF0000"/>
                      <w:szCs w:val="21"/>
                    </w:rPr>
                    <w:t>颗粒物</w:t>
                  </w:r>
                </w:p>
              </w:tc>
              <w:tc>
                <w:tcPr>
                  <w:tcW w:w="1094" w:type="dxa"/>
                  <w:vAlign w:val="center"/>
                </w:tcPr>
                <w:p>
                  <w:pPr>
                    <w:spacing w:line="240" w:lineRule="auto"/>
                    <w:jc w:val="center"/>
                    <w:rPr>
                      <w:color w:val="FF0000"/>
                      <w:szCs w:val="21"/>
                    </w:rPr>
                  </w:pPr>
                  <w:r>
                    <w:rPr>
                      <w:rFonts w:hint="eastAsia"/>
                      <w:color w:val="FF0000"/>
                      <w:szCs w:val="21"/>
                    </w:rPr>
                    <w:t>0</w:t>
                  </w:r>
                  <w:r>
                    <w:rPr>
                      <w:color w:val="FF0000"/>
                      <w:szCs w:val="21"/>
                    </w:rPr>
                    <w:t>.048</w:t>
                  </w:r>
                </w:p>
              </w:tc>
              <w:tc>
                <w:tcPr>
                  <w:tcW w:w="1103" w:type="dxa"/>
                  <w:vAlign w:val="center"/>
                </w:tcPr>
                <w:p>
                  <w:pPr>
                    <w:spacing w:line="240" w:lineRule="auto"/>
                    <w:jc w:val="center"/>
                    <w:rPr>
                      <w:color w:val="FF0000"/>
                      <w:szCs w:val="21"/>
                    </w:rPr>
                  </w:pPr>
                  <w:r>
                    <w:rPr>
                      <w:rFonts w:hint="eastAsia"/>
                      <w:color w:val="FF0000"/>
                      <w:szCs w:val="21"/>
                    </w:rPr>
                    <w:t>5</w:t>
                  </w:r>
                  <w:r>
                    <w:rPr>
                      <w:color w:val="FF0000"/>
                      <w:szCs w:val="21"/>
                    </w:rPr>
                    <w:t>.16</w:t>
                  </w:r>
                </w:p>
              </w:tc>
              <w:tc>
                <w:tcPr>
                  <w:tcW w:w="909" w:type="dxa"/>
                  <w:vMerge w:val="restart"/>
                  <w:vAlign w:val="center"/>
                </w:tcPr>
                <w:p>
                  <w:pPr>
                    <w:spacing w:line="240" w:lineRule="auto"/>
                    <w:jc w:val="center"/>
                    <w:rPr>
                      <w:color w:val="FF0000"/>
                      <w:szCs w:val="21"/>
                    </w:rPr>
                  </w:pPr>
                  <w:r>
                    <w:rPr>
                      <w:rFonts w:hint="eastAsia"/>
                      <w:color w:val="FF0000"/>
                      <w:szCs w:val="21"/>
                    </w:rPr>
                    <w:t>4</w:t>
                  </w:r>
                  <w:r>
                    <w:rPr>
                      <w:color w:val="FF0000"/>
                      <w:szCs w:val="21"/>
                    </w:rPr>
                    <w:t>.17</w:t>
                  </w:r>
                </w:p>
              </w:tc>
              <w:tc>
                <w:tcPr>
                  <w:tcW w:w="825" w:type="dxa"/>
                  <w:vMerge w:val="restart"/>
                  <w:vAlign w:val="center"/>
                </w:tcPr>
                <w:p>
                  <w:pPr>
                    <w:spacing w:line="240" w:lineRule="auto"/>
                    <w:jc w:val="center"/>
                    <w:rPr>
                      <w:color w:val="FF0000"/>
                      <w:szCs w:val="21"/>
                    </w:rPr>
                  </w:pPr>
                  <w:r>
                    <w:rPr>
                      <w:rFonts w:hint="eastAsia"/>
                      <w:color w:val="FF0000"/>
                      <w:szCs w:val="21"/>
                    </w:rPr>
                    <w:t>1</w:t>
                  </w:r>
                  <w:r>
                    <w:rPr>
                      <w:color w:val="FF0000"/>
                      <w:szCs w:val="21"/>
                    </w:rPr>
                    <w:t>2</w:t>
                  </w:r>
                  <w:r>
                    <w:rPr>
                      <w:rFonts w:hint="eastAsia"/>
                      <w:color w:val="FF0000"/>
                      <w:szCs w:val="21"/>
                    </w:rPr>
                    <w:t>次</w:t>
                  </w:r>
                </w:p>
              </w:tc>
              <w:tc>
                <w:tcPr>
                  <w:tcW w:w="945" w:type="dxa"/>
                  <w:vMerge w:val="restart"/>
                  <w:vAlign w:val="center"/>
                </w:tcPr>
                <w:p>
                  <w:pPr>
                    <w:spacing w:line="240" w:lineRule="auto"/>
                    <w:jc w:val="center"/>
                    <w:rPr>
                      <w:color w:val="FF0000"/>
                      <w:szCs w:val="21"/>
                    </w:rPr>
                  </w:pPr>
                  <w:r>
                    <w:rPr>
                      <w:color w:val="FF0000"/>
                      <w:szCs w:val="21"/>
                    </w:rPr>
                    <w:t>立即停止生产，修复后恢复生产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dxa"/>
                  <w:vMerge w:val="continue"/>
                  <w:vAlign w:val="center"/>
                </w:tcPr>
                <w:p>
                  <w:pPr>
                    <w:spacing w:line="240" w:lineRule="auto"/>
                    <w:jc w:val="center"/>
                    <w:rPr>
                      <w:color w:val="FF0000"/>
                      <w:szCs w:val="21"/>
                    </w:rPr>
                  </w:pPr>
                </w:p>
              </w:tc>
              <w:tc>
                <w:tcPr>
                  <w:tcW w:w="906" w:type="dxa"/>
                  <w:vMerge w:val="continue"/>
                  <w:vAlign w:val="center"/>
                </w:tcPr>
                <w:p>
                  <w:pPr>
                    <w:pStyle w:val="228"/>
                    <w:autoSpaceDE w:val="0"/>
                    <w:autoSpaceDN w:val="0"/>
                    <w:adjustRightInd w:val="0"/>
                    <w:spacing w:line="240" w:lineRule="auto"/>
                    <w:ind w:firstLine="0" w:firstLineChars="0"/>
                    <w:jc w:val="center"/>
                    <w:textAlignment w:val="baseline"/>
                    <w:rPr>
                      <w:color w:val="FF0000"/>
                      <w:sz w:val="21"/>
                      <w:szCs w:val="21"/>
                    </w:rPr>
                  </w:pPr>
                </w:p>
              </w:tc>
              <w:tc>
                <w:tcPr>
                  <w:tcW w:w="1134" w:type="dxa"/>
                  <w:vMerge w:val="continue"/>
                  <w:vAlign w:val="center"/>
                </w:tcPr>
                <w:p>
                  <w:pPr>
                    <w:spacing w:line="240" w:lineRule="auto"/>
                    <w:jc w:val="center"/>
                    <w:rPr>
                      <w:color w:val="FF0000"/>
                      <w:szCs w:val="21"/>
                    </w:rPr>
                  </w:pPr>
                </w:p>
              </w:tc>
              <w:tc>
                <w:tcPr>
                  <w:tcW w:w="1417" w:type="dxa"/>
                  <w:vAlign w:val="center"/>
                </w:tcPr>
                <w:p>
                  <w:pPr>
                    <w:spacing w:line="240" w:lineRule="auto"/>
                    <w:jc w:val="center"/>
                    <w:rPr>
                      <w:color w:val="FF0000"/>
                      <w:szCs w:val="21"/>
                    </w:rPr>
                  </w:pPr>
                  <w:r>
                    <w:rPr>
                      <w:rFonts w:hint="eastAsia"/>
                      <w:color w:val="FF0000"/>
                      <w:szCs w:val="21"/>
                    </w:rPr>
                    <w:t>N</w:t>
                  </w:r>
                  <w:r>
                    <w:rPr>
                      <w:color w:val="FF0000"/>
                      <w:szCs w:val="21"/>
                    </w:rPr>
                    <w:t>O</w:t>
                  </w:r>
                  <w:r>
                    <w:rPr>
                      <w:color w:val="FF0000"/>
                      <w:szCs w:val="21"/>
                      <w:vertAlign w:val="subscript"/>
                    </w:rPr>
                    <w:t>X</w:t>
                  </w:r>
                </w:p>
              </w:tc>
              <w:tc>
                <w:tcPr>
                  <w:tcW w:w="1094" w:type="dxa"/>
                  <w:vAlign w:val="center"/>
                </w:tcPr>
                <w:p>
                  <w:pPr>
                    <w:spacing w:line="240" w:lineRule="auto"/>
                    <w:jc w:val="center"/>
                    <w:rPr>
                      <w:color w:val="FF0000"/>
                      <w:szCs w:val="21"/>
                    </w:rPr>
                  </w:pPr>
                  <w:r>
                    <w:rPr>
                      <w:rFonts w:hint="eastAsia"/>
                      <w:color w:val="FF0000"/>
                      <w:szCs w:val="21"/>
                    </w:rPr>
                    <w:t>0</w:t>
                  </w:r>
                  <w:r>
                    <w:rPr>
                      <w:color w:val="FF0000"/>
                      <w:szCs w:val="21"/>
                    </w:rPr>
                    <w:t>.828</w:t>
                  </w:r>
                </w:p>
              </w:tc>
              <w:tc>
                <w:tcPr>
                  <w:tcW w:w="1103" w:type="dxa"/>
                  <w:vAlign w:val="center"/>
                </w:tcPr>
                <w:p>
                  <w:pPr>
                    <w:spacing w:line="240" w:lineRule="auto"/>
                    <w:jc w:val="center"/>
                    <w:rPr>
                      <w:color w:val="FF0000"/>
                      <w:szCs w:val="21"/>
                    </w:rPr>
                  </w:pPr>
                  <w:r>
                    <w:rPr>
                      <w:rFonts w:hint="eastAsia"/>
                      <w:color w:val="FF0000"/>
                      <w:szCs w:val="21"/>
                    </w:rPr>
                    <w:t>8</w:t>
                  </w:r>
                  <w:r>
                    <w:rPr>
                      <w:color w:val="FF0000"/>
                      <w:szCs w:val="21"/>
                    </w:rPr>
                    <w:t>8.94</w:t>
                  </w:r>
                </w:p>
              </w:tc>
              <w:tc>
                <w:tcPr>
                  <w:tcW w:w="909" w:type="dxa"/>
                  <w:vMerge w:val="continue"/>
                  <w:vAlign w:val="center"/>
                </w:tcPr>
                <w:p>
                  <w:pPr>
                    <w:spacing w:line="240" w:lineRule="auto"/>
                    <w:jc w:val="center"/>
                    <w:rPr>
                      <w:color w:val="FF0000"/>
                      <w:szCs w:val="21"/>
                    </w:rPr>
                  </w:pPr>
                </w:p>
              </w:tc>
              <w:tc>
                <w:tcPr>
                  <w:tcW w:w="825" w:type="dxa"/>
                  <w:vMerge w:val="continue"/>
                  <w:vAlign w:val="center"/>
                </w:tcPr>
                <w:p>
                  <w:pPr>
                    <w:spacing w:line="240" w:lineRule="auto"/>
                    <w:jc w:val="center"/>
                    <w:rPr>
                      <w:color w:val="FF0000"/>
                      <w:szCs w:val="21"/>
                    </w:rPr>
                  </w:pPr>
                </w:p>
              </w:tc>
              <w:tc>
                <w:tcPr>
                  <w:tcW w:w="945" w:type="dxa"/>
                  <w:vMerge w:val="continue"/>
                  <w:vAlign w:val="center"/>
                </w:tcPr>
                <w:p>
                  <w:pPr>
                    <w:spacing w:line="240" w:lineRule="auto"/>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dxa"/>
                  <w:vMerge w:val="continue"/>
                  <w:vAlign w:val="center"/>
                </w:tcPr>
                <w:p>
                  <w:pPr>
                    <w:spacing w:line="240" w:lineRule="auto"/>
                    <w:jc w:val="center"/>
                    <w:rPr>
                      <w:color w:val="FF0000"/>
                      <w:szCs w:val="21"/>
                    </w:rPr>
                  </w:pPr>
                </w:p>
              </w:tc>
              <w:tc>
                <w:tcPr>
                  <w:tcW w:w="906" w:type="dxa"/>
                  <w:vMerge w:val="continue"/>
                  <w:vAlign w:val="center"/>
                </w:tcPr>
                <w:p>
                  <w:pPr>
                    <w:pStyle w:val="228"/>
                    <w:autoSpaceDE w:val="0"/>
                    <w:autoSpaceDN w:val="0"/>
                    <w:adjustRightInd w:val="0"/>
                    <w:spacing w:line="240" w:lineRule="auto"/>
                    <w:ind w:firstLine="0" w:firstLineChars="0"/>
                    <w:jc w:val="center"/>
                    <w:textAlignment w:val="baseline"/>
                    <w:rPr>
                      <w:color w:val="FF0000"/>
                      <w:sz w:val="21"/>
                      <w:szCs w:val="21"/>
                    </w:rPr>
                  </w:pPr>
                </w:p>
              </w:tc>
              <w:tc>
                <w:tcPr>
                  <w:tcW w:w="1134" w:type="dxa"/>
                  <w:vMerge w:val="continue"/>
                  <w:vAlign w:val="center"/>
                </w:tcPr>
                <w:p>
                  <w:pPr>
                    <w:spacing w:line="240" w:lineRule="auto"/>
                    <w:jc w:val="center"/>
                    <w:rPr>
                      <w:color w:val="FF0000"/>
                      <w:szCs w:val="21"/>
                    </w:rPr>
                  </w:pPr>
                </w:p>
              </w:tc>
              <w:tc>
                <w:tcPr>
                  <w:tcW w:w="1417" w:type="dxa"/>
                  <w:vAlign w:val="center"/>
                </w:tcPr>
                <w:p>
                  <w:pPr>
                    <w:spacing w:line="240" w:lineRule="auto"/>
                    <w:jc w:val="center"/>
                    <w:rPr>
                      <w:color w:val="FF0000"/>
                      <w:szCs w:val="21"/>
                    </w:rPr>
                  </w:pPr>
                  <w:r>
                    <w:rPr>
                      <w:rFonts w:hint="eastAsia"/>
                      <w:color w:val="FF0000"/>
                      <w:szCs w:val="21"/>
                    </w:rPr>
                    <w:t>S</w:t>
                  </w:r>
                  <w:r>
                    <w:rPr>
                      <w:color w:val="FF0000"/>
                      <w:szCs w:val="21"/>
                    </w:rPr>
                    <w:t>O</w:t>
                  </w:r>
                  <w:r>
                    <w:rPr>
                      <w:color w:val="FF0000"/>
                      <w:szCs w:val="21"/>
                      <w:vertAlign w:val="subscript"/>
                    </w:rPr>
                    <w:t>2</w:t>
                  </w:r>
                </w:p>
              </w:tc>
              <w:tc>
                <w:tcPr>
                  <w:tcW w:w="1094" w:type="dxa"/>
                  <w:vAlign w:val="center"/>
                </w:tcPr>
                <w:p>
                  <w:pPr>
                    <w:spacing w:line="240" w:lineRule="auto"/>
                    <w:jc w:val="center"/>
                    <w:rPr>
                      <w:color w:val="FF0000"/>
                      <w:szCs w:val="21"/>
                    </w:rPr>
                  </w:pPr>
                  <w:r>
                    <w:rPr>
                      <w:rFonts w:hint="eastAsia"/>
                      <w:color w:val="FF0000"/>
                      <w:szCs w:val="21"/>
                    </w:rPr>
                    <w:t>0</w:t>
                  </w:r>
                  <w:r>
                    <w:rPr>
                      <w:color w:val="FF0000"/>
                      <w:szCs w:val="21"/>
                    </w:rPr>
                    <w:t>.018</w:t>
                  </w:r>
                </w:p>
              </w:tc>
              <w:tc>
                <w:tcPr>
                  <w:tcW w:w="1103" w:type="dxa"/>
                  <w:vAlign w:val="center"/>
                </w:tcPr>
                <w:p>
                  <w:pPr>
                    <w:spacing w:line="240" w:lineRule="auto"/>
                    <w:jc w:val="center"/>
                    <w:rPr>
                      <w:color w:val="FF0000"/>
                      <w:szCs w:val="21"/>
                    </w:rPr>
                  </w:pPr>
                  <w:r>
                    <w:rPr>
                      <w:rFonts w:hint="eastAsia"/>
                      <w:color w:val="FF0000"/>
                      <w:szCs w:val="21"/>
                    </w:rPr>
                    <w:t>1</w:t>
                  </w:r>
                  <w:r>
                    <w:rPr>
                      <w:color w:val="FF0000"/>
                      <w:szCs w:val="21"/>
                    </w:rPr>
                    <w:t>.93</w:t>
                  </w:r>
                </w:p>
              </w:tc>
              <w:tc>
                <w:tcPr>
                  <w:tcW w:w="909" w:type="dxa"/>
                  <w:vMerge w:val="continue"/>
                  <w:vAlign w:val="center"/>
                </w:tcPr>
                <w:p>
                  <w:pPr>
                    <w:spacing w:line="240" w:lineRule="auto"/>
                    <w:jc w:val="center"/>
                    <w:rPr>
                      <w:color w:val="FF0000"/>
                      <w:szCs w:val="21"/>
                    </w:rPr>
                  </w:pPr>
                </w:p>
              </w:tc>
              <w:tc>
                <w:tcPr>
                  <w:tcW w:w="825" w:type="dxa"/>
                  <w:vMerge w:val="continue"/>
                  <w:vAlign w:val="center"/>
                </w:tcPr>
                <w:p>
                  <w:pPr>
                    <w:spacing w:line="240" w:lineRule="auto"/>
                    <w:jc w:val="center"/>
                    <w:rPr>
                      <w:color w:val="FF0000"/>
                      <w:szCs w:val="21"/>
                    </w:rPr>
                  </w:pPr>
                </w:p>
              </w:tc>
              <w:tc>
                <w:tcPr>
                  <w:tcW w:w="945" w:type="dxa"/>
                  <w:vMerge w:val="continue"/>
                  <w:vAlign w:val="center"/>
                </w:tcPr>
                <w:p>
                  <w:pPr>
                    <w:spacing w:line="240" w:lineRule="auto"/>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dxa"/>
                  <w:vMerge w:val="restart"/>
                  <w:vAlign w:val="center"/>
                </w:tcPr>
                <w:p>
                  <w:pPr>
                    <w:spacing w:line="240" w:lineRule="auto"/>
                    <w:jc w:val="center"/>
                    <w:rPr>
                      <w:color w:val="FF0000"/>
                      <w:szCs w:val="21"/>
                    </w:rPr>
                  </w:pPr>
                  <w:r>
                    <w:rPr>
                      <w:rFonts w:hint="eastAsia"/>
                      <w:color w:val="FF0000"/>
                      <w:szCs w:val="21"/>
                    </w:rPr>
                    <w:t>3</w:t>
                  </w:r>
                </w:p>
              </w:tc>
              <w:tc>
                <w:tcPr>
                  <w:tcW w:w="906" w:type="dxa"/>
                  <w:vMerge w:val="restart"/>
                  <w:vAlign w:val="center"/>
                </w:tcPr>
                <w:p>
                  <w:pPr>
                    <w:pStyle w:val="228"/>
                    <w:autoSpaceDE w:val="0"/>
                    <w:autoSpaceDN w:val="0"/>
                    <w:adjustRightInd w:val="0"/>
                    <w:spacing w:line="240" w:lineRule="auto"/>
                    <w:ind w:firstLine="0" w:firstLineChars="0"/>
                    <w:jc w:val="center"/>
                    <w:textAlignment w:val="baseline"/>
                    <w:rPr>
                      <w:color w:val="FF0000"/>
                      <w:sz w:val="21"/>
                      <w:szCs w:val="21"/>
                    </w:rPr>
                  </w:pPr>
                  <w:r>
                    <w:rPr>
                      <w:rFonts w:hint="eastAsia"/>
                      <w:color w:val="FF0000"/>
                      <w:sz w:val="21"/>
                      <w:szCs w:val="21"/>
                    </w:rPr>
                    <w:t>裂解燃烧烟气</w:t>
                  </w:r>
                </w:p>
              </w:tc>
              <w:tc>
                <w:tcPr>
                  <w:tcW w:w="1134" w:type="dxa"/>
                  <w:vMerge w:val="restart"/>
                  <w:vAlign w:val="center"/>
                </w:tcPr>
                <w:p>
                  <w:pPr>
                    <w:spacing w:line="240" w:lineRule="auto"/>
                    <w:jc w:val="center"/>
                    <w:rPr>
                      <w:color w:val="FF0000"/>
                      <w:szCs w:val="21"/>
                    </w:rPr>
                  </w:pPr>
                  <w:r>
                    <w:rPr>
                      <w:rFonts w:hint="eastAsia"/>
                      <w:color w:val="FF0000"/>
                      <w:szCs w:val="21"/>
                    </w:rPr>
                    <w:t>废气处理设施故障，处理效率降低为0</w:t>
                  </w:r>
                </w:p>
              </w:tc>
              <w:tc>
                <w:tcPr>
                  <w:tcW w:w="1417" w:type="dxa"/>
                  <w:vAlign w:val="center"/>
                </w:tcPr>
                <w:p>
                  <w:pPr>
                    <w:spacing w:line="240" w:lineRule="auto"/>
                    <w:jc w:val="center"/>
                    <w:rPr>
                      <w:color w:val="FF0000"/>
                      <w:szCs w:val="21"/>
                    </w:rPr>
                  </w:pPr>
                  <w:r>
                    <w:rPr>
                      <w:rFonts w:hint="eastAsia"/>
                      <w:color w:val="FF0000"/>
                      <w:szCs w:val="21"/>
                    </w:rPr>
                    <w:t>颗粒物</w:t>
                  </w:r>
                </w:p>
              </w:tc>
              <w:tc>
                <w:tcPr>
                  <w:tcW w:w="1094" w:type="dxa"/>
                  <w:vAlign w:val="center"/>
                </w:tcPr>
                <w:p>
                  <w:pPr>
                    <w:spacing w:line="240" w:lineRule="auto"/>
                    <w:jc w:val="center"/>
                    <w:rPr>
                      <w:rFonts w:eastAsia="等线"/>
                      <w:color w:val="FF0000"/>
                      <w:szCs w:val="21"/>
                    </w:rPr>
                  </w:pPr>
                  <w:r>
                    <w:rPr>
                      <w:rFonts w:hint="eastAsia" w:eastAsia="等线"/>
                      <w:color w:val="FF0000"/>
                      <w:szCs w:val="21"/>
                    </w:rPr>
                    <w:t>1</w:t>
                  </w:r>
                  <w:r>
                    <w:rPr>
                      <w:rFonts w:eastAsia="等线"/>
                      <w:color w:val="FF0000"/>
                      <w:szCs w:val="21"/>
                    </w:rPr>
                    <w:t>.007</w:t>
                  </w:r>
                </w:p>
              </w:tc>
              <w:tc>
                <w:tcPr>
                  <w:tcW w:w="1103" w:type="dxa"/>
                  <w:vAlign w:val="center"/>
                </w:tcPr>
                <w:p>
                  <w:pPr>
                    <w:spacing w:line="240" w:lineRule="auto"/>
                    <w:jc w:val="center"/>
                    <w:rPr>
                      <w:rFonts w:eastAsia="等线"/>
                      <w:color w:val="FF0000"/>
                      <w:kern w:val="0"/>
                      <w:szCs w:val="21"/>
                    </w:rPr>
                  </w:pPr>
                  <w:r>
                    <w:rPr>
                      <w:rFonts w:hint="eastAsia" w:eastAsia="等线"/>
                      <w:color w:val="FF0000"/>
                      <w:kern w:val="0"/>
                      <w:szCs w:val="21"/>
                    </w:rPr>
                    <w:t>6</w:t>
                  </w:r>
                  <w:r>
                    <w:rPr>
                      <w:rFonts w:eastAsia="等线"/>
                      <w:color w:val="FF0000"/>
                      <w:kern w:val="0"/>
                      <w:szCs w:val="21"/>
                    </w:rPr>
                    <w:t>6.58</w:t>
                  </w:r>
                </w:p>
              </w:tc>
              <w:tc>
                <w:tcPr>
                  <w:tcW w:w="909" w:type="dxa"/>
                  <w:vMerge w:val="restart"/>
                  <w:vAlign w:val="center"/>
                </w:tcPr>
                <w:p>
                  <w:pPr>
                    <w:spacing w:line="240" w:lineRule="auto"/>
                    <w:jc w:val="center"/>
                    <w:rPr>
                      <w:color w:val="FF0000"/>
                      <w:szCs w:val="21"/>
                    </w:rPr>
                  </w:pPr>
                  <w:r>
                    <w:rPr>
                      <w:rFonts w:hint="eastAsia"/>
                      <w:color w:val="FF0000"/>
                      <w:szCs w:val="21"/>
                    </w:rPr>
                    <w:t>0</w:t>
                  </w:r>
                  <w:r>
                    <w:rPr>
                      <w:color w:val="FF0000"/>
                      <w:szCs w:val="21"/>
                    </w:rPr>
                    <w:t>.5</w:t>
                  </w:r>
                </w:p>
              </w:tc>
              <w:tc>
                <w:tcPr>
                  <w:tcW w:w="825" w:type="dxa"/>
                  <w:vMerge w:val="restart"/>
                  <w:vAlign w:val="center"/>
                </w:tcPr>
                <w:p>
                  <w:pPr>
                    <w:spacing w:line="240" w:lineRule="auto"/>
                    <w:jc w:val="center"/>
                    <w:rPr>
                      <w:color w:val="FF0000"/>
                      <w:szCs w:val="21"/>
                    </w:rPr>
                  </w:pPr>
                  <w:r>
                    <w:rPr>
                      <w:rFonts w:hint="eastAsia"/>
                      <w:color w:val="FF0000"/>
                      <w:szCs w:val="21"/>
                    </w:rPr>
                    <w:t>1次</w:t>
                  </w:r>
                </w:p>
              </w:tc>
              <w:tc>
                <w:tcPr>
                  <w:tcW w:w="945" w:type="dxa"/>
                  <w:vMerge w:val="continue"/>
                  <w:vAlign w:val="center"/>
                </w:tcPr>
                <w:p>
                  <w:pPr>
                    <w:spacing w:line="240" w:lineRule="auto"/>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dxa"/>
                  <w:vMerge w:val="continue"/>
                  <w:vAlign w:val="center"/>
                </w:tcPr>
                <w:p>
                  <w:pPr>
                    <w:spacing w:line="240" w:lineRule="auto"/>
                    <w:jc w:val="center"/>
                    <w:rPr>
                      <w:color w:val="FF0000"/>
                      <w:szCs w:val="21"/>
                    </w:rPr>
                  </w:pPr>
                </w:p>
              </w:tc>
              <w:tc>
                <w:tcPr>
                  <w:tcW w:w="906" w:type="dxa"/>
                  <w:vMerge w:val="continue"/>
                  <w:vAlign w:val="center"/>
                </w:tcPr>
                <w:p>
                  <w:pPr>
                    <w:pStyle w:val="228"/>
                    <w:autoSpaceDE w:val="0"/>
                    <w:autoSpaceDN w:val="0"/>
                    <w:adjustRightInd w:val="0"/>
                    <w:spacing w:line="240" w:lineRule="auto"/>
                    <w:ind w:firstLine="0" w:firstLineChars="0"/>
                    <w:jc w:val="center"/>
                    <w:textAlignment w:val="baseline"/>
                    <w:rPr>
                      <w:color w:val="FF0000"/>
                      <w:sz w:val="21"/>
                    </w:rPr>
                  </w:pPr>
                </w:p>
              </w:tc>
              <w:tc>
                <w:tcPr>
                  <w:tcW w:w="1134" w:type="dxa"/>
                  <w:vMerge w:val="continue"/>
                  <w:vAlign w:val="center"/>
                </w:tcPr>
                <w:p>
                  <w:pPr>
                    <w:spacing w:line="240" w:lineRule="auto"/>
                    <w:jc w:val="center"/>
                    <w:rPr>
                      <w:color w:val="FF0000"/>
                      <w:szCs w:val="21"/>
                    </w:rPr>
                  </w:pPr>
                </w:p>
              </w:tc>
              <w:tc>
                <w:tcPr>
                  <w:tcW w:w="1417" w:type="dxa"/>
                  <w:vAlign w:val="center"/>
                </w:tcPr>
                <w:p>
                  <w:pPr>
                    <w:spacing w:line="240" w:lineRule="auto"/>
                    <w:jc w:val="center"/>
                    <w:rPr>
                      <w:color w:val="FF0000"/>
                      <w:kern w:val="0"/>
                      <w:szCs w:val="21"/>
                    </w:rPr>
                  </w:pPr>
                  <w:r>
                    <w:rPr>
                      <w:rFonts w:hint="eastAsia"/>
                      <w:color w:val="FF0000"/>
                      <w:kern w:val="0"/>
                      <w:szCs w:val="21"/>
                    </w:rPr>
                    <w:t>N</w:t>
                  </w:r>
                  <w:r>
                    <w:rPr>
                      <w:color w:val="FF0000"/>
                      <w:kern w:val="0"/>
                      <w:szCs w:val="21"/>
                    </w:rPr>
                    <w:t>O</w:t>
                  </w:r>
                  <w:r>
                    <w:rPr>
                      <w:color w:val="FF0000"/>
                      <w:kern w:val="0"/>
                      <w:szCs w:val="21"/>
                      <w:vertAlign w:val="subscript"/>
                    </w:rPr>
                    <w:t>X</w:t>
                  </w:r>
                </w:p>
              </w:tc>
              <w:tc>
                <w:tcPr>
                  <w:tcW w:w="1094" w:type="dxa"/>
                  <w:vAlign w:val="center"/>
                </w:tcPr>
                <w:p>
                  <w:pPr>
                    <w:spacing w:line="240" w:lineRule="auto"/>
                    <w:jc w:val="center"/>
                    <w:rPr>
                      <w:rFonts w:eastAsia="等线"/>
                      <w:color w:val="FF0000"/>
                      <w:szCs w:val="21"/>
                    </w:rPr>
                  </w:pPr>
                  <w:r>
                    <w:rPr>
                      <w:rFonts w:hint="eastAsia" w:eastAsia="等线"/>
                      <w:color w:val="FF0000"/>
                      <w:szCs w:val="21"/>
                    </w:rPr>
                    <w:t>2</w:t>
                  </w:r>
                  <w:r>
                    <w:rPr>
                      <w:rFonts w:eastAsia="等线"/>
                      <w:color w:val="FF0000"/>
                      <w:szCs w:val="21"/>
                    </w:rPr>
                    <w:t>.517</w:t>
                  </w:r>
                </w:p>
              </w:tc>
              <w:tc>
                <w:tcPr>
                  <w:tcW w:w="1103" w:type="dxa"/>
                  <w:vAlign w:val="center"/>
                </w:tcPr>
                <w:p>
                  <w:pPr>
                    <w:spacing w:line="240" w:lineRule="auto"/>
                    <w:jc w:val="center"/>
                    <w:rPr>
                      <w:rFonts w:eastAsia="等线"/>
                      <w:color w:val="FF0000"/>
                      <w:szCs w:val="21"/>
                    </w:rPr>
                  </w:pPr>
                  <w:r>
                    <w:rPr>
                      <w:rFonts w:hint="eastAsia" w:eastAsia="等线"/>
                      <w:color w:val="FF0000"/>
                      <w:szCs w:val="21"/>
                    </w:rPr>
                    <w:t>1</w:t>
                  </w:r>
                  <w:r>
                    <w:rPr>
                      <w:rFonts w:eastAsia="等线"/>
                      <w:color w:val="FF0000"/>
                      <w:szCs w:val="21"/>
                    </w:rPr>
                    <w:t>66.45</w:t>
                  </w:r>
                </w:p>
              </w:tc>
              <w:tc>
                <w:tcPr>
                  <w:tcW w:w="909" w:type="dxa"/>
                  <w:vMerge w:val="continue"/>
                  <w:vAlign w:val="center"/>
                </w:tcPr>
                <w:p>
                  <w:pPr>
                    <w:spacing w:line="240" w:lineRule="auto"/>
                    <w:jc w:val="center"/>
                    <w:rPr>
                      <w:color w:val="FF0000"/>
                      <w:szCs w:val="21"/>
                    </w:rPr>
                  </w:pPr>
                </w:p>
              </w:tc>
              <w:tc>
                <w:tcPr>
                  <w:tcW w:w="825" w:type="dxa"/>
                  <w:vMerge w:val="continue"/>
                  <w:vAlign w:val="center"/>
                </w:tcPr>
                <w:p>
                  <w:pPr>
                    <w:spacing w:line="240" w:lineRule="auto"/>
                    <w:jc w:val="center"/>
                    <w:rPr>
                      <w:color w:val="FF0000"/>
                      <w:szCs w:val="21"/>
                    </w:rPr>
                  </w:pPr>
                </w:p>
              </w:tc>
              <w:tc>
                <w:tcPr>
                  <w:tcW w:w="945" w:type="dxa"/>
                  <w:vMerge w:val="continue"/>
                  <w:vAlign w:val="center"/>
                </w:tcPr>
                <w:p>
                  <w:pPr>
                    <w:spacing w:line="240" w:lineRule="auto"/>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dxa"/>
                  <w:vMerge w:val="continue"/>
                  <w:vAlign w:val="center"/>
                </w:tcPr>
                <w:p>
                  <w:pPr>
                    <w:spacing w:line="240" w:lineRule="auto"/>
                    <w:jc w:val="center"/>
                    <w:rPr>
                      <w:color w:val="FF0000"/>
                      <w:szCs w:val="21"/>
                    </w:rPr>
                  </w:pPr>
                </w:p>
              </w:tc>
              <w:tc>
                <w:tcPr>
                  <w:tcW w:w="906" w:type="dxa"/>
                  <w:vMerge w:val="continue"/>
                  <w:vAlign w:val="center"/>
                </w:tcPr>
                <w:p>
                  <w:pPr>
                    <w:pStyle w:val="228"/>
                    <w:autoSpaceDE w:val="0"/>
                    <w:autoSpaceDN w:val="0"/>
                    <w:adjustRightInd w:val="0"/>
                    <w:spacing w:line="240" w:lineRule="auto"/>
                    <w:ind w:firstLine="0" w:firstLineChars="0"/>
                    <w:jc w:val="center"/>
                    <w:textAlignment w:val="baseline"/>
                    <w:rPr>
                      <w:color w:val="FF0000"/>
                      <w:sz w:val="21"/>
                    </w:rPr>
                  </w:pPr>
                </w:p>
              </w:tc>
              <w:tc>
                <w:tcPr>
                  <w:tcW w:w="1134" w:type="dxa"/>
                  <w:vMerge w:val="continue"/>
                  <w:vAlign w:val="center"/>
                </w:tcPr>
                <w:p>
                  <w:pPr>
                    <w:spacing w:line="240" w:lineRule="auto"/>
                    <w:jc w:val="center"/>
                    <w:rPr>
                      <w:color w:val="FF0000"/>
                      <w:szCs w:val="21"/>
                    </w:rPr>
                  </w:pPr>
                </w:p>
              </w:tc>
              <w:tc>
                <w:tcPr>
                  <w:tcW w:w="1417" w:type="dxa"/>
                  <w:vAlign w:val="center"/>
                </w:tcPr>
                <w:p>
                  <w:pPr>
                    <w:spacing w:line="240" w:lineRule="auto"/>
                    <w:jc w:val="center"/>
                    <w:rPr>
                      <w:color w:val="FF0000"/>
                      <w:kern w:val="0"/>
                      <w:szCs w:val="21"/>
                    </w:rPr>
                  </w:pPr>
                  <w:r>
                    <w:rPr>
                      <w:rFonts w:hint="eastAsia"/>
                      <w:color w:val="FF0000"/>
                      <w:kern w:val="0"/>
                      <w:szCs w:val="21"/>
                    </w:rPr>
                    <w:t>S</w:t>
                  </w:r>
                  <w:r>
                    <w:rPr>
                      <w:color w:val="FF0000"/>
                      <w:kern w:val="0"/>
                      <w:szCs w:val="21"/>
                    </w:rPr>
                    <w:t>O</w:t>
                  </w:r>
                  <w:r>
                    <w:rPr>
                      <w:color w:val="FF0000"/>
                      <w:kern w:val="0"/>
                      <w:szCs w:val="21"/>
                      <w:vertAlign w:val="subscript"/>
                    </w:rPr>
                    <w:t>2</w:t>
                  </w:r>
                </w:p>
              </w:tc>
              <w:tc>
                <w:tcPr>
                  <w:tcW w:w="1094" w:type="dxa"/>
                  <w:vAlign w:val="center"/>
                </w:tcPr>
                <w:p>
                  <w:pPr>
                    <w:spacing w:line="240" w:lineRule="auto"/>
                    <w:jc w:val="center"/>
                    <w:rPr>
                      <w:rFonts w:eastAsia="等线"/>
                      <w:color w:val="FF0000"/>
                      <w:szCs w:val="21"/>
                    </w:rPr>
                  </w:pPr>
                  <w:r>
                    <w:rPr>
                      <w:rFonts w:eastAsia="等线"/>
                      <w:color w:val="FF0000"/>
                      <w:szCs w:val="21"/>
                    </w:rPr>
                    <w:t>7.424</w:t>
                  </w:r>
                </w:p>
              </w:tc>
              <w:tc>
                <w:tcPr>
                  <w:tcW w:w="1103" w:type="dxa"/>
                  <w:vAlign w:val="center"/>
                </w:tcPr>
                <w:p>
                  <w:pPr>
                    <w:spacing w:line="240" w:lineRule="auto"/>
                    <w:jc w:val="center"/>
                    <w:rPr>
                      <w:rFonts w:eastAsia="等线"/>
                      <w:color w:val="FF0000"/>
                      <w:szCs w:val="21"/>
                    </w:rPr>
                  </w:pPr>
                  <w:r>
                    <w:rPr>
                      <w:rFonts w:eastAsia="等线"/>
                      <w:color w:val="FF0000"/>
                      <w:szCs w:val="21"/>
                    </w:rPr>
                    <w:t>490.83</w:t>
                  </w:r>
                </w:p>
              </w:tc>
              <w:tc>
                <w:tcPr>
                  <w:tcW w:w="909" w:type="dxa"/>
                  <w:vMerge w:val="continue"/>
                  <w:vAlign w:val="center"/>
                </w:tcPr>
                <w:p>
                  <w:pPr>
                    <w:spacing w:line="240" w:lineRule="auto"/>
                    <w:jc w:val="center"/>
                    <w:rPr>
                      <w:color w:val="FF0000"/>
                      <w:szCs w:val="21"/>
                    </w:rPr>
                  </w:pPr>
                </w:p>
              </w:tc>
              <w:tc>
                <w:tcPr>
                  <w:tcW w:w="825" w:type="dxa"/>
                  <w:vMerge w:val="continue"/>
                  <w:vAlign w:val="center"/>
                </w:tcPr>
                <w:p>
                  <w:pPr>
                    <w:spacing w:line="240" w:lineRule="auto"/>
                    <w:jc w:val="center"/>
                    <w:rPr>
                      <w:color w:val="FF0000"/>
                      <w:szCs w:val="21"/>
                    </w:rPr>
                  </w:pPr>
                </w:p>
              </w:tc>
              <w:tc>
                <w:tcPr>
                  <w:tcW w:w="945" w:type="dxa"/>
                  <w:vMerge w:val="continue"/>
                  <w:vAlign w:val="center"/>
                </w:tcPr>
                <w:p>
                  <w:pPr>
                    <w:spacing w:line="240" w:lineRule="auto"/>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dxa"/>
                  <w:vMerge w:val="continue"/>
                  <w:vAlign w:val="center"/>
                </w:tcPr>
                <w:p>
                  <w:pPr>
                    <w:spacing w:line="240" w:lineRule="auto"/>
                    <w:jc w:val="center"/>
                    <w:rPr>
                      <w:color w:val="FF0000"/>
                      <w:szCs w:val="21"/>
                    </w:rPr>
                  </w:pPr>
                </w:p>
              </w:tc>
              <w:tc>
                <w:tcPr>
                  <w:tcW w:w="906" w:type="dxa"/>
                  <w:vMerge w:val="continue"/>
                  <w:vAlign w:val="center"/>
                </w:tcPr>
                <w:p>
                  <w:pPr>
                    <w:pStyle w:val="228"/>
                    <w:autoSpaceDE w:val="0"/>
                    <w:autoSpaceDN w:val="0"/>
                    <w:adjustRightInd w:val="0"/>
                    <w:spacing w:line="240" w:lineRule="auto"/>
                    <w:ind w:firstLine="0" w:firstLineChars="0"/>
                    <w:jc w:val="center"/>
                    <w:textAlignment w:val="baseline"/>
                    <w:rPr>
                      <w:color w:val="FF0000"/>
                      <w:sz w:val="21"/>
                    </w:rPr>
                  </w:pPr>
                </w:p>
              </w:tc>
              <w:tc>
                <w:tcPr>
                  <w:tcW w:w="1134" w:type="dxa"/>
                  <w:vMerge w:val="continue"/>
                  <w:vAlign w:val="center"/>
                </w:tcPr>
                <w:p>
                  <w:pPr>
                    <w:spacing w:line="240" w:lineRule="auto"/>
                    <w:jc w:val="center"/>
                    <w:rPr>
                      <w:color w:val="FF0000"/>
                      <w:szCs w:val="21"/>
                    </w:rPr>
                  </w:pPr>
                </w:p>
              </w:tc>
              <w:tc>
                <w:tcPr>
                  <w:tcW w:w="1417" w:type="dxa"/>
                  <w:vAlign w:val="center"/>
                </w:tcPr>
                <w:p>
                  <w:pPr>
                    <w:spacing w:line="240" w:lineRule="auto"/>
                    <w:jc w:val="center"/>
                    <w:rPr>
                      <w:color w:val="FF0000"/>
                      <w:kern w:val="0"/>
                      <w:szCs w:val="21"/>
                    </w:rPr>
                  </w:pPr>
                  <w:r>
                    <w:rPr>
                      <w:rFonts w:hint="eastAsia"/>
                      <w:color w:val="FF0000"/>
                      <w:kern w:val="0"/>
                      <w:szCs w:val="21"/>
                    </w:rPr>
                    <w:t>H</w:t>
                  </w:r>
                  <w:r>
                    <w:rPr>
                      <w:rFonts w:hint="eastAsia"/>
                      <w:color w:val="FF0000"/>
                      <w:kern w:val="0"/>
                      <w:szCs w:val="21"/>
                      <w:vertAlign w:val="subscript"/>
                    </w:rPr>
                    <w:t>2</w:t>
                  </w:r>
                  <w:r>
                    <w:rPr>
                      <w:color w:val="FF0000"/>
                      <w:kern w:val="0"/>
                      <w:szCs w:val="21"/>
                    </w:rPr>
                    <w:t>S</w:t>
                  </w:r>
                </w:p>
              </w:tc>
              <w:tc>
                <w:tcPr>
                  <w:tcW w:w="1094" w:type="dxa"/>
                  <w:vAlign w:val="center"/>
                </w:tcPr>
                <w:p>
                  <w:pPr>
                    <w:spacing w:line="240" w:lineRule="auto"/>
                    <w:jc w:val="center"/>
                    <w:rPr>
                      <w:color w:val="FF0000"/>
                      <w:szCs w:val="21"/>
                    </w:rPr>
                  </w:pPr>
                  <w:r>
                    <w:rPr>
                      <w:rFonts w:hint="eastAsia"/>
                      <w:color w:val="FF0000"/>
                      <w:szCs w:val="21"/>
                    </w:rPr>
                    <w:t>0</w:t>
                  </w:r>
                  <w:r>
                    <w:rPr>
                      <w:color w:val="FF0000"/>
                      <w:szCs w:val="21"/>
                    </w:rPr>
                    <w:t>.080</w:t>
                  </w:r>
                </w:p>
              </w:tc>
              <w:tc>
                <w:tcPr>
                  <w:tcW w:w="1103" w:type="dxa"/>
                  <w:vAlign w:val="center"/>
                </w:tcPr>
                <w:p>
                  <w:pPr>
                    <w:spacing w:line="240" w:lineRule="auto"/>
                    <w:jc w:val="center"/>
                    <w:rPr>
                      <w:color w:val="FF0000"/>
                      <w:szCs w:val="21"/>
                    </w:rPr>
                  </w:pPr>
                  <w:r>
                    <w:rPr>
                      <w:rFonts w:hint="eastAsia"/>
                      <w:color w:val="FF0000"/>
                      <w:szCs w:val="21"/>
                    </w:rPr>
                    <w:t>5</w:t>
                  </w:r>
                  <w:r>
                    <w:rPr>
                      <w:color w:val="FF0000"/>
                      <w:szCs w:val="21"/>
                    </w:rPr>
                    <w:t>.27</w:t>
                  </w:r>
                </w:p>
              </w:tc>
              <w:tc>
                <w:tcPr>
                  <w:tcW w:w="909" w:type="dxa"/>
                  <w:vMerge w:val="continue"/>
                  <w:vAlign w:val="center"/>
                </w:tcPr>
                <w:p>
                  <w:pPr>
                    <w:spacing w:line="240" w:lineRule="auto"/>
                    <w:jc w:val="center"/>
                    <w:rPr>
                      <w:color w:val="FF0000"/>
                      <w:szCs w:val="21"/>
                    </w:rPr>
                  </w:pPr>
                </w:p>
              </w:tc>
              <w:tc>
                <w:tcPr>
                  <w:tcW w:w="825" w:type="dxa"/>
                  <w:vMerge w:val="continue"/>
                  <w:vAlign w:val="center"/>
                </w:tcPr>
                <w:p>
                  <w:pPr>
                    <w:spacing w:line="240" w:lineRule="auto"/>
                    <w:jc w:val="center"/>
                    <w:rPr>
                      <w:color w:val="FF0000"/>
                      <w:szCs w:val="21"/>
                    </w:rPr>
                  </w:pPr>
                </w:p>
              </w:tc>
              <w:tc>
                <w:tcPr>
                  <w:tcW w:w="945" w:type="dxa"/>
                  <w:vMerge w:val="continue"/>
                  <w:vAlign w:val="center"/>
                </w:tcPr>
                <w:p>
                  <w:pPr>
                    <w:spacing w:line="240" w:lineRule="auto"/>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dxa"/>
                  <w:vMerge w:val="continue"/>
                  <w:vAlign w:val="center"/>
                </w:tcPr>
                <w:p>
                  <w:pPr>
                    <w:spacing w:line="240" w:lineRule="auto"/>
                    <w:jc w:val="center"/>
                    <w:rPr>
                      <w:color w:val="FF0000"/>
                      <w:szCs w:val="21"/>
                    </w:rPr>
                  </w:pPr>
                </w:p>
              </w:tc>
              <w:tc>
                <w:tcPr>
                  <w:tcW w:w="906" w:type="dxa"/>
                  <w:vMerge w:val="continue"/>
                  <w:vAlign w:val="center"/>
                </w:tcPr>
                <w:p>
                  <w:pPr>
                    <w:pStyle w:val="228"/>
                    <w:autoSpaceDE w:val="0"/>
                    <w:autoSpaceDN w:val="0"/>
                    <w:adjustRightInd w:val="0"/>
                    <w:spacing w:line="240" w:lineRule="auto"/>
                    <w:ind w:firstLine="0" w:firstLineChars="0"/>
                    <w:jc w:val="center"/>
                    <w:textAlignment w:val="baseline"/>
                    <w:rPr>
                      <w:color w:val="FF0000"/>
                      <w:sz w:val="21"/>
                    </w:rPr>
                  </w:pPr>
                </w:p>
              </w:tc>
              <w:tc>
                <w:tcPr>
                  <w:tcW w:w="1134" w:type="dxa"/>
                  <w:vMerge w:val="continue"/>
                  <w:vAlign w:val="center"/>
                </w:tcPr>
                <w:p>
                  <w:pPr>
                    <w:spacing w:line="240" w:lineRule="auto"/>
                    <w:jc w:val="center"/>
                    <w:rPr>
                      <w:color w:val="FF0000"/>
                      <w:szCs w:val="21"/>
                    </w:rPr>
                  </w:pPr>
                </w:p>
              </w:tc>
              <w:tc>
                <w:tcPr>
                  <w:tcW w:w="1417" w:type="dxa"/>
                  <w:vAlign w:val="center"/>
                </w:tcPr>
                <w:p>
                  <w:pPr>
                    <w:spacing w:line="240" w:lineRule="auto"/>
                    <w:jc w:val="center"/>
                    <w:rPr>
                      <w:color w:val="FF0000"/>
                      <w:szCs w:val="21"/>
                    </w:rPr>
                  </w:pPr>
                  <w:r>
                    <w:rPr>
                      <w:rFonts w:hint="eastAsia"/>
                      <w:color w:val="FF0000"/>
                      <w:szCs w:val="21"/>
                    </w:rPr>
                    <w:t>非甲烷总烃</w:t>
                  </w:r>
                </w:p>
              </w:tc>
              <w:tc>
                <w:tcPr>
                  <w:tcW w:w="1094" w:type="dxa"/>
                  <w:vAlign w:val="center"/>
                </w:tcPr>
                <w:p>
                  <w:pPr>
                    <w:spacing w:line="240" w:lineRule="auto"/>
                    <w:jc w:val="center"/>
                    <w:rPr>
                      <w:color w:val="FF0000"/>
                      <w:szCs w:val="21"/>
                    </w:rPr>
                  </w:pPr>
                  <w:r>
                    <w:rPr>
                      <w:color w:val="FF0000"/>
                      <w:szCs w:val="21"/>
                    </w:rPr>
                    <w:t>1.510</w:t>
                  </w:r>
                </w:p>
              </w:tc>
              <w:tc>
                <w:tcPr>
                  <w:tcW w:w="1103" w:type="dxa"/>
                  <w:vAlign w:val="center"/>
                </w:tcPr>
                <w:p>
                  <w:pPr>
                    <w:spacing w:line="240" w:lineRule="auto"/>
                    <w:jc w:val="center"/>
                    <w:rPr>
                      <w:color w:val="FF0000"/>
                      <w:szCs w:val="21"/>
                    </w:rPr>
                  </w:pPr>
                  <w:r>
                    <w:rPr>
                      <w:rFonts w:hint="eastAsia"/>
                      <w:color w:val="FF0000"/>
                      <w:szCs w:val="21"/>
                    </w:rPr>
                    <w:t>9</w:t>
                  </w:r>
                  <w:r>
                    <w:rPr>
                      <w:color w:val="FF0000"/>
                      <w:szCs w:val="21"/>
                    </w:rPr>
                    <w:t>9.87</w:t>
                  </w:r>
                </w:p>
              </w:tc>
              <w:tc>
                <w:tcPr>
                  <w:tcW w:w="909" w:type="dxa"/>
                  <w:vMerge w:val="continue"/>
                  <w:vAlign w:val="center"/>
                </w:tcPr>
                <w:p>
                  <w:pPr>
                    <w:spacing w:line="240" w:lineRule="auto"/>
                    <w:jc w:val="center"/>
                    <w:rPr>
                      <w:color w:val="FF0000"/>
                      <w:szCs w:val="21"/>
                    </w:rPr>
                  </w:pPr>
                </w:p>
              </w:tc>
              <w:tc>
                <w:tcPr>
                  <w:tcW w:w="825" w:type="dxa"/>
                  <w:vMerge w:val="continue"/>
                  <w:vAlign w:val="center"/>
                </w:tcPr>
                <w:p>
                  <w:pPr>
                    <w:spacing w:line="240" w:lineRule="auto"/>
                    <w:jc w:val="center"/>
                    <w:rPr>
                      <w:color w:val="FF0000"/>
                      <w:szCs w:val="21"/>
                    </w:rPr>
                  </w:pPr>
                </w:p>
              </w:tc>
              <w:tc>
                <w:tcPr>
                  <w:tcW w:w="945" w:type="dxa"/>
                  <w:vMerge w:val="continue"/>
                  <w:vAlign w:val="center"/>
                </w:tcPr>
                <w:p>
                  <w:pPr>
                    <w:spacing w:line="240" w:lineRule="auto"/>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dxa"/>
                  <w:vMerge w:val="continue"/>
                  <w:vAlign w:val="center"/>
                </w:tcPr>
                <w:p>
                  <w:pPr>
                    <w:spacing w:line="240" w:lineRule="auto"/>
                    <w:jc w:val="center"/>
                    <w:rPr>
                      <w:color w:val="FF0000"/>
                      <w:szCs w:val="21"/>
                    </w:rPr>
                  </w:pPr>
                </w:p>
              </w:tc>
              <w:tc>
                <w:tcPr>
                  <w:tcW w:w="906" w:type="dxa"/>
                  <w:vMerge w:val="continue"/>
                  <w:vAlign w:val="center"/>
                </w:tcPr>
                <w:p>
                  <w:pPr>
                    <w:pStyle w:val="228"/>
                    <w:autoSpaceDE w:val="0"/>
                    <w:autoSpaceDN w:val="0"/>
                    <w:adjustRightInd w:val="0"/>
                    <w:spacing w:line="240" w:lineRule="auto"/>
                    <w:ind w:firstLine="0" w:firstLineChars="0"/>
                    <w:jc w:val="center"/>
                    <w:textAlignment w:val="baseline"/>
                    <w:rPr>
                      <w:color w:val="FF0000"/>
                      <w:sz w:val="21"/>
                    </w:rPr>
                  </w:pPr>
                </w:p>
              </w:tc>
              <w:tc>
                <w:tcPr>
                  <w:tcW w:w="1134" w:type="dxa"/>
                  <w:vMerge w:val="continue"/>
                  <w:vAlign w:val="center"/>
                </w:tcPr>
                <w:p>
                  <w:pPr>
                    <w:spacing w:line="240" w:lineRule="auto"/>
                    <w:jc w:val="center"/>
                    <w:rPr>
                      <w:color w:val="FF0000"/>
                      <w:szCs w:val="21"/>
                    </w:rPr>
                  </w:pPr>
                </w:p>
              </w:tc>
              <w:tc>
                <w:tcPr>
                  <w:tcW w:w="1417" w:type="dxa"/>
                  <w:vAlign w:val="center"/>
                </w:tcPr>
                <w:p>
                  <w:pPr>
                    <w:spacing w:line="240" w:lineRule="auto"/>
                    <w:jc w:val="center"/>
                    <w:rPr>
                      <w:color w:val="FF0000"/>
                      <w:szCs w:val="21"/>
                    </w:rPr>
                  </w:pPr>
                  <w:r>
                    <w:rPr>
                      <w:rFonts w:hint="eastAsia"/>
                      <w:color w:val="FF0000"/>
                      <w:szCs w:val="21"/>
                    </w:rPr>
                    <w:t>二噁英类</w:t>
                  </w:r>
                </w:p>
              </w:tc>
              <w:tc>
                <w:tcPr>
                  <w:tcW w:w="1094" w:type="dxa"/>
                  <w:vAlign w:val="center"/>
                </w:tcPr>
                <w:p>
                  <w:pPr>
                    <w:spacing w:line="240" w:lineRule="auto"/>
                    <w:jc w:val="center"/>
                    <w:rPr>
                      <w:color w:val="FF0000"/>
                      <w:szCs w:val="21"/>
                    </w:rPr>
                  </w:pPr>
                  <w:r>
                    <w:rPr>
                      <w:rFonts w:eastAsia="等线"/>
                      <w:color w:val="FF0000"/>
                      <w:szCs w:val="21"/>
                    </w:rPr>
                    <w:t>16.38μgTEQ/h</w:t>
                  </w:r>
                </w:p>
              </w:tc>
              <w:tc>
                <w:tcPr>
                  <w:tcW w:w="1103" w:type="dxa"/>
                  <w:vAlign w:val="center"/>
                </w:tcPr>
                <w:p>
                  <w:pPr>
                    <w:spacing w:line="240" w:lineRule="auto"/>
                    <w:jc w:val="center"/>
                    <w:rPr>
                      <w:rFonts w:eastAsia="等线"/>
                      <w:color w:val="FF0000"/>
                      <w:szCs w:val="21"/>
                    </w:rPr>
                  </w:pPr>
                  <w:r>
                    <w:rPr>
                      <w:rFonts w:eastAsia="等线"/>
                      <w:color w:val="FF0000"/>
                      <w:szCs w:val="21"/>
                    </w:rPr>
                    <w:t>1.08ngTEQ/m</w:t>
                  </w:r>
                  <w:r>
                    <w:rPr>
                      <w:rFonts w:eastAsia="等线"/>
                      <w:color w:val="FF0000"/>
                      <w:szCs w:val="21"/>
                      <w:vertAlign w:val="superscript"/>
                    </w:rPr>
                    <w:t>3</w:t>
                  </w:r>
                  <w:r>
                    <w:rPr>
                      <w:rFonts w:eastAsia="等线"/>
                      <w:color w:val="FF0000"/>
                      <w:szCs w:val="21"/>
                    </w:rPr>
                    <w:t xml:space="preserve"> </w:t>
                  </w:r>
                </w:p>
              </w:tc>
              <w:tc>
                <w:tcPr>
                  <w:tcW w:w="909" w:type="dxa"/>
                  <w:vMerge w:val="continue"/>
                  <w:vAlign w:val="center"/>
                </w:tcPr>
                <w:p>
                  <w:pPr>
                    <w:spacing w:line="240" w:lineRule="auto"/>
                    <w:jc w:val="center"/>
                    <w:rPr>
                      <w:color w:val="FF0000"/>
                      <w:szCs w:val="21"/>
                    </w:rPr>
                  </w:pPr>
                </w:p>
              </w:tc>
              <w:tc>
                <w:tcPr>
                  <w:tcW w:w="825" w:type="dxa"/>
                  <w:vMerge w:val="continue"/>
                  <w:vAlign w:val="center"/>
                </w:tcPr>
                <w:p>
                  <w:pPr>
                    <w:spacing w:line="240" w:lineRule="auto"/>
                    <w:jc w:val="center"/>
                    <w:rPr>
                      <w:color w:val="FF0000"/>
                      <w:szCs w:val="21"/>
                    </w:rPr>
                  </w:pPr>
                </w:p>
              </w:tc>
              <w:tc>
                <w:tcPr>
                  <w:tcW w:w="945" w:type="dxa"/>
                  <w:vMerge w:val="continue"/>
                  <w:vAlign w:val="center"/>
                </w:tcPr>
                <w:p>
                  <w:pPr>
                    <w:spacing w:line="240" w:lineRule="auto"/>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dxa"/>
                  <w:vMerge w:val="continue"/>
                  <w:vAlign w:val="center"/>
                </w:tcPr>
                <w:p>
                  <w:pPr>
                    <w:spacing w:line="240" w:lineRule="auto"/>
                    <w:jc w:val="center"/>
                    <w:rPr>
                      <w:color w:val="FF0000"/>
                      <w:szCs w:val="21"/>
                    </w:rPr>
                  </w:pPr>
                </w:p>
              </w:tc>
              <w:tc>
                <w:tcPr>
                  <w:tcW w:w="906" w:type="dxa"/>
                  <w:vMerge w:val="continue"/>
                  <w:vAlign w:val="center"/>
                </w:tcPr>
                <w:p>
                  <w:pPr>
                    <w:pStyle w:val="228"/>
                    <w:autoSpaceDE w:val="0"/>
                    <w:autoSpaceDN w:val="0"/>
                    <w:adjustRightInd w:val="0"/>
                    <w:spacing w:line="240" w:lineRule="auto"/>
                    <w:ind w:firstLine="0" w:firstLineChars="0"/>
                    <w:jc w:val="center"/>
                    <w:textAlignment w:val="baseline"/>
                    <w:rPr>
                      <w:color w:val="FF0000"/>
                      <w:sz w:val="21"/>
                    </w:rPr>
                  </w:pPr>
                </w:p>
              </w:tc>
              <w:tc>
                <w:tcPr>
                  <w:tcW w:w="1134" w:type="dxa"/>
                  <w:vMerge w:val="continue"/>
                  <w:vAlign w:val="center"/>
                </w:tcPr>
                <w:p>
                  <w:pPr>
                    <w:spacing w:line="240" w:lineRule="auto"/>
                    <w:jc w:val="center"/>
                    <w:rPr>
                      <w:color w:val="FF0000"/>
                      <w:szCs w:val="21"/>
                    </w:rPr>
                  </w:pPr>
                </w:p>
              </w:tc>
              <w:tc>
                <w:tcPr>
                  <w:tcW w:w="1417" w:type="dxa"/>
                  <w:vAlign w:val="center"/>
                </w:tcPr>
                <w:p>
                  <w:pPr>
                    <w:spacing w:line="240" w:lineRule="auto"/>
                    <w:jc w:val="center"/>
                    <w:rPr>
                      <w:color w:val="FF0000"/>
                      <w:szCs w:val="21"/>
                    </w:rPr>
                  </w:pPr>
                  <w:r>
                    <w:rPr>
                      <w:rFonts w:hint="eastAsia"/>
                      <w:color w:val="FF0000"/>
                      <w:szCs w:val="21"/>
                    </w:rPr>
                    <w:t>臭气浓度</w:t>
                  </w:r>
                </w:p>
              </w:tc>
              <w:tc>
                <w:tcPr>
                  <w:tcW w:w="1094" w:type="dxa"/>
                  <w:vAlign w:val="center"/>
                </w:tcPr>
                <w:p>
                  <w:pPr>
                    <w:spacing w:line="240" w:lineRule="auto"/>
                    <w:jc w:val="center"/>
                    <w:rPr>
                      <w:color w:val="FF0000"/>
                      <w:szCs w:val="21"/>
                    </w:rPr>
                  </w:pPr>
                  <w:r>
                    <w:rPr>
                      <w:rFonts w:hint="eastAsia"/>
                      <w:color w:val="FF0000"/>
                      <w:szCs w:val="21"/>
                    </w:rPr>
                    <w:t>少量</w:t>
                  </w:r>
                </w:p>
              </w:tc>
              <w:tc>
                <w:tcPr>
                  <w:tcW w:w="1103" w:type="dxa"/>
                  <w:vAlign w:val="center"/>
                </w:tcPr>
                <w:p>
                  <w:pPr>
                    <w:spacing w:line="240" w:lineRule="auto"/>
                    <w:jc w:val="center"/>
                    <w:rPr>
                      <w:color w:val="FF0000"/>
                      <w:szCs w:val="21"/>
                    </w:rPr>
                  </w:pPr>
                  <w:r>
                    <w:rPr>
                      <w:rFonts w:hint="eastAsia"/>
                      <w:color w:val="FF0000"/>
                      <w:szCs w:val="21"/>
                    </w:rPr>
                    <w:t>/</w:t>
                  </w:r>
                </w:p>
              </w:tc>
              <w:tc>
                <w:tcPr>
                  <w:tcW w:w="909" w:type="dxa"/>
                  <w:vMerge w:val="continue"/>
                  <w:vAlign w:val="center"/>
                </w:tcPr>
                <w:p>
                  <w:pPr>
                    <w:spacing w:line="240" w:lineRule="auto"/>
                    <w:jc w:val="center"/>
                    <w:rPr>
                      <w:color w:val="FF0000"/>
                      <w:szCs w:val="21"/>
                    </w:rPr>
                  </w:pPr>
                </w:p>
              </w:tc>
              <w:tc>
                <w:tcPr>
                  <w:tcW w:w="825" w:type="dxa"/>
                  <w:vMerge w:val="continue"/>
                  <w:vAlign w:val="center"/>
                </w:tcPr>
                <w:p>
                  <w:pPr>
                    <w:spacing w:line="240" w:lineRule="auto"/>
                    <w:jc w:val="center"/>
                    <w:rPr>
                      <w:color w:val="FF0000"/>
                      <w:szCs w:val="21"/>
                    </w:rPr>
                  </w:pPr>
                </w:p>
              </w:tc>
              <w:tc>
                <w:tcPr>
                  <w:tcW w:w="945" w:type="dxa"/>
                  <w:vMerge w:val="continue"/>
                  <w:vAlign w:val="center"/>
                </w:tcPr>
                <w:p>
                  <w:pPr>
                    <w:spacing w:line="240" w:lineRule="auto"/>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dxa"/>
                  <w:vMerge w:val="continue"/>
                  <w:vAlign w:val="center"/>
                </w:tcPr>
                <w:p>
                  <w:pPr>
                    <w:spacing w:line="240" w:lineRule="auto"/>
                    <w:jc w:val="center"/>
                    <w:rPr>
                      <w:color w:val="FF0000"/>
                      <w:szCs w:val="21"/>
                    </w:rPr>
                  </w:pPr>
                </w:p>
              </w:tc>
              <w:tc>
                <w:tcPr>
                  <w:tcW w:w="906" w:type="dxa"/>
                  <w:vMerge w:val="continue"/>
                  <w:vAlign w:val="center"/>
                </w:tcPr>
                <w:p>
                  <w:pPr>
                    <w:pStyle w:val="228"/>
                    <w:autoSpaceDE w:val="0"/>
                    <w:autoSpaceDN w:val="0"/>
                    <w:adjustRightInd w:val="0"/>
                    <w:spacing w:line="240" w:lineRule="auto"/>
                    <w:ind w:firstLine="0" w:firstLineChars="0"/>
                    <w:jc w:val="center"/>
                    <w:textAlignment w:val="baseline"/>
                    <w:rPr>
                      <w:color w:val="FF0000"/>
                      <w:sz w:val="21"/>
                    </w:rPr>
                  </w:pPr>
                </w:p>
              </w:tc>
              <w:tc>
                <w:tcPr>
                  <w:tcW w:w="1134" w:type="dxa"/>
                  <w:vMerge w:val="continue"/>
                  <w:vAlign w:val="center"/>
                </w:tcPr>
                <w:p>
                  <w:pPr>
                    <w:spacing w:line="240" w:lineRule="auto"/>
                    <w:jc w:val="center"/>
                    <w:rPr>
                      <w:color w:val="FF0000"/>
                      <w:szCs w:val="21"/>
                    </w:rPr>
                  </w:pPr>
                </w:p>
              </w:tc>
              <w:tc>
                <w:tcPr>
                  <w:tcW w:w="1417" w:type="dxa"/>
                  <w:vAlign w:val="center"/>
                </w:tcPr>
                <w:p>
                  <w:pPr>
                    <w:spacing w:line="240" w:lineRule="auto"/>
                    <w:jc w:val="center"/>
                    <w:rPr>
                      <w:color w:val="FF0000"/>
                      <w:szCs w:val="21"/>
                    </w:rPr>
                  </w:pPr>
                  <w:r>
                    <w:rPr>
                      <w:rFonts w:hint="eastAsia"/>
                      <w:color w:val="FF0000"/>
                      <w:szCs w:val="21"/>
                    </w:rPr>
                    <w:t>甲苯</w:t>
                  </w:r>
                </w:p>
              </w:tc>
              <w:tc>
                <w:tcPr>
                  <w:tcW w:w="1094" w:type="dxa"/>
                  <w:vAlign w:val="center"/>
                </w:tcPr>
                <w:p>
                  <w:pPr>
                    <w:spacing w:line="240" w:lineRule="auto"/>
                    <w:jc w:val="center"/>
                    <w:rPr>
                      <w:color w:val="FF0000"/>
                      <w:szCs w:val="21"/>
                    </w:rPr>
                  </w:pPr>
                  <w:r>
                    <w:rPr>
                      <w:rFonts w:hint="eastAsia"/>
                      <w:color w:val="FF0000"/>
                      <w:szCs w:val="21"/>
                    </w:rPr>
                    <w:t>0</w:t>
                  </w:r>
                  <w:r>
                    <w:rPr>
                      <w:color w:val="FF0000"/>
                      <w:szCs w:val="21"/>
                    </w:rPr>
                    <w:t>.130</w:t>
                  </w:r>
                </w:p>
              </w:tc>
              <w:tc>
                <w:tcPr>
                  <w:tcW w:w="1103" w:type="dxa"/>
                  <w:vAlign w:val="center"/>
                </w:tcPr>
                <w:p>
                  <w:pPr>
                    <w:spacing w:line="240" w:lineRule="auto"/>
                    <w:jc w:val="center"/>
                    <w:rPr>
                      <w:color w:val="FF0000"/>
                      <w:szCs w:val="21"/>
                    </w:rPr>
                  </w:pPr>
                  <w:r>
                    <w:rPr>
                      <w:rFonts w:hint="eastAsia"/>
                      <w:color w:val="FF0000"/>
                      <w:szCs w:val="21"/>
                    </w:rPr>
                    <w:t>8</w:t>
                  </w:r>
                  <w:r>
                    <w:rPr>
                      <w:color w:val="FF0000"/>
                      <w:szCs w:val="21"/>
                    </w:rPr>
                    <w:t>.62</w:t>
                  </w:r>
                </w:p>
              </w:tc>
              <w:tc>
                <w:tcPr>
                  <w:tcW w:w="909" w:type="dxa"/>
                  <w:vMerge w:val="continue"/>
                  <w:vAlign w:val="center"/>
                </w:tcPr>
                <w:p>
                  <w:pPr>
                    <w:spacing w:line="240" w:lineRule="auto"/>
                    <w:jc w:val="center"/>
                    <w:rPr>
                      <w:color w:val="FF0000"/>
                      <w:szCs w:val="21"/>
                    </w:rPr>
                  </w:pPr>
                </w:p>
              </w:tc>
              <w:tc>
                <w:tcPr>
                  <w:tcW w:w="825" w:type="dxa"/>
                  <w:vMerge w:val="continue"/>
                  <w:vAlign w:val="center"/>
                </w:tcPr>
                <w:p>
                  <w:pPr>
                    <w:spacing w:line="240" w:lineRule="auto"/>
                    <w:jc w:val="center"/>
                    <w:rPr>
                      <w:color w:val="FF0000"/>
                      <w:szCs w:val="21"/>
                    </w:rPr>
                  </w:pPr>
                </w:p>
              </w:tc>
              <w:tc>
                <w:tcPr>
                  <w:tcW w:w="945" w:type="dxa"/>
                  <w:vMerge w:val="continue"/>
                  <w:vAlign w:val="center"/>
                </w:tcPr>
                <w:p>
                  <w:pPr>
                    <w:spacing w:line="240" w:lineRule="auto"/>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dxa"/>
                  <w:vMerge w:val="continue"/>
                  <w:vAlign w:val="center"/>
                </w:tcPr>
                <w:p>
                  <w:pPr>
                    <w:spacing w:line="240" w:lineRule="auto"/>
                    <w:jc w:val="center"/>
                    <w:rPr>
                      <w:color w:val="FF0000"/>
                      <w:szCs w:val="21"/>
                    </w:rPr>
                  </w:pPr>
                </w:p>
              </w:tc>
              <w:tc>
                <w:tcPr>
                  <w:tcW w:w="906" w:type="dxa"/>
                  <w:vMerge w:val="continue"/>
                  <w:vAlign w:val="center"/>
                </w:tcPr>
                <w:p>
                  <w:pPr>
                    <w:pStyle w:val="228"/>
                    <w:autoSpaceDE w:val="0"/>
                    <w:autoSpaceDN w:val="0"/>
                    <w:adjustRightInd w:val="0"/>
                    <w:spacing w:line="240" w:lineRule="auto"/>
                    <w:ind w:firstLine="0" w:firstLineChars="0"/>
                    <w:jc w:val="center"/>
                    <w:textAlignment w:val="baseline"/>
                    <w:rPr>
                      <w:color w:val="FF0000"/>
                      <w:sz w:val="21"/>
                    </w:rPr>
                  </w:pPr>
                </w:p>
              </w:tc>
              <w:tc>
                <w:tcPr>
                  <w:tcW w:w="1134" w:type="dxa"/>
                  <w:vMerge w:val="continue"/>
                  <w:vAlign w:val="center"/>
                </w:tcPr>
                <w:p>
                  <w:pPr>
                    <w:spacing w:line="240" w:lineRule="auto"/>
                    <w:jc w:val="center"/>
                    <w:rPr>
                      <w:color w:val="FF0000"/>
                      <w:szCs w:val="21"/>
                    </w:rPr>
                  </w:pPr>
                </w:p>
              </w:tc>
              <w:tc>
                <w:tcPr>
                  <w:tcW w:w="1417" w:type="dxa"/>
                  <w:vAlign w:val="center"/>
                </w:tcPr>
                <w:p>
                  <w:pPr>
                    <w:spacing w:line="240" w:lineRule="auto"/>
                    <w:jc w:val="center"/>
                    <w:rPr>
                      <w:color w:val="FF0000"/>
                      <w:szCs w:val="21"/>
                    </w:rPr>
                  </w:pPr>
                  <w:r>
                    <w:rPr>
                      <w:rFonts w:hint="eastAsia"/>
                      <w:color w:val="FF0000"/>
                      <w:szCs w:val="21"/>
                    </w:rPr>
                    <w:t>二甲苯</w:t>
                  </w:r>
                </w:p>
              </w:tc>
              <w:tc>
                <w:tcPr>
                  <w:tcW w:w="1094" w:type="dxa"/>
                  <w:vAlign w:val="center"/>
                </w:tcPr>
                <w:p>
                  <w:pPr>
                    <w:spacing w:line="240" w:lineRule="auto"/>
                    <w:jc w:val="center"/>
                    <w:rPr>
                      <w:color w:val="FF0000"/>
                      <w:szCs w:val="21"/>
                    </w:rPr>
                  </w:pPr>
                  <w:r>
                    <w:rPr>
                      <w:rFonts w:hint="eastAsia"/>
                      <w:color w:val="FF0000"/>
                      <w:szCs w:val="21"/>
                    </w:rPr>
                    <w:t>0</w:t>
                  </w:r>
                  <w:r>
                    <w:rPr>
                      <w:color w:val="FF0000"/>
                      <w:szCs w:val="21"/>
                    </w:rPr>
                    <w:t>.122</w:t>
                  </w:r>
                </w:p>
              </w:tc>
              <w:tc>
                <w:tcPr>
                  <w:tcW w:w="1103" w:type="dxa"/>
                  <w:vAlign w:val="center"/>
                </w:tcPr>
                <w:p>
                  <w:pPr>
                    <w:spacing w:line="240" w:lineRule="auto"/>
                    <w:jc w:val="center"/>
                    <w:rPr>
                      <w:color w:val="FF0000"/>
                      <w:szCs w:val="21"/>
                    </w:rPr>
                  </w:pPr>
                  <w:r>
                    <w:rPr>
                      <w:rFonts w:hint="eastAsia"/>
                      <w:color w:val="FF0000"/>
                      <w:szCs w:val="21"/>
                    </w:rPr>
                    <w:t>8</w:t>
                  </w:r>
                  <w:r>
                    <w:rPr>
                      <w:color w:val="FF0000"/>
                      <w:szCs w:val="21"/>
                    </w:rPr>
                    <w:t>.08</w:t>
                  </w:r>
                </w:p>
              </w:tc>
              <w:tc>
                <w:tcPr>
                  <w:tcW w:w="909" w:type="dxa"/>
                  <w:vMerge w:val="continue"/>
                  <w:vAlign w:val="center"/>
                </w:tcPr>
                <w:p>
                  <w:pPr>
                    <w:spacing w:line="240" w:lineRule="auto"/>
                    <w:jc w:val="center"/>
                    <w:rPr>
                      <w:color w:val="FF0000"/>
                      <w:szCs w:val="21"/>
                    </w:rPr>
                  </w:pPr>
                </w:p>
              </w:tc>
              <w:tc>
                <w:tcPr>
                  <w:tcW w:w="825" w:type="dxa"/>
                  <w:vMerge w:val="continue"/>
                  <w:vAlign w:val="center"/>
                </w:tcPr>
                <w:p>
                  <w:pPr>
                    <w:spacing w:line="240" w:lineRule="auto"/>
                    <w:jc w:val="center"/>
                    <w:rPr>
                      <w:color w:val="FF0000"/>
                      <w:szCs w:val="21"/>
                    </w:rPr>
                  </w:pPr>
                </w:p>
              </w:tc>
              <w:tc>
                <w:tcPr>
                  <w:tcW w:w="945" w:type="dxa"/>
                  <w:vMerge w:val="continue"/>
                  <w:vAlign w:val="center"/>
                </w:tcPr>
                <w:p>
                  <w:pPr>
                    <w:spacing w:line="240" w:lineRule="auto"/>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4" w:type="dxa"/>
                  <w:vMerge w:val="continue"/>
                  <w:vAlign w:val="center"/>
                </w:tcPr>
                <w:p>
                  <w:pPr>
                    <w:spacing w:line="240" w:lineRule="auto"/>
                    <w:jc w:val="center"/>
                    <w:rPr>
                      <w:color w:val="FF0000"/>
                      <w:szCs w:val="21"/>
                    </w:rPr>
                  </w:pPr>
                </w:p>
              </w:tc>
              <w:tc>
                <w:tcPr>
                  <w:tcW w:w="906" w:type="dxa"/>
                  <w:vMerge w:val="continue"/>
                  <w:vAlign w:val="center"/>
                </w:tcPr>
                <w:p>
                  <w:pPr>
                    <w:pStyle w:val="228"/>
                    <w:autoSpaceDE w:val="0"/>
                    <w:autoSpaceDN w:val="0"/>
                    <w:adjustRightInd w:val="0"/>
                    <w:spacing w:line="240" w:lineRule="auto"/>
                    <w:ind w:firstLine="0" w:firstLineChars="0"/>
                    <w:jc w:val="center"/>
                    <w:textAlignment w:val="baseline"/>
                    <w:rPr>
                      <w:color w:val="FF0000"/>
                      <w:sz w:val="21"/>
                    </w:rPr>
                  </w:pPr>
                </w:p>
              </w:tc>
              <w:tc>
                <w:tcPr>
                  <w:tcW w:w="1134" w:type="dxa"/>
                  <w:vMerge w:val="continue"/>
                  <w:vAlign w:val="center"/>
                </w:tcPr>
                <w:p>
                  <w:pPr>
                    <w:spacing w:line="240" w:lineRule="auto"/>
                    <w:jc w:val="center"/>
                    <w:rPr>
                      <w:color w:val="FF0000"/>
                      <w:szCs w:val="21"/>
                    </w:rPr>
                  </w:pPr>
                </w:p>
              </w:tc>
              <w:tc>
                <w:tcPr>
                  <w:tcW w:w="1417" w:type="dxa"/>
                  <w:vAlign w:val="center"/>
                </w:tcPr>
                <w:p>
                  <w:pPr>
                    <w:spacing w:line="240" w:lineRule="auto"/>
                    <w:jc w:val="center"/>
                    <w:rPr>
                      <w:color w:val="FF0000"/>
                      <w:szCs w:val="21"/>
                    </w:rPr>
                  </w:pPr>
                  <w:r>
                    <w:rPr>
                      <w:rFonts w:hint="eastAsia"/>
                      <w:color w:val="FF0000"/>
                      <w:szCs w:val="21"/>
                    </w:rPr>
                    <w:t>林格曼黑度</w:t>
                  </w:r>
                </w:p>
              </w:tc>
              <w:tc>
                <w:tcPr>
                  <w:tcW w:w="2197" w:type="dxa"/>
                  <w:gridSpan w:val="2"/>
                  <w:vAlign w:val="center"/>
                </w:tcPr>
                <w:p>
                  <w:pPr>
                    <w:spacing w:line="240" w:lineRule="auto"/>
                    <w:jc w:val="center"/>
                    <w:rPr>
                      <w:color w:val="FF0000"/>
                      <w:szCs w:val="21"/>
                    </w:rPr>
                  </w:pPr>
                  <w:r>
                    <w:rPr>
                      <w:color w:val="FF0000"/>
                      <w:szCs w:val="21"/>
                    </w:rPr>
                    <w:t>≤级</w:t>
                  </w:r>
                </w:p>
              </w:tc>
              <w:tc>
                <w:tcPr>
                  <w:tcW w:w="909" w:type="dxa"/>
                  <w:vMerge w:val="continue"/>
                  <w:vAlign w:val="center"/>
                </w:tcPr>
                <w:p>
                  <w:pPr>
                    <w:spacing w:line="240" w:lineRule="auto"/>
                    <w:jc w:val="center"/>
                    <w:rPr>
                      <w:color w:val="FF0000"/>
                      <w:szCs w:val="21"/>
                    </w:rPr>
                  </w:pPr>
                </w:p>
              </w:tc>
              <w:tc>
                <w:tcPr>
                  <w:tcW w:w="825" w:type="dxa"/>
                  <w:vMerge w:val="continue"/>
                  <w:vAlign w:val="center"/>
                </w:tcPr>
                <w:p>
                  <w:pPr>
                    <w:spacing w:line="240" w:lineRule="auto"/>
                    <w:jc w:val="center"/>
                    <w:rPr>
                      <w:color w:val="FF0000"/>
                      <w:szCs w:val="21"/>
                    </w:rPr>
                  </w:pPr>
                </w:p>
              </w:tc>
              <w:tc>
                <w:tcPr>
                  <w:tcW w:w="945" w:type="dxa"/>
                  <w:vMerge w:val="continue"/>
                  <w:vAlign w:val="center"/>
                </w:tcPr>
                <w:p>
                  <w:pPr>
                    <w:spacing w:line="240" w:lineRule="auto"/>
                    <w:jc w:val="center"/>
                    <w:rPr>
                      <w:color w:val="FF0000"/>
                      <w:szCs w:val="21"/>
                    </w:rPr>
                  </w:pPr>
                </w:p>
              </w:tc>
            </w:tr>
          </w:tbl>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运营期应加强管理，防止非正常排放情况发生。</w:t>
            </w:r>
          </w:p>
          <w:p>
            <w:pPr>
              <w:pStyle w:val="72"/>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6</w:t>
            </w:r>
            <w:r>
              <w:rPr>
                <w:rFonts w:hint="eastAsia" w:cs="Times New Roman"/>
                <w:b/>
                <w:color w:val="000000" w:themeColor="text1"/>
                <w14:textFill>
                  <w14:solidFill>
                    <w14:schemeClr w14:val="tx1"/>
                  </w14:solidFill>
                </w14:textFill>
              </w:rPr>
              <w:t>、废气污染物排放量</w:t>
            </w:r>
          </w:p>
          <w:p>
            <w:pPr>
              <w:pStyle w:val="72"/>
              <w:spacing w:line="240" w:lineRule="auto"/>
              <w:ind w:firstLine="0" w:firstLineChars="0"/>
              <w:jc w:val="center"/>
              <w:rPr>
                <w:rFonts w:cs="Times New Roman"/>
                <w:b/>
                <w:bCs/>
                <w:color w:val="000000" w:themeColor="text1"/>
                <w:szCs w:val="24"/>
                <w14:textFill>
                  <w14:solidFill>
                    <w14:schemeClr w14:val="tx1"/>
                  </w14:solidFill>
                </w14:textFill>
              </w:rPr>
            </w:pPr>
            <w:r>
              <w:rPr>
                <w:rFonts w:hint="eastAsia" w:cs="Times New Roman"/>
                <w:b/>
                <w:bCs/>
                <w:color w:val="000000" w:themeColor="text1"/>
                <w:szCs w:val="24"/>
                <w14:textFill>
                  <w14:solidFill>
                    <w14:schemeClr w14:val="tx1"/>
                  </w14:solidFill>
                </w14:textFill>
              </w:rPr>
              <w:t>表4</w:t>
            </w:r>
            <w:r>
              <w:rPr>
                <w:rFonts w:cs="Times New Roman"/>
                <w:b/>
                <w:bCs/>
                <w:color w:val="000000" w:themeColor="text1"/>
                <w:szCs w:val="24"/>
                <w14:textFill>
                  <w14:solidFill>
                    <w14:schemeClr w14:val="tx1"/>
                  </w14:solidFill>
                </w14:textFill>
              </w:rPr>
              <w:t>.2-9</w:t>
            </w:r>
            <w:r>
              <w:rPr>
                <w:rFonts w:hint="eastAsia" w:cs="Times New Roman"/>
                <w:b/>
                <w:bCs/>
                <w:color w:val="000000" w:themeColor="text1"/>
                <w:szCs w:val="24"/>
                <w14:textFill>
                  <w14:solidFill>
                    <w14:schemeClr w14:val="tx1"/>
                  </w14:solidFill>
                </w14:textFill>
              </w:rPr>
              <w:t xml:space="preserve">  项目大气污染物有组织排放量核算表</w:t>
            </w:r>
          </w:p>
          <w:tbl>
            <w:tblPr>
              <w:tblStyle w:val="36"/>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667"/>
              <w:gridCol w:w="1743"/>
              <w:gridCol w:w="1480"/>
              <w:gridCol w:w="1502"/>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855" w:type="dxa"/>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667" w:type="dxa"/>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排放口编号</w:t>
                  </w:r>
                </w:p>
              </w:tc>
              <w:tc>
                <w:tcPr>
                  <w:tcW w:w="1743" w:type="dxa"/>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1480" w:type="dxa"/>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核算排放浓度/</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r>
                    <w:rPr>
                      <w:rFonts w:hint="eastAsia"/>
                      <w:b/>
                      <w:color w:val="000000" w:themeColor="text1"/>
                      <w:szCs w:val="21"/>
                      <w14:textFill>
                        <w14:solidFill>
                          <w14:schemeClr w14:val="tx1"/>
                        </w14:solidFill>
                      </w14:textFill>
                    </w:rPr>
                    <w:t>)</w:t>
                  </w:r>
                </w:p>
              </w:tc>
              <w:tc>
                <w:tcPr>
                  <w:tcW w:w="1502" w:type="dxa"/>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核算排放速率/（kg/h）</w:t>
                  </w:r>
                </w:p>
              </w:tc>
              <w:tc>
                <w:tcPr>
                  <w:tcW w:w="1529" w:type="dxa"/>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76" w:type="dxa"/>
                  <w:gridSpan w:val="6"/>
                  <w:vAlign w:val="center"/>
                </w:tcPr>
                <w:p>
                  <w:pPr>
                    <w:pStyle w:val="198"/>
                    <w:spacing w:line="240" w:lineRule="auto"/>
                    <w:jc w:val="center"/>
                    <w:rPr>
                      <w:rFonts w:ascii="Times New Roman"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5" w:type="dxa"/>
                  <w:vMerge w:val="restar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667" w:type="dxa"/>
                  <w:vMerge w:val="restar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w:t>
                  </w:r>
                  <w:r>
                    <w:rPr>
                      <w:color w:val="000000" w:themeColor="text1"/>
                      <w:szCs w:val="21"/>
                      <w14:textFill>
                        <w14:solidFill>
                          <w14:schemeClr w14:val="tx1"/>
                        </w14:solidFill>
                      </w14:textFill>
                    </w:rPr>
                    <w:t>A003</w:t>
                  </w:r>
                </w:p>
              </w:tc>
              <w:tc>
                <w:tcPr>
                  <w:tcW w:w="174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1480" w:type="dxa"/>
                  <w:vAlign w:val="center"/>
                </w:tcPr>
                <w:p>
                  <w:pPr>
                    <w:spacing w:line="240" w:lineRule="auto"/>
                    <w:jc w:val="center"/>
                    <w:rPr>
                      <w:rFonts w:eastAsia="等线"/>
                      <w:color w:val="FF0000"/>
                      <w:kern w:val="0"/>
                      <w:szCs w:val="21"/>
                    </w:rPr>
                  </w:pPr>
                  <w:r>
                    <w:rPr>
                      <w:rFonts w:eastAsia="等线"/>
                      <w:color w:val="FF0000"/>
                      <w:szCs w:val="21"/>
                    </w:rPr>
                    <w:t xml:space="preserve">13.32 </w:t>
                  </w:r>
                </w:p>
              </w:tc>
              <w:tc>
                <w:tcPr>
                  <w:tcW w:w="1502" w:type="dxa"/>
                  <w:vAlign w:val="center"/>
                </w:tcPr>
                <w:p>
                  <w:pPr>
                    <w:spacing w:line="240" w:lineRule="auto"/>
                    <w:jc w:val="center"/>
                    <w:rPr>
                      <w:rFonts w:eastAsia="等线"/>
                      <w:color w:val="FF0000"/>
                      <w:szCs w:val="21"/>
                    </w:rPr>
                  </w:pPr>
                  <w:r>
                    <w:rPr>
                      <w:rFonts w:eastAsia="等线"/>
                      <w:color w:val="FF0000"/>
                      <w:szCs w:val="21"/>
                    </w:rPr>
                    <w:t xml:space="preserve">0.201 </w:t>
                  </w:r>
                </w:p>
              </w:tc>
              <w:tc>
                <w:tcPr>
                  <w:tcW w:w="1529" w:type="dxa"/>
                  <w:vAlign w:val="center"/>
                </w:tcPr>
                <w:p>
                  <w:pPr>
                    <w:spacing w:line="240" w:lineRule="auto"/>
                    <w:jc w:val="center"/>
                    <w:rPr>
                      <w:rFonts w:eastAsia="等线"/>
                      <w:color w:val="FF0000"/>
                      <w:szCs w:val="21"/>
                    </w:rPr>
                  </w:pPr>
                  <w:r>
                    <w:rPr>
                      <w:rFonts w:eastAsia="等线"/>
                      <w:color w:val="FF0000"/>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5" w:type="dxa"/>
                  <w:vMerge w:val="continue"/>
                  <w:vAlign w:val="center"/>
                </w:tcPr>
                <w:p>
                  <w:pPr>
                    <w:spacing w:line="240" w:lineRule="auto"/>
                    <w:jc w:val="center"/>
                    <w:rPr>
                      <w:color w:val="000000" w:themeColor="text1"/>
                      <w:szCs w:val="21"/>
                      <w14:textFill>
                        <w14:solidFill>
                          <w14:schemeClr w14:val="tx1"/>
                        </w14:solidFill>
                      </w14:textFill>
                    </w:rPr>
                  </w:pPr>
                </w:p>
              </w:tc>
              <w:tc>
                <w:tcPr>
                  <w:tcW w:w="1667" w:type="dxa"/>
                  <w:vMerge w:val="continue"/>
                  <w:vAlign w:val="center"/>
                </w:tcPr>
                <w:p>
                  <w:pPr>
                    <w:spacing w:line="240" w:lineRule="auto"/>
                    <w:jc w:val="center"/>
                    <w:rPr>
                      <w:color w:val="000000" w:themeColor="text1"/>
                      <w:szCs w:val="21"/>
                      <w14:textFill>
                        <w14:solidFill>
                          <w14:schemeClr w14:val="tx1"/>
                        </w14:solidFill>
                      </w14:textFill>
                    </w:rPr>
                  </w:pPr>
                </w:p>
              </w:tc>
              <w:tc>
                <w:tcPr>
                  <w:tcW w:w="174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N</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X</w:t>
                  </w:r>
                </w:p>
              </w:tc>
              <w:tc>
                <w:tcPr>
                  <w:tcW w:w="1480" w:type="dxa"/>
                  <w:vAlign w:val="center"/>
                </w:tcPr>
                <w:p>
                  <w:pPr>
                    <w:spacing w:line="240" w:lineRule="auto"/>
                    <w:jc w:val="center"/>
                    <w:rPr>
                      <w:rFonts w:eastAsia="等线"/>
                      <w:color w:val="FF0000"/>
                      <w:szCs w:val="21"/>
                    </w:rPr>
                  </w:pPr>
                  <w:r>
                    <w:rPr>
                      <w:rFonts w:eastAsia="等线"/>
                      <w:color w:val="FF0000"/>
                      <w:szCs w:val="21"/>
                    </w:rPr>
                    <w:t xml:space="preserve">99.87 </w:t>
                  </w:r>
                </w:p>
              </w:tc>
              <w:tc>
                <w:tcPr>
                  <w:tcW w:w="1502" w:type="dxa"/>
                  <w:vAlign w:val="center"/>
                </w:tcPr>
                <w:p>
                  <w:pPr>
                    <w:spacing w:line="240" w:lineRule="auto"/>
                    <w:jc w:val="center"/>
                    <w:rPr>
                      <w:rFonts w:eastAsia="等线"/>
                      <w:color w:val="FF0000"/>
                      <w:szCs w:val="21"/>
                    </w:rPr>
                  </w:pPr>
                  <w:r>
                    <w:rPr>
                      <w:rFonts w:eastAsia="等线"/>
                      <w:color w:val="FF0000"/>
                      <w:szCs w:val="21"/>
                    </w:rPr>
                    <w:t xml:space="preserve">1.510 </w:t>
                  </w:r>
                </w:p>
              </w:tc>
              <w:tc>
                <w:tcPr>
                  <w:tcW w:w="1529" w:type="dxa"/>
                  <w:vAlign w:val="center"/>
                </w:tcPr>
                <w:p>
                  <w:pPr>
                    <w:spacing w:line="240" w:lineRule="auto"/>
                    <w:jc w:val="center"/>
                    <w:rPr>
                      <w:rFonts w:eastAsia="等线"/>
                      <w:color w:val="FF0000"/>
                      <w:szCs w:val="21"/>
                    </w:rPr>
                  </w:pPr>
                  <w:r>
                    <w:rPr>
                      <w:rFonts w:eastAsia="等线"/>
                      <w:color w:val="FF000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5" w:type="dxa"/>
                  <w:vMerge w:val="continue"/>
                  <w:vAlign w:val="center"/>
                </w:tcPr>
                <w:p>
                  <w:pPr>
                    <w:spacing w:line="240" w:lineRule="auto"/>
                    <w:jc w:val="center"/>
                    <w:rPr>
                      <w:color w:val="000000" w:themeColor="text1"/>
                      <w:szCs w:val="21"/>
                      <w14:textFill>
                        <w14:solidFill>
                          <w14:schemeClr w14:val="tx1"/>
                        </w14:solidFill>
                      </w14:textFill>
                    </w:rPr>
                  </w:pPr>
                </w:p>
              </w:tc>
              <w:tc>
                <w:tcPr>
                  <w:tcW w:w="1667" w:type="dxa"/>
                  <w:vMerge w:val="continue"/>
                  <w:vAlign w:val="center"/>
                </w:tcPr>
                <w:p>
                  <w:pPr>
                    <w:spacing w:line="240" w:lineRule="auto"/>
                    <w:jc w:val="center"/>
                    <w:rPr>
                      <w:color w:val="000000" w:themeColor="text1"/>
                      <w:szCs w:val="21"/>
                      <w14:textFill>
                        <w14:solidFill>
                          <w14:schemeClr w14:val="tx1"/>
                        </w14:solidFill>
                      </w14:textFill>
                    </w:rPr>
                  </w:pPr>
                </w:p>
              </w:tc>
              <w:tc>
                <w:tcPr>
                  <w:tcW w:w="174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S</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2</w:t>
                  </w:r>
                </w:p>
              </w:tc>
              <w:tc>
                <w:tcPr>
                  <w:tcW w:w="1480" w:type="dxa"/>
                  <w:vAlign w:val="center"/>
                </w:tcPr>
                <w:p>
                  <w:pPr>
                    <w:spacing w:line="240" w:lineRule="auto"/>
                    <w:jc w:val="center"/>
                    <w:rPr>
                      <w:rFonts w:eastAsia="等线"/>
                      <w:color w:val="FF0000"/>
                      <w:szCs w:val="21"/>
                    </w:rPr>
                  </w:pPr>
                  <w:r>
                    <w:rPr>
                      <w:rFonts w:eastAsia="等线"/>
                      <w:color w:val="FF0000"/>
                      <w:szCs w:val="21"/>
                    </w:rPr>
                    <w:t xml:space="preserve">49.06 </w:t>
                  </w:r>
                </w:p>
              </w:tc>
              <w:tc>
                <w:tcPr>
                  <w:tcW w:w="1502" w:type="dxa"/>
                  <w:vAlign w:val="center"/>
                </w:tcPr>
                <w:p>
                  <w:pPr>
                    <w:spacing w:line="240" w:lineRule="auto"/>
                    <w:jc w:val="center"/>
                    <w:rPr>
                      <w:rFonts w:eastAsia="等线"/>
                      <w:color w:val="FF0000"/>
                      <w:szCs w:val="21"/>
                    </w:rPr>
                  </w:pPr>
                  <w:r>
                    <w:rPr>
                      <w:rFonts w:eastAsia="等线"/>
                      <w:color w:val="FF0000"/>
                      <w:szCs w:val="21"/>
                    </w:rPr>
                    <w:t xml:space="preserve">0.742 </w:t>
                  </w:r>
                </w:p>
              </w:tc>
              <w:tc>
                <w:tcPr>
                  <w:tcW w:w="1529" w:type="dxa"/>
                  <w:vAlign w:val="center"/>
                </w:tcPr>
                <w:p>
                  <w:pPr>
                    <w:spacing w:line="240" w:lineRule="auto"/>
                    <w:jc w:val="center"/>
                    <w:rPr>
                      <w:rFonts w:eastAsia="等线"/>
                      <w:color w:val="FF0000"/>
                      <w:szCs w:val="21"/>
                    </w:rPr>
                  </w:pPr>
                  <w:r>
                    <w:rPr>
                      <w:rFonts w:eastAsia="等线"/>
                      <w:color w:val="FF0000"/>
                      <w:szCs w:val="21"/>
                    </w:rPr>
                    <w:t xml:space="preserve">5.308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5" w:type="dxa"/>
                  <w:vMerge w:val="continue"/>
                  <w:vAlign w:val="center"/>
                </w:tcPr>
                <w:p>
                  <w:pPr>
                    <w:spacing w:line="240" w:lineRule="auto"/>
                    <w:jc w:val="center"/>
                    <w:rPr>
                      <w:color w:val="000000" w:themeColor="text1"/>
                      <w:szCs w:val="21"/>
                      <w14:textFill>
                        <w14:solidFill>
                          <w14:schemeClr w14:val="tx1"/>
                        </w14:solidFill>
                      </w14:textFill>
                    </w:rPr>
                  </w:pPr>
                </w:p>
              </w:tc>
              <w:tc>
                <w:tcPr>
                  <w:tcW w:w="1667" w:type="dxa"/>
                  <w:vMerge w:val="continue"/>
                  <w:vAlign w:val="center"/>
                </w:tcPr>
                <w:p>
                  <w:pPr>
                    <w:spacing w:line="240" w:lineRule="auto"/>
                    <w:jc w:val="center"/>
                    <w:rPr>
                      <w:color w:val="000000" w:themeColor="text1"/>
                      <w:szCs w:val="21"/>
                      <w14:textFill>
                        <w14:solidFill>
                          <w14:schemeClr w14:val="tx1"/>
                        </w14:solidFill>
                      </w14:textFill>
                    </w:rPr>
                  </w:pPr>
                </w:p>
              </w:tc>
              <w:tc>
                <w:tcPr>
                  <w:tcW w:w="174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w:t>
                  </w:r>
                  <w:r>
                    <w:rPr>
                      <w:rFonts w:hint="eastAsia"/>
                      <w:color w:val="000000" w:themeColor="text1"/>
                      <w:kern w:val="0"/>
                      <w:szCs w:val="21"/>
                      <w:vertAlign w:val="subscript"/>
                      <w14:textFill>
                        <w14:solidFill>
                          <w14:schemeClr w14:val="tx1"/>
                        </w14:solidFill>
                      </w14:textFill>
                    </w:rPr>
                    <w:t>2</w:t>
                  </w:r>
                  <w:r>
                    <w:rPr>
                      <w:color w:val="000000" w:themeColor="text1"/>
                      <w:kern w:val="0"/>
                      <w:szCs w:val="21"/>
                      <w14:textFill>
                        <w14:solidFill>
                          <w14:schemeClr w14:val="tx1"/>
                        </w14:solidFill>
                      </w14:textFill>
                    </w:rPr>
                    <w:t>S</w:t>
                  </w:r>
                </w:p>
              </w:tc>
              <w:tc>
                <w:tcPr>
                  <w:tcW w:w="1480" w:type="dxa"/>
                  <w:vAlign w:val="center"/>
                </w:tcPr>
                <w:p>
                  <w:pPr>
                    <w:spacing w:line="240" w:lineRule="auto"/>
                    <w:jc w:val="center"/>
                    <w:rPr>
                      <w:rFonts w:eastAsia="等线"/>
                      <w:color w:val="FF0000"/>
                      <w:szCs w:val="21"/>
                    </w:rPr>
                  </w:pPr>
                  <w:r>
                    <w:rPr>
                      <w:rFonts w:eastAsia="等线"/>
                      <w:color w:val="FF0000"/>
                      <w:szCs w:val="21"/>
                    </w:rPr>
                    <w:t xml:space="preserve">2.64 </w:t>
                  </w:r>
                </w:p>
              </w:tc>
              <w:tc>
                <w:tcPr>
                  <w:tcW w:w="1502" w:type="dxa"/>
                  <w:vAlign w:val="center"/>
                </w:tcPr>
                <w:p>
                  <w:pPr>
                    <w:spacing w:line="240" w:lineRule="auto"/>
                    <w:jc w:val="center"/>
                    <w:rPr>
                      <w:rFonts w:eastAsia="等线"/>
                      <w:color w:val="FF0000"/>
                      <w:szCs w:val="21"/>
                    </w:rPr>
                  </w:pPr>
                  <w:r>
                    <w:rPr>
                      <w:rFonts w:eastAsia="等线"/>
                      <w:color w:val="FF0000"/>
                      <w:szCs w:val="21"/>
                    </w:rPr>
                    <w:t xml:space="preserve">0.040 </w:t>
                  </w:r>
                </w:p>
              </w:tc>
              <w:tc>
                <w:tcPr>
                  <w:tcW w:w="1529" w:type="dxa"/>
                  <w:vAlign w:val="center"/>
                </w:tcPr>
                <w:p>
                  <w:pPr>
                    <w:spacing w:line="240" w:lineRule="auto"/>
                    <w:jc w:val="center"/>
                    <w:rPr>
                      <w:rFonts w:eastAsia="等线"/>
                      <w:color w:val="FF0000"/>
                      <w:szCs w:val="21"/>
                    </w:rPr>
                  </w:pPr>
                  <w:r>
                    <w:rPr>
                      <w:rFonts w:eastAsia="等线"/>
                      <w:color w:val="FF0000"/>
                      <w:szCs w:val="21"/>
                    </w:rPr>
                    <w:t>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5" w:type="dxa"/>
                  <w:vMerge w:val="continue"/>
                  <w:vAlign w:val="center"/>
                </w:tcPr>
                <w:p>
                  <w:pPr>
                    <w:spacing w:line="240" w:lineRule="auto"/>
                    <w:jc w:val="center"/>
                    <w:rPr>
                      <w:color w:val="000000" w:themeColor="text1"/>
                      <w:szCs w:val="21"/>
                      <w14:textFill>
                        <w14:solidFill>
                          <w14:schemeClr w14:val="tx1"/>
                        </w14:solidFill>
                      </w14:textFill>
                    </w:rPr>
                  </w:pPr>
                </w:p>
              </w:tc>
              <w:tc>
                <w:tcPr>
                  <w:tcW w:w="1667" w:type="dxa"/>
                  <w:vMerge w:val="continue"/>
                  <w:vAlign w:val="center"/>
                </w:tcPr>
                <w:p>
                  <w:pPr>
                    <w:spacing w:line="240" w:lineRule="auto"/>
                    <w:jc w:val="center"/>
                    <w:rPr>
                      <w:color w:val="000000" w:themeColor="text1"/>
                      <w:szCs w:val="21"/>
                      <w14:textFill>
                        <w14:solidFill>
                          <w14:schemeClr w14:val="tx1"/>
                        </w14:solidFill>
                      </w14:textFill>
                    </w:rPr>
                  </w:pPr>
                </w:p>
              </w:tc>
              <w:tc>
                <w:tcPr>
                  <w:tcW w:w="174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非甲烷总烃</w:t>
                  </w:r>
                </w:p>
              </w:tc>
              <w:tc>
                <w:tcPr>
                  <w:tcW w:w="1480" w:type="dxa"/>
                  <w:vAlign w:val="center"/>
                </w:tcPr>
                <w:p>
                  <w:pPr>
                    <w:spacing w:line="240" w:lineRule="auto"/>
                    <w:jc w:val="center"/>
                    <w:rPr>
                      <w:rFonts w:eastAsia="等线"/>
                      <w:color w:val="FF0000"/>
                      <w:szCs w:val="21"/>
                    </w:rPr>
                  </w:pPr>
                  <w:r>
                    <w:rPr>
                      <w:rFonts w:eastAsia="等线"/>
                      <w:color w:val="FF0000"/>
                      <w:szCs w:val="21"/>
                    </w:rPr>
                    <w:t xml:space="preserve">13.38 </w:t>
                  </w:r>
                </w:p>
              </w:tc>
              <w:tc>
                <w:tcPr>
                  <w:tcW w:w="1502" w:type="dxa"/>
                  <w:vAlign w:val="center"/>
                </w:tcPr>
                <w:p>
                  <w:pPr>
                    <w:spacing w:line="240" w:lineRule="auto"/>
                    <w:jc w:val="center"/>
                    <w:rPr>
                      <w:rFonts w:eastAsia="等线"/>
                      <w:color w:val="FF0000"/>
                      <w:szCs w:val="21"/>
                    </w:rPr>
                  </w:pPr>
                  <w:r>
                    <w:rPr>
                      <w:rFonts w:eastAsia="等线"/>
                      <w:color w:val="FF0000"/>
                      <w:szCs w:val="21"/>
                    </w:rPr>
                    <w:t xml:space="preserve">0.202 </w:t>
                  </w:r>
                </w:p>
              </w:tc>
              <w:tc>
                <w:tcPr>
                  <w:tcW w:w="1529" w:type="dxa"/>
                  <w:vAlign w:val="center"/>
                </w:tcPr>
                <w:p>
                  <w:pPr>
                    <w:spacing w:line="240" w:lineRule="auto"/>
                    <w:jc w:val="center"/>
                    <w:rPr>
                      <w:rFonts w:eastAsia="等线"/>
                      <w:color w:val="FF0000"/>
                      <w:szCs w:val="21"/>
                    </w:rPr>
                  </w:pPr>
                  <w:r>
                    <w:rPr>
                      <w:rFonts w:eastAsia="等线"/>
                      <w:color w:val="FF0000"/>
                      <w:szCs w:val="21"/>
                    </w:rPr>
                    <w:t xml:space="preserve">1.447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5" w:type="dxa"/>
                  <w:vMerge w:val="continue"/>
                  <w:vAlign w:val="center"/>
                </w:tcPr>
                <w:p>
                  <w:pPr>
                    <w:spacing w:line="240" w:lineRule="auto"/>
                    <w:jc w:val="center"/>
                    <w:rPr>
                      <w:color w:val="000000" w:themeColor="text1"/>
                      <w:szCs w:val="21"/>
                      <w14:textFill>
                        <w14:solidFill>
                          <w14:schemeClr w14:val="tx1"/>
                        </w14:solidFill>
                      </w14:textFill>
                    </w:rPr>
                  </w:pPr>
                </w:p>
              </w:tc>
              <w:tc>
                <w:tcPr>
                  <w:tcW w:w="1667" w:type="dxa"/>
                  <w:vMerge w:val="continue"/>
                  <w:vAlign w:val="center"/>
                </w:tcPr>
                <w:p>
                  <w:pPr>
                    <w:spacing w:line="240" w:lineRule="auto"/>
                    <w:jc w:val="center"/>
                    <w:rPr>
                      <w:color w:val="000000" w:themeColor="text1"/>
                      <w:szCs w:val="21"/>
                      <w14:textFill>
                        <w14:solidFill>
                          <w14:schemeClr w14:val="tx1"/>
                        </w14:solidFill>
                      </w14:textFill>
                    </w:rPr>
                  </w:pPr>
                </w:p>
              </w:tc>
              <w:tc>
                <w:tcPr>
                  <w:tcW w:w="174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甲苯</w:t>
                  </w:r>
                </w:p>
              </w:tc>
              <w:tc>
                <w:tcPr>
                  <w:tcW w:w="1480" w:type="dxa"/>
                  <w:vAlign w:val="center"/>
                </w:tcPr>
                <w:p>
                  <w:pPr>
                    <w:spacing w:line="240" w:lineRule="auto"/>
                    <w:jc w:val="center"/>
                    <w:rPr>
                      <w:rFonts w:eastAsia="等线"/>
                      <w:color w:val="FF0000"/>
                      <w:szCs w:val="21"/>
                    </w:rPr>
                  </w:pPr>
                  <w:r>
                    <w:rPr>
                      <w:rFonts w:eastAsia="等线"/>
                      <w:color w:val="FF0000"/>
                      <w:szCs w:val="21"/>
                    </w:rPr>
                    <w:t xml:space="preserve">0.43 </w:t>
                  </w:r>
                </w:p>
              </w:tc>
              <w:tc>
                <w:tcPr>
                  <w:tcW w:w="1502" w:type="dxa"/>
                  <w:vAlign w:val="center"/>
                </w:tcPr>
                <w:p>
                  <w:pPr>
                    <w:spacing w:line="240" w:lineRule="auto"/>
                    <w:jc w:val="center"/>
                    <w:rPr>
                      <w:rFonts w:eastAsia="等线"/>
                      <w:color w:val="FF0000"/>
                      <w:szCs w:val="21"/>
                    </w:rPr>
                  </w:pPr>
                  <w:r>
                    <w:rPr>
                      <w:rFonts w:eastAsia="等线"/>
                      <w:color w:val="FF0000"/>
                      <w:szCs w:val="21"/>
                    </w:rPr>
                    <w:t xml:space="preserve">0.007 </w:t>
                  </w:r>
                </w:p>
              </w:tc>
              <w:tc>
                <w:tcPr>
                  <w:tcW w:w="1529" w:type="dxa"/>
                  <w:vAlign w:val="center"/>
                </w:tcPr>
                <w:p>
                  <w:pPr>
                    <w:spacing w:line="240" w:lineRule="auto"/>
                    <w:jc w:val="center"/>
                    <w:rPr>
                      <w:rFonts w:eastAsia="等线"/>
                      <w:color w:val="FF0000"/>
                      <w:szCs w:val="21"/>
                    </w:rPr>
                  </w:pPr>
                  <w:r>
                    <w:rPr>
                      <w:rFonts w:eastAsia="等线"/>
                      <w:color w:val="FF0000"/>
                      <w:szCs w:val="21"/>
                    </w:rPr>
                    <w:t xml:space="preserve">0.047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5" w:type="dxa"/>
                  <w:vMerge w:val="continue"/>
                  <w:vAlign w:val="center"/>
                </w:tcPr>
                <w:p>
                  <w:pPr>
                    <w:spacing w:line="240" w:lineRule="auto"/>
                    <w:jc w:val="center"/>
                    <w:rPr>
                      <w:color w:val="000000" w:themeColor="text1"/>
                      <w:szCs w:val="21"/>
                      <w14:textFill>
                        <w14:solidFill>
                          <w14:schemeClr w14:val="tx1"/>
                        </w14:solidFill>
                      </w14:textFill>
                    </w:rPr>
                  </w:pPr>
                </w:p>
              </w:tc>
              <w:tc>
                <w:tcPr>
                  <w:tcW w:w="1667" w:type="dxa"/>
                  <w:vMerge w:val="continue"/>
                  <w:vAlign w:val="center"/>
                </w:tcPr>
                <w:p>
                  <w:pPr>
                    <w:spacing w:line="240" w:lineRule="auto"/>
                    <w:jc w:val="center"/>
                    <w:rPr>
                      <w:color w:val="000000" w:themeColor="text1"/>
                      <w:szCs w:val="21"/>
                      <w14:textFill>
                        <w14:solidFill>
                          <w14:schemeClr w14:val="tx1"/>
                        </w14:solidFill>
                      </w14:textFill>
                    </w:rPr>
                  </w:pPr>
                </w:p>
              </w:tc>
              <w:tc>
                <w:tcPr>
                  <w:tcW w:w="174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二甲苯</w:t>
                  </w:r>
                </w:p>
              </w:tc>
              <w:tc>
                <w:tcPr>
                  <w:tcW w:w="1480" w:type="dxa"/>
                  <w:vAlign w:val="center"/>
                </w:tcPr>
                <w:p>
                  <w:pPr>
                    <w:spacing w:line="240" w:lineRule="auto"/>
                    <w:jc w:val="center"/>
                    <w:rPr>
                      <w:rFonts w:eastAsia="等线"/>
                      <w:color w:val="FF0000"/>
                      <w:szCs w:val="21"/>
                    </w:rPr>
                  </w:pPr>
                  <w:r>
                    <w:rPr>
                      <w:rFonts w:eastAsia="等线"/>
                      <w:color w:val="FF0000"/>
                      <w:szCs w:val="21"/>
                    </w:rPr>
                    <w:t xml:space="preserve">0.40 </w:t>
                  </w:r>
                </w:p>
              </w:tc>
              <w:tc>
                <w:tcPr>
                  <w:tcW w:w="1502" w:type="dxa"/>
                  <w:vAlign w:val="center"/>
                </w:tcPr>
                <w:p>
                  <w:pPr>
                    <w:spacing w:line="240" w:lineRule="auto"/>
                    <w:jc w:val="center"/>
                    <w:rPr>
                      <w:rFonts w:eastAsia="等线"/>
                      <w:color w:val="FF0000"/>
                      <w:szCs w:val="21"/>
                    </w:rPr>
                  </w:pPr>
                  <w:r>
                    <w:rPr>
                      <w:rFonts w:eastAsia="等线"/>
                      <w:color w:val="FF0000"/>
                      <w:szCs w:val="21"/>
                    </w:rPr>
                    <w:t xml:space="preserve">0.006 </w:t>
                  </w:r>
                </w:p>
              </w:tc>
              <w:tc>
                <w:tcPr>
                  <w:tcW w:w="1529" w:type="dxa"/>
                  <w:vAlign w:val="center"/>
                </w:tcPr>
                <w:p>
                  <w:pPr>
                    <w:spacing w:line="240" w:lineRule="auto"/>
                    <w:jc w:val="center"/>
                    <w:rPr>
                      <w:rFonts w:eastAsia="等线"/>
                      <w:color w:val="FF0000"/>
                      <w:szCs w:val="21"/>
                    </w:rPr>
                  </w:pPr>
                  <w:r>
                    <w:rPr>
                      <w:rFonts w:eastAsia="等线"/>
                      <w:color w:val="FF0000"/>
                      <w:szCs w:val="21"/>
                    </w:rPr>
                    <w:t xml:space="preserve">0.044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5" w:type="dxa"/>
                  <w:vMerge w:val="continue"/>
                  <w:vAlign w:val="center"/>
                </w:tcPr>
                <w:p>
                  <w:pPr>
                    <w:spacing w:line="240" w:lineRule="auto"/>
                    <w:jc w:val="center"/>
                    <w:rPr>
                      <w:color w:val="000000" w:themeColor="text1"/>
                      <w:szCs w:val="21"/>
                      <w14:textFill>
                        <w14:solidFill>
                          <w14:schemeClr w14:val="tx1"/>
                        </w14:solidFill>
                      </w14:textFill>
                    </w:rPr>
                  </w:pPr>
                </w:p>
              </w:tc>
              <w:tc>
                <w:tcPr>
                  <w:tcW w:w="1667" w:type="dxa"/>
                  <w:vMerge w:val="continue"/>
                  <w:vAlign w:val="center"/>
                </w:tcPr>
                <w:p>
                  <w:pPr>
                    <w:spacing w:line="240" w:lineRule="auto"/>
                    <w:jc w:val="center"/>
                    <w:rPr>
                      <w:color w:val="000000" w:themeColor="text1"/>
                      <w:szCs w:val="21"/>
                      <w14:textFill>
                        <w14:solidFill>
                          <w14:schemeClr w14:val="tx1"/>
                        </w14:solidFill>
                      </w14:textFill>
                    </w:rPr>
                  </w:pPr>
                </w:p>
              </w:tc>
              <w:tc>
                <w:tcPr>
                  <w:tcW w:w="174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二噁英类</w:t>
                  </w:r>
                </w:p>
              </w:tc>
              <w:tc>
                <w:tcPr>
                  <w:tcW w:w="1480" w:type="dxa"/>
                  <w:vAlign w:val="center"/>
                </w:tcPr>
                <w:p>
                  <w:pPr>
                    <w:spacing w:line="240" w:lineRule="auto"/>
                    <w:jc w:val="center"/>
                    <w:rPr>
                      <w:rFonts w:eastAsia="等线"/>
                      <w:color w:val="000000"/>
                      <w:szCs w:val="21"/>
                    </w:rPr>
                  </w:pPr>
                  <w:r>
                    <w:rPr>
                      <w:rFonts w:eastAsia="等线"/>
                      <w:color w:val="000000"/>
                      <w:szCs w:val="21"/>
                    </w:rPr>
                    <w:t>0.054ng-TEQ/m</w:t>
                  </w:r>
                  <w:r>
                    <w:rPr>
                      <w:rFonts w:eastAsia="等线"/>
                      <w:color w:val="000000"/>
                      <w:szCs w:val="21"/>
                      <w:vertAlign w:val="superscript"/>
                    </w:rPr>
                    <w:t>3</w:t>
                  </w:r>
                </w:p>
              </w:tc>
              <w:tc>
                <w:tcPr>
                  <w:tcW w:w="1502" w:type="dxa"/>
                  <w:vAlign w:val="center"/>
                </w:tcPr>
                <w:p>
                  <w:pPr>
                    <w:spacing w:line="240" w:lineRule="auto"/>
                    <w:jc w:val="center"/>
                    <w:rPr>
                      <w:rFonts w:eastAsia="等线"/>
                      <w:color w:val="000000"/>
                      <w:szCs w:val="21"/>
                    </w:rPr>
                  </w:pPr>
                  <w:r>
                    <w:rPr>
                      <w:rFonts w:eastAsia="等线"/>
                      <w:color w:val="000000"/>
                      <w:szCs w:val="21"/>
                    </w:rPr>
                    <w:t xml:space="preserve">0.839μg-TEQ/h </w:t>
                  </w:r>
                </w:p>
              </w:tc>
              <w:tc>
                <w:tcPr>
                  <w:tcW w:w="1529" w:type="dxa"/>
                  <w:vAlign w:val="center"/>
                </w:tcPr>
                <w:p>
                  <w:pPr>
                    <w:spacing w:line="240" w:lineRule="auto"/>
                    <w:jc w:val="center"/>
                    <w:rPr>
                      <w:rFonts w:ascii="宋体" w:hAnsi="宋体" w:cs="宋体"/>
                      <w:color w:val="000000"/>
                      <w:szCs w:val="21"/>
                    </w:rPr>
                  </w:pPr>
                  <w:r>
                    <w:rPr>
                      <w:rFonts w:hint="eastAsia"/>
                      <w:color w:val="000000"/>
                      <w:szCs w:val="21"/>
                    </w:rPr>
                    <w:t>0.0</w:t>
                  </w:r>
                  <w:r>
                    <w:rPr>
                      <w:color w:val="000000"/>
                      <w:szCs w:val="21"/>
                    </w:rPr>
                    <w:t>06g-TEQ/a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5" w:type="dxa"/>
                  <w:vMerge w:val="continue"/>
                  <w:vAlign w:val="center"/>
                </w:tcPr>
                <w:p>
                  <w:pPr>
                    <w:spacing w:line="240" w:lineRule="auto"/>
                    <w:jc w:val="center"/>
                    <w:rPr>
                      <w:color w:val="000000" w:themeColor="text1"/>
                      <w:szCs w:val="21"/>
                      <w14:textFill>
                        <w14:solidFill>
                          <w14:schemeClr w14:val="tx1"/>
                        </w14:solidFill>
                      </w14:textFill>
                    </w:rPr>
                  </w:pPr>
                </w:p>
              </w:tc>
              <w:tc>
                <w:tcPr>
                  <w:tcW w:w="1667" w:type="dxa"/>
                  <w:vMerge w:val="continue"/>
                  <w:vAlign w:val="center"/>
                </w:tcPr>
                <w:p>
                  <w:pPr>
                    <w:spacing w:line="240" w:lineRule="auto"/>
                    <w:jc w:val="center"/>
                    <w:rPr>
                      <w:color w:val="000000" w:themeColor="text1"/>
                      <w:szCs w:val="21"/>
                      <w14:textFill>
                        <w14:solidFill>
                          <w14:schemeClr w14:val="tx1"/>
                        </w14:solidFill>
                      </w14:textFill>
                    </w:rPr>
                  </w:pPr>
                </w:p>
              </w:tc>
              <w:tc>
                <w:tcPr>
                  <w:tcW w:w="174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臭气浓度</w:t>
                  </w:r>
                </w:p>
              </w:tc>
              <w:tc>
                <w:tcPr>
                  <w:tcW w:w="1480"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02"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29"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5" w:type="dxa"/>
                  <w:vMerge w:val="continue"/>
                  <w:vAlign w:val="center"/>
                </w:tcPr>
                <w:p>
                  <w:pPr>
                    <w:spacing w:line="240" w:lineRule="auto"/>
                    <w:jc w:val="center"/>
                    <w:rPr>
                      <w:color w:val="000000" w:themeColor="text1"/>
                      <w:szCs w:val="21"/>
                      <w14:textFill>
                        <w14:solidFill>
                          <w14:schemeClr w14:val="tx1"/>
                        </w14:solidFill>
                      </w14:textFill>
                    </w:rPr>
                  </w:pPr>
                </w:p>
              </w:tc>
              <w:tc>
                <w:tcPr>
                  <w:tcW w:w="1667" w:type="dxa"/>
                  <w:vMerge w:val="continue"/>
                  <w:vAlign w:val="center"/>
                </w:tcPr>
                <w:p>
                  <w:pPr>
                    <w:spacing w:line="240" w:lineRule="auto"/>
                    <w:jc w:val="center"/>
                    <w:rPr>
                      <w:color w:val="000000" w:themeColor="text1"/>
                      <w:szCs w:val="21"/>
                      <w14:textFill>
                        <w14:solidFill>
                          <w14:schemeClr w14:val="tx1"/>
                        </w14:solidFill>
                      </w14:textFill>
                    </w:rPr>
                  </w:pPr>
                </w:p>
              </w:tc>
              <w:tc>
                <w:tcPr>
                  <w:tcW w:w="1743" w:type="dxa"/>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林格曼黑度</w:t>
                  </w:r>
                </w:p>
              </w:tc>
              <w:tc>
                <w:tcPr>
                  <w:tcW w:w="4511" w:type="dxa"/>
                  <w:gridSpan w:val="3"/>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76" w:type="dxa"/>
                  <w:gridSpan w:val="6"/>
                  <w:vAlign w:val="center"/>
                </w:tcPr>
                <w:p>
                  <w:pPr>
                    <w:pStyle w:val="198"/>
                    <w:spacing w:line="240" w:lineRule="auto"/>
                    <w:jc w:val="center"/>
                    <w:rPr>
                      <w:rFonts w:ascii="Times New Roman"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5"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667"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DA001</w:t>
                  </w:r>
                </w:p>
              </w:tc>
              <w:tc>
                <w:tcPr>
                  <w:tcW w:w="1743"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480" w:type="dxa"/>
                  <w:vAlign w:val="center"/>
                </w:tcPr>
                <w:p>
                  <w:pPr>
                    <w:spacing w:line="240" w:lineRule="auto"/>
                    <w:jc w:val="center"/>
                    <w:rPr>
                      <w:rFonts w:eastAsia="等线"/>
                      <w:color w:val="000000" w:themeColor="text1"/>
                      <w:kern w:val="0"/>
                      <w:szCs w:val="21"/>
                      <w14:textFill>
                        <w14:solidFill>
                          <w14:schemeClr w14:val="tx1"/>
                        </w14:solidFill>
                      </w14:textFill>
                    </w:rPr>
                  </w:pPr>
                  <w:r>
                    <w:rPr>
                      <w:rFonts w:hint="eastAsia" w:eastAsia="等线"/>
                      <w:color w:val="000000" w:themeColor="text1"/>
                      <w:kern w:val="0"/>
                      <w:szCs w:val="21"/>
                      <w14:textFill>
                        <w14:solidFill>
                          <w14:schemeClr w14:val="tx1"/>
                        </w14:solidFill>
                      </w14:textFill>
                    </w:rPr>
                    <w:t>4</w:t>
                  </w:r>
                  <w:r>
                    <w:rPr>
                      <w:rFonts w:eastAsia="等线"/>
                      <w:color w:val="000000" w:themeColor="text1"/>
                      <w:kern w:val="0"/>
                      <w:szCs w:val="21"/>
                      <w14:textFill>
                        <w14:solidFill>
                          <w14:schemeClr w14:val="tx1"/>
                        </w14:solidFill>
                      </w14:textFill>
                    </w:rPr>
                    <w:t>.55</w:t>
                  </w:r>
                </w:p>
              </w:tc>
              <w:tc>
                <w:tcPr>
                  <w:tcW w:w="1502"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.036</w:t>
                  </w:r>
                </w:p>
              </w:tc>
              <w:tc>
                <w:tcPr>
                  <w:tcW w:w="1529"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5"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667"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DA002</w:t>
                  </w:r>
                </w:p>
              </w:tc>
              <w:tc>
                <w:tcPr>
                  <w:tcW w:w="1743"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48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w:t>
                  </w:r>
                  <w:r>
                    <w:rPr>
                      <w:rFonts w:eastAsia="等线"/>
                      <w:color w:val="000000" w:themeColor="text1"/>
                      <w:szCs w:val="21"/>
                      <w14:textFill>
                        <w14:solidFill>
                          <w14:schemeClr w14:val="tx1"/>
                        </w14:solidFill>
                      </w14:textFill>
                    </w:rPr>
                    <w:t>.55</w:t>
                  </w:r>
                </w:p>
              </w:tc>
              <w:tc>
                <w:tcPr>
                  <w:tcW w:w="1502"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.073</w:t>
                  </w:r>
                </w:p>
              </w:tc>
              <w:tc>
                <w:tcPr>
                  <w:tcW w:w="1529"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5"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667"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w:t>
                  </w:r>
                  <w:r>
                    <w:rPr>
                      <w:color w:val="000000" w:themeColor="text1"/>
                      <w:szCs w:val="21"/>
                      <w14:textFill>
                        <w14:solidFill>
                          <w14:schemeClr w14:val="tx1"/>
                        </w14:solidFill>
                      </w14:textFill>
                    </w:rPr>
                    <w:t>A004</w:t>
                  </w:r>
                </w:p>
              </w:tc>
              <w:tc>
                <w:tcPr>
                  <w:tcW w:w="1743"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480"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w:t>
                  </w:r>
                  <w:r>
                    <w:rPr>
                      <w:rFonts w:eastAsia="等线"/>
                      <w:color w:val="000000" w:themeColor="text1"/>
                      <w:szCs w:val="21"/>
                      <w14:textFill>
                        <w14:solidFill>
                          <w14:schemeClr w14:val="tx1"/>
                        </w14:solidFill>
                      </w14:textFill>
                    </w:rPr>
                    <w:t>.16</w:t>
                  </w:r>
                </w:p>
              </w:tc>
              <w:tc>
                <w:tcPr>
                  <w:tcW w:w="1502"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.042</w:t>
                  </w:r>
                </w:p>
              </w:tc>
              <w:tc>
                <w:tcPr>
                  <w:tcW w:w="1529"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restar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w:t>
                  </w:r>
                  <w:r>
                    <w:rPr>
                      <w:color w:val="000000" w:themeColor="text1"/>
                      <w:szCs w:val="21"/>
                      <w14:textFill>
                        <w14:solidFill>
                          <w14:schemeClr w14:val="tx1"/>
                        </w14:solidFill>
                      </w14:textFill>
                    </w:rPr>
                    <w:t>排放口合计</w:t>
                  </w: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1529" w:type="dxa"/>
                  <w:vAlign w:val="center"/>
                </w:tcPr>
                <w:p>
                  <w:pPr>
                    <w:spacing w:line="240" w:lineRule="auto"/>
                    <w:jc w:val="center"/>
                    <w:rPr>
                      <w:rFonts w:eastAsia="等线"/>
                      <w:color w:val="000000"/>
                      <w:szCs w:val="21"/>
                    </w:rPr>
                  </w:pPr>
                  <w:r>
                    <w:rPr>
                      <w:rFonts w:hint="eastAsia" w:eastAsia="等线"/>
                      <w:color w:val="000000"/>
                      <w:szCs w:val="21"/>
                    </w:rPr>
                    <w:t>1</w:t>
                  </w:r>
                  <w:r>
                    <w:rPr>
                      <w:rFonts w:eastAsia="等线"/>
                      <w:color w:val="000000"/>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N</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X</w:t>
                  </w:r>
                </w:p>
              </w:tc>
              <w:tc>
                <w:tcPr>
                  <w:tcW w:w="1529" w:type="dxa"/>
                  <w:vAlign w:val="center"/>
                </w:tcPr>
                <w:p>
                  <w:pPr>
                    <w:spacing w:line="240" w:lineRule="auto"/>
                    <w:jc w:val="center"/>
                    <w:rPr>
                      <w:rFonts w:eastAsia="等线"/>
                      <w:color w:val="000000"/>
                      <w:szCs w:val="21"/>
                    </w:rPr>
                  </w:pPr>
                  <w:r>
                    <w:rPr>
                      <w:rFonts w:eastAsia="等线"/>
                      <w:color w:val="00000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S</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2</w:t>
                  </w:r>
                </w:p>
              </w:tc>
              <w:tc>
                <w:tcPr>
                  <w:tcW w:w="1529" w:type="dxa"/>
                  <w:vAlign w:val="center"/>
                </w:tcPr>
                <w:p>
                  <w:pPr>
                    <w:spacing w:line="240" w:lineRule="auto"/>
                    <w:jc w:val="center"/>
                    <w:rPr>
                      <w:rFonts w:eastAsia="等线"/>
                      <w:color w:val="000000"/>
                      <w:szCs w:val="21"/>
                    </w:rPr>
                  </w:pPr>
                  <w:r>
                    <w:rPr>
                      <w:rFonts w:eastAsia="等线"/>
                      <w:color w:val="000000"/>
                      <w:szCs w:val="21"/>
                    </w:rPr>
                    <w:t>5.308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w:t>
                  </w:r>
                  <w:r>
                    <w:rPr>
                      <w:rFonts w:hint="eastAsia"/>
                      <w:color w:val="000000" w:themeColor="text1"/>
                      <w:kern w:val="0"/>
                      <w:szCs w:val="21"/>
                      <w:vertAlign w:val="subscript"/>
                      <w14:textFill>
                        <w14:solidFill>
                          <w14:schemeClr w14:val="tx1"/>
                        </w14:solidFill>
                      </w14:textFill>
                    </w:rPr>
                    <w:t>2</w:t>
                  </w:r>
                  <w:r>
                    <w:rPr>
                      <w:color w:val="000000" w:themeColor="text1"/>
                      <w:kern w:val="0"/>
                      <w:szCs w:val="21"/>
                      <w14:textFill>
                        <w14:solidFill>
                          <w14:schemeClr w14:val="tx1"/>
                        </w14:solidFill>
                      </w14:textFill>
                    </w:rPr>
                    <w:t>S</w:t>
                  </w:r>
                </w:p>
              </w:tc>
              <w:tc>
                <w:tcPr>
                  <w:tcW w:w="1529" w:type="dxa"/>
                  <w:vAlign w:val="center"/>
                </w:tcPr>
                <w:p>
                  <w:pPr>
                    <w:spacing w:line="240" w:lineRule="auto"/>
                    <w:jc w:val="center"/>
                    <w:rPr>
                      <w:rFonts w:eastAsia="等线"/>
                      <w:color w:val="000000"/>
                      <w:szCs w:val="21"/>
                    </w:rPr>
                  </w:pPr>
                  <w:r>
                    <w:rPr>
                      <w:rFonts w:hint="eastAsia" w:eastAsia="等线"/>
                      <w:color w:val="000000"/>
                      <w:szCs w:val="21"/>
                    </w:rPr>
                    <w:t>0</w:t>
                  </w:r>
                  <w:r>
                    <w:rPr>
                      <w:rFonts w:eastAsia="等线"/>
                      <w:color w:val="000000"/>
                      <w:szCs w:val="21"/>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非甲烷总烃</w:t>
                  </w:r>
                </w:p>
              </w:tc>
              <w:tc>
                <w:tcPr>
                  <w:tcW w:w="1529" w:type="dxa"/>
                  <w:vAlign w:val="center"/>
                </w:tcPr>
                <w:p>
                  <w:pPr>
                    <w:spacing w:line="240" w:lineRule="auto"/>
                    <w:jc w:val="center"/>
                    <w:rPr>
                      <w:rFonts w:eastAsia="等线"/>
                      <w:color w:val="000000"/>
                      <w:szCs w:val="21"/>
                    </w:rPr>
                  </w:pPr>
                  <w:r>
                    <w:rPr>
                      <w:rFonts w:hint="eastAsia" w:eastAsia="等线"/>
                      <w:color w:val="000000"/>
                      <w:szCs w:val="21"/>
                    </w:rPr>
                    <w:t>1</w:t>
                  </w:r>
                  <w:r>
                    <w:rPr>
                      <w:rFonts w:eastAsia="等线"/>
                      <w:color w:val="000000"/>
                      <w:szCs w:val="21"/>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甲苯</w:t>
                  </w:r>
                </w:p>
              </w:tc>
              <w:tc>
                <w:tcPr>
                  <w:tcW w:w="1529" w:type="dxa"/>
                  <w:vAlign w:val="center"/>
                </w:tcPr>
                <w:p>
                  <w:pPr>
                    <w:spacing w:line="240" w:lineRule="auto"/>
                    <w:jc w:val="center"/>
                    <w:rPr>
                      <w:color w:val="000000"/>
                      <w:spacing w:val="-10"/>
                      <w:kern w:val="0"/>
                      <w:szCs w:val="21"/>
                    </w:rPr>
                  </w:pPr>
                  <w:r>
                    <w:rPr>
                      <w:rFonts w:hint="eastAsia"/>
                      <w:color w:val="000000"/>
                      <w:spacing w:val="-10"/>
                      <w:kern w:val="0"/>
                      <w:szCs w:val="21"/>
                    </w:rPr>
                    <w:t>0</w:t>
                  </w:r>
                  <w:r>
                    <w:rPr>
                      <w:color w:val="000000"/>
                      <w:spacing w:val="-10"/>
                      <w:kern w:val="0"/>
                      <w:szCs w:val="21"/>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二甲苯</w:t>
                  </w:r>
                </w:p>
              </w:tc>
              <w:tc>
                <w:tcPr>
                  <w:tcW w:w="1529" w:type="dxa"/>
                  <w:vAlign w:val="center"/>
                </w:tcPr>
                <w:p>
                  <w:pPr>
                    <w:spacing w:line="240" w:lineRule="auto"/>
                    <w:jc w:val="center"/>
                    <w:rPr>
                      <w:color w:val="000000"/>
                      <w:spacing w:val="-10"/>
                      <w:kern w:val="0"/>
                      <w:szCs w:val="21"/>
                    </w:rPr>
                  </w:pPr>
                  <w:r>
                    <w:rPr>
                      <w:rFonts w:hint="eastAsia"/>
                      <w:color w:val="000000"/>
                      <w:spacing w:val="-10"/>
                      <w:kern w:val="0"/>
                      <w:szCs w:val="21"/>
                    </w:rPr>
                    <w:t>0</w:t>
                  </w:r>
                  <w:r>
                    <w:rPr>
                      <w:color w:val="000000"/>
                      <w:spacing w:val="-10"/>
                      <w:kern w:val="0"/>
                      <w:szCs w:val="21"/>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二噁英类</w:t>
                  </w:r>
                </w:p>
              </w:tc>
              <w:tc>
                <w:tcPr>
                  <w:tcW w:w="1529" w:type="dxa"/>
                  <w:vAlign w:val="center"/>
                </w:tcPr>
                <w:p>
                  <w:pPr>
                    <w:spacing w:line="240" w:lineRule="auto"/>
                    <w:jc w:val="center"/>
                    <w:rPr>
                      <w:rFonts w:ascii="宋体" w:hAnsi="宋体" w:cs="宋体"/>
                      <w:color w:val="000000"/>
                      <w:szCs w:val="21"/>
                    </w:rPr>
                  </w:pPr>
                  <w:r>
                    <w:rPr>
                      <w:rFonts w:hint="eastAsia"/>
                      <w:color w:val="000000"/>
                      <w:szCs w:val="21"/>
                    </w:rPr>
                    <w:t>0.0</w:t>
                  </w:r>
                  <w:r>
                    <w:rPr>
                      <w:color w:val="000000"/>
                      <w:szCs w:val="21"/>
                    </w:rPr>
                    <w:t>06g-TEQ/a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臭气浓度</w:t>
                  </w:r>
                </w:p>
              </w:tc>
              <w:tc>
                <w:tcPr>
                  <w:tcW w:w="1529"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林格曼黑度</w:t>
                  </w:r>
                </w:p>
              </w:tc>
              <w:tc>
                <w:tcPr>
                  <w:tcW w:w="1529"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一般排放口合计</w:t>
                  </w:r>
                </w:p>
              </w:tc>
              <w:tc>
                <w:tcPr>
                  <w:tcW w:w="4725" w:type="dxa"/>
                  <w:gridSpan w:val="3"/>
                  <w:vAlign w:val="center"/>
                </w:tcPr>
                <w:p>
                  <w:pPr>
                    <w:pStyle w:val="198"/>
                    <w:spacing w:line="240" w:lineRule="auto"/>
                    <w:jc w:val="center"/>
                    <w:rPr>
                      <w:rFonts w:ascii="Times New Roman" w:cs="Times New Roman"/>
                      <w:color w:val="000000" w:themeColor="text1"/>
                      <w:sz w:val="21"/>
                      <w:szCs w:val="21"/>
                      <w:lang w:bidi="ar"/>
                      <w14:textFill>
                        <w14:solidFill>
                          <w14:schemeClr w14:val="tx1"/>
                        </w14:solidFill>
                      </w14:textFill>
                    </w:rPr>
                  </w:pPr>
                  <w:r>
                    <w:rPr>
                      <w:rFonts w:hint="eastAsia" w:ascii="Times New Roman" w:cs="Times New Roman"/>
                      <w:color w:val="000000" w:themeColor="text1"/>
                      <w:sz w:val="21"/>
                      <w:szCs w:val="21"/>
                      <w:lang w:bidi="ar"/>
                      <w14:textFill>
                        <w14:solidFill>
                          <w14:schemeClr w14:val="tx1"/>
                        </w14:solidFill>
                      </w14:textFill>
                    </w:rPr>
                    <w:t>颗粒物</w:t>
                  </w:r>
                </w:p>
              </w:tc>
              <w:tc>
                <w:tcPr>
                  <w:tcW w:w="1529"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76" w:type="dxa"/>
                  <w:gridSpan w:val="6"/>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restar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有组织排放总计</w:t>
                  </w: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1529" w:type="dxa"/>
                  <w:vAlign w:val="center"/>
                </w:tcPr>
                <w:p>
                  <w:pPr>
                    <w:spacing w:line="240" w:lineRule="auto"/>
                    <w:jc w:val="center"/>
                    <w:rPr>
                      <w:rFonts w:eastAsia="等线"/>
                      <w:color w:val="000000"/>
                      <w:szCs w:val="21"/>
                    </w:rPr>
                  </w:pPr>
                  <w:r>
                    <w:rPr>
                      <w:rFonts w:eastAsia="等线"/>
                      <w:color w:val="000000"/>
                      <w:szCs w:val="21"/>
                    </w:rPr>
                    <w:t>2.525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N</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X</w:t>
                  </w:r>
                </w:p>
              </w:tc>
              <w:tc>
                <w:tcPr>
                  <w:tcW w:w="1529" w:type="dxa"/>
                  <w:vAlign w:val="center"/>
                </w:tcPr>
                <w:p>
                  <w:pPr>
                    <w:spacing w:line="240" w:lineRule="auto"/>
                    <w:jc w:val="center"/>
                    <w:rPr>
                      <w:rFonts w:eastAsia="等线"/>
                      <w:color w:val="000000"/>
                      <w:szCs w:val="21"/>
                    </w:rPr>
                  </w:pPr>
                  <w:r>
                    <w:rPr>
                      <w:rFonts w:eastAsia="等线"/>
                      <w:color w:val="00000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S</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2</w:t>
                  </w:r>
                </w:p>
              </w:tc>
              <w:tc>
                <w:tcPr>
                  <w:tcW w:w="1529" w:type="dxa"/>
                  <w:vAlign w:val="center"/>
                </w:tcPr>
                <w:p>
                  <w:pPr>
                    <w:spacing w:line="240" w:lineRule="auto"/>
                    <w:jc w:val="center"/>
                    <w:rPr>
                      <w:rFonts w:eastAsia="等线"/>
                      <w:color w:val="000000"/>
                      <w:szCs w:val="21"/>
                    </w:rPr>
                  </w:pPr>
                  <w:r>
                    <w:rPr>
                      <w:rFonts w:eastAsia="等线"/>
                      <w:color w:val="000000"/>
                      <w:szCs w:val="21"/>
                    </w:rPr>
                    <w:t>5.308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w:t>
                  </w:r>
                  <w:r>
                    <w:rPr>
                      <w:rFonts w:hint="eastAsia"/>
                      <w:color w:val="000000" w:themeColor="text1"/>
                      <w:kern w:val="0"/>
                      <w:szCs w:val="21"/>
                      <w:vertAlign w:val="subscript"/>
                      <w14:textFill>
                        <w14:solidFill>
                          <w14:schemeClr w14:val="tx1"/>
                        </w14:solidFill>
                      </w14:textFill>
                    </w:rPr>
                    <w:t>2</w:t>
                  </w:r>
                  <w:r>
                    <w:rPr>
                      <w:color w:val="000000" w:themeColor="text1"/>
                      <w:kern w:val="0"/>
                      <w:szCs w:val="21"/>
                      <w14:textFill>
                        <w14:solidFill>
                          <w14:schemeClr w14:val="tx1"/>
                        </w14:solidFill>
                      </w14:textFill>
                    </w:rPr>
                    <w:t>S</w:t>
                  </w:r>
                </w:p>
              </w:tc>
              <w:tc>
                <w:tcPr>
                  <w:tcW w:w="1529" w:type="dxa"/>
                  <w:vAlign w:val="center"/>
                </w:tcPr>
                <w:p>
                  <w:pPr>
                    <w:spacing w:line="240" w:lineRule="auto"/>
                    <w:jc w:val="center"/>
                    <w:rPr>
                      <w:rFonts w:eastAsia="等线"/>
                      <w:color w:val="000000"/>
                      <w:szCs w:val="21"/>
                    </w:rPr>
                  </w:pPr>
                  <w:r>
                    <w:rPr>
                      <w:rFonts w:hint="eastAsia" w:eastAsia="等线"/>
                      <w:color w:val="000000"/>
                      <w:szCs w:val="21"/>
                    </w:rPr>
                    <w:t>0</w:t>
                  </w:r>
                  <w:r>
                    <w:rPr>
                      <w:rFonts w:eastAsia="等线"/>
                      <w:color w:val="000000"/>
                      <w:szCs w:val="21"/>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非甲烷总烃</w:t>
                  </w:r>
                </w:p>
              </w:tc>
              <w:tc>
                <w:tcPr>
                  <w:tcW w:w="1529" w:type="dxa"/>
                  <w:vAlign w:val="center"/>
                </w:tcPr>
                <w:p>
                  <w:pPr>
                    <w:spacing w:line="240" w:lineRule="auto"/>
                    <w:jc w:val="center"/>
                    <w:rPr>
                      <w:rFonts w:eastAsia="等线"/>
                      <w:color w:val="000000"/>
                      <w:szCs w:val="21"/>
                    </w:rPr>
                  </w:pPr>
                  <w:r>
                    <w:rPr>
                      <w:rFonts w:hint="eastAsia" w:eastAsia="等线"/>
                      <w:color w:val="000000"/>
                      <w:szCs w:val="21"/>
                    </w:rPr>
                    <w:t>1</w:t>
                  </w:r>
                  <w:r>
                    <w:rPr>
                      <w:rFonts w:eastAsia="等线"/>
                      <w:color w:val="000000"/>
                      <w:szCs w:val="21"/>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甲苯</w:t>
                  </w:r>
                </w:p>
              </w:tc>
              <w:tc>
                <w:tcPr>
                  <w:tcW w:w="1529" w:type="dxa"/>
                  <w:vAlign w:val="center"/>
                </w:tcPr>
                <w:p>
                  <w:pPr>
                    <w:spacing w:line="240" w:lineRule="auto"/>
                    <w:jc w:val="center"/>
                    <w:rPr>
                      <w:color w:val="000000"/>
                      <w:spacing w:val="-10"/>
                      <w:kern w:val="0"/>
                      <w:szCs w:val="21"/>
                    </w:rPr>
                  </w:pPr>
                  <w:r>
                    <w:rPr>
                      <w:rFonts w:hint="eastAsia"/>
                      <w:color w:val="000000"/>
                      <w:spacing w:val="-10"/>
                      <w:kern w:val="0"/>
                      <w:szCs w:val="21"/>
                    </w:rPr>
                    <w:t>0</w:t>
                  </w:r>
                  <w:r>
                    <w:rPr>
                      <w:color w:val="000000"/>
                      <w:spacing w:val="-10"/>
                      <w:kern w:val="0"/>
                      <w:szCs w:val="21"/>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二甲苯</w:t>
                  </w:r>
                </w:p>
              </w:tc>
              <w:tc>
                <w:tcPr>
                  <w:tcW w:w="1529" w:type="dxa"/>
                  <w:vAlign w:val="center"/>
                </w:tcPr>
                <w:p>
                  <w:pPr>
                    <w:spacing w:line="240" w:lineRule="auto"/>
                    <w:jc w:val="center"/>
                    <w:rPr>
                      <w:color w:val="000000"/>
                      <w:spacing w:val="-10"/>
                      <w:kern w:val="0"/>
                      <w:szCs w:val="21"/>
                    </w:rPr>
                  </w:pPr>
                  <w:r>
                    <w:rPr>
                      <w:rFonts w:hint="eastAsia"/>
                      <w:color w:val="000000"/>
                      <w:spacing w:val="-10"/>
                      <w:kern w:val="0"/>
                      <w:szCs w:val="21"/>
                    </w:rPr>
                    <w:t>0</w:t>
                  </w:r>
                  <w:r>
                    <w:rPr>
                      <w:color w:val="000000"/>
                      <w:spacing w:val="-10"/>
                      <w:kern w:val="0"/>
                      <w:szCs w:val="21"/>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二噁英类</w:t>
                  </w:r>
                </w:p>
              </w:tc>
              <w:tc>
                <w:tcPr>
                  <w:tcW w:w="1529" w:type="dxa"/>
                  <w:vAlign w:val="center"/>
                </w:tcPr>
                <w:p>
                  <w:pPr>
                    <w:spacing w:line="240" w:lineRule="auto"/>
                    <w:jc w:val="center"/>
                    <w:rPr>
                      <w:rFonts w:ascii="宋体" w:hAnsi="宋体" w:cs="宋体"/>
                      <w:color w:val="000000"/>
                      <w:szCs w:val="21"/>
                    </w:rPr>
                  </w:pPr>
                  <w:r>
                    <w:rPr>
                      <w:rFonts w:hint="eastAsia"/>
                      <w:color w:val="000000"/>
                      <w:szCs w:val="21"/>
                    </w:rPr>
                    <w:t>0.0</w:t>
                  </w:r>
                  <w:r>
                    <w:rPr>
                      <w:color w:val="000000"/>
                      <w:szCs w:val="21"/>
                    </w:rPr>
                    <w:t>06g-TEQ/a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臭气浓度</w:t>
                  </w:r>
                </w:p>
              </w:tc>
              <w:tc>
                <w:tcPr>
                  <w:tcW w:w="1529"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22" w:type="dxa"/>
                  <w:gridSpan w:val="2"/>
                  <w:vMerge w:val="continue"/>
                  <w:vAlign w:val="center"/>
                </w:tcPr>
                <w:p>
                  <w:pPr>
                    <w:spacing w:line="240" w:lineRule="auto"/>
                    <w:jc w:val="center"/>
                    <w:rPr>
                      <w:color w:val="000000" w:themeColor="text1"/>
                      <w:szCs w:val="21"/>
                      <w14:textFill>
                        <w14:solidFill>
                          <w14:schemeClr w14:val="tx1"/>
                        </w14:solidFill>
                      </w14:textFill>
                    </w:rPr>
                  </w:pPr>
                </w:p>
              </w:tc>
              <w:tc>
                <w:tcPr>
                  <w:tcW w:w="4725" w:type="dxa"/>
                  <w:gridSpan w:val="3"/>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林格曼黑度</w:t>
                  </w:r>
                </w:p>
              </w:tc>
              <w:tc>
                <w:tcPr>
                  <w:tcW w:w="1529"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bl>
          <w:p>
            <w:pPr>
              <w:pStyle w:val="72"/>
              <w:spacing w:line="240" w:lineRule="auto"/>
              <w:ind w:firstLine="0" w:firstLineChars="0"/>
              <w:jc w:val="center"/>
              <w:rPr>
                <w:rFonts w:cs="Times New Roman"/>
                <w:b/>
                <w:bCs/>
                <w:color w:val="000000" w:themeColor="text1"/>
                <w:szCs w:val="24"/>
                <w14:textFill>
                  <w14:solidFill>
                    <w14:schemeClr w14:val="tx1"/>
                  </w14:solidFill>
                </w14:textFill>
              </w:rPr>
            </w:pPr>
            <w:r>
              <w:rPr>
                <w:rFonts w:hint="eastAsia" w:cs="Times New Roman"/>
                <w:b/>
                <w:bCs/>
                <w:color w:val="000000" w:themeColor="text1"/>
                <w:szCs w:val="24"/>
                <w14:textFill>
                  <w14:solidFill>
                    <w14:schemeClr w14:val="tx1"/>
                  </w14:solidFill>
                </w14:textFill>
              </w:rPr>
              <w:t>表4</w:t>
            </w:r>
            <w:r>
              <w:rPr>
                <w:rFonts w:cs="Times New Roman"/>
                <w:b/>
                <w:bCs/>
                <w:color w:val="000000" w:themeColor="text1"/>
                <w:szCs w:val="24"/>
                <w14:textFill>
                  <w14:solidFill>
                    <w14:schemeClr w14:val="tx1"/>
                  </w14:solidFill>
                </w14:textFill>
              </w:rPr>
              <w:t>.2</w:t>
            </w:r>
            <w:r>
              <w:rPr>
                <w:rFonts w:hint="eastAsia" w:cs="Times New Roman"/>
                <w:b/>
                <w:bCs/>
                <w:color w:val="000000" w:themeColor="text1"/>
                <w:szCs w:val="24"/>
                <w14:textFill>
                  <w14:solidFill>
                    <w14:schemeClr w14:val="tx1"/>
                  </w14:solidFill>
                </w14:textFill>
              </w:rPr>
              <w:t>-</w:t>
            </w:r>
            <w:r>
              <w:rPr>
                <w:rFonts w:cs="Times New Roman"/>
                <w:b/>
                <w:bCs/>
                <w:color w:val="000000" w:themeColor="text1"/>
                <w:szCs w:val="24"/>
                <w14:textFill>
                  <w14:solidFill>
                    <w14:schemeClr w14:val="tx1"/>
                  </w14:solidFill>
                </w14:textFill>
              </w:rPr>
              <w:t>10</w:t>
            </w:r>
            <w:r>
              <w:rPr>
                <w:rFonts w:hint="eastAsia" w:cs="Times New Roman"/>
                <w:b/>
                <w:bCs/>
                <w:color w:val="000000" w:themeColor="text1"/>
                <w:szCs w:val="24"/>
                <w14:textFill>
                  <w14:solidFill>
                    <w14:schemeClr w14:val="tx1"/>
                  </w14:solidFill>
                </w14:textFill>
              </w:rPr>
              <w:t xml:space="preserve">  项目大气污染物无组织排放量核算表</w:t>
            </w: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
              <w:gridCol w:w="856"/>
              <w:gridCol w:w="1513"/>
              <w:gridCol w:w="984"/>
              <w:gridCol w:w="1118"/>
              <w:gridCol w:w="2009"/>
              <w:gridCol w:w="1165"/>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blHeader/>
                <w:jc w:val="center"/>
              </w:trPr>
              <w:tc>
                <w:tcPr>
                  <w:tcW w:w="216" w:type="pct"/>
                  <w:vMerge w:val="restar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485" w:type="pct"/>
                  <w:vMerge w:val="restar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排放口编号</w:t>
                  </w:r>
                </w:p>
              </w:tc>
              <w:tc>
                <w:tcPr>
                  <w:tcW w:w="857" w:type="pct"/>
                  <w:vMerge w:val="restar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产污环节</w:t>
                  </w:r>
                </w:p>
              </w:tc>
              <w:tc>
                <w:tcPr>
                  <w:tcW w:w="557" w:type="pct"/>
                  <w:vMerge w:val="restar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633" w:type="pct"/>
                  <w:vMerge w:val="restar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主要污染防治措施</w:t>
                  </w:r>
                </w:p>
              </w:tc>
              <w:tc>
                <w:tcPr>
                  <w:tcW w:w="1797" w:type="pct"/>
                  <w:gridSpan w:val="2"/>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国家或地方污染物排放标准</w:t>
                  </w:r>
                </w:p>
              </w:tc>
              <w:tc>
                <w:tcPr>
                  <w:tcW w:w="454" w:type="pct"/>
                  <w:vMerge w:val="restar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216" w:type="pct"/>
                  <w:vMerge w:val="continue"/>
                  <w:vAlign w:val="center"/>
                </w:tcPr>
                <w:p>
                  <w:pPr>
                    <w:spacing w:line="240" w:lineRule="auto"/>
                    <w:jc w:val="center"/>
                    <w:rPr>
                      <w:color w:val="000000" w:themeColor="text1"/>
                      <w:szCs w:val="21"/>
                      <w14:textFill>
                        <w14:solidFill>
                          <w14:schemeClr w14:val="tx1"/>
                        </w14:solidFill>
                      </w14:textFill>
                    </w:rPr>
                  </w:pPr>
                </w:p>
              </w:tc>
              <w:tc>
                <w:tcPr>
                  <w:tcW w:w="485" w:type="pct"/>
                  <w:vMerge w:val="continue"/>
                  <w:vAlign w:val="center"/>
                </w:tcPr>
                <w:p>
                  <w:pPr>
                    <w:spacing w:line="240" w:lineRule="auto"/>
                    <w:jc w:val="center"/>
                    <w:rPr>
                      <w:color w:val="000000" w:themeColor="text1"/>
                      <w:szCs w:val="21"/>
                      <w14:textFill>
                        <w14:solidFill>
                          <w14:schemeClr w14:val="tx1"/>
                        </w14:solidFill>
                      </w14:textFill>
                    </w:rPr>
                  </w:pPr>
                </w:p>
              </w:tc>
              <w:tc>
                <w:tcPr>
                  <w:tcW w:w="857" w:type="pct"/>
                  <w:vMerge w:val="continue"/>
                  <w:vAlign w:val="center"/>
                </w:tcPr>
                <w:p>
                  <w:pPr>
                    <w:spacing w:line="240" w:lineRule="auto"/>
                    <w:jc w:val="center"/>
                    <w:rPr>
                      <w:color w:val="000000" w:themeColor="text1"/>
                      <w:szCs w:val="21"/>
                      <w14:textFill>
                        <w14:solidFill>
                          <w14:schemeClr w14:val="tx1"/>
                        </w14:solidFill>
                      </w14:textFill>
                    </w:rPr>
                  </w:pPr>
                </w:p>
              </w:tc>
              <w:tc>
                <w:tcPr>
                  <w:tcW w:w="557" w:type="pct"/>
                  <w:vMerge w:val="continue"/>
                  <w:vAlign w:val="center"/>
                </w:tcPr>
                <w:p>
                  <w:pPr>
                    <w:spacing w:line="240" w:lineRule="auto"/>
                    <w:jc w:val="center"/>
                    <w:rPr>
                      <w:color w:val="000000" w:themeColor="text1"/>
                      <w:szCs w:val="21"/>
                      <w14:textFill>
                        <w14:solidFill>
                          <w14:schemeClr w14:val="tx1"/>
                        </w14:solidFill>
                      </w14:textFill>
                    </w:rPr>
                  </w:pPr>
                </w:p>
              </w:tc>
              <w:tc>
                <w:tcPr>
                  <w:tcW w:w="633" w:type="pct"/>
                  <w:vMerge w:val="continue"/>
                  <w:vAlign w:val="center"/>
                </w:tcPr>
                <w:p>
                  <w:pPr>
                    <w:spacing w:line="240" w:lineRule="auto"/>
                    <w:jc w:val="center"/>
                    <w:rPr>
                      <w:color w:val="000000" w:themeColor="text1"/>
                      <w:szCs w:val="21"/>
                      <w14:textFill>
                        <w14:solidFill>
                          <w14:schemeClr w14:val="tx1"/>
                        </w14:solidFill>
                      </w14:textFill>
                    </w:rPr>
                  </w:pPr>
                </w:p>
              </w:tc>
              <w:tc>
                <w:tcPr>
                  <w:tcW w:w="1138" w:type="pc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标准名称</w:t>
                  </w:r>
                </w:p>
              </w:tc>
              <w:tc>
                <w:tcPr>
                  <w:tcW w:w="660" w:type="pc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限值</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r>
                    <w:rPr>
                      <w:rFonts w:hint="eastAsia"/>
                      <w:b/>
                      <w:color w:val="000000" w:themeColor="text1"/>
                      <w:szCs w:val="21"/>
                      <w14:textFill>
                        <w14:solidFill>
                          <w14:schemeClr w14:val="tx1"/>
                        </w14:solidFill>
                      </w14:textFill>
                    </w:rPr>
                    <w:t>)</w:t>
                  </w:r>
                </w:p>
              </w:tc>
              <w:tc>
                <w:tcPr>
                  <w:tcW w:w="455" w:type="pct"/>
                  <w:vMerge w:val="continue"/>
                  <w:vAlign w:val="center"/>
                </w:tcPr>
                <w:p>
                  <w:pPr>
                    <w:spacing w:line="240" w:lineRule="auto"/>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216"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485"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面源</w:t>
                  </w:r>
                </w:p>
              </w:tc>
              <w:tc>
                <w:tcPr>
                  <w:tcW w:w="857"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1#原料破碎车间</w:t>
                  </w:r>
                </w:p>
              </w:tc>
              <w:tc>
                <w:tcPr>
                  <w:tcW w:w="557"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633"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38" w:type="pct"/>
                  <w:vMerge w:val="restart"/>
                  <w:vAlign w:val="center"/>
                </w:tcPr>
                <w:p>
                  <w:pPr>
                    <w:spacing w:line="240" w:lineRule="auto"/>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《石油化学工业污染物排放标准》（GB31571-2015）</w:t>
                  </w:r>
                </w:p>
              </w:tc>
              <w:tc>
                <w:tcPr>
                  <w:tcW w:w="660"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455" w:type="pct"/>
                  <w:vAlign w:val="center"/>
                </w:tcPr>
                <w:p>
                  <w:pPr>
                    <w:spacing w:line="240" w:lineRule="auto"/>
                    <w:jc w:val="center"/>
                    <w:textAlignment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216"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485"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面源</w:t>
                  </w:r>
                </w:p>
              </w:tc>
              <w:tc>
                <w:tcPr>
                  <w:tcW w:w="857"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2#原料破碎车间</w:t>
                  </w:r>
                </w:p>
              </w:tc>
              <w:tc>
                <w:tcPr>
                  <w:tcW w:w="557"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633"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38" w:type="pct"/>
                  <w:vMerge w:val="continue"/>
                  <w:vAlign w:val="center"/>
                </w:tcPr>
                <w:p>
                  <w:pPr>
                    <w:spacing w:line="240" w:lineRule="auto"/>
                    <w:jc w:val="center"/>
                    <w:rPr>
                      <w:bCs/>
                      <w:color w:val="000000" w:themeColor="text1"/>
                      <w:szCs w:val="21"/>
                      <w14:textFill>
                        <w14:solidFill>
                          <w14:schemeClr w14:val="tx1"/>
                        </w14:solidFill>
                      </w14:textFill>
                    </w:rPr>
                  </w:pPr>
                </w:p>
              </w:tc>
              <w:tc>
                <w:tcPr>
                  <w:tcW w:w="660"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454" w:type="pct"/>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6"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485"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面源</w:t>
                  </w:r>
                </w:p>
              </w:tc>
              <w:tc>
                <w:tcPr>
                  <w:tcW w:w="857"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炭黑加工车间</w:t>
                  </w:r>
                </w:p>
              </w:tc>
              <w:tc>
                <w:tcPr>
                  <w:tcW w:w="55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炭黑尘（颗粒物）</w:t>
                  </w:r>
                </w:p>
              </w:tc>
              <w:tc>
                <w:tcPr>
                  <w:tcW w:w="633"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38" w:type="pct"/>
                  <w:vAlign w:val="center"/>
                </w:tcPr>
                <w:p>
                  <w:pPr>
                    <w:spacing w:line="240" w:lineRule="auto"/>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《大气污染物综合排放标准》（DB 50/418-2016）</w:t>
                  </w:r>
                </w:p>
              </w:tc>
              <w:tc>
                <w:tcPr>
                  <w:tcW w:w="660"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不可见</w:t>
                  </w:r>
                </w:p>
              </w:tc>
              <w:tc>
                <w:tcPr>
                  <w:tcW w:w="454" w:type="pct"/>
                  <w:vAlign w:val="center"/>
                </w:tcPr>
                <w:p>
                  <w:pPr>
                    <w:spacing w:line="240" w:lineRule="auto"/>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8"/>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15" w:type="pct"/>
                  <w:gridSpan w:val="4"/>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无组织排放总计</w:t>
                  </w:r>
                </w:p>
              </w:tc>
              <w:tc>
                <w:tcPr>
                  <w:tcW w:w="2431" w:type="pct"/>
                  <w:gridSpan w:val="3"/>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454" w:type="pct"/>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0.839</w:t>
                  </w:r>
                </w:p>
              </w:tc>
            </w:tr>
          </w:tbl>
          <w:p>
            <w:pPr>
              <w:pStyle w:val="72"/>
              <w:spacing w:line="240" w:lineRule="auto"/>
              <w:ind w:firstLine="0" w:firstLineChars="0"/>
              <w:jc w:val="center"/>
              <w:rPr>
                <w:rFonts w:cs="Times New Roman"/>
                <w:b/>
                <w:bCs/>
                <w:color w:val="000000" w:themeColor="text1"/>
                <w:szCs w:val="24"/>
                <w14:textFill>
                  <w14:solidFill>
                    <w14:schemeClr w14:val="tx1"/>
                  </w14:solidFill>
                </w14:textFill>
              </w:rPr>
            </w:pPr>
            <w:r>
              <w:rPr>
                <w:rFonts w:hint="eastAsia" w:cs="Times New Roman"/>
                <w:b/>
                <w:bCs/>
                <w:color w:val="000000" w:themeColor="text1"/>
                <w:szCs w:val="24"/>
                <w14:textFill>
                  <w14:solidFill>
                    <w14:schemeClr w14:val="tx1"/>
                  </w14:solidFill>
                </w14:textFill>
              </w:rPr>
              <w:t>表4</w:t>
            </w:r>
            <w:r>
              <w:rPr>
                <w:rFonts w:cs="Times New Roman"/>
                <w:b/>
                <w:bCs/>
                <w:color w:val="000000" w:themeColor="text1"/>
                <w:szCs w:val="24"/>
                <w14:textFill>
                  <w14:solidFill>
                    <w14:schemeClr w14:val="tx1"/>
                  </w14:solidFill>
                </w14:textFill>
              </w:rPr>
              <w:t>.2</w:t>
            </w:r>
            <w:r>
              <w:rPr>
                <w:rFonts w:hint="eastAsia" w:cs="Times New Roman"/>
                <w:b/>
                <w:bCs/>
                <w:color w:val="000000" w:themeColor="text1"/>
                <w:szCs w:val="24"/>
                <w14:textFill>
                  <w14:solidFill>
                    <w14:schemeClr w14:val="tx1"/>
                  </w14:solidFill>
                </w14:textFill>
              </w:rPr>
              <w:t>-1</w:t>
            </w:r>
            <w:r>
              <w:rPr>
                <w:rFonts w:cs="Times New Roman"/>
                <w:b/>
                <w:bCs/>
                <w:color w:val="000000" w:themeColor="text1"/>
                <w:szCs w:val="24"/>
                <w14:textFill>
                  <w14:solidFill>
                    <w14:schemeClr w14:val="tx1"/>
                  </w14:solidFill>
                </w14:textFill>
              </w:rPr>
              <w:t>1</w:t>
            </w:r>
            <w:r>
              <w:rPr>
                <w:rFonts w:hint="eastAsia" w:cs="Times New Roman"/>
                <w:b/>
                <w:bCs/>
                <w:color w:val="000000" w:themeColor="text1"/>
                <w:szCs w:val="24"/>
                <w14:textFill>
                  <w14:solidFill>
                    <w14:schemeClr w14:val="tx1"/>
                  </w14:solidFill>
                </w14:textFill>
              </w:rPr>
              <w:t xml:space="preserve">  项目大气污染物年排放量核算表</w:t>
            </w:r>
          </w:p>
          <w:tbl>
            <w:tblPr>
              <w:tblStyle w:val="3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3336"/>
              <w:gridCol w:w="3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128" w:type="pc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891" w:type="pc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1981" w:type="pct"/>
                  <w:vAlign w:val="center"/>
                </w:tcPr>
                <w:p>
                  <w:pPr>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28"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89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1981" w:type="pct"/>
                  <w:vAlign w:val="center"/>
                </w:tcPr>
                <w:p>
                  <w:pPr>
                    <w:spacing w:line="240" w:lineRule="auto"/>
                    <w:jc w:val="center"/>
                    <w:rPr>
                      <w:rFonts w:eastAsia="等线"/>
                      <w:color w:val="000000"/>
                      <w:szCs w:val="21"/>
                    </w:rPr>
                  </w:pPr>
                  <w:r>
                    <w:rPr>
                      <w:rFonts w:eastAsia="等线"/>
                      <w:color w:val="000000"/>
                      <w:szCs w:val="21"/>
                    </w:rPr>
                    <w:t>3.364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2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89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N</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X</w:t>
                  </w:r>
                </w:p>
              </w:tc>
              <w:tc>
                <w:tcPr>
                  <w:tcW w:w="1981" w:type="pct"/>
                  <w:vAlign w:val="center"/>
                </w:tcPr>
                <w:p>
                  <w:pPr>
                    <w:spacing w:line="240" w:lineRule="auto"/>
                    <w:jc w:val="center"/>
                    <w:rPr>
                      <w:rFonts w:eastAsia="等线"/>
                      <w:color w:val="000000"/>
                      <w:szCs w:val="21"/>
                    </w:rPr>
                  </w:pPr>
                  <w:r>
                    <w:rPr>
                      <w:rFonts w:eastAsia="等线"/>
                      <w:color w:val="00000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2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89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S</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2</w:t>
                  </w:r>
                </w:p>
              </w:tc>
              <w:tc>
                <w:tcPr>
                  <w:tcW w:w="1981" w:type="pct"/>
                  <w:vAlign w:val="center"/>
                </w:tcPr>
                <w:p>
                  <w:pPr>
                    <w:spacing w:line="240" w:lineRule="auto"/>
                    <w:jc w:val="center"/>
                    <w:rPr>
                      <w:rFonts w:eastAsia="等线"/>
                      <w:color w:val="000000"/>
                      <w:szCs w:val="21"/>
                    </w:rPr>
                  </w:pPr>
                  <w:r>
                    <w:rPr>
                      <w:rFonts w:eastAsia="等线"/>
                      <w:color w:val="000000"/>
                      <w:szCs w:val="21"/>
                    </w:rPr>
                    <w:t>5.308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2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89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w:t>
                  </w:r>
                  <w:r>
                    <w:rPr>
                      <w:rFonts w:hint="eastAsia"/>
                      <w:color w:val="000000" w:themeColor="text1"/>
                      <w:kern w:val="0"/>
                      <w:szCs w:val="21"/>
                      <w:vertAlign w:val="subscript"/>
                      <w14:textFill>
                        <w14:solidFill>
                          <w14:schemeClr w14:val="tx1"/>
                        </w14:solidFill>
                      </w14:textFill>
                    </w:rPr>
                    <w:t>2</w:t>
                  </w:r>
                  <w:r>
                    <w:rPr>
                      <w:color w:val="000000" w:themeColor="text1"/>
                      <w:kern w:val="0"/>
                      <w:szCs w:val="21"/>
                      <w14:textFill>
                        <w14:solidFill>
                          <w14:schemeClr w14:val="tx1"/>
                        </w14:solidFill>
                      </w14:textFill>
                    </w:rPr>
                    <w:t>S</w:t>
                  </w:r>
                </w:p>
              </w:tc>
              <w:tc>
                <w:tcPr>
                  <w:tcW w:w="1981" w:type="pct"/>
                  <w:vAlign w:val="center"/>
                </w:tcPr>
                <w:p>
                  <w:pPr>
                    <w:spacing w:line="240" w:lineRule="auto"/>
                    <w:jc w:val="center"/>
                    <w:rPr>
                      <w:rFonts w:eastAsia="等线"/>
                      <w:color w:val="000000"/>
                      <w:szCs w:val="21"/>
                    </w:rPr>
                  </w:pPr>
                  <w:r>
                    <w:rPr>
                      <w:rFonts w:hint="eastAsia" w:eastAsia="等线"/>
                      <w:color w:val="000000"/>
                      <w:szCs w:val="21"/>
                    </w:rPr>
                    <w:t>0</w:t>
                  </w:r>
                  <w:r>
                    <w:rPr>
                      <w:rFonts w:eastAsia="等线"/>
                      <w:color w:val="000000"/>
                      <w:szCs w:val="21"/>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12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89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非甲烷总烃</w:t>
                  </w:r>
                </w:p>
              </w:tc>
              <w:tc>
                <w:tcPr>
                  <w:tcW w:w="1981" w:type="pct"/>
                  <w:vAlign w:val="center"/>
                </w:tcPr>
                <w:p>
                  <w:pPr>
                    <w:spacing w:line="240" w:lineRule="auto"/>
                    <w:jc w:val="center"/>
                    <w:rPr>
                      <w:rFonts w:eastAsia="等线"/>
                      <w:color w:val="000000"/>
                      <w:szCs w:val="21"/>
                    </w:rPr>
                  </w:pPr>
                  <w:r>
                    <w:rPr>
                      <w:rFonts w:hint="eastAsia" w:eastAsia="等线"/>
                      <w:color w:val="000000"/>
                      <w:szCs w:val="21"/>
                    </w:rPr>
                    <w:t>1</w:t>
                  </w:r>
                  <w:r>
                    <w:rPr>
                      <w:rFonts w:eastAsia="等线"/>
                      <w:color w:val="000000"/>
                      <w:szCs w:val="21"/>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12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89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甲苯</w:t>
                  </w:r>
                </w:p>
              </w:tc>
              <w:tc>
                <w:tcPr>
                  <w:tcW w:w="1981" w:type="pct"/>
                  <w:vAlign w:val="center"/>
                </w:tcPr>
                <w:p>
                  <w:pPr>
                    <w:spacing w:line="240" w:lineRule="auto"/>
                    <w:jc w:val="center"/>
                    <w:rPr>
                      <w:color w:val="000000"/>
                      <w:spacing w:val="-10"/>
                      <w:kern w:val="0"/>
                      <w:szCs w:val="21"/>
                    </w:rPr>
                  </w:pPr>
                  <w:r>
                    <w:rPr>
                      <w:rFonts w:hint="eastAsia"/>
                      <w:color w:val="000000"/>
                      <w:spacing w:val="-10"/>
                      <w:kern w:val="0"/>
                      <w:szCs w:val="21"/>
                    </w:rPr>
                    <w:t>0</w:t>
                  </w:r>
                  <w:r>
                    <w:rPr>
                      <w:color w:val="000000"/>
                      <w:spacing w:val="-10"/>
                      <w:kern w:val="0"/>
                      <w:szCs w:val="21"/>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28"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189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二甲苯</w:t>
                  </w:r>
                </w:p>
              </w:tc>
              <w:tc>
                <w:tcPr>
                  <w:tcW w:w="1981" w:type="pct"/>
                  <w:vAlign w:val="center"/>
                </w:tcPr>
                <w:p>
                  <w:pPr>
                    <w:spacing w:line="240" w:lineRule="auto"/>
                    <w:jc w:val="center"/>
                    <w:rPr>
                      <w:color w:val="000000"/>
                      <w:spacing w:val="-10"/>
                      <w:kern w:val="0"/>
                      <w:szCs w:val="21"/>
                    </w:rPr>
                  </w:pPr>
                  <w:r>
                    <w:rPr>
                      <w:rFonts w:hint="eastAsia"/>
                      <w:color w:val="000000"/>
                      <w:spacing w:val="-10"/>
                      <w:kern w:val="0"/>
                      <w:szCs w:val="21"/>
                    </w:rPr>
                    <w:t>0</w:t>
                  </w:r>
                  <w:r>
                    <w:rPr>
                      <w:color w:val="000000"/>
                      <w:spacing w:val="-10"/>
                      <w:kern w:val="0"/>
                      <w:szCs w:val="21"/>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2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189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二噁英类</w:t>
                  </w:r>
                </w:p>
              </w:tc>
              <w:tc>
                <w:tcPr>
                  <w:tcW w:w="1981" w:type="pct"/>
                  <w:vAlign w:val="center"/>
                </w:tcPr>
                <w:p>
                  <w:pPr>
                    <w:spacing w:line="240" w:lineRule="auto"/>
                    <w:jc w:val="center"/>
                    <w:rPr>
                      <w:rFonts w:ascii="宋体" w:hAnsi="宋体" w:cs="宋体"/>
                      <w:color w:val="000000"/>
                      <w:szCs w:val="21"/>
                    </w:rPr>
                  </w:pPr>
                  <w:r>
                    <w:rPr>
                      <w:rFonts w:hint="eastAsia"/>
                      <w:color w:val="000000"/>
                      <w:szCs w:val="21"/>
                    </w:rPr>
                    <w:t>0.0</w:t>
                  </w:r>
                  <w:r>
                    <w:rPr>
                      <w:color w:val="000000"/>
                      <w:szCs w:val="21"/>
                    </w:rPr>
                    <w:t>06g-TEQ/a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2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189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臭气浓度</w:t>
                  </w:r>
                </w:p>
              </w:tc>
              <w:tc>
                <w:tcPr>
                  <w:tcW w:w="1981"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2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w:t>
                  </w:r>
                </w:p>
              </w:tc>
              <w:tc>
                <w:tcPr>
                  <w:tcW w:w="1891" w:type="pct"/>
                  <w:vAlign w:val="center"/>
                </w:tcPr>
                <w:p>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林格曼黑度</w:t>
                  </w:r>
                </w:p>
              </w:tc>
              <w:tc>
                <w:tcPr>
                  <w:tcW w:w="1981"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bl>
          <w:p>
            <w:pPr>
              <w:pStyle w:val="72"/>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7</w:t>
            </w:r>
            <w:r>
              <w:rPr>
                <w:rFonts w:hint="eastAsia" w:cs="Times New Roman"/>
                <w:b/>
                <w:color w:val="000000" w:themeColor="text1"/>
                <w14:textFill>
                  <w14:solidFill>
                    <w14:schemeClr w14:val="tx1"/>
                  </w14:solidFill>
                </w14:textFill>
              </w:rPr>
              <w:t>、</w:t>
            </w:r>
            <w:r>
              <w:rPr>
                <w:rFonts w:cs="Times New Roman"/>
                <w:b/>
                <w:color w:val="000000" w:themeColor="text1"/>
                <w14:textFill>
                  <w14:solidFill>
                    <w14:schemeClr w14:val="tx1"/>
                  </w14:solidFill>
                </w14:textFill>
              </w:rPr>
              <w:t>项目废气监测计划</w:t>
            </w:r>
          </w:p>
          <w:p>
            <w:pPr>
              <w:pStyle w:val="201"/>
              <w:spacing w:line="360" w:lineRule="auto"/>
              <w:ind w:firstLine="480"/>
              <w:rPr>
                <w:color w:val="FF0000"/>
                <w:sz w:val="24"/>
                <w:szCs w:val="24"/>
              </w:rPr>
            </w:pPr>
            <w:r>
              <w:rPr>
                <w:rFonts w:hint="eastAsia"/>
                <w:color w:val="FF0000"/>
                <w:sz w:val="24"/>
                <w:szCs w:val="24"/>
              </w:rPr>
              <w:t>根据《固定污染源排污许可证分类管理名录》（2019年版），项目属于第“三十七、废弃资源综合利用业，9</w:t>
            </w:r>
            <w:r>
              <w:rPr>
                <w:color w:val="FF0000"/>
                <w:sz w:val="24"/>
                <w:szCs w:val="24"/>
              </w:rPr>
              <w:t>3</w:t>
            </w:r>
            <w:r>
              <w:rPr>
                <w:rFonts w:hint="eastAsia"/>
                <w:color w:val="FF0000"/>
                <w:sz w:val="24"/>
                <w:szCs w:val="24"/>
              </w:rPr>
              <w:t>、非金属废料和碎屑加工处理4</w:t>
            </w:r>
            <w:r>
              <w:rPr>
                <w:color w:val="FF0000"/>
                <w:sz w:val="24"/>
                <w:szCs w:val="24"/>
              </w:rPr>
              <w:t>22</w:t>
            </w:r>
            <w:r>
              <w:rPr>
                <w:rFonts w:hint="eastAsia"/>
                <w:color w:val="FF0000"/>
                <w:sz w:val="24"/>
                <w:szCs w:val="24"/>
              </w:rPr>
              <w:t>”中的“废电池、废油、废轮胎加工处理”。项目属于废轮胎加工处理，属于重点管理。</w:t>
            </w:r>
          </w:p>
          <w:p>
            <w:pPr>
              <w:pStyle w:val="201"/>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根据《排污单位自行监测技术指南 废弃资源加工工业》（HJ</w:t>
            </w:r>
            <w:r>
              <w:rPr>
                <w:color w:val="000000" w:themeColor="text1"/>
                <w:sz w:val="24"/>
                <w:szCs w:val="24"/>
                <w14:textFill>
                  <w14:solidFill>
                    <w14:schemeClr w14:val="tx1"/>
                  </w14:solidFill>
                </w14:textFill>
              </w:rPr>
              <w:t xml:space="preserve"> 1034</w:t>
            </w:r>
            <w:r>
              <w:rPr>
                <w:rFonts w:hint="eastAsia"/>
                <w:color w:val="000000" w:themeColor="text1"/>
                <w:sz w:val="24"/>
                <w:szCs w:val="24"/>
                <w14:textFill>
                  <w14:solidFill>
                    <w14:schemeClr w14:val="tx1"/>
                  </w14:solidFill>
                </w14:textFill>
              </w:rPr>
              <w:t>-2017）、《排污单位自行监测技术指南 总则》（HJ819-2017）</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本项目</w:t>
            </w:r>
            <w:r>
              <w:rPr>
                <w:color w:val="000000" w:themeColor="text1"/>
                <w:sz w:val="24"/>
                <w:szCs w:val="24"/>
                <w14:textFill>
                  <w14:solidFill>
                    <w14:schemeClr w14:val="tx1"/>
                  </w14:solidFill>
                </w14:textFill>
              </w:rPr>
              <w:t>废气监测计划见表4.2-12</w:t>
            </w:r>
            <w:r>
              <w:rPr>
                <w:rFonts w:hint="eastAsia"/>
                <w:color w:val="000000" w:themeColor="text1"/>
                <w:sz w:val="24"/>
                <w:szCs w:val="24"/>
                <w14:textFill>
                  <w14:solidFill>
                    <w14:schemeClr w14:val="tx1"/>
                  </w14:solidFill>
                </w14:textFill>
              </w:rPr>
              <w:t>。</w:t>
            </w:r>
          </w:p>
          <w:p>
            <w:pPr>
              <w:pStyle w:val="72"/>
              <w:spacing w:line="240" w:lineRule="auto"/>
              <w:ind w:firstLine="0" w:firstLineChars="0"/>
              <w:jc w:val="center"/>
              <w:rPr>
                <w:rFonts w:cs="Times New Roman"/>
                <w:b/>
                <w:bCs/>
                <w:color w:val="000000" w:themeColor="text1"/>
                <w:szCs w:val="24"/>
                <w14:textFill>
                  <w14:solidFill>
                    <w14:schemeClr w14:val="tx1"/>
                  </w14:solidFill>
                </w14:textFill>
              </w:rPr>
            </w:pPr>
            <w:r>
              <w:rPr>
                <w:rFonts w:cs="Times New Roman"/>
                <w:b/>
                <w:bCs/>
                <w:color w:val="000000" w:themeColor="text1"/>
                <w:szCs w:val="24"/>
                <w14:textFill>
                  <w14:solidFill>
                    <w14:schemeClr w14:val="tx1"/>
                  </w14:solidFill>
                </w14:textFill>
              </w:rPr>
              <w:t>表4.2-</w:t>
            </w:r>
            <w:r>
              <w:rPr>
                <w:rFonts w:hint="eastAsia" w:cs="Times New Roman"/>
                <w:b/>
                <w:bCs/>
                <w:color w:val="000000" w:themeColor="text1"/>
                <w:szCs w:val="24"/>
                <w14:textFill>
                  <w14:solidFill>
                    <w14:schemeClr w14:val="tx1"/>
                  </w14:solidFill>
                </w14:textFill>
              </w:rPr>
              <w:t>1</w:t>
            </w:r>
            <w:r>
              <w:rPr>
                <w:rFonts w:cs="Times New Roman"/>
                <w:b/>
                <w:bCs/>
                <w:color w:val="000000" w:themeColor="text1"/>
                <w:szCs w:val="24"/>
                <w14:textFill>
                  <w14:solidFill>
                    <w14:schemeClr w14:val="tx1"/>
                  </w14:solidFill>
                </w14:textFill>
              </w:rPr>
              <w:t xml:space="preserve">2  </w:t>
            </w:r>
            <w:r>
              <w:rPr>
                <w:rFonts w:hint="eastAsia" w:cs="Times New Roman"/>
                <w:b/>
                <w:bCs/>
                <w:color w:val="000000" w:themeColor="text1"/>
                <w:szCs w:val="24"/>
                <w14:textFill>
                  <w14:solidFill>
                    <w14:schemeClr w14:val="tx1"/>
                  </w14:solidFill>
                </w14:textFill>
              </w:rPr>
              <w:t>废气</w:t>
            </w:r>
            <w:r>
              <w:rPr>
                <w:rFonts w:cs="Times New Roman"/>
                <w:b/>
                <w:bCs/>
                <w:color w:val="000000" w:themeColor="text1"/>
                <w:szCs w:val="24"/>
                <w14:textFill>
                  <w14:solidFill>
                    <w14:schemeClr w14:val="tx1"/>
                  </w14:solidFill>
                </w14:textFill>
              </w:rPr>
              <w:t>环境监测计划一览表</w:t>
            </w:r>
          </w:p>
          <w:tbl>
            <w:tblPr>
              <w:tblStyle w:val="36"/>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3432"/>
              <w:gridCol w:w="1559"/>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151" w:type="dxa"/>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监测点位</w:t>
                  </w:r>
                </w:p>
              </w:tc>
              <w:tc>
                <w:tcPr>
                  <w:tcW w:w="3432" w:type="dxa"/>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污染物</w:t>
                  </w:r>
                </w:p>
              </w:tc>
              <w:tc>
                <w:tcPr>
                  <w:tcW w:w="1559" w:type="dxa"/>
                  <w:vAlign w:val="center"/>
                </w:tcPr>
                <w:p>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监测频率</w:t>
                  </w:r>
                </w:p>
              </w:tc>
              <w:tc>
                <w:tcPr>
                  <w:tcW w:w="1635" w:type="dxa"/>
                  <w:vAlign w:val="center"/>
                </w:tcPr>
                <w:p>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1"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轮胎处理（D</w:t>
                  </w:r>
                  <w:r>
                    <w:rPr>
                      <w:color w:val="000000" w:themeColor="text1"/>
                      <w14:textFill>
                        <w14:solidFill>
                          <w14:schemeClr w14:val="tx1"/>
                        </w14:solidFill>
                      </w14:textFill>
                    </w:rPr>
                    <w:t>A001</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A002</w:t>
                  </w:r>
                  <w:r>
                    <w:rPr>
                      <w:rFonts w:hint="eastAsia"/>
                      <w:color w:val="000000" w:themeColor="text1"/>
                      <w14:textFill>
                        <w14:solidFill>
                          <w14:schemeClr w14:val="tx1"/>
                        </w14:solidFill>
                      </w14:textFill>
                    </w:rPr>
                    <w:t>）</w:t>
                  </w:r>
                </w:p>
              </w:tc>
              <w:tc>
                <w:tcPr>
                  <w:tcW w:w="3432"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559"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半年/次</w:t>
                  </w:r>
                </w:p>
              </w:tc>
              <w:tc>
                <w:tcPr>
                  <w:tcW w:w="1635" w:type="dxa"/>
                  <w:vMerge w:val="restart"/>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《排污单位自行监测技术指南 废弃资源加工工业》（HJ 1034-2017）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151" w:type="dxa"/>
                  <w:vMerge w:val="restart"/>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热裂解（D</w:t>
                  </w:r>
                  <w:r>
                    <w:rPr>
                      <w:color w:val="000000" w:themeColor="text1"/>
                      <w14:textFill>
                        <w14:solidFill>
                          <w14:schemeClr w14:val="tx1"/>
                        </w14:solidFill>
                      </w14:textFill>
                    </w:rPr>
                    <w:t>A003</w:t>
                  </w:r>
                  <w:r>
                    <w:rPr>
                      <w:rFonts w:hint="eastAsia"/>
                      <w:color w:val="000000" w:themeColor="text1"/>
                      <w14:textFill>
                        <w14:solidFill>
                          <w14:schemeClr w14:val="tx1"/>
                        </w14:solidFill>
                      </w14:textFill>
                    </w:rPr>
                    <w:t>）</w:t>
                  </w:r>
                </w:p>
              </w:tc>
              <w:tc>
                <w:tcPr>
                  <w:tcW w:w="3432"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颗粒物、N</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、S</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2</w:t>
                  </w:r>
                </w:p>
              </w:tc>
              <w:tc>
                <w:tcPr>
                  <w:tcW w:w="1559"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自动监测</w:t>
                  </w:r>
                </w:p>
              </w:tc>
              <w:tc>
                <w:tcPr>
                  <w:tcW w:w="1635" w:type="dxa"/>
                  <w:vMerge w:val="continue"/>
                  <w:vAlign w:val="center"/>
                </w:tcPr>
                <w:p>
                  <w:pPr>
                    <w:spacing w:line="240" w:lineRule="auto"/>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1" w:type="dxa"/>
                  <w:vMerge w:val="continue"/>
                  <w:vAlign w:val="center"/>
                </w:tcPr>
                <w:p>
                  <w:pPr>
                    <w:spacing w:line="240" w:lineRule="auto"/>
                    <w:jc w:val="center"/>
                    <w:rPr>
                      <w:color w:val="000000" w:themeColor="text1"/>
                      <w14:textFill>
                        <w14:solidFill>
                          <w14:schemeClr w14:val="tx1"/>
                        </w14:solidFill>
                      </w14:textFill>
                    </w:rPr>
                  </w:pPr>
                </w:p>
              </w:tc>
              <w:tc>
                <w:tcPr>
                  <w:tcW w:w="3432"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1559"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月/次</w:t>
                  </w:r>
                </w:p>
              </w:tc>
              <w:tc>
                <w:tcPr>
                  <w:tcW w:w="1635" w:type="dxa"/>
                  <w:vMerge w:val="continue"/>
                  <w:vAlign w:val="center"/>
                </w:tcPr>
                <w:p>
                  <w:pPr>
                    <w:spacing w:line="240" w:lineRule="auto"/>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151" w:type="dxa"/>
                  <w:vMerge w:val="continue"/>
                  <w:vAlign w:val="center"/>
                </w:tcPr>
                <w:p>
                  <w:pPr>
                    <w:spacing w:line="240" w:lineRule="auto"/>
                    <w:jc w:val="center"/>
                    <w:rPr>
                      <w:color w:val="000000" w:themeColor="text1"/>
                      <w14:textFill>
                        <w14:solidFill>
                          <w14:schemeClr w14:val="tx1"/>
                        </w14:solidFill>
                      </w14:textFill>
                    </w:rPr>
                  </w:pPr>
                </w:p>
              </w:tc>
              <w:tc>
                <w:tcPr>
                  <w:tcW w:w="3432"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、甲苯、二甲苯</w:t>
                  </w:r>
                </w:p>
              </w:tc>
              <w:tc>
                <w:tcPr>
                  <w:tcW w:w="1559"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季度/次</w:t>
                  </w:r>
                </w:p>
              </w:tc>
              <w:tc>
                <w:tcPr>
                  <w:tcW w:w="1635" w:type="dxa"/>
                  <w:vMerge w:val="continue"/>
                  <w:vAlign w:val="center"/>
                </w:tcPr>
                <w:p>
                  <w:pPr>
                    <w:spacing w:line="240" w:lineRule="auto"/>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1" w:type="dxa"/>
                  <w:vMerge w:val="continue"/>
                  <w:vAlign w:val="center"/>
                </w:tcPr>
                <w:p>
                  <w:pPr>
                    <w:spacing w:line="240" w:lineRule="auto"/>
                    <w:jc w:val="center"/>
                    <w:rPr>
                      <w:color w:val="000000" w:themeColor="text1"/>
                      <w14:textFill>
                        <w14:solidFill>
                          <w14:schemeClr w14:val="tx1"/>
                        </w14:solidFill>
                      </w14:textFill>
                    </w:rPr>
                  </w:pPr>
                </w:p>
              </w:tc>
              <w:tc>
                <w:tcPr>
                  <w:tcW w:w="3432"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二噁英类、林格曼黑度、臭气浓度</w:t>
                  </w:r>
                </w:p>
              </w:tc>
              <w:tc>
                <w:tcPr>
                  <w:tcW w:w="1559"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年/次</w:t>
                  </w:r>
                </w:p>
              </w:tc>
              <w:tc>
                <w:tcPr>
                  <w:tcW w:w="1635" w:type="dxa"/>
                  <w:vMerge w:val="continue"/>
                  <w:vAlign w:val="center"/>
                </w:tcPr>
                <w:p>
                  <w:pPr>
                    <w:spacing w:line="240" w:lineRule="auto"/>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151"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炭黑加工（D</w:t>
                  </w:r>
                  <w:r>
                    <w:rPr>
                      <w:color w:val="000000" w:themeColor="text1"/>
                      <w14:textFill>
                        <w14:solidFill>
                          <w14:schemeClr w14:val="tx1"/>
                        </w14:solidFill>
                      </w14:textFill>
                    </w:rPr>
                    <w:t>A004</w:t>
                  </w:r>
                  <w:r>
                    <w:rPr>
                      <w:rFonts w:hint="eastAsia"/>
                      <w:color w:val="000000" w:themeColor="text1"/>
                      <w14:textFill>
                        <w14:solidFill>
                          <w14:schemeClr w14:val="tx1"/>
                        </w14:solidFill>
                      </w14:textFill>
                    </w:rPr>
                    <w:t>）</w:t>
                  </w:r>
                </w:p>
              </w:tc>
              <w:tc>
                <w:tcPr>
                  <w:tcW w:w="3432"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炭黑尘</w:t>
                  </w:r>
                </w:p>
              </w:tc>
              <w:tc>
                <w:tcPr>
                  <w:tcW w:w="1559"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半年/次</w:t>
                  </w:r>
                </w:p>
              </w:tc>
              <w:tc>
                <w:tcPr>
                  <w:tcW w:w="1635" w:type="dxa"/>
                  <w:vMerge w:val="continue"/>
                  <w:vAlign w:val="center"/>
                </w:tcPr>
                <w:p>
                  <w:pPr>
                    <w:spacing w:line="240" w:lineRule="auto"/>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1"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厂界</w:t>
                  </w:r>
                </w:p>
              </w:tc>
              <w:tc>
                <w:tcPr>
                  <w:tcW w:w="3432"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非甲烷总烃、颗粒物、H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、臭气浓度</w:t>
                  </w:r>
                </w:p>
              </w:tc>
              <w:tc>
                <w:tcPr>
                  <w:tcW w:w="1559"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半年/次</w:t>
                  </w:r>
                </w:p>
              </w:tc>
              <w:tc>
                <w:tcPr>
                  <w:tcW w:w="1635" w:type="dxa"/>
                  <w:vMerge w:val="continue"/>
                  <w:vAlign w:val="center"/>
                </w:tcPr>
                <w:p>
                  <w:pPr>
                    <w:spacing w:line="240" w:lineRule="auto"/>
                    <w:jc w:val="center"/>
                    <w:rPr>
                      <w:color w:val="000000" w:themeColor="text1"/>
                      <w14:textFill>
                        <w14:solidFill>
                          <w14:schemeClr w14:val="tx1"/>
                        </w14:solidFill>
                      </w14:textFill>
                    </w:rPr>
                  </w:pPr>
                </w:p>
              </w:tc>
            </w:tr>
          </w:tbl>
          <w:p>
            <w:pPr>
              <w:pStyle w:val="72"/>
              <w:ind w:firstLine="0" w:firstLineChars="0"/>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4.2.2废水</w:t>
            </w:r>
          </w:p>
          <w:p>
            <w:pPr>
              <w:pStyle w:val="72"/>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1</w:t>
            </w:r>
            <w:r>
              <w:rPr>
                <w:rFonts w:hint="eastAsia" w:cs="Times New Roman"/>
                <w:b/>
                <w:color w:val="000000" w:themeColor="text1"/>
                <w14:textFill>
                  <w14:solidFill>
                    <w14:schemeClr w14:val="tx1"/>
                  </w14:solidFill>
                </w14:textFill>
              </w:rPr>
              <w:t>、</w:t>
            </w:r>
            <w:r>
              <w:rPr>
                <w:rFonts w:cs="Times New Roman"/>
                <w:b/>
                <w:color w:val="000000" w:themeColor="text1"/>
                <w14:textFill>
                  <w14:solidFill>
                    <w14:schemeClr w14:val="tx1"/>
                  </w14:solidFill>
                </w14:textFill>
              </w:rPr>
              <w:t>运营期废水产排情况及治理措施</w:t>
            </w:r>
          </w:p>
          <w:p>
            <w:pPr>
              <w:pStyle w:val="72"/>
              <w:ind w:firstLine="480"/>
              <w:rPr>
                <w:rFonts w:cs="Times New Roman"/>
                <w:bCs/>
                <w:color w:val="000000" w:themeColor="text1"/>
                <w:szCs w:val="24"/>
                <w14:textFill>
                  <w14:solidFill>
                    <w14:schemeClr w14:val="tx1"/>
                  </w14:solidFill>
                </w14:textFill>
              </w:rPr>
            </w:pPr>
            <w:r>
              <w:rPr>
                <w:rFonts w:hint="eastAsia" w:cs="Times New Roman"/>
                <w:bCs/>
                <w:color w:val="000000" w:themeColor="text1"/>
                <w:szCs w:val="24"/>
                <w14:textFill>
                  <w14:solidFill>
                    <w14:schemeClr w14:val="tx1"/>
                  </w14:solidFill>
                </w14:textFill>
              </w:rPr>
              <w:t>（1）水污染物源强核算</w:t>
            </w:r>
          </w:p>
          <w:p>
            <w:pPr>
              <w:pStyle w:val="223"/>
              <w:autoSpaceDE w:val="0"/>
              <w:autoSpaceDN w:val="0"/>
              <w:spacing w:line="360" w:lineRule="auto"/>
              <w:ind w:firstLine="496" w:firstLineChars="200"/>
              <w:textAlignment w:val="baseline"/>
              <w:outlineLvl w:val="9"/>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项目废水主要有生活污水、食堂废水、热裂解油水分离废水、地面冲洗废水、循环冷却排污水、水封罐排污水、脱硫系统排水、初期雨水。结合水平衡分析，确定项目废水水质及产生情况见下表。</w:t>
            </w:r>
          </w:p>
          <w:p>
            <w:pPr>
              <w:pStyle w:val="223"/>
              <w:autoSpaceDE w:val="0"/>
              <w:autoSpaceDN w:val="0"/>
              <w:spacing w:line="240" w:lineRule="auto"/>
              <w:ind w:firstLine="0"/>
              <w:jc w:val="center"/>
              <w:textAlignment w:val="baseline"/>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表4</w:t>
            </w:r>
            <w:r>
              <w:rPr>
                <w:b/>
                <w:color w:val="000000" w:themeColor="text1"/>
                <w:sz w:val="24"/>
                <w14:textFill>
                  <w14:solidFill>
                    <w14:schemeClr w14:val="tx1"/>
                  </w14:solidFill>
                </w14:textFill>
              </w:rPr>
              <w:t>.2</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 xml:space="preserve">13  </w:t>
            </w:r>
            <w:r>
              <w:rPr>
                <w:rFonts w:hint="eastAsia"/>
                <w:b/>
                <w:color w:val="000000" w:themeColor="text1"/>
                <w:sz w:val="24"/>
                <w14:textFill>
                  <w14:solidFill>
                    <w14:schemeClr w14:val="tx1"/>
                  </w14:solidFill>
                </w14:textFill>
              </w:rPr>
              <w:t>项目废水产生情况一览表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850"/>
              <w:gridCol w:w="1560"/>
              <w:gridCol w:w="2693"/>
              <w:gridCol w:w="2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gridSpan w:val="2"/>
                  <w:shd w:val="clear" w:color="auto" w:fill="auto"/>
                  <w:vAlign w:val="center"/>
                </w:tcPr>
                <w:p>
                  <w:pPr>
                    <w:pStyle w:val="223"/>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废水污染源</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a）</w:t>
                  </w:r>
                </w:p>
              </w:tc>
              <w:tc>
                <w:tcPr>
                  <w:tcW w:w="2693" w:type="dxa"/>
                  <w:shd w:val="clear" w:color="auto" w:fill="auto"/>
                  <w:vAlign w:val="center"/>
                </w:tcPr>
                <w:p>
                  <w:pPr>
                    <w:pStyle w:val="223"/>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主要污染物</w:t>
                  </w:r>
                </w:p>
              </w:tc>
              <w:tc>
                <w:tcPr>
                  <w:tcW w:w="2831" w:type="dxa"/>
                  <w:shd w:val="clear" w:color="auto" w:fill="auto"/>
                  <w:vAlign w:val="center"/>
                </w:tcPr>
                <w:p>
                  <w:pPr>
                    <w:pStyle w:val="223"/>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一期</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40</w:t>
                  </w:r>
                </w:p>
              </w:tc>
              <w:tc>
                <w:tcPr>
                  <w:tcW w:w="2693"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OD</w:t>
                  </w: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50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r>
                    <w:rPr>
                      <w:rFonts w:hint="eastAsia"/>
                      <w:color w:val="000000" w:themeColor="text1"/>
                      <w:szCs w:val="21"/>
                      <w14:textFill>
                        <w14:solidFill>
                          <w14:schemeClr w14:val="tx1"/>
                        </w14:solidFill>
                      </w14:textFill>
                    </w:rPr>
                    <w:t>、B</w:t>
                  </w:r>
                  <w:r>
                    <w:rPr>
                      <w:color w:val="000000" w:themeColor="text1"/>
                      <w:szCs w:val="21"/>
                      <w14:textFill>
                        <w14:solidFill>
                          <w14:schemeClr w14:val="tx1"/>
                        </w14:solidFill>
                      </w14:textFill>
                    </w:rPr>
                    <w:t>OD</w:t>
                  </w:r>
                  <w:r>
                    <w:rPr>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50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r>
                    <w:rPr>
                      <w:rFonts w:hint="eastAsia"/>
                      <w:color w:val="000000" w:themeColor="text1"/>
                      <w:szCs w:val="21"/>
                      <w14:textFill>
                        <w14:solidFill>
                          <w14:schemeClr w14:val="tx1"/>
                        </w14:solidFill>
                      </w14:textFill>
                    </w:rPr>
                    <w:t>、总磷：5mg</w:t>
                  </w:r>
                  <w:r>
                    <w:rPr>
                      <w:color w:val="000000" w:themeColor="text1"/>
                      <w:szCs w:val="21"/>
                      <w14:textFill>
                        <w14:solidFill>
                          <w14:schemeClr w14:val="tx1"/>
                        </w14:solidFill>
                      </w14:textFill>
                    </w:rPr>
                    <w:t>/L</w:t>
                  </w:r>
                </w:p>
              </w:tc>
              <w:tc>
                <w:tcPr>
                  <w:tcW w:w="2831"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经生化池处理后排入双桥园区污水处理厂深度处理。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二期</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70</w:t>
                  </w:r>
                </w:p>
              </w:tc>
              <w:tc>
                <w:tcPr>
                  <w:tcW w:w="2693"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831"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总体</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10</w:t>
                  </w:r>
                </w:p>
              </w:tc>
              <w:tc>
                <w:tcPr>
                  <w:tcW w:w="2693"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831"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食堂废水</w:t>
                  </w: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一期</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32</w:t>
                  </w:r>
                </w:p>
              </w:tc>
              <w:tc>
                <w:tcPr>
                  <w:tcW w:w="2693"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OD</w:t>
                  </w: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r>
                    <w:rPr>
                      <w:rFonts w:hint="eastAsia"/>
                      <w:color w:val="000000" w:themeColor="text1"/>
                      <w:szCs w:val="21"/>
                      <w14:textFill>
                        <w14:solidFill>
                          <w14:schemeClr w14:val="tx1"/>
                        </w14:solidFill>
                      </w14:textFill>
                    </w:rPr>
                    <w:t>、B</w:t>
                  </w:r>
                  <w:r>
                    <w:rPr>
                      <w:color w:val="000000" w:themeColor="text1"/>
                      <w:szCs w:val="21"/>
                      <w14:textFill>
                        <w14:solidFill>
                          <w14:schemeClr w14:val="tx1"/>
                        </w14:solidFill>
                      </w14:textFill>
                    </w:rPr>
                    <w:t>OD</w:t>
                  </w:r>
                  <w:r>
                    <w:rPr>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r>
                    <w:rPr>
                      <w:rFonts w:hint="eastAsia"/>
                      <w:color w:val="000000" w:themeColor="text1"/>
                      <w:szCs w:val="21"/>
                      <w14:textFill>
                        <w14:solidFill>
                          <w14:schemeClr w14:val="tx1"/>
                        </w14:solidFill>
                      </w14:textFill>
                    </w:rPr>
                    <w:t>、动植物油：5</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p>
              </w:tc>
              <w:tc>
                <w:tcPr>
                  <w:tcW w:w="2831"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经隔油池预处理后排入厂区生化池，处理后排入双桥园区污水处理厂深度处理。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二期</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16</w:t>
                  </w:r>
                </w:p>
              </w:tc>
              <w:tc>
                <w:tcPr>
                  <w:tcW w:w="2693"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831"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总体</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48</w:t>
                  </w:r>
                </w:p>
              </w:tc>
              <w:tc>
                <w:tcPr>
                  <w:tcW w:w="2693"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831"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热裂解油水分离废水</w:t>
                  </w: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693"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OD</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、石油类</w:t>
                  </w:r>
                </w:p>
              </w:tc>
              <w:tc>
                <w:tcPr>
                  <w:tcW w:w="2831"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雾化处理后喷入二燃室燃烧处理。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循环冷却系统排污水</w:t>
                  </w: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一期</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2160</w:t>
                  </w:r>
                </w:p>
              </w:tc>
              <w:tc>
                <w:tcPr>
                  <w:tcW w:w="2693"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OD</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60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p>
              </w:tc>
              <w:tc>
                <w:tcPr>
                  <w:tcW w:w="2831"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排入生化池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二期</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320</w:t>
                  </w:r>
                </w:p>
              </w:tc>
              <w:tc>
                <w:tcPr>
                  <w:tcW w:w="2693"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831"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总体</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480</w:t>
                  </w:r>
                </w:p>
              </w:tc>
              <w:tc>
                <w:tcPr>
                  <w:tcW w:w="2693"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831"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脱硫系统排水</w:t>
                  </w: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一期</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76</w:t>
                  </w:r>
                </w:p>
              </w:tc>
              <w:tc>
                <w:tcPr>
                  <w:tcW w:w="2693"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~9</w:t>
                  </w:r>
                  <w:r>
                    <w:rPr>
                      <w:rFonts w:hint="eastAsia"/>
                      <w:color w:val="000000" w:themeColor="text1"/>
                      <w:szCs w:val="21"/>
                      <w14:textFill>
                        <w14:solidFill>
                          <w14:schemeClr w14:val="tx1"/>
                        </w14:solidFill>
                      </w14:textFill>
                    </w:rPr>
                    <w:t>、盐类</w:t>
                  </w:r>
                </w:p>
              </w:tc>
              <w:tc>
                <w:tcPr>
                  <w:tcW w:w="2831"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排入生产废水处理设施预处理后，排入厂区生化池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二期</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52</w:t>
                  </w:r>
                </w:p>
              </w:tc>
              <w:tc>
                <w:tcPr>
                  <w:tcW w:w="2693"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831"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总体</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28</w:t>
                  </w:r>
                </w:p>
              </w:tc>
              <w:tc>
                <w:tcPr>
                  <w:tcW w:w="2693"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831"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水封罐更换污水</w:t>
                  </w: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一期</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8.24</w:t>
                  </w:r>
                </w:p>
              </w:tc>
              <w:tc>
                <w:tcPr>
                  <w:tcW w:w="2693"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、石油类</w:t>
                  </w:r>
                </w:p>
              </w:tc>
              <w:tc>
                <w:tcPr>
                  <w:tcW w:w="2831"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雾化处理后进二燃室燃烧处理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二期</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6.48</w:t>
                  </w:r>
                </w:p>
              </w:tc>
              <w:tc>
                <w:tcPr>
                  <w:tcW w:w="2693"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831"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总体</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4.72</w:t>
                  </w:r>
                </w:p>
              </w:tc>
              <w:tc>
                <w:tcPr>
                  <w:tcW w:w="2693"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831"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地面冲洗废水</w:t>
                  </w: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一期</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1.34</w:t>
                  </w:r>
                </w:p>
              </w:tc>
              <w:tc>
                <w:tcPr>
                  <w:tcW w:w="2693"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OD</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r>
                    <w:rPr>
                      <w:rFonts w:hint="eastAsia"/>
                      <w:color w:val="000000" w:themeColor="text1"/>
                      <w:szCs w:val="21"/>
                      <w14:textFill>
                        <w14:solidFill>
                          <w14:schemeClr w14:val="tx1"/>
                        </w14:solidFill>
                      </w14:textFill>
                    </w:rPr>
                    <w:t>、石油类：</w:t>
                  </w:r>
                  <w:r>
                    <w:rPr>
                      <w:color w:val="000000" w:themeColor="text1"/>
                      <w:szCs w:val="21"/>
                      <w14:textFill>
                        <w14:solidFill>
                          <w14:schemeClr w14:val="tx1"/>
                        </w14:solidFill>
                      </w14:textFill>
                    </w:rPr>
                    <w:t>100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200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p>
              </w:tc>
              <w:tc>
                <w:tcPr>
                  <w:tcW w:w="2831" w:type="dxa"/>
                  <w:vMerge w:val="restart"/>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排入生产废水处理设施预处理后，排入厂区生化池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二期</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2.69</w:t>
                  </w:r>
                </w:p>
              </w:tc>
              <w:tc>
                <w:tcPr>
                  <w:tcW w:w="2693"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831"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总体</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24.03</w:t>
                  </w:r>
                </w:p>
              </w:tc>
              <w:tc>
                <w:tcPr>
                  <w:tcW w:w="2693"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831" w:type="dxa"/>
                  <w:vMerge w:val="continue"/>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初期雨水</w:t>
                  </w:r>
                </w:p>
              </w:tc>
              <w:tc>
                <w:tcPr>
                  <w:tcW w:w="85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60"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2.36</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d，</w:t>
                  </w:r>
                  <w:r>
                    <w:rPr>
                      <w:color w:val="000000" w:themeColor="text1"/>
                      <w:szCs w:val="21"/>
                      <w14:textFill>
                        <w14:solidFill>
                          <w14:schemeClr w14:val="tx1"/>
                        </w14:solidFill>
                      </w14:textFill>
                    </w:rPr>
                    <w:t>709</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次</w:t>
                  </w:r>
                </w:p>
              </w:tc>
              <w:tc>
                <w:tcPr>
                  <w:tcW w:w="2693"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9</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:15</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r>
                    <w:rPr>
                      <w:rFonts w:hint="eastAsia"/>
                      <w:color w:val="000000" w:themeColor="text1"/>
                      <w:szCs w:val="21"/>
                      <w14:textFill>
                        <w14:solidFill>
                          <w14:schemeClr w14:val="tx1"/>
                        </w14:solidFill>
                      </w14:textFill>
                    </w:rPr>
                    <w:t>、石油类：4</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p>
              </w:tc>
              <w:tc>
                <w:tcPr>
                  <w:tcW w:w="2831" w:type="dxa"/>
                  <w:shd w:val="clear" w:color="auto" w:fill="auto"/>
                  <w:vAlign w:val="center"/>
                </w:tcPr>
                <w:p>
                  <w:pPr>
                    <w:pStyle w:val="223"/>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初期雨水池收集，然后少量多次转移至生产废水处理设施预处理后排入厂区生化池</w:t>
                  </w:r>
                </w:p>
              </w:tc>
            </w:tr>
          </w:tbl>
          <w:p>
            <w:pPr>
              <w:pStyle w:val="223"/>
              <w:autoSpaceDE w:val="0"/>
              <w:autoSpaceDN w:val="0"/>
              <w:spacing w:line="360" w:lineRule="auto"/>
              <w:ind w:firstLine="496" w:firstLineChars="200"/>
              <w:textAlignment w:val="baseline"/>
              <w:rPr>
                <w:bCs/>
                <w:color w:val="FF0000"/>
                <w:sz w:val="24"/>
              </w:rPr>
            </w:pPr>
            <w:r>
              <w:rPr>
                <w:rFonts w:hint="eastAsia"/>
                <w:color w:val="FF0000"/>
                <w:sz w:val="24"/>
              </w:rPr>
              <w:t>初期雨水：项目厂区地面全部为硬化地面，贮存及运输过程中可能有各种污染物滴漏、散落在露天场地及路面上，下雨形成地表径流，污染物会随径流带入周边水体，造成一定的环境污染。根据《排污许可证申请与核发技术规范 废弃资源加工工业》（H</w:t>
            </w:r>
            <w:r>
              <w:rPr>
                <w:color w:val="FF0000"/>
                <w:sz w:val="24"/>
              </w:rPr>
              <w:t>J 1034-2019</w:t>
            </w:r>
            <w:r>
              <w:rPr>
                <w:rFonts w:hint="eastAsia"/>
                <w:color w:val="FF0000"/>
                <w:sz w:val="24"/>
              </w:rPr>
              <w:t>）表2</w:t>
            </w:r>
            <w:r>
              <w:rPr>
                <w:color w:val="FF0000"/>
                <w:sz w:val="24"/>
              </w:rPr>
              <w:t>4</w:t>
            </w:r>
            <w:r>
              <w:rPr>
                <w:rFonts w:hint="eastAsia"/>
                <w:color w:val="FF0000"/>
                <w:sz w:val="24"/>
              </w:rPr>
              <w:t>，初期雨水需要进入厂区综合污水处理设施进行处理后排放。本次评价要求建设单位对厂区露天面积的初期雨水进行收集处理。根据</w:t>
            </w:r>
            <w:r>
              <w:rPr>
                <w:rFonts w:hint="eastAsia"/>
                <w:bCs/>
                <w:color w:val="FF0000"/>
                <w:sz w:val="24"/>
              </w:rPr>
              <w:t>《重庆市暴雨强度修订公式与设计暴雨雨型》中大足区暴雨强度计算公式：</w:t>
            </w:r>
          </w:p>
          <w:p>
            <w:pPr>
              <w:pStyle w:val="223"/>
              <w:autoSpaceDE w:val="0"/>
              <w:autoSpaceDN w:val="0"/>
              <w:spacing w:line="240" w:lineRule="auto"/>
              <w:ind w:firstLine="0"/>
              <w:jc w:val="center"/>
              <w:textAlignment w:val="baseline"/>
              <w:rPr>
                <w:color w:val="FF0000"/>
                <w:sz w:val="24"/>
              </w:rPr>
            </w:pPr>
            <w:r>
              <w:rPr>
                <w:color w:val="FF0000"/>
                <w:position w:val="-30"/>
                <w:sz w:val="24"/>
              </w:rPr>
              <w:drawing>
                <wp:inline distT="0" distB="0" distL="0" distR="0">
                  <wp:extent cx="1558290" cy="453390"/>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558290" cy="453390"/>
                          </a:xfrm>
                          <a:prstGeom prst="rect">
                            <a:avLst/>
                          </a:prstGeom>
                          <a:noFill/>
                          <a:ln>
                            <a:noFill/>
                          </a:ln>
                        </pic:spPr>
                      </pic:pic>
                    </a:graphicData>
                  </a:graphic>
                </wp:inline>
              </w:drawing>
            </w:r>
          </w:p>
          <w:p>
            <w:pPr>
              <w:pStyle w:val="223"/>
              <w:autoSpaceDE w:val="0"/>
              <w:autoSpaceDN w:val="0"/>
              <w:spacing w:line="360" w:lineRule="auto"/>
              <w:ind w:firstLine="496" w:firstLineChars="200"/>
              <w:textAlignment w:val="baseline"/>
              <w:rPr>
                <w:color w:val="FF0000"/>
                <w:sz w:val="24"/>
              </w:rPr>
            </w:pPr>
            <w:r>
              <w:rPr>
                <w:rFonts w:hint="eastAsia"/>
                <w:color w:val="FF0000"/>
                <w:sz w:val="24"/>
              </w:rPr>
              <w:t>式中：q—暴雨强度，L</w:t>
            </w:r>
            <w:r>
              <w:rPr>
                <w:color w:val="FF0000"/>
                <w:sz w:val="24"/>
              </w:rPr>
              <w:t>/</w:t>
            </w:r>
            <w:r>
              <w:rPr>
                <w:rFonts w:hint="eastAsia"/>
                <w:color w:val="FF0000"/>
                <w:sz w:val="24"/>
              </w:rPr>
              <w:t>s·ha；</w:t>
            </w:r>
          </w:p>
          <w:p>
            <w:pPr>
              <w:pStyle w:val="223"/>
              <w:autoSpaceDE w:val="0"/>
              <w:autoSpaceDN w:val="0"/>
              <w:spacing w:line="360" w:lineRule="auto"/>
              <w:ind w:firstLine="1240" w:firstLineChars="500"/>
              <w:textAlignment w:val="baseline"/>
              <w:rPr>
                <w:color w:val="FF0000"/>
                <w:sz w:val="24"/>
              </w:rPr>
            </w:pPr>
            <w:r>
              <w:rPr>
                <w:rFonts w:hint="eastAsia"/>
                <w:color w:val="FF0000"/>
                <w:sz w:val="24"/>
              </w:rPr>
              <w:t>P—重现年，年；</w:t>
            </w:r>
          </w:p>
          <w:p>
            <w:pPr>
              <w:pStyle w:val="223"/>
              <w:autoSpaceDE w:val="0"/>
              <w:autoSpaceDN w:val="0"/>
              <w:spacing w:line="360" w:lineRule="auto"/>
              <w:ind w:firstLine="1240" w:firstLineChars="500"/>
              <w:textAlignment w:val="baseline"/>
              <w:rPr>
                <w:color w:val="FF0000"/>
                <w:sz w:val="24"/>
              </w:rPr>
            </w:pPr>
            <w:r>
              <w:rPr>
                <w:rFonts w:hint="eastAsia"/>
                <w:color w:val="FF0000"/>
                <w:sz w:val="24"/>
              </w:rPr>
              <w:t>t—降雨历时，min。</w:t>
            </w:r>
          </w:p>
          <w:p>
            <w:pPr>
              <w:pStyle w:val="223"/>
              <w:autoSpaceDE w:val="0"/>
              <w:autoSpaceDN w:val="0"/>
              <w:spacing w:line="360" w:lineRule="auto"/>
              <w:ind w:firstLine="496" w:firstLineChars="200"/>
              <w:textAlignment w:val="baseline"/>
              <w:rPr>
                <w:color w:val="FF0000"/>
                <w:sz w:val="24"/>
              </w:rPr>
            </w:pPr>
            <w:r>
              <w:rPr>
                <w:rFonts w:hint="eastAsia"/>
                <w:color w:val="FF0000"/>
                <w:sz w:val="24"/>
              </w:rPr>
              <w:t>根据重庆及场区地理特征，重现期P取2年，降雨历时取1</w:t>
            </w:r>
            <w:r>
              <w:rPr>
                <w:color w:val="FF0000"/>
                <w:sz w:val="24"/>
              </w:rPr>
              <w:t>5</w:t>
            </w:r>
            <w:r>
              <w:rPr>
                <w:rFonts w:hint="eastAsia"/>
                <w:color w:val="FF0000"/>
                <w:sz w:val="24"/>
              </w:rPr>
              <w:t>min，计算出暴雨强度q=</w:t>
            </w:r>
            <w:r>
              <w:rPr>
                <w:color w:val="FF0000"/>
                <w:sz w:val="24"/>
              </w:rPr>
              <w:t>213L/</w:t>
            </w:r>
            <w:r>
              <w:rPr>
                <w:rFonts w:hint="eastAsia"/>
                <w:color w:val="FF0000"/>
                <w:sz w:val="24"/>
              </w:rPr>
              <w:t>s·ha。</w:t>
            </w:r>
          </w:p>
          <w:p>
            <w:pPr>
              <w:pStyle w:val="223"/>
              <w:autoSpaceDE w:val="0"/>
              <w:autoSpaceDN w:val="0"/>
              <w:spacing w:line="360" w:lineRule="auto"/>
              <w:ind w:firstLine="496" w:firstLineChars="200"/>
              <w:textAlignment w:val="baseline"/>
              <w:rPr>
                <w:color w:val="FF0000"/>
                <w:sz w:val="24"/>
              </w:rPr>
            </w:pPr>
            <w:r>
              <w:rPr>
                <w:rFonts w:hint="eastAsia"/>
                <w:color w:val="FF0000"/>
                <w:sz w:val="24"/>
              </w:rPr>
              <w:t>初期雨水量：</w:t>
            </w:r>
          </w:p>
          <w:p>
            <w:pPr>
              <w:pStyle w:val="223"/>
              <w:autoSpaceDE w:val="0"/>
              <w:autoSpaceDN w:val="0"/>
              <w:spacing w:line="240" w:lineRule="auto"/>
              <w:ind w:firstLine="0"/>
              <w:textAlignment w:val="baseline"/>
              <w:rPr>
                <w:color w:val="FF0000"/>
                <w:sz w:val="24"/>
              </w:rPr>
            </w:pPr>
            <m:oMathPara>
              <m:oMath>
                <m:r>
                  <m:rPr>
                    <m:sty m:val="p"/>
                  </m:rPr>
                  <w:rPr>
                    <w:rFonts w:ascii="Cambria Math" w:hAnsi="Cambria Math"/>
                    <w:color w:val="FF0000"/>
                    <w:sz w:val="24"/>
                  </w:rPr>
                  <m:t>Q=</m:t>
                </m:r>
                <m:r>
                  <m:rPr>
                    <m:sty m:val="p"/>
                  </m:rPr>
                  <w:rPr>
                    <w:rFonts w:hint="eastAsia" w:ascii="Cambria Math" w:hAnsi="Cambria Math"/>
                    <w:color w:val="FF0000"/>
                    <w:sz w:val="24"/>
                  </w:rPr>
                  <m:t>q</m:t>
                </m:r>
                <m:r>
                  <m:rPr>
                    <m:sty m:val="p"/>
                  </m:rPr>
                  <w:rPr>
                    <w:rFonts w:ascii="Cambria Math" w:hAnsi="Cambria Math"/>
                    <w:color w:val="FF0000"/>
                    <w:sz w:val="24"/>
                  </w:rPr>
                  <m:t>FφT</m:t>
                </m:r>
              </m:oMath>
            </m:oMathPara>
          </w:p>
          <w:p>
            <w:pPr>
              <w:pStyle w:val="223"/>
              <w:autoSpaceDE w:val="0"/>
              <w:autoSpaceDN w:val="0"/>
              <w:spacing w:line="360" w:lineRule="auto"/>
              <w:ind w:firstLine="496" w:firstLineChars="200"/>
              <w:textAlignment w:val="baseline"/>
              <w:rPr>
                <w:color w:val="FF0000"/>
                <w:sz w:val="24"/>
              </w:rPr>
            </w:pPr>
            <w:r>
              <w:rPr>
                <w:rFonts w:hint="eastAsia"/>
                <w:color w:val="FF0000"/>
                <w:sz w:val="24"/>
              </w:rPr>
              <w:t>式中：F—汇水面积，ha；</w:t>
            </w:r>
          </w:p>
          <w:p>
            <w:pPr>
              <w:pStyle w:val="223"/>
              <w:autoSpaceDE w:val="0"/>
              <w:autoSpaceDN w:val="0"/>
              <w:spacing w:line="360" w:lineRule="auto"/>
              <w:ind w:firstLine="1240" w:firstLineChars="500"/>
              <w:textAlignment w:val="baseline"/>
              <w:rPr>
                <w:color w:val="FF0000"/>
                <w:sz w:val="24"/>
              </w:rPr>
            </w:pPr>
            <w:r>
              <w:rPr>
                <w:rFonts w:hint="eastAsia"/>
                <w:color w:val="FF0000"/>
                <w:sz w:val="24"/>
              </w:rPr>
              <w:t>φ—径流系数；</w:t>
            </w:r>
          </w:p>
          <w:p>
            <w:pPr>
              <w:pStyle w:val="223"/>
              <w:autoSpaceDE w:val="0"/>
              <w:autoSpaceDN w:val="0"/>
              <w:spacing w:line="360" w:lineRule="auto"/>
              <w:ind w:firstLine="1240" w:firstLineChars="500"/>
              <w:textAlignment w:val="baseline"/>
              <w:rPr>
                <w:color w:val="FF0000"/>
                <w:sz w:val="24"/>
              </w:rPr>
            </w:pPr>
            <w:r>
              <w:rPr>
                <w:rFonts w:hint="eastAsia"/>
                <w:color w:val="FF0000"/>
                <w:sz w:val="24"/>
              </w:rPr>
              <w:t>T—集水时间，s。</w:t>
            </w:r>
          </w:p>
          <w:p>
            <w:pPr>
              <w:pStyle w:val="223"/>
              <w:autoSpaceDE w:val="0"/>
              <w:autoSpaceDN w:val="0"/>
              <w:spacing w:line="360" w:lineRule="auto"/>
              <w:ind w:firstLine="496" w:firstLineChars="200"/>
              <w:textAlignment w:val="baseline"/>
              <w:rPr>
                <w:color w:val="FF0000"/>
                <w:sz w:val="24"/>
              </w:rPr>
            </w:pPr>
            <w:r>
              <w:rPr>
                <w:rFonts w:hint="eastAsia"/>
                <w:color w:val="FF0000"/>
                <w:sz w:val="24"/>
              </w:rPr>
              <w:t>本项目厂区汇水面积（除绿化面积）约</w:t>
            </w:r>
            <w:r>
              <w:rPr>
                <w:color w:val="FF0000"/>
                <w:sz w:val="24"/>
              </w:rPr>
              <w:t>41066</w:t>
            </w:r>
            <w:r>
              <w:rPr>
                <w:rFonts w:hint="eastAsia"/>
                <w:color w:val="FF0000"/>
                <w:sz w:val="24"/>
              </w:rPr>
              <w:t>m</w:t>
            </w:r>
            <w:r>
              <w:rPr>
                <w:color w:val="FF0000"/>
                <w:sz w:val="24"/>
                <w:vertAlign w:val="superscript"/>
              </w:rPr>
              <w:t>2</w:t>
            </w:r>
            <w:r>
              <w:rPr>
                <w:rFonts w:hint="eastAsia"/>
                <w:color w:val="FF0000"/>
                <w:sz w:val="24"/>
              </w:rPr>
              <w:t>（</w:t>
            </w:r>
            <w:r>
              <w:rPr>
                <w:color w:val="FF0000"/>
                <w:sz w:val="24"/>
              </w:rPr>
              <w:t>4.1066</w:t>
            </w:r>
            <w:r>
              <w:rPr>
                <w:rFonts w:hint="eastAsia"/>
                <w:color w:val="FF0000"/>
                <w:sz w:val="24"/>
              </w:rPr>
              <w:t>ha），径流系数取0</w:t>
            </w:r>
            <w:r>
              <w:rPr>
                <w:color w:val="FF0000"/>
                <w:sz w:val="24"/>
              </w:rPr>
              <w:t>.9</w:t>
            </w:r>
            <w:r>
              <w:rPr>
                <w:rFonts w:hint="eastAsia"/>
                <w:color w:val="FF0000"/>
                <w:sz w:val="24"/>
              </w:rPr>
              <w:t>，计算出1</w:t>
            </w:r>
            <w:r>
              <w:rPr>
                <w:color w:val="FF0000"/>
                <w:sz w:val="24"/>
              </w:rPr>
              <w:t>5</w:t>
            </w:r>
            <w:r>
              <w:rPr>
                <w:rFonts w:hint="eastAsia"/>
                <w:color w:val="FF0000"/>
                <w:sz w:val="24"/>
              </w:rPr>
              <w:t>min初期雨水量Q</w:t>
            </w:r>
            <w:r>
              <w:rPr>
                <w:color w:val="FF0000"/>
                <w:sz w:val="24"/>
              </w:rPr>
              <w:t>=709</w:t>
            </w:r>
            <w:r>
              <w:rPr>
                <w:rFonts w:hint="eastAsia"/>
                <w:color w:val="FF0000"/>
                <w:sz w:val="24"/>
              </w:rPr>
              <w:t>m</w:t>
            </w:r>
            <w:r>
              <w:rPr>
                <w:color w:val="FF0000"/>
                <w:sz w:val="24"/>
                <w:vertAlign w:val="superscript"/>
              </w:rPr>
              <w:t>3</w:t>
            </w:r>
            <w:r>
              <w:rPr>
                <w:color w:val="FF0000"/>
                <w:sz w:val="24"/>
              </w:rPr>
              <w:t>/</w:t>
            </w:r>
            <w:r>
              <w:rPr>
                <w:rFonts w:hint="eastAsia"/>
                <w:color w:val="FF0000"/>
                <w:sz w:val="24"/>
              </w:rPr>
              <w:t>次。初期雨水主要污染物浓度p</w:t>
            </w:r>
            <w:r>
              <w:rPr>
                <w:color w:val="FF0000"/>
                <w:sz w:val="24"/>
              </w:rPr>
              <w:t>H6</w:t>
            </w:r>
            <w:r>
              <w:rPr>
                <w:rFonts w:hint="eastAsia"/>
                <w:color w:val="FF0000"/>
                <w:sz w:val="24"/>
              </w:rPr>
              <w:t>~</w:t>
            </w:r>
            <w:r>
              <w:rPr>
                <w:color w:val="FF0000"/>
                <w:sz w:val="24"/>
              </w:rPr>
              <w:t>9</w:t>
            </w:r>
            <w:r>
              <w:rPr>
                <w:rFonts w:hint="eastAsia"/>
                <w:color w:val="FF0000"/>
                <w:sz w:val="24"/>
              </w:rPr>
              <w:t>、C</w:t>
            </w:r>
            <w:r>
              <w:rPr>
                <w:color w:val="FF0000"/>
                <w:sz w:val="24"/>
              </w:rPr>
              <w:t>OD150</w:t>
            </w:r>
            <w:r>
              <w:rPr>
                <w:rFonts w:hint="eastAsia"/>
                <w:color w:val="FF0000"/>
                <w:sz w:val="24"/>
              </w:rPr>
              <w:t>mg</w:t>
            </w:r>
            <w:r>
              <w:rPr>
                <w:color w:val="FF0000"/>
                <w:sz w:val="24"/>
              </w:rPr>
              <w:t>/L</w:t>
            </w:r>
            <w:r>
              <w:rPr>
                <w:rFonts w:hint="eastAsia"/>
                <w:color w:val="FF0000"/>
                <w:sz w:val="24"/>
              </w:rPr>
              <w:t>、S</w:t>
            </w:r>
            <w:r>
              <w:rPr>
                <w:color w:val="FF0000"/>
                <w:sz w:val="24"/>
              </w:rPr>
              <w:t>S200</w:t>
            </w:r>
            <w:r>
              <w:rPr>
                <w:rFonts w:hint="eastAsia"/>
                <w:color w:val="FF0000"/>
                <w:sz w:val="24"/>
              </w:rPr>
              <w:t>mg</w:t>
            </w:r>
            <w:r>
              <w:rPr>
                <w:color w:val="FF0000"/>
                <w:sz w:val="24"/>
              </w:rPr>
              <w:t>/L</w:t>
            </w:r>
            <w:r>
              <w:rPr>
                <w:rFonts w:hint="eastAsia"/>
                <w:color w:val="FF0000"/>
                <w:sz w:val="24"/>
              </w:rPr>
              <w:t>、石油类4</w:t>
            </w:r>
            <w:r>
              <w:rPr>
                <w:color w:val="FF0000"/>
                <w:sz w:val="24"/>
              </w:rPr>
              <w:t>0</w:t>
            </w:r>
            <w:r>
              <w:rPr>
                <w:rFonts w:hint="eastAsia"/>
                <w:color w:val="FF0000"/>
                <w:sz w:val="24"/>
              </w:rPr>
              <w:t>mg</w:t>
            </w:r>
            <w:r>
              <w:rPr>
                <w:color w:val="FF0000"/>
                <w:sz w:val="24"/>
              </w:rPr>
              <w:t>/L</w:t>
            </w:r>
            <w:r>
              <w:rPr>
                <w:rFonts w:hint="eastAsia"/>
                <w:color w:val="FF0000"/>
                <w:sz w:val="24"/>
              </w:rPr>
              <w:t>。项目初期雨水分批泵入生产废水处理设施预处理后排入厂区生化池处理，再经市政污水管网排入双桥园区污水处理厂处理后排入苦水河。</w:t>
            </w:r>
          </w:p>
          <w:p>
            <w:pPr>
              <w:pStyle w:val="223"/>
              <w:autoSpaceDE w:val="0"/>
              <w:autoSpaceDN w:val="0"/>
              <w:spacing w:line="360" w:lineRule="auto"/>
              <w:ind w:firstLine="496" w:firstLineChars="200"/>
              <w:textAlignment w:val="baseline"/>
              <w:rPr>
                <w:color w:val="FF0000"/>
                <w:sz w:val="24"/>
              </w:rPr>
            </w:pPr>
            <w:r>
              <w:rPr>
                <w:rFonts w:hint="eastAsia"/>
                <w:color w:val="FF0000"/>
                <w:sz w:val="24"/>
              </w:rPr>
              <w:t>为满足初期雨水收集需要，本项目建设一座</w:t>
            </w:r>
            <w:r>
              <w:rPr>
                <w:color w:val="FF0000"/>
                <w:sz w:val="24"/>
              </w:rPr>
              <w:t>750</w:t>
            </w:r>
            <w:r>
              <w:rPr>
                <w:rFonts w:hint="eastAsia"/>
                <w:color w:val="FF0000"/>
                <w:sz w:val="24"/>
              </w:rPr>
              <w:t>m</w:t>
            </w:r>
            <w:r>
              <w:rPr>
                <w:color w:val="FF0000"/>
                <w:sz w:val="24"/>
                <w:vertAlign w:val="superscript"/>
              </w:rPr>
              <w:t>3</w:t>
            </w:r>
            <w:r>
              <w:rPr>
                <w:rFonts w:hint="eastAsia"/>
                <w:color w:val="FF0000"/>
                <w:sz w:val="24"/>
              </w:rPr>
              <w:t>的初期雨水收集池，并在项目雨水排放口处设置初期雨水切换阀。</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（2）废水治理设施</w:t>
            </w:r>
          </w:p>
          <w:p>
            <w:pPr>
              <w:pStyle w:val="223"/>
              <w:autoSpaceDE w:val="0"/>
              <w:autoSpaceDN w:val="0"/>
              <w:spacing w:line="360" w:lineRule="auto"/>
              <w:ind w:firstLine="496" w:firstLineChars="200"/>
              <w:textAlignment w:val="baseline"/>
              <w:rPr>
                <w:bCs/>
                <w:color w:val="000000" w:themeColor="text1"/>
                <w:sz w:val="24"/>
                <w14:textFill>
                  <w14:solidFill>
                    <w14:schemeClr w14:val="tx1"/>
                  </w14:solidFill>
                </w14:textFill>
              </w:rPr>
            </w:pPr>
            <w:r>
              <w:rPr>
                <w:rFonts w:hint="eastAsia"/>
                <w:bCs/>
                <w:color w:val="FF0000"/>
                <w:sz w:val="24"/>
                <w:szCs w:val="26"/>
              </w:rPr>
              <w:t>项目热裂解油水分离废水、水封罐更换污水雾化处理后进二燃室燃烧处理；地面冲洗废水、脱硫系统及初期雨水经生产废水处理设施“隔油+厌氧反应器+好氧活性污泥法（A</w:t>
            </w:r>
            <w:r>
              <w:rPr>
                <w:bCs/>
                <w:color w:val="FF0000"/>
                <w:sz w:val="24"/>
                <w:szCs w:val="26"/>
              </w:rPr>
              <w:t>/O</w:t>
            </w:r>
            <w:r>
              <w:rPr>
                <w:rFonts w:hint="eastAsia"/>
                <w:bCs/>
                <w:color w:val="FF0000"/>
                <w:sz w:val="24"/>
                <w:szCs w:val="26"/>
              </w:rPr>
              <w:t>法）”处理（处理能力</w:t>
            </w:r>
            <w:r>
              <w:rPr>
                <w:bCs/>
                <w:color w:val="FF0000"/>
                <w:sz w:val="24"/>
                <w:szCs w:val="26"/>
              </w:rPr>
              <w:t>20</w:t>
            </w:r>
            <w:r>
              <w:rPr>
                <w:rFonts w:hint="eastAsia"/>
                <w:bCs/>
                <w:color w:val="FF0000"/>
                <w:sz w:val="24"/>
                <w:szCs w:val="26"/>
              </w:rPr>
              <w:t>m</w:t>
            </w:r>
            <w:r>
              <w:rPr>
                <w:bCs/>
                <w:color w:val="FF0000"/>
                <w:sz w:val="24"/>
                <w:szCs w:val="26"/>
                <w:vertAlign w:val="superscript"/>
              </w:rPr>
              <w:t>3</w:t>
            </w:r>
            <w:r>
              <w:rPr>
                <w:bCs/>
                <w:color w:val="FF0000"/>
                <w:sz w:val="24"/>
                <w:szCs w:val="26"/>
              </w:rPr>
              <w:t>/</w:t>
            </w:r>
            <w:r>
              <w:rPr>
                <w:rFonts w:hint="eastAsia"/>
                <w:bCs/>
                <w:color w:val="FF0000"/>
                <w:sz w:val="24"/>
                <w:szCs w:val="26"/>
              </w:rPr>
              <w:t>d）</w:t>
            </w:r>
            <w:r>
              <w:rPr>
                <w:rFonts w:hint="eastAsia"/>
                <w:bCs/>
                <w:color w:val="000000" w:themeColor="text1"/>
                <w:sz w:val="24"/>
                <w:szCs w:val="26"/>
                <w14:textFill>
                  <w14:solidFill>
                    <w14:schemeClr w14:val="tx1"/>
                  </w14:solidFill>
                </w14:textFill>
              </w:rPr>
              <w:t>，</w:t>
            </w:r>
            <w:r>
              <w:rPr>
                <w:bCs/>
                <w:color w:val="000000" w:themeColor="text1"/>
                <w:sz w:val="24"/>
                <w:szCs w:val="26"/>
                <w14:textFill>
                  <w14:solidFill>
                    <w14:schemeClr w14:val="tx1"/>
                  </w14:solidFill>
                </w14:textFill>
              </w:rPr>
              <w:t>处理后的废水同生活污水</w:t>
            </w:r>
            <w:r>
              <w:rPr>
                <w:rFonts w:hint="eastAsia"/>
                <w:bCs/>
                <w:color w:val="000000" w:themeColor="text1"/>
                <w:sz w:val="24"/>
                <w:szCs w:val="26"/>
                <w14:textFill>
                  <w14:solidFill>
                    <w14:schemeClr w14:val="tx1"/>
                  </w14:solidFill>
                </w14:textFill>
              </w:rPr>
              <w:t>（</w:t>
            </w:r>
            <w:r>
              <w:rPr>
                <w:bCs/>
                <w:color w:val="000000" w:themeColor="text1"/>
                <w:sz w:val="24"/>
                <w:szCs w:val="26"/>
                <w14:textFill>
                  <w14:solidFill>
                    <w14:schemeClr w14:val="tx1"/>
                  </w14:solidFill>
                </w14:textFill>
              </w:rPr>
              <w:t>其中食堂废水需隔油后再进入生化池处理</w:t>
            </w:r>
            <w:r>
              <w:rPr>
                <w:rFonts w:hint="eastAsia"/>
                <w:bCs/>
                <w:color w:val="000000" w:themeColor="text1"/>
                <w:sz w:val="24"/>
                <w:szCs w:val="26"/>
                <w14:textFill>
                  <w14:solidFill>
                    <w14:schemeClr w14:val="tx1"/>
                  </w14:solidFill>
                </w14:textFill>
              </w:rPr>
              <w:t>）、循环冷却系统排水</w:t>
            </w:r>
            <w:r>
              <w:rPr>
                <w:bCs/>
                <w:color w:val="000000" w:themeColor="text1"/>
                <w:sz w:val="24"/>
                <w:szCs w:val="26"/>
                <w14:textFill>
                  <w14:solidFill>
                    <w14:schemeClr w14:val="tx1"/>
                  </w14:solidFill>
                </w14:textFill>
              </w:rPr>
              <w:t>一并进入生化池</w:t>
            </w:r>
            <w:r>
              <w:rPr>
                <w:rFonts w:hint="eastAsia"/>
                <w:bCs/>
                <w:color w:val="000000" w:themeColor="text1"/>
                <w:sz w:val="24"/>
                <w:szCs w:val="26"/>
                <w14:textFill>
                  <w14:solidFill>
                    <w14:schemeClr w14:val="tx1"/>
                  </w14:solidFill>
                </w14:textFill>
              </w:rPr>
              <w:t>（处理能力</w:t>
            </w:r>
            <w:r>
              <w:rPr>
                <w:bCs/>
                <w:color w:val="000000" w:themeColor="text1"/>
                <w:sz w:val="24"/>
                <w:szCs w:val="26"/>
                <w14:textFill>
                  <w14:solidFill>
                    <w14:schemeClr w14:val="tx1"/>
                  </w14:solidFill>
                </w14:textFill>
              </w:rPr>
              <w:t>50</w:t>
            </w:r>
            <w:r>
              <w:rPr>
                <w:rFonts w:hint="eastAsia"/>
                <w:bCs/>
                <w:color w:val="000000" w:themeColor="text1"/>
                <w:sz w:val="24"/>
                <w:szCs w:val="26"/>
                <w14:textFill>
                  <w14:solidFill>
                    <w14:schemeClr w14:val="tx1"/>
                  </w14:solidFill>
                </w14:textFill>
              </w:rPr>
              <w:t>m</w:t>
            </w:r>
            <w:r>
              <w:rPr>
                <w:bCs/>
                <w:color w:val="000000" w:themeColor="text1"/>
                <w:sz w:val="24"/>
                <w:szCs w:val="26"/>
                <w:vertAlign w:val="superscript"/>
                <w14:textFill>
                  <w14:solidFill>
                    <w14:schemeClr w14:val="tx1"/>
                  </w14:solidFill>
                </w14:textFill>
              </w:rPr>
              <w:t>3</w:t>
            </w:r>
            <w:r>
              <w:rPr>
                <w:bCs/>
                <w:color w:val="000000" w:themeColor="text1"/>
                <w:sz w:val="24"/>
                <w:szCs w:val="26"/>
                <w14:textFill>
                  <w14:solidFill>
                    <w14:schemeClr w14:val="tx1"/>
                  </w14:solidFill>
                </w14:textFill>
              </w:rPr>
              <w:t>/</w:t>
            </w:r>
            <w:r>
              <w:rPr>
                <w:rFonts w:hint="eastAsia"/>
                <w:bCs/>
                <w:color w:val="000000" w:themeColor="text1"/>
                <w:sz w:val="24"/>
                <w:szCs w:val="26"/>
                <w14:textFill>
                  <w14:solidFill>
                    <w14:schemeClr w14:val="tx1"/>
                  </w14:solidFill>
                </w14:textFill>
              </w:rPr>
              <w:t>d）</w:t>
            </w:r>
            <w:r>
              <w:rPr>
                <w:rFonts w:hint="eastAsia"/>
                <w:bCs/>
                <w:color w:val="000000" w:themeColor="text1"/>
                <w:sz w:val="24"/>
                <w14:textFill>
                  <w14:solidFill>
                    <w14:schemeClr w14:val="tx1"/>
                  </w14:solidFill>
                </w14:textFill>
              </w:rPr>
              <w:t>。</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本项目综合废水经生化池处理，COD、氨氮、SS、BOD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石油类、动植物油、总磷达到《污水综合排放标准》(GB8978-1996)三级标准（石油类达到《石油化学工业污染物排放标准》（GB31571-2015）间接排放标准，氨氮、总磷达到《污水排入城镇下水道水质标准》（GB/T31962-2015）B等级标准）后，经市政污水管网排入双桥园区污水处理厂进一步处理达《城镇污水处理厂污染物排放标准》（GB18918-2002）一级</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标后排入苦水河，汇入太平河。</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本项目废水污染物产生及排放情况详见表4</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14</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4.2</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15</w:t>
            </w:r>
            <w:r>
              <w:rPr>
                <w:rFonts w:hint="eastAsia"/>
                <w:color w:val="000000" w:themeColor="text1"/>
                <w:sz w:val="24"/>
                <w14:textFill>
                  <w14:solidFill>
                    <w14:schemeClr w14:val="tx1"/>
                  </w14:solidFill>
                </w14:textFill>
              </w:rPr>
              <w:t>。</w:t>
            </w: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p>
          <w:p>
            <w:pPr>
              <w:pStyle w:val="223"/>
              <w:autoSpaceDE w:val="0"/>
              <w:autoSpaceDN w:val="0"/>
              <w:spacing w:line="360" w:lineRule="auto"/>
              <w:ind w:firstLine="496" w:firstLineChars="200"/>
              <w:textAlignment w:val="baseline"/>
              <w:rPr>
                <w:color w:val="000000" w:themeColor="text1"/>
                <w:sz w:val="24"/>
                <w14:textFill>
                  <w14:solidFill>
                    <w14:schemeClr w14:val="tx1"/>
                  </w14:solidFill>
                </w14:textFill>
              </w:rPr>
            </w:pPr>
          </w:p>
          <w:p>
            <w:pPr>
              <w:pStyle w:val="223"/>
              <w:autoSpaceDE w:val="0"/>
              <w:autoSpaceDN w:val="0"/>
              <w:spacing w:line="360" w:lineRule="auto"/>
              <w:ind w:firstLine="0"/>
              <w:textAlignment w:val="baseline"/>
              <w:rPr>
                <w:color w:val="000000" w:themeColor="text1"/>
                <w:sz w:val="24"/>
                <w14:textFill>
                  <w14:solidFill>
                    <w14:schemeClr w14:val="tx1"/>
                  </w14:solidFill>
                </w14:textFill>
              </w:rPr>
            </w:pPr>
          </w:p>
        </w:tc>
      </w:tr>
    </w:tbl>
    <w:p>
      <w:pPr>
        <w:pStyle w:val="75"/>
        <w:ind w:firstLine="480"/>
        <w:rPr>
          <w:color w:val="000000" w:themeColor="text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6"/>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3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1" w:hRule="atLeast"/>
        </w:trPr>
        <w:tc>
          <w:tcPr>
            <w:tcW w:w="590" w:type="dxa"/>
            <w:vAlign w:val="center"/>
          </w:tcPr>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pPr>
              <w:pStyle w:val="198"/>
              <w:jc w:val="center"/>
              <w:rPr>
                <w:color w:val="000000" w:themeColor="text1"/>
                <w14:textFill>
                  <w14:solidFill>
                    <w14:schemeClr w14:val="tx1"/>
                  </w14:solidFill>
                </w14:textFill>
              </w:rPr>
            </w:pPr>
            <w:r>
              <w:rPr>
                <w:rFonts w:ascii="Times New Roman" w:cs="Times New Roman"/>
                <w:bCs/>
                <w:color w:val="000000" w:themeColor="text1"/>
                <w14:textFill>
                  <w14:solidFill>
                    <w14:schemeClr w14:val="tx1"/>
                  </w14:solidFill>
                </w14:textFill>
              </w:rPr>
              <w:t>措施</w:t>
            </w:r>
          </w:p>
        </w:tc>
        <w:tc>
          <w:tcPr>
            <w:tcW w:w="13586" w:type="dxa"/>
          </w:tcPr>
          <w:p>
            <w:pPr>
              <w:spacing w:line="24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 xml:space="preserve">4  </w:t>
            </w:r>
            <w:r>
              <w:rPr>
                <w:rFonts w:hint="eastAsia"/>
                <w:b/>
                <w:bCs/>
                <w:color w:val="000000" w:themeColor="text1"/>
                <w:sz w:val="24"/>
                <w14:textFill>
                  <w14:solidFill>
                    <w14:schemeClr w14:val="tx1"/>
                  </w14:solidFill>
                </w14:textFill>
              </w:rPr>
              <w:t>项目一期</w:t>
            </w:r>
            <w:r>
              <w:rPr>
                <w:rFonts w:hint="eastAsia"/>
                <w:b/>
                <w:color w:val="000000" w:themeColor="text1"/>
                <w:sz w:val="24"/>
                <w14:textFill>
                  <w14:solidFill>
                    <w14:schemeClr w14:val="tx1"/>
                  </w14:solidFill>
                </w14:textFill>
              </w:rPr>
              <w:t>废水类别、污染物、产排情况及治理设施信息一览表</w:t>
            </w:r>
          </w:p>
          <w:tbl>
            <w:tblPr>
              <w:tblStyle w:val="36"/>
              <w:tblW w:w="13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681"/>
              <w:gridCol w:w="736"/>
              <w:gridCol w:w="992"/>
              <w:gridCol w:w="993"/>
              <w:gridCol w:w="989"/>
              <w:gridCol w:w="946"/>
              <w:gridCol w:w="958"/>
              <w:gridCol w:w="934"/>
              <w:gridCol w:w="850"/>
              <w:gridCol w:w="1134"/>
              <w:gridCol w:w="993"/>
              <w:gridCol w:w="850"/>
              <w:gridCol w:w="851"/>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restart"/>
                  <w:vAlign w:val="center"/>
                </w:tcPr>
                <w:p>
                  <w:pPr>
                    <w:spacing w:line="240" w:lineRule="auto"/>
                    <w:jc w:val="center"/>
                    <w:rPr>
                      <w:b/>
                      <w:color w:val="FF0000"/>
                      <w:szCs w:val="21"/>
                    </w:rPr>
                  </w:pPr>
                  <w:r>
                    <w:rPr>
                      <w:rFonts w:hint="eastAsia"/>
                      <w:b/>
                      <w:color w:val="FF0000"/>
                      <w:szCs w:val="21"/>
                    </w:rPr>
                    <w:t>排放口</w:t>
                  </w:r>
                </w:p>
              </w:tc>
              <w:tc>
                <w:tcPr>
                  <w:tcW w:w="681" w:type="dxa"/>
                  <w:vMerge w:val="restart"/>
                  <w:vAlign w:val="center"/>
                </w:tcPr>
                <w:p>
                  <w:pPr>
                    <w:spacing w:line="240" w:lineRule="auto"/>
                    <w:jc w:val="center"/>
                    <w:rPr>
                      <w:b/>
                      <w:color w:val="FF0000"/>
                      <w:szCs w:val="21"/>
                    </w:rPr>
                  </w:pPr>
                  <w:r>
                    <w:rPr>
                      <w:rFonts w:hint="eastAsia"/>
                      <w:b/>
                      <w:color w:val="FF0000"/>
                      <w:szCs w:val="21"/>
                    </w:rPr>
                    <w:t>产污环节</w:t>
                  </w:r>
                </w:p>
              </w:tc>
              <w:tc>
                <w:tcPr>
                  <w:tcW w:w="736" w:type="dxa"/>
                  <w:vMerge w:val="restart"/>
                  <w:vAlign w:val="center"/>
                </w:tcPr>
                <w:p>
                  <w:pPr>
                    <w:spacing w:line="240" w:lineRule="auto"/>
                    <w:jc w:val="center"/>
                    <w:rPr>
                      <w:b/>
                      <w:color w:val="FF0000"/>
                      <w:szCs w:val="21"/>
                    </w:rPr>
                  </w:pPr>
                  <w:r>
                    <w:rPr>
                      <w:rFonts w:hint="eastAsia"/>
                      <w:b/>
                      <w:color w:val="FF0000"/>
                      <w:szCs w:val="21"/>
                    </w:rPr>
                    <w:t>废水类别</w:t>
                  </w:r>
                </w:p>
              </w:tc>
              <w:tc>
                <w:tcPr>
                  <w:tcW w:w="992" w:type="dxa"/>
                  <w:vMerge w:val="restart"/>
                  <w:vAlign w:val="center"/>
                </w:tcPr>
                <w:p>
                  <w:pPr>
                    <w:spacing w:line="240" w:lineRule="auto"/>
                    <w:jc w:val="center"/>
                    <w:rPr>
                      <w:b/>
                      <w:color w:val="FF0000"/>
                      <w:szCs w:val="21"/>
                    </w:rPr>
                  </w:pPr>
                  <w:r>
                    <w:rPr>
                      <w:rFonts w:hint="eastAsia"/>
                      <w:b/>
                      <w:color w:val="FF0000"/>
                      <w:szCs w:val="21"/>
                    </w:rPr>
                    <w:t>污染物种类</w:t>
                  </w:r>
                </w:p>
              </w:tc>
              <w:tc>
                <w:tcPr>
                  <w:tcW w:w="2928" w:type="dxa"/>
                  <w:gridSpan w:val="3"/>
                  <w:vAlign w:val="center"/>
                </w:tcPr>
                <w:p>
                  <w:pPr>
                    <w:spacing w:line="240" w:lineRule="auto"/>
                    <w:jc w:val="center"/>
                    <w:rPr>
                      <w:b/>
                      <w:color w:val="FF0000"/>
                      <w:szCs w:val="21"/>
                    </w:rPr>
                  </w:pPr>
                  <w:r>
                    <w:rPr>
                      <w:rFonts w:hint="eastAsia"/>
                      <w:b/>
                      <w:color w:val="FF0000"/>
                      <w:szCs w:val="21"/>
                    </w:rPr>
                    <w:t>产生情况</w:t>
                  </w:r>
                </w:p>
              </w:tc>
              <w:tc>
                <w:tcPr>
                  <w:tcW w:w="2742" w:type="dxa"/>
                  <w:gridSpan w:val="3"/>
                  <w:vAlign w:val="center"/>
                </w:tcPr>
                <w:p>
                  <w:pPr>
                    <w:spacing w:line="240" w:lineRule="auto"/>
                    <w:jc w:val="center"/>
                    <w:rPr>
                      <w:b/>
                      <w:color w:val="FF0000"/>
                      <w:szCs w:val="21"/>
                    </w:rPr>
                  </w:pPr>
                  <w:r>
                    <w:rPr>
                      <w:rFonts w:hint="eastAsia"/>
                      <w:b/>
                      <w:color w:val="FF0000"/>
                      <w:szCs w:val="21"/>
                    </w:rPr>
                    <w:t>治理设施</w:t>
                  </w:r>
                </w:p>
              </w:tc>
              <w:tc>
                <w:tcPr>
                  <w:tcW w:w="4758" w:type="dxa"/>
                  <w:gridSpan w:val="5"/>
                  <w:vAlign w:val="center"/>
                </w:tcPr>
                <w:p>
                  <w:pPr>
                    <w:spacing w:line="240" w:lineRule="auto"/>
                    <w:jc w:val="center"/>
                    <w:rPr>
                      <w:b/>
                      <w:color w:val="FF0000"/>
                      <w:szCs w:val="21"/>
                    </w:rPr>
                  </w:pPr>
                  <w:r>
                    <w:rPr>
                      <w:rFonts w:hint="eastAsia"/>
                      <w:b/>
                      <w:color w:val="FF0000"/>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Merge w:val="continue"/>
                  <w:vAlign w:val="center"/>
                </w:tcPr>
                <w:p>
                  <w:pPr>
                    <w:spacing w:line="240" w:lineRule="auto"/>
                    <w:jc w:val="center"/>
                    <w:rPr>
                      <w:color w:val="FF0000"/>
                      <w:szCs w:val="21"/>
                    </w:rPr>
                  </w:pPr>
                </w:p>
              </w:tc>
              <w:tc>
                <w:tcPr>
                  <w:tcW w:w="993" w:type="dxa"/>
                  <w:vMerge w:val="restart"/>
                  <w:vAlign w:val="center"/>
                </w:tcPr>
                <w:p>
                  <w:pPr>
                    <w:spacing w:line="240" w:lineRule="auto"/>
                    <w:jc w:val="center"/>
                    <w:rPr>
                      <w:b/>
                      <w:color w:val="FF0000"/>
                      <w:szCs w:val="21"/>
                    </w:rPr>
                  </w:pPr>
                  <w:r>
                    <w:rPr>
                      <w:rFonts w:hint="eastAsia"/>
                      <w:b/>
                      <w:color w:val="FF0000"/>
                      <w:szCs w:val="21"/>
                    </w:rPr>
                    <w:t>废水产生量(m</w:t>
                  </w:r>
                  <w:r>
                    <w:rPr>
                      <w:b/>
                      <w:color w:val="FF0000"/>
                      <w:szCs w:val="21"/>
                      <w:vertAlign w:val="superscript"/>
                    </w:rPr>
                    <w:t>3</w:t>
                  </w:r>
                  <w:r>
                    <w:rPr>
                      <w:b/>
                      <w:color w:val="FF0000"/>
                      <w:szCs w:val="21"/>
                    </w:rPr>
                    <w:t>/</w:t>
                  </w:r>
                  <w:r>
                    <w:rPr>
                      <w:rFonts w:hint="eastAsia"/>
                      <w:b/>
                      <w:color w:val="FF0000"/>
                      <w:szCs w:val="21"/>
                    </w:rPr>
                    <w:t>a)</w:t>
                  </w:r>
                </w:p>
              </w:tc>
              <w:tc>
                <w:tcPr>
                  <w:tcW w:w="989" w:type="dxa"/>
                  <w:vMerge w:val="restart"/>
                  <w:vAlign w:val="center"/>
                </w:tcPr>
                <w:p>
                  <w:pPr>
                    <w:spacing w:line="240" w:lineRule="auto"/>
                    <w:jc w:val="center"/>
                    <w:rPr>
                      <w:b/>
                      <w:color w:val="FF0000"/>
                      <w:szCs w:val="21"/>
                    </w:rPr>
                  </w:pPr>
                  <w:r>
                    <w:rPr>
                      <w:rFonts w:hint="eastAsia"/>
                      <w:b/>
                      <w:color w:val="FF0000"/>
                      <w:szCs w:val="21"/>
                    </w:rPr>
                    <w:t>污染物产生浓度(mg</w:t>
                  </w:r>
                  <w:r>
                    <w:rPr>
                      <w:b/>
                      <w:color w:val="FF0000"/>
                      <w:szCs w:val="21"/>
                    </w:rPr>
                    <w:t>/L</w:t>
                  </w:r>
                  <w:r>
                    <w:rPr>
                      <w:rFonts w:hint="eastAsia"/>
                      <w:b/>
                      <w:color w:val="FF0000"/>
                      <w:szCs w:val="21"/>
                    </w:rPr>
                    <w:t>)</w:t>
                  </w:r>
                </w:p>
              </w:tc>
              <w:tc>
                <w:tcPr>
                  <w:tcW w:w="946" w:type="dxa"/>
                  <w:vMerge w:val="restart"/>
                  <w:vAlign w:val="center"/>
                </w:tcPr>
                <w:p>
                  <w:pPr>
                    <w:spacing w:line="240" w:lineRule="auto"/>
                    <w:jc w:val="center"/>
                    <w:rPr>
                      <w:b/>
                      <w:color w:val="FF0000"/>
                      <w:szCs w:val="21"/>
                    </w:rPr>
                  </w:pPr>
                  <w:r>
                    <w:rPr>
                      <w:rFonts w:hint="eastAsia"/>
                      <w:b/>
                      <w:color w:val="FF0000"/>
                      <w:szCs w:val="21"/>
                    </w:rPr>
                    <w:t>污染物产生量（t</w:t>
                  </w:r>
                  <w:r>
                    <w:rPr>
                      <w:b/>
                      <w:color w:val="FF0000"/>
                      <w:szCs w:val="21"/>
                    </w:rPr>
                    <w:t>/</w:t>
                  </w:r>
                  <w:r>
                    <w:rPr>
                      <w:rFonts w:hint="eastAsia"/>
                      <w:b/>
                      <w:color w:val="FF0000"/>
                      <w:szCs w:val="21"/>
                    </w:rPr>
                    <w:t>a）</w:t>
                  </w:r>
                </w:p>
              </w:tc>
              <w:tc>
                <w:tcPr>
                  <w:tcW w:w="958" w:type="dxa"/>
                  <w:vMerge w:val="restart"/>
                  <w:vAlign w:val="center"/>
                </w:tcPr>
                <w:p>
                  <w:pPr>
                    <w:spacing w:line="240" w:lineRule="auto"/>
                    <w:jc w:val="center"/>
                    <w:rPr>
                      <w:b/>
                      <w:color w:val="FF0000"/>
                      <w:szCs w:val="21"/>
                    </w:rPr>
                  </w:pPr>
                  <w:r>
                    <w:rPr>
                      <w:rFonts w:hint="eastAsia"/>
                      <w:b/>
                      <w:color w:val="FF0000"/>
                      <w:szCs w:val="21"/>
                    </w:rPr>
                    <w:t>处理能力(m</w:t>
                  </w:r>
                  <w:r>
                    <w:rPr>
                      <w:b/>
                      <w:color w:val="FF0000"/>
                      <w:szCs w:val="21"/>
                      <w:vertAlign w:val="superscript"/>
                    </w:rPr>
                    <w:t>3</w:t>
                  </w:r>
                  <w:r>
                    <w:rPr>
                      <w:b/>
                      <w:color w:val="FF0000"/>
                      <w:szCs w:val="21"/>
                    </w:rPr>
                    <w:t>/</w:t>
                  </w:r>
                  <w:r>
                    <w:rPr>
                      <w:rFonts w:hint="eastAsia"/>
                      <w:b/>
                      <w:color w:val="FF0000"/>
                      <w:szCs w:val="21"/>
                    </w:rPr>
                    <w:t>d)</w:t>
                  </w:r>
                </w:p>
              </w:tc>
              <w:tc>
                <w:tcPr>
                  <w:tcW w:w="934" w:type="dxa"/>
                  <w:vMerge w:val="restart"/>
                  <w:vAlign w:val="center"/>
                </w:tcPr>
                <w:p>
                  <w:pPr>
                    <w:spacing w:line="240" w:lineRule="auto"/>
                    <w:jc w:val="center"/>
                    <w:rPr>
                      <w:b/>
                      <w:color w:val="FF0000"/>
                      <w:szCs w:val="21"/>
                    </w:rPr>
                  </w:pPr>
                  <w:r>
                    <w:rPr>
                      <w:rFonts w:hint="eastAsia"/>
                      <w:b/>
                      <w:color w:val="FF0000"/>
                      <w:szCs w:val="21"/>
                    </w:rPr>
                    <w:t>治理工艺</w:t>
                  </w:r>
                </w:p>
              </w:tc>
              <w:tc>
                <w:tcPr>
                  <w:tcW w:w="850" w:type="dxa"/>
                  <w:vMerge w:val="restart"/>
                  <w:vAlign w:val="center"/>
                </w:tcPr>
                <w:p>
                  <w:pPr>
                    <w:spacing w:line="240" w:lineRule="auto"/>
                    <w:jc w:val="center"/>
                    <w:rPr>
                      <w:b/>
                      <w:color w:val="FF0000"/>
                      <w:szCs w:val="21"/>
                    </w:rPr>
                  </w:pPr>
                  <w:r>
                    <w:rPr>
                      <w:rFonts w:hint="eastAsia"/>
                      <w:b/>
                      <w:color w:val="FF0000"/>
                      <w:szCs w:val="21"/>
                    </w:rPr>
                    <w:t>是否为可行技术</w:t>
                  </w:r>
                </w:p>
              </w:tc>
              <w:tc>
                <w:tcPr>
                  <w:tcW w:w="1134" w:type="dxa"/>
                  <w:vMerge w:val="restart"/>
                  <w:vAlign w:val="center"/>
                </w:tcPr>
                <w:p>
                  <w:pPr>
                    <w:spacing w:line="240" w:lineRule="auto"/>
                    <w:jc w:val="center"/>
                    <w:rPr>
                      <w:b/>
                      <w:color w:val="FF0000"/>
                      <w:szCs w:val="21"/>
                    </w:rPr>
                  </w:pPr>
                  <w:r>
                    <w:rPr>
                      <w:rFonts w:hint="eastAsia"/>
                      <w:b/>
                      <w:color w:val="FF0000"/>
                      <w:szCs w:val="21"/>
                    </w:rPr>
                    <w:t>废水排放量（m</w:t>
                  </w:r>
                  <w:r>
                    <w:rPr>
                      <w:b/>
                      <w:color w:val="FF0000"/>
                      <w:szCs w:val="21"/>
                      <w:vertAlign w:val="superscript"/>
                    </w:rPr>
                    <w:t>3</w:t>
                  </w:r>
                  <w:r>
                    <w:rPr>
                      <w:b/>
                      <w:color w:val="FF0000"/>
                      <w:szCs w:val="21"/>
                    </w:rPr>
                    <w:t>/</w:t>
                  </w:r>
                  <w:r>
                    <w:rPr>
                      <w:rFonts w:hint="eastAsia"/>
                      <w:b/>
                      <w:color w:val="FF0000"/>
                      <w:szCs w:val="21"/>
                    </w:rPr>
                    <w:t>a）</w:t>
                  </w:r>
                </w:p>
              </w:tc>
              <w:tc>
                <w:tcPr>
                  <w:tcW w:w="1843" w:type="dxa"/>
                  <w:gridSpan w:val="2"/>
                  <w:vAlign w:val="center"/>
                </w:tcPr>
                <w:p>
                  <w:pPr>
                    <w:spacing w:line="240" w:lineRule="auto"/>
                    <w:jc w:val="center"/>
                    <w:rPr>
                      <w:b/>
                      <w:color w:val="FF0000"/>
                      <w:szCs w:val="21"/>
                    </w:rPr>
                  </w:pPr>
                  <w:r>
                    <w:rPr>
                      <w:rFonts w:hint="eastAsia"/>
                      <w:b/>
                      <w:color w:val="FF0000"/>
                      <w:szCs w:val="21"/>
                    </w:rPr>
                    <w:t>污染物排放浓度（mg</w:t>
                  </w:r>
                  <w:r>
                    <w:rPr>
                      <w:b/>
                      <w:color w:val="FF0000"/>
                      <w:szCs w:val="21"/>
                    </w:rPr>
                    <w:t>/L</w:t>
                  </w:r>
                  <w:r>
                    <w:rPr>
                      <w:rFonts w:hint="eastAsia"/>
                      <w:b/>
                      <w:color w:val="FF0000"/>
                      <w:szCs w:val="21"/>
                    </w:rPr>
                    <w:t>）</w:t>
                  </w:r>
                </w:p>
              </w:tc>
              <w:tc>
                <w:tcPr>
                  <w:tcW w:w="1781" w:type="dxa"/>
                  <w:gridSpan w:val="2"/>
                  <w:vAlign w:val="center"/>
                </w:tcPr>
                <w:p>
                  <w:pPr>
                    <w:spacing w:line="240" w:lineRule="auto"/>
                    <w:jc w:val="center"/>
                    <w:rPr>
                      <w:b/>
                      <w:color w:val="FF0000"/>
                      <w:szCs w:val="21"/>
                    </w:rPr>
                  </w:pPr>
                  <w:r>
                    <w:rPr>
                      <w:rFonts w:hint="eastAsia"/>
                      <w:b/>
                      <w:color w:val="FF0000"/>
                      <w:szCs w:val="21"/>
                    </w:rPr>
                    <w:t>污染物排放量（t</w:t>
                  </w:r>
                  <w:r>
                    <w:rPr>
                      <w:b/>
                      <w:color w:val="FF0000"/>
                      <w:szCs w:val="21"/>
                    </w:rPr>
                    <w:t>/</w:t>
                  </w:r>
                  <w:r>
                    <w:rPr>
                      <w:rFonts w:hint="eastAsia"/>
                      <w:b/>
                      <w:color w:val="FF000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Merge w:val="continue"/>
                  <w:vAlign w:val="center"/>
                </w:tcPr>
                <w:p>
                  <w:pPr>
                    <w:spacing w:line="240" w:lineRule="auto"/>
                    <w:jc w:val="center"/>
                    <w:rPr>
                      <w:color w:val="FF0000"/>
                      <w:szCs w:val="21"/>
                    </w:rPr>
                  </w:pPr>
                </w:p>
              </w:tc>
              <w:tc>
                <w:tcPr>
                  <w:tcW w:w="993" w:type="dxa"/>
                  <w:vMerge w:val="continue"/>
                  <w:vAlign w:val="center"/>
                </w:tcPr>
                <w:p>
                  <w:pPr>
                    <w:spacing w:line="240" w:lineRule="auto"/>
                    <w:jc w:val="center"/>
                    <w:rPr>
                      <w:b/>
                      <w:color w:val="FF0000"/>
                      <w:szCs w:val="21"/>
                    </w:rPr>
                  </w:pPr>
                </w:p>
              </w:tc>
              <w:tc>
                <w:tcPr>
                  <w:tcW w:w="989" w:type="dxa"/>
                  <w:vMerge w:val="continue"/>
                  <w:vAlign w:val="center"/>
                </w:tcPr>
                <w:p>
                  <w:pPr>
                    <w:spacing w:line="240" w:lineRule="auto"/>
                    <w:jc w:val="center"/>
                    <w:rPr>
                      <w:b/>
                      <w:color w:val="FF0000"/>
                      <w:szCs w:val="21"/>
                    </w:rPr>
                  </w:pPr>
                </w:p>
              </w:tc>
              <w:tc>
                <w:tcPr>
                  <w:tcW w:w="946" w:type="dxa"/>
                  <w:vMerge w:val="continue"/>
                  <w:vAlign w:val="center"/>
                </w:tcPr>
                <w:p>
                  <w:pPr>
                    <w:spacing w:line="240" w:lineRule="auto"/>
                    <w:jc w:val="center"/>
                    <w:rPr>
                      <w:b/>
                      <w:color w:val="FF0000"/>
                      <w:szCs w:val="21"/>
                    </w:rPr>
                  </w:pPr>
                </w:p>
              </w:tc>
              <w:tc>
                <w:tcPr>
                  <w:tcW w:w="958" w:type="dxa"/>
                  <w:vMerge w:val="continue"/>
                  <w:vAlign w:val="center"/>
                </w:tcPr>
                <w:p>
                  <w:pPr>
                    <w:spacing w:line="240" w:lineRule="auto"/>
                    <w:jc w:val="center"/>
                    <w:rPr>
                      <w:b/>
                      <w:color w:val="FF0000"/>
                      <w:szCs w:val="21"/>
                    </w:rPr>
                  </w:pPr>
                </w:p>
              </w:tc>
              <w:tc>
                <w:tcPr>
                  <w:tcW w:w="934" w:type="dxa"/>
                  <w:vMerge w:val="continue"/>
                  <w:vAlign w:val="center"/>
                </w:tcPr>
                <w:p>
                  <w:pPr>
                    <w:spacing w:line="240" w:lineRule="auto"/>
                    <w:jc w:val="center"/>
                    <w:rPr>
                      <w:b/>
                      <w:color w:val="FF0000"/>
                      <w:szCs w:val="21"/>
                    </w:rPr>
                  </w:pPr>
                </w:p>
              </w:tc>
              <w:tc>
                <w:tcPr>
                  <w:tcW w:w="850" w:type="dxa"/>
                  <w:vMerge w:val="continue"/>
                  <w:vAlign w:val="center"/>
                </w:tcPr>
                <w:p>
                  <w:pPr>
                    <w:spacing w:line="240" w:lineRule="auto"/>
                    <w:jc w:val="center"/>
                    <w:rPr>
                      <w:b/>
                      <w:color w:val="FF0000"/>
                      <w:szCs w:val="21"/>
                    </w:rPr>
                  </w:pPr>
                </w:p>
              </w:tc>
              <w:tc>
                <w:tcPr>
                  <w:tcW w:w="1134" w:type="dxa"/>
                  <w:vMerge w:val="continue"/>
                  <w:vAlign w:val="center"/>
                </w:tcPr>
                <w:p>
                  <w:pPr>
                    <w:spacing w:line="240" w:lineRule="auto"/>
                    <w:jc w:val="center"/>
                    <w:rPr>
                      <w:b/>
                      <w:color w:val="FF0000"/>
                      <w:szCs w:val="21"/>
                    </w:rPr>
                  </w:pPr>
                </w:p>
              </w:tc>
              <w:tc>
                <w:tcPr>
                  <w:tcW w:w="993" w:type="dxa"/>
                  <w:vAlign w:val="center"/>
                </w:tcPr>
                <w:p>
                  <w:pPr>
                    <w:pStyle w:val="198"/>
                    <w:spacing w:line="240" w:lineRule="auto"/>
                    <w:jc w:val="center"/>
                    <w:rPr>
                      <w:b/>
                      <w:color w:val="FF0000"/>
                      <w:sz w:val="21"/>
                      <w:szCs w:val="21"/>
                    </w:rPr>
                  </w:pPr>
                  <w:r>
                    <w:rPr>
                      <w:rFonts w:hint="eastAsia" w:ascii="Times New Roman"/>
                      <w:b/>
                      <w:color w:val="FF0000"/>
                      <w:sz w:val="21"/>
                      <w:szCs w:val="21"/>
                    </w:rPr>
                    <w:t>排管网</w:t>
                  </w:r>
                </w:p>
              </w:tc>
              <w:tc>
                <w:tcPr>
                  <w:tcW w:w="850" w:type="dxa"/>
                  <w:vAlign w:val="center"/>
                </w:tcPr>
                <w:p>
                  <w:pPr>
                    <w:pStyle w:val="198"/>
                    <w:spacing w:line="240" w:lineRule="auto"/>
                    <w:jc w:val="center"/>
                    <w:rPr>
                      <w:b/>
                      <w:color w:val="FF0000"/>
                      <w:sz w:val="21"/>
                      <w:szCs w:val="21"/>
                    </w:rPr>
                  </w:pPr>
                  <w:r>
                    <w:rPr>
                      <w:rFonts w:hint="eastAsia" w:ascii="Times New Roman"/>
                      <w:b/>
                      <w:color w:val="FF0000"/>
                      <w:sz w:val="21"/>
                      <w:szCs w:val="21"/>
                    </w:rPr>
                    <w:t>排环境</w:t>
                  </w:r>
                </w:p>
              </w:tc>
              <w:tc>
                <w:tcPr>
                  <w:tcW w:w="851" w:type="dxa"/>
                  <w:vAlign w:val="center"/>
                </w:tcPr>
                <w:p>
                  <w:pPr>
                    <w:pStyle w:val="198"/>
                    <w:spacing w:line="240" w:lineRule="auto"/>
                    <w:jc w:val="center"/>
                    <w:rPr>
                      <w:b/>
                      <w:color w:val="FF0000"/>
                      <w:sz w:val="21"/>
                      <w:szCs w:val="21"/>
                    </w:rPr>
                  </w:pPr>
                  <w:r>
                    <w:rPr>
                      <w:rFonts w:hint="eastAsia" w:ascii="Times New Roman"/>
                      <w:b/>
                      <w:color w:val="FF0000"/>
                      <w:sz w:val="21"/>
                      <w:szCs w:val="21"/>
                    </w:rPr>
                    <w:t>排管网</w:t>
                  </w:r>
                </w:p>
              </w:tc>
              <w:tc>
                <w:tcPr>
                  <w:tcW w:w="930" w:type="dxa"/>
                  <w:vAlign w:val="center"/>
                </w:tcPr>
                <w:p>
                  <w:pPr>
                    <w:pStyle w:val="198"/>
                    <w:spacing w:line="240" w:lineRule="auto"/>
                    <w:jc w:val="center"/>
                    <w:rPr>
                      <w:b/>
                      <w:color w:val="FF0000"/>
                      <w:sz w:val="21"/>
                      <w:szCs w:val="21"/>
                    </w:rPr>
                  </w:pPr>
                  <w:r>
                    <w:rPr>
                      <w:rFonts w:hint="eastAsia" w:ascii="Times New Roman"/>
                      <w:b/>
                      <w:color w:val="FF0000"/>
                      <w:sz w:val="21"/>
                      <w:szCs w:val="21"/>
                    </w:rPr>
                    <w:t>排环境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restart"/>
                  <w:vAlign w:val="center"/>
                </w:tcPr>
                <w:p>
                  <w:pPr>
                    <w:spacing w:line="240" w:lineRule="auto"/>
                    <w:jc w:val="center"/>
                    <w:rPr>
                      <w:color w:val="FF0000"/>
                      <w:szCs w:val="21"/>
                    </w:rPr>
                  </w:pPr>
                  <w:r>
                    <w:rPr>
                      <w:rFonts w:hint="eastAsia"/>
                      <w:color w:val="FF0000"/>
                      <w:szCs w:val="21"/>
                    </w:rPr>
                    <w:t>生化池排放口</w:t>
                  </w:r>
                  <w:r>
                    <w:rPr>
                      <w:bCs/>
                      <w:color w:val="FF0000"/>
                      <w:szCs w:val="21"/>
                    </w:rPr>
                    <w:t>DW001</w:t>
                  </w:r>
                </w:p>
              </w:tc>
              <w:tc>
                <w:tcPr>
                  <w:tcW w:w="681" w:type="dxa"/>
                  <w:vMerge w:val="restart"/>
                  <w:vAlign w:val="center"/>
                </w:tcPr>
                <w:p>
                  <w:pPr>
                    <w:spacing w:line="240" w:lineRule="auto"/>
                    <w:jc w:val="center"/>
                    <w:rPr>
                      <w:color w:val="FF0000"/>
                      <w:szCs w:val="21"/>
                    </w:rPr>
                  </w:pPr>
                  <w:r>
                    <w:rPr>
                      <w:rFonts w:hint="eastAsia"/>
                      <w:color w:val="FF0000"/>
                      <w:szCs w:val="21"/>
                    </w:rPr>
                    <w:t>员工</w:t>
                  </w:r>
                </w:p>
                <w:p>
                  <w:pPr>
                    <w:spacing w:line="240" w:lineRule="auto"/>
                    <w:jc w:val="center"/>
                    <w:rPr>
                      <w:color w:val="FF0000"/>
                      <w:szCs w:val="21"/>
                    </w:rPr>
                  </w:pPr>
                  <w:r>
                    <w:rPr>
                      <w:rFonts w:hint="eastAsia"/>
                      <w:color w:val="FF0000"/>
                      <w:szCs w:val="21"/>
                    </w:rPr>
                    <w:t>生活</w:t>
                  </w:r>
                </w:p>
              </w:tc>
              <w:tc>
                <w:tcPr>
                  <w:tcW w:w="736" w:type="dxa"/>
                  <w:vMerge w:val="restart"/>
                  <w:vAlign w:val="center"/>
                </w:tcPr>
                <w:p>
                  <w:pPr>
                    <w:spacing w:line="240" w:lineRule="auto"/>
                    <w:jc w:val="center"/>
                    <w:rPr>
                      <w:color w:val="FF0000"/>
                      <w:szCs w:val="21"/>
                    </w:rPr>
                  </w:pPr>
                  <w:r>
                    <w:rPr>
                      <w:rFonts w:hint="eastAsia"/>
                      <w:color w:val="FF0000"/>
                      <w:szCs w:val="21"/>
                    </w:rPr>
                    <w:t>生活污水</w:t>
                  </w:r>
                </w:p>
              </w:tc>
              <w:tc>
                <w:tcPr>
                  <w:tcW w:w="992" w:type="dxa"/>
                  <w:vAlign w:val="center"/>
                </w:tcPr>
                <w:p>
                  <w:pPr>
                    <w:spacing w:line="240" w:lineRule="auto"/>
                    <w:jc w:val="center"/>
                    <w:rPr>
                      <w:color w:val="FF0000"/>
                      <w:szCs w:val="21"/>
                    </w:rPr>
                  </w:pPr>
                  <w:r>
                    <w:rPr>
                      <w:rFonts w:hint="eastAsia"/>
                      <w:color w:val="FF0000"/>
                      <w:szCs w:val="21"/>
                    </w:rPr>
                    <w:t>C</w:t>
                  </w:r>
                  <w:r>
                    <w:rPr>
                      <w:color w:val="FF0000"/>
                      <w:szCs w:val="21"/>
                    </w:rPr>
                    <w:t>OD</w:t>
                  </w:r>
                </w:p>
              </w:tc>
              <w:tc>
                <w:tcPr>
                  <w:tcW w:w="993" w:type="dxa"/>
                  <w:vMerge w:val="restart"/>
                  <w:vAlign w:val="center"/>
                </w:tcPr>
                <w:p>
                  <w:pPr>
                    <w:spacing w:line="240" w:lineRule="auto"/>
                    <w:jc w:val="center"/>
                    <w:rPr>
                      <w:color w:val="FF0000"/>
                      <w:szCs w:val="21"/>
                    </w:rPr>
                  </w:pPr>
                  <w:r>
                    <w:rPr>
                      <w:color w:val="FF0000"/>
                      <w:szCs w:val="21"/>
                    </w:rPr>
                    <w:t>540</w:t>
                  </w:r>
                </w:p>
              </w:tc>
              <w:tc>
                <w:tcPr>
                  <w:tcW w:w="989" w:type="dxa"/>
                  <w:vAlign w:val="center"/>
                </w:tcPr>
                <w:p>
                  <w:pPr>
                    <w:spacing w:line="240" w:lineRule="auto"/>
                    <w:jc w:val="center"/>
                    <w:rPr>
                      <w:rFonts w:eastAsia="等线"/>
                      <w:color w:val="FF0000"/>
                      <w:kern w:val="0"/>
                      <w:szCs w:val="21"/>
                    </w:rPr>
                  </w:pPr>
                  <w:r>
                    <w:rPr>
                      <w:rFonts w:eastAsia="等线"/>
                      <w:color w:val="FF0000"/>
                      <w:szCs w:val="21"/>
                    </w:rPr>
                    <w:t>450</w:t>
                  </w:r>
                </w:p>
              </w:tc>
              <w:tc>
                <w:tcPr>
                  <w:tcW w:w="946" w:type="dxa"/>
                  <w:vAlign w:val="center"/>
                </w:tcPr>
                <w:p>
                  <w:pPr>
                    <w:spacing w:line="240" w:lineRule="auto"/>
                    <w:jc w:val="center"/>
                    <w:rPr>
                      <w:rFonts w:eastAsia="等线"/>
                      <w:color w:val="FF0000"/>
                      <w:szCs w:val="21"/>
                    </w:rPr>
                  </w:pPr>
                  <w:r>
                    <w:rPr>
                      <w:rFonts w:eastAsia="等线"/>
                      <w:color w:val="FF0000"/>
                      <w:szCs w:val="21"/>
                    </w:rPr>
                    <w:t>0.243</w:t>
                  </w:r>
                </w:p>
              </w:tc>
              <w:tc>
                <w:tcPr>
                  <w:tcW w:w="958" w:type="dxa"/>
                  <w:vMerge w:val="restart"/>
                  <w:vAlign w:val="center"/>
                </w:tcPr>
                <w:p>
                  <w:pPr>
                    <w:spacing w:line="240" w:lineRule="auto"/>
                    <w:jc w:val="center"/>
                    <w:rPr>
                      <w:color w:val="FF0000"/>
                      <w:szCs w:val="21"/>
                    </w:rPr>
                  </w:pPr>
                  <w:r>
                    <w:rPr>
                      <w:color w:val="FF0000"/>
                      <w:szCs w:val="21"/>
                    </w:rPr>
                    <w:t>50</w:t>
                  </w:r>
                </w:p>
              </w:tc>
              <w:tc>
                <w:tcPr>
                  <w:tcW w:w="934" w:type="dxa"/>
                  <w:vMerge w:val="restart"/>
                  <w:vAlign w:val="center"/>
                </w:tcPr>
                <w:p>
                  <w:pPr>
                    <w:spacing w:line="240" w:lineRule="auto"/>
                    <w:jc w:val="center"/>
                    <w:rPr>
                      <w:color w:val="FF0000"/>
                      <w:szCs w:val="21"/>
                    </w:rPr>
                  </w:pPr>
                  <w:r>
                    <w:rPr>
                      <w:rFonts w:hint="eastAsia"/>
                      <w:color w:val="FF0000"/>
                      <w:szCs w:val="21"/>
                    </w:rPr>
                    <w:t>生化池（格栅沉淀+水解酸化）</w:t>
                  </w:r>
                </w:p>
              </w:tc>
              <w:tc>
                <w:tcPr>
                  <w:tcW w:w="850" w:type="dxa"/>
                  <w:vMerge w:val="restart"/>
                  <w:vAlign w:val="center"/>
                </w:tcPr>
                <w:p>
                  <w:pPr>
                    <w:spacing w:line="240" w:lineRule="auto"/>
                    <w:jc w:val="center"/>
                    <w:rPr>
                      <w:color w:val="FF0000"/>
                      <w:szCs w:val="21"/>
                    </w:rPr>
                  </w:pPr>
                  <w:r>
                    <w:rPr>
                      <w:rFonts w:hint="eastAsia"/>
                      <w:color w:val="FF0000"/>
                      <w:szCs w:val="21"/>
                    </w:rPr>
                    <w:t>是</w:t>
                  </w:r>
                </w:p>
              </w:tc>
              <w:tc>
                <w:tcPr>
                  <w:tcW w:w="1134" w:type="dxa"/>
                  <w:vMerge w:val="restart"/>
                  <w:vAlign w:val="center"/>
                </w:tcPr>
                <w:p>
                  <w:pPr>
                    <w:spacing w:line="240" w:lineRule="auto"/>
                    <w:jc w:val="center"/>
                    <w:rPr>
                      <w:color w:val="FF0000"/>
                      <w:szCs w:val="21"/>
                    </w:rPr>
                  </w:pPr>
                  <w:r>
                    <w:rPr>
                      <w:color w:val="FF0000"/>
                      <w:szCs w:val="21"/>
                    </w:rPr>
                    <w:t>540</w:t>
                  </w: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B</w:t>
                  </w:r>
                  <w:r>
                    <w:rPr>
                      <w:color w:val="FF0000"/>
                      <w:szCs w:val="21"/>
                    </w:rPr>
                    <w:t>OD</w:t>
                  </w:r>
                  <w:r>
                    <w:rPr>
                      <w:color w:val="FF0000"/>
                      <w:szCs w:val="21"/>
                      <w:vertAlign w:val="subscript"/>
                    </w:rPr>
                    <w:t>5</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250</w:t>
                  </w:r>
                </w:p>
              </w:tc>
              <w:tc>
                <w:tcPr>
                  <w:tcW w:w="946" w:type="dxa"/>
                  <w:vAlign w:val="center"/>
                </w:tcPr>
                <w:p>
                  <w:pPr>
                    <w:spacing w:line="240" w:lineRule="auto"/>
                    <w:jc w:val="center"/>
                    <w:rPr>
                      <w:rFonts w:eastAsia="等线"/>
                      <w:color w:val="FF0000"/>
                      <w:szCs w:val="21"/>
                    </w:rPr>
                  </w:pPr>
                  <w:r>
                    <w:rPr>
                      <w:rFonts w:eastAsia="等线"/>
                      <w:color w:val="FF0000"/>
                      <w:szCs w:val="21"/>
                    </w:rPr>
                    <w:t>0.135</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S</w:t>
                  </w:r>
                  <w:r>
                    <w:rPr>
                      <w:color w:val="FF0000"/>
                      <w:szCs w:val="21"/>
                    </w:rPr>
                    <w:t>S</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350</w:t>
                  </w:r>
                </w:p>
              </w:tc>
              <w:tc>
                <w:tcPr>
                  <w:tcW w:w="946" w:type="dxa"/>
                  <w:vAlign w:val="center"/>
                </w:tcPr>
                <w:p>
                  <w:pPr>
                    <w:spacing w:line="240" w:lineRule="auto"/>
                    <w:jc w:val="center"/>
                    <w:rPr>
                      <w:rFonts w:eastAsia="等线"/>
                      <w:color w:val="FF0000"/>
                      <w:szCs w:val="21"/>
                    </w:rPr>
                  </w:pPr>
                  <w:r>
                    <w:rPr>
                      <w:rFonts w:eastAsia="等线"/>
                      <w:color w:val="FF0000"/>
                      <w:szCs w:val="21"/>
                    </w:rPr>
                    <w:t>0.189</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总磷</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5</w:t>
                  </w:r>
                </w:p>
              </w:tc>
              <w:tc>
                <w:tcPr>
                  <w:tcW w:w="946" w:type="dxa"/>
                  <w:vAlign w:val="center"/>
                </w:tcPr>
                <w:p>
                  <w:pPr>
                    <w:spacing w:line="240" w:lineRule="auto"/>
                    <w:jc w:val="center"/>
                    <w:rPr>
                      <w:rFonts w:eastAsia="等线"/>
                      <w:color w:val="FF0000"/>
                      <w:szCs w:val="21"/>
                    </w:rPr>
                  </w:pPr>
                  <w:r>
                    <w:rPr>
                      <w:rFonts w:eastAsia="等线"/>
                      <w:color w:val="FF0000"/>
                      <w:szCs w:val="21"/>
                    </w:rPr>
                    <w:t>0.003</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szCs w:val="21"/>
                    </w:rPr>
                  </w:pPr>
                </w:p>
              </w:tc>
              <w:tc>
                <w:tcPr>
                  <w:tcW w:w="850" w:type="dxa"/>
                  <w:vAlign w:val="center"/>
                </w:tcPr>
                <w:p>
                  <w:pPr>
                    <w:spacing w:line="240" w:lineRule="auto"/>
                    <w:jc w:val="center"/>
                    <w:rPr>
                      <w:color w:val="FF0000"/>
                      <w:szCs w:val="21"/>
                    </w:rPr>
                  </w:pPr>
                </w:p>
              </w:tc>
              <w:tc>
                <w:tcPr>
                  <w:tcW w:w="851" w:type="dxa"/>
                  <w:vAlign w:val="center"/>
                </w:tcPr>
                <w:p>
                  <w:pPr>
                    <w:spacing w:line="240" w:lineRule="auto"/>
                    <w:jc w:val="center"/>
                    <w:rPr>
                      <w:color w:val="FF0000"/>
                      <w:szCs w:val="21"/>
                    </w:rPr>
                  </w:pPr>
                </w:p>
              </w:tc>
              <w:tc>
                <w:tcPr>
                  <w:tcW w:w="930" w:type="dxa"/>
                  <w:vAlign w:val="center"/>
                </w:tcPr>
                <w:p>
                  <w:pPr>
                    <w:spacing w:line="240" w:lineRule="auto"/>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N</w:t>
                  </w:r>
                  <w:r>
                    <w:rPr>
                      <w:color w:val="FF0000"/>
                      <w:szCs w:val="21"/>
                    </w:rPr>
                    <w:t>H</w:t>
                  </w:r>
                  <w:r>
                    <w:rPr>
                      <w:color w:val="FF0000"/>
                      <w:szCs w:val="21"/>
                      <w:vertAlign w:val="subscript"/>
                    </w:rPr>
                    <w:t>3</w:t>
                  </w:r>
                  <w:r>
                    <w:rPr>
                      <w:color w:val="FF0000"/>
                      <w:szCs w:val="21"/>
                    </w:rPr>
                    <w:t>-N</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40</w:t>
                  </w:r>
                </w:p>
              </w:tc>
              <w:tc>
                <w:tcPr>
                  <w:tcW w:w="946" w:type="dxa"/>
                  <w:vAlign w:val="center"/>
                </w:tcPr>
                <w:p>
                  <w:pPr>
                    <w:spacing w:line="240" w:lineRule="auto"/>
                    <w:jc w:val="center"/>
                    <w:rPr>
                      <w:rFonts w:eastAsia="等线"/>
                      <w:color w:val="FF0000"/>
                      <w:szCs w:val="21"/>
                    </w:rPr>
                  </w:pPr>
                  <w:r>
                    <w:rPr>
                      <w:rFonts w:eastAsia="等线"/>
                      <w:color w:val="FF0000"/>
                      <w:szCs w:val="21"/>
                    </w:rPr>
                    <w:t>0.022</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restart"/>
                  <w:vAlign w:val="center"/>
                </w:tcPr>
                <w:p>
                  <w:pPr>
                    <w:spacing w:line="240" w:lineRule="auto"/>
                    <w:jc w:val="center"/>
                    <w:rPr>
                      <w:color w:val="FF0000"/>
                      <w:szCs w:val="21"/>
                    </w:rPr>
                  </w:pPr>
                  <w:r>
                    <w:rPr>
                      <w:rFonts w:hint="eastAsia"/>
                      <w:color w:val="FF0000"/>
                      <w:szCs w:val="21"/>
                    </w:rPr>
                    <w:t>食堂废水</w:t>
                  </w:r>
                </w:p>
              </w:tc>
              <w:tc>
                <w:tcPr>
                  <w:tcW w:w="992" w:type="dxa"/>
                  <w:vAlign w:val="center"/>
                </w:tcPr>
                <w:p>
                  <w:pPr>
                    <w:spacing w:line="240" w:lineRule="auto"/>
                    <w:jc w:val="center"/>
                    <w:rPr>
                      <w:color w:val="FF0000"/>
                      <w:szCs w:val="21"/>
                    </w:rPr>
                  </w:pPr>
                  <w:r>
                    <w:rPr>
                      <w:rFonts w:hint="eastAsia"/>
                      <w:color w:val="FF0000"/>
                      <w:szCs w:val="21"/>
                    </w:rPr>
                    <w:t>C</w:t>
                  </w:r>
                  <w:r>
                    <w:rPr>
                      <w:color w:val="FF0000"/>
                      <w:szCs w:val="21"/>
                    </w:rPr>
                    <w:t>OD</w:t>
                  </w:r>
                </w:p>
              </w:tc>
              <w:tc>
                <w:tcPr>
                  <w:tcW w:w="993" w:type="dxa"/>
                  <w:vMerge w:val="restart"/>
                  <w:vAlign w:val="center"/>
                </w:tcPr>
                <w:p>
                  <w:pPr>
                    <w:spacing w:line="240" w:lineRule="auto"/>
                    <w:jc w:val="center"/>
                    <w:rPr>
                      <w:color w:val="FF0000"/>
                      <w:szCs w:val="21"/>
                    </w:rPr>
                  </w:pPr>
                  <w:r>
                    <w:rPr>
                      <w:color w:val="FF0000"/>
                      <w:szCs w:val="21"/>
                    </w:rPr>
                    <w:t>432</w:t>
                  </w:r>
                </w:p>
              </w:tc>
              <w:tc>
                <w:tcPr>
                  <w:tcW w:w="989" w:type="dxa"/>
                  <w:vAlign w:val="center"/>
                </w:tcPr>
                <w:p>
                  <w:pPr>
                    <w:spacing w:line="240" w:lineRule="auto"/>
                    <w:jc w:val="center"/>
                    <w:rPr>
                      <w:rFonts w:eastAsia="等线"/>
                      <w:color w:val="FF0000"/>
                      <w:szCs w:val="21"/>
                    </w:rPr>
                  </w:pPr>
                  <w:r>
                    <w:rPr>
                      <w:rFonts w:eastAsia="等线"/>
                      <w:color w:val="FF0000"/>
                      <w:szCs w:val="21"/>
                    </w:rPr>
                    <w:t>400</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0.173 </w:t>
                  </w:r>
                </w:p>
              </w:tc>
              <w:tc>
                <w:tcPr>
                  <w:tcW w:w="958" w:type="dxa"/>
                  <w:vMerge w:val="restart"/>
                  <w:vAlign w:val="center"/>
                </w:tcPr>
                <w:p>
                  <w:pPr>
                    <w:spacing w:line="240" w:lineRule="auto"/>
                    <w:jc w:val="center"/>
                    <w:rPr>
                      <w:color w:val="FF0000"/>
                      <w:szCs w:val="21"/>
                    </w:rPr>
                  </w:pPr>
                  <w:r>
                    <w:rPr>
                      <w:rFonts w:hint="eastAsia"/>
                      <w:color w:val="FF0000"/>
                      <w:szCs w:val="21"/>
                    </w:rPr>
                    <w:t>5</w:t>
                  </w:r>
                </w:p>
              </w:tc>
              <w:tc>
                <w:tcPr>
                  <w:tcW w:w="934" w:type="dxa"/>
                  <w:vMerge w:val="restart"/>
                  <w:vAlign w:val="center"/>
                </w:tcPr>
                <w:p>
                  <w:pPr>
                    <w:spacing w:line="240" w:lineRule="auto"/>
                    <w:jc w:val="center"/>
                    <w:rPr>
                      <w:color w:val="FF0000"/>
                      <w:szCs w:val="21"/>
                    </w:rPr>
                  </w:pPr>
                  <w:r>
                    <w:rPr>
                      <w:rFonts w:hint="eastAsia"/>
                      <w:color w:val="FF0000"/>
                      <w:szCs w:val="21"/>
                    </w:rPr>
                    <w:t>隔油池</w:t>
                  </w:r>
                </w:p>
              </w:tc>
              <w:tc>
                <w:tcPr>
                  <w:tcW w:w="850" w:type="dxa"/>
                  <w:vMerge w:val="restart"/>
                  <w:vAlign w:val="center"/>
                </w:tcPr>
                <w:p>
                  <w:pPr>
                    <w:spacing w:line="240" w:lineRule="auto"/>
                    <w:jc w:val="center"/>
                    <w:rPr>
                      <w:color w:val="FF0000"/>
                      <w:szCs w:val="21"/>
                    </w:rPr>
                  </w:pPr>
                  <w:r>
                    <w:rPr>
                      <w:rFonts w:hint="eastAsia"/>
                      <w:color w:val="FF0000"/>
                      <w:szCs w:val="21"/>
                    </w:rPr>
                    <w:t>是</w:t>
                  </w:r>
                </w:p>
              </w:tc>
              <w:tc>
                <w:tcPr>
                  <w:tcW w:w="1134" w:type="dxa"/>
                  <w:vMerge w:val="restart"/>
                  <w:vAlign w:val="center"/>
                </w:tcPr>
                <w:p>
                  <w:pPr>
                    <w:spacing w:line="240" w:lineRule="auto"/>
                    <w:jc w:val="center"/>
                    <w:rPr>
                      <w:color w:val="FF0000"/>
                      <w:szCs w:val="21"/>
                    </w:rPr>
                  </w:pPr>
                  <w:r>
                    <w:rPr>
                      <w:color w:val="FF0000"/>
                      <w:szCs w:val="21"/>
                    </w:rPr>
                    <w:t>432</w:t>
                  </w: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B</w:t>
                  </w:r>
                  <w:r>
                    <w:rPr>
                      <w:color w:val="FF0000"/>
                      <w:szCs w:val="21"/>
                    </w:rPr>
                    <w:t>OD</w:t>
                  </w:r>
                  <w:r>
                    <w:rPr>
                      <w:color w:val="FF0000"/>
                      <w:szCs w:val="21"/>
                      <w:vertAlign w:val="subscript"/>
                    </w:rPr>
                    <w:t>5</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250</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0.108 </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S</w:t>
                  </w:r>
                  <w:r>
                    <w:rPr>
                      <w:color w:val="FF0000"/>
                      <w:szCs w:val="21"/>
                    </w:rPr>
                    <w:t>S</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300</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0.130 </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N</w:t>
                  </w:r>
                  <w:r>
                    <w:rPr>
                      <w:color w:val="FF0000"/>
                      <w:szCs w:val="21"/>
                    </w:rPr>
                    <w:t>H</w:t>
                  </w:r>
                  <w:r>
                    <w:rPr>
                      <w:color w:val="FF0000"/>
                      <w:szCs w:val="21"/>
                      <w:vertAlign w:val="subscript"/>
                    </w:rPr>
                    <w:t>3</w:t>
                  </w:r>
                  <w:r>
                    <w:rPr>
                      <w:color w:val="FF0000"/>
                      <w:szCs w:val="21"/>
                    </w:rPr>
                    <w:t>-N</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20</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0.009 </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动植物油</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50</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0.022 </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restart"/>
                  <w:vAlign w:val="center"/>
                </w:tcPr>
                <w:p>
                  <w:pPr>
                    <w:spacing w:line="240" w:lineRule="auto"/>
                    <w:jc w:val="center"/>
                    <w:rPr>
                      <w:color w:val="FF0000"/>
                      <w:szCs w:val="21"/>
                    </w:rPr>
                  </w:pPr>
                  <w:r>
                    <w:rPr>
                      <w:rFonts w:hint="eastAsia"/>
                      <w:color w:val="FF0000"/>
                      <w:szCs w:val="21"/>
                    </w:rPr>
                    <w:t>循环冷却</w:t>
                  </w:r>
                </w:p>
              </w:tc>
              <w:tc>
                <w:tcPr>
                  <w:tcW w:w="736" w:type="dxa"/>
                  <w:vMerge w:val="restart"/>
                  <w:vAlign w:val="center"/>
                </w:tcPr>
                <w:p>
                  <w:pPr>
                    <w:spacing w:line="240" w:lineRule="auto"/>
                    <w:jc w:val="center"/>
                    <w:rPr>
                      <w:color w:val="FF0000"/>
                      <w:szCs w:val="21"/>
                    </w:rPr>
                  </w:pPr>
                  <w:r>
                    <w:rPr>
                      <w:rFonts w:hint="eastAsia"/>
                      <w:color w:val="FF0000"/>
                      <w:szCs w:val="21"/>
                    </w:rPr>
                    <w:t>循环冷却系统排水</w:t>
                  </w:r>
                </w:p>
              </w:tc>
              <w:tc>
                <w:tcPr>
                  <w:tcW w:w="992" w:type="dxa"/>
                  <w:vAlign w:val="center"/>
                </w:tcPr>
                <w:p>
                  <w:pPr>
                    <w:spacing w:line="240" w:lineRule="auto"/>
                    <w:jc w:val="center"/>
                    <w:rPr>
                      <w:color w:val="FF0000"/>
                      <w:szCs w:val="21"/>
                    </w:rPr>
                  </w:pPr>
                  <w:r>
                    <w:rPr>
                      <w:rFonts w:hint="eastAsia"/>
                      <w:color w:val="FF0000"/>
                      <w:szCs w:val="21"/>
                    </w:rPr>
                    <w:t>C</w:t>
                  </w:r>
                  <w:r>
                    <w:rPr>
                      <w:color w:val="FF0000"/>
                      <w:szCs w:val="21"/>
                    </w:rPr>
                    <w:t>OD</w:t>
                  </w:r>
                </w:p>
              </w:tc>
              <w:tc>
                <w:tcPr>
                  <w:tcW w:w="993" w:type="dxa"/>
                  <w:vMerge w:val="restart"/>
                  <w:vAlign w:val="center"/>
                </w:tcPr>
                <w:p>
                  <w:pPr>
                    <w:spacing w:line="240" w:lineRule="auto"/>
                    <w:jc w:val="center"/>
                    <w:rPr>
                      <w:color w:val="FF0000"/>
                      <w:szCs w:val="21"/>
                    </w:rPr>
                  </w:pPr>
                  <w:r>
                    <w:rPr>
                      <w:rFonts w:hint="eastAsia"/>
                      <w:color w:val="FF0000"/>
                      <w:szCs w:val="21"/>
                    </w:rPr>
                    <w:t>2</w:t>
                  </w:r>
                  <w:r>
                    <w:rPr>
                      <w:color w:val="FF0000"/>
                      <w:szCs w:val="21"/>
                    </w:rPr>
                    <w:t>160</w:t>
                  </w:r>
                </w:p>
              </w:tc>
              <w:tc>
                <w:tcPr>
                  <w:tcW w:w="989" w:type="dxa"/>
                  <w:vAlign w:val="center"/>
                </w:tcPr>
                <w:p>
                  <w:pPr>
                    <w:spacing w:line="240" w:lineRule="auto"/>
                    <w:jc w:val="center"/>
                    <w:rPr>
                      <w:rFonts w:eastAsia="等线"/>
                      <w:color w:val="FF0000"/>
                      <w:szCs w:val="21"/>
                    </w:rPr>
                  </w:pPr>
                  <w:r>
                    <w:rPr>
                      <w:rFonts w:eastAsia="等线"/>
                      <w:color w:val="FF0000"/>
                      <w:szCs w:val="21"/>
                    </w:rPr>
                    <w:t>110</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0.238 </w:t>
                  </w:r>
                </w:p>
              </w:tc>
              <w:tc>
                <w:tcPr>
                  <w:tcW w:w="958" w:type="dxa"/>
                  <w:vMerge w:val="restart"/>
                  <w:vAlign w:val="center"/>
                </w:tcPr>
                <w:p>
                  <w:pPr>
                    <w:spacing w:line="240" w:lineRule="auto"/>
                    <w:jc w:val="center"/>
                    <w:rPr>
                      <w:color w:val="FF0000"/>
                      <w:szCs w:val="21"/>
                    </w:rPr>
                  </w:pPr>
                  <w:r>
                    <w:rPr>
                      <w:color w:val="FF0000"/>
                      <w:szCs w:val="21"/>
                    </w:rPr>
                    <w:t>50</w:t>
                  </w:r>
                </w:p>
              </w:tc>
              <w:tc>
                <w:tcPr>
                  <w:tcW w:w="934" w:type="dxa"/>
                  <w:vMerge w:val="restart"/>
                  <w:vAlign w:val="center"/>
                </w:tcPr>
                <w:p>
                  <w:pPr>
                    <w:spacing w:line="240" w:lineRule="auto"/>
                    <w:jc w:val="center"/>
                    <w:rPr>
                      <w:color w:val="FF0000"/>
                      <w:szCs w:val="21"/>
                    </w:rPr>
                  </w:pPr>
                  <w:r>
                    <w:rPr>
                      <w:rFonts w:hint="eastAsia"/>
                      <w:color w:val="FF0000"/>
                      <w:szCs w:val="21"/>
                    </w:rPr>
                    <w:t>生化池</w:t>
                  </w:r>
                </w:p>
              </w:tc>
              <w:tc>
                <w:tcPr>
                  <w:tcW w:w="850" w:type="dxa"/>
                  <w:vMerge w:val="restart"/>
                  <w:vAlign w:val="center"/>
                </w:tcPr>
                <w:p>
                  <w:pPr>
                    <w:spacing w:line="240" w:lineRule="auto"/>
                    <w:jc w:val="center"/>
                    <w:rPr>
                      <w:color w:val="FF0000"/>
                      <w:szCs w:val="21"/>
                    </w:rPr>
                  </w:pPr>
                  <w:r>
                    <w:rPr>
                      <w:rFonts w:hint="eastAsia"/>
                      <w:color w:val="FF0000"/>
                      <w:szCs w:val="21"/>
                    </w:rPr>
                    <w:t>是</w:t>
                  </w:r>
                </w:p>
              </w:tc>
              <w:tc>
                <w:tcPr>
                  <w:tcW w:w="1134" w:type="dxa"/>
                  <w:vMerge w:val="restart"/>
                  <w:vAlign w:val="center"/>
                </w:tcPr>
                <w:p>
                  <w:pPr>
                    <w:spacing w:line="240" w:lineRule="auto"/>
                    <w:jc w:val="center"/>
                    <w:rPr>
                      <w:color w:val="FF0000"/>
                      <w:szCs w:val="21"/>
                    </w:rPr>
                  </w:pPr>
                  <w:r>
                    <w:rPr>
                      <w:rFonts w:hint="eastAsia"/>
                      <w:color w:val="FF0000"/>
                      <w:szCs w:val="21"/>
                    </w:rPr>
                    <w:t>2</w:t>
                  </w:r>
                  <w:r>
                    <w:rPr>
                      <w:color w:val="FF0000"/>
                      <w:szCs w:val="21"/>
                    </w:rPr>
                    <w:t>160</w:t>
                  </w: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S</w:t>
                  </w:r>
                  <w:r>
                    <w:rPr>
                      <w:color w:val="FF0000"/>
                      <w:szCs w:val="21"/>
                    </w:rPr>
                    <w:t>S</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60</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0.130 </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restart"/>
                  <w:vAlign w:val="center"/>
                </w:tcPr>
                <w:p>
                  <w:pPr>
                    <w:spacing w:line="240" w:lineRule="auto"/>
                    <w:jc w:val="center"/>
                    <w:rPr>
                      <w:color w:val="FF0000"/>
                      <w:szCs w:val="21"/>
                    </w:rPr>
                  </w:pPr>
                  <w:r>
                    <w:rPr>
                      <w:rFonts w:hint="eastAsia"/>
                      <w:color w:val="FF0000"/>
                      <w:szCs w:val="21"/>
                    </w:rPr>
                    <w:t>地面冲洗</w:t>
                  </w:r>
                </w:p>
              </w:tc>
              <w:tc>
                <w:tcPr>
                  <w:tcW w:w="736" w:type="dxa"/>
                  <w:vMerge w:val="restart"/>
                  <w:vAlign w:val="center"/>
                </w:tcPr>
                <w:p>
                  <w:pPr>
                    <w:spacing w:line="240" w:lineRule="auto"/>
                    <w:jc w:val="center"/>
                    <w:rPr>
                      <w:color w:val="FF0000"/>
                      <w:szCs w:val="21"/>
                    </w:rPr>
                  </w:pPr>
                  <w:r>
                    <w:rPr>
                      <w:rFonts w:hint="eastAsia"/>
                      <w:color w:val="FF0000"/>
                      <w:szCs w:val="21"/>
                    </w:rPr>
                    <w:t>地面冲洗废水</w:t>
                  </w:r>
                </w:p>
              </w:tc>
              <w:tc>
                <w:tcPr>
                  <w:tcW w:w="992" w:type="dxa"/>
                  <w:vAlign w:val="center"/>
                </w:tcPr>
                <w:p>
                  <w:pPr>
                    <w:spacing w:line="240" w:lineRule="auto"/>
                    <w:jc w:val="center"/>
                    <w:rPr>
                      <w:color w:val="FF0000"/>
                      <w:szCs w:val="21"/>
                    </w:rPr>
                  </w:pPr>
                  <w:r>
                    <w:rPr>
                      <w:rFonts w:hint="eastAsia"/>
                      <w:color w:val="FF0000"/>
                      <w:szCs w:val="21"/>
                    </w:rPr>
                    <w:t>C</w:t>
                  </w:r>
                  <w:r>
                    <w:rPr>
                      <w:color w:val="FF0000"/>
                      <w:szCs w:val="21"/>
                    </w:rPr>
                    <w:t>OD</w:t>
                  </w:r>
                </w:p>
              </w:tc>
              <w:tc>
                <w:tcPr>
                  <w:tcW w:w="993" w:type="dxa"/>
                  <w:vMerge w:val="restart"/>
                  <w:vAlign w:val="center"/>
                </w:tcPr>
                <w:p>
                  <w:pPr>
                    <w:spacing w:line="240" w:lineRule="auto"/>
                    <w:jc w:val="center"/>
                    <w:rPr>
                      <w:color w:val="FF0000"/>
                      <w:szCs w:val="21"/>
                    </w:rPr>
                  </w:pPr>
                  <w:r>
                    <w:rPr>
                      <w:color w:val="FF0000"/>
                      <w:szCs w:val="21"/>
                    </w:rPr>
                    <w:t>41.34</w:t>
                  </w:r>
                </w:p>
              </w:tc>
              <w:tc>
                <w:tcPr>
                  <w:tcW w:w="989" w:type="dxa"/>
                  <w:vAlign w:val="center"/>
                </w:tcPr>
                <w:p>
                  <w:pPr>
                    <w:spacing w:line="240" w:lineRule="auto"/>
                    <w:jc w:val="center"/>
                    <w:rPr>
                      <w:rFonts w:eastAsia="等线"/>
                      <w:color w:val="FF0000"/>
                      <w:szCs w:val="21"/>
                    </w:rPr>
                  </w:pPr>
                  <w:r>
                    <w:rPr>
                      <w:rFonts w:eastAsia="等线"/>
                      <w:color w:val="FF0000"/>
                      <w:szCs w:val="21"/>
                    </w:rPr>
                    <w:t>150</w:t>
                  </w:r>
                </w:p>
              </w:tc>
              <w:tc>
                <w:tcPr>
                  <w:tcW w:w="946" w:type="dxa"/>
                  <w:vAlign w:val="center"/>
                </w:tcPr>
                <w:p>
                  <w:pPr>
                    <w:spacing w:line="240" w:lineRule="auto"/>
                    <w:jc w:val="center"/>
                    <w:rPr>
                      <w:rFonts w:eastAsia="等线"/>
                      <w:color w:val="FF0000"/>
                      <w:szCs w:val="21"/>
                    </w:rPr>
                  </w:pPr>
                  <w:r>
                    <w:rPr>
                      <w:rFonts w:eastAsia="等线"/>
                      <w:color w:val="FF0000"/>
                      <w:szCs w:val="21"/>
                    </w:rPr>
                    <w:t>0.006</w:t>
                  </w:r>
                </w:p>
              </w:tc>
              <w:tc>
                <w:tcPr>
                  <w:tcW w:w="958" w:type="dxa"/>
                  <w:vMerge w:val="restart"/>
                  <w:vAlign w:val="center"/>
                </w:tcPr>
                <w:p>
                  <w:pPr>
                    <w:spacing w:line="240" w:lineRule="auto"/>
                    <w:jc w:val="center"/>
                    <w:rPr>
                      <w:color w:val="FF0000"/>
                      <w:szCs w:val="21"/>
                    </w:rPr>
                  </w:pPr>
                  <w:r>
                    <w:rPr>
                      <w:color w:val="FF0000"/>
                      <w:szCs w:val="21"/>
                    </w:rPr>
                    <w:t>20</w:t>
                  </w:r>
                </w:p>
              </w:tc>
              <w:tc>
                <w:tcPr>
                  <w:tcW w:w="934" w:type="dxa"/>
                  <w:vMerge w:val="restart"/>
                  <w:vAlign w:val="center"/>
                </w:tcPr>
                <w:p>
                  <w:pPr>
                    <w:spacing w:line="240" w:lineRule="auto"/>
                    <w:jc w:val="center"/>
                    <w:rPr>
                      <w:color w:val="FF0000"/>
                      <w:szCs w:val="21"/>
                    </w:rPr>
                  </w:pPr>
                  <w:r>
                    <w:rPr>
                      <w:rFonts w:hint="eastAsia"/>
                      <w:color w:val="FF0000"/>
                      <w:szCs w:val="21"/>
                    </w:rPr>
                    <w:t>隔油+厌氧反应器+好氧活性污泥法（A/O法）</w:t>
                  </w:r>
                </w:p>
              </w:tc>
              <w:tc>
                <w:tcPr>
                  <w:tcW w:w="850" w:type="dxa"/>
                  <w:vMerge w:val="restart"/>
                  <w:vAlign w:val="center"/>
                </w:tcPr>
                <w:p>
                  <w:pPr>
                    <w:spacing w:line="240" w:lineRule="auto"/>
                    <w:jc w:val="center"/>
                    <w:rPr>
                      <w:color w:val="FF0000"/>
                      <w:szCs w:val="21"/>
                    </w:rPr>
                  </w:pPr>
                  <w:r>
                    <w:rPr>
                      <w:rFonts w:hint="eastAsia"/>
                      <w:color w:val="FF0000"/>
                      <w:szCs w:val="21"/>
                    </w:rPr>
                    <w:t>是</w:t>
                  </w:r>
                </w:p>
              </w:tc>
              <w:tc>
                <w:tcPr>
                  <w:tcW w:w="1134" w:type="dxa"/>
                  <w:vMerge w:val="restart"/>
                  <w:vAlign w:val="center"/>
                </w:tcPr>
                <w:p>
                  <w:pPr>
                    <w:spacing w:line="240" w:lineRule="auto"/>
                    <w:jc w:val="center"/>
                    <w:rPr>
                      <w:color w:val="FF0000"/>
                      <w:szCs w:val="21"/>
                    </w:rPr>
                  </w:pPr>
                  <w:r>
                    <w:rPr>
                      <w:color w:val="FF0000"/>
                      <w:szCs w:val="21"/>
                    </w:rPr>
                    <w:t>926.34</w:t>
                  </w: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S</w:t>
                  </w:r>
                  <w:r>
                    <w:rPr>
                      <w:color w:val="FF0000"/>
                      <w:szCs w:val="21"/>
                    </w:rPr>
                    <w:t>S</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200</w:t>
                  </w:r>
                </w:p>
              </w:tc>
              <w:tc>
                <w:tcPr>
                  <w:tcW w:w="946" w:type="dxa"/>
                  <w:vAlign w:val="center"/>
                </w:tcPr>
                <w:p>
                  <w:pPr>
                    <w:spacing w:line="240" w:lineRule="auto"/>
                    <w:jc w:val="center"/>
                    <w:rPr>
                      <w:rFonts w:eastAsia="等线"/>
                      <w:color w:val="FF0000"/>
                      <w:szCs w:val="21"/>
                    </w:rPr>
                  </w:pPr>
                  <w:r>
                    <w:rPr>
                      <w:rFonts w:eastAsia="等线"/>
                      <w:color w:val="FF0000"/>
                      <w:szCs w:val="21"/>
                    </w:rPr>
                    <w:t>0.008</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石油类</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100</w:t>
                  </w:r>
                </w:p>
              </w:tc>
              <w:tc>
                <w:tcPr>
                  <w:tcW w:w="946" w:type="dxa"/>
                  <w:vAlign w:val="center"/>
                </w:tcPr>
                <w:p>
                  <w:pPr>
                    <w:spacing w:line="240" w:lineRule="auto"/>
                    <w:jc w:val="center"/>
                    <w:rPr>
                      <w:rFonts w:eastAsia="等线"/>
                      <w:color w:val="FF0000"/>
                      <w:szCs w:val="21"/>
                    </w:rPr>
                  </w:pPr>
                  <w:r>
                    <w:rPr>
                      <w:rFonts w:eastAsia="等线"/>
                      <w:color w:val="FF0000"/>
                      <w:szCs w:val="21"/>
                    </w:rPr>
                    <w:t>0.004</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Align w:val="center"/>
                </w:tcPr>
                <w:p>
                  <w:pPr>
                    <w:spacing w:line="240" w:lineRule="auto"/>
                    <w:jc w:val="center"/>
                    <w:rPr>
                      <w:color w:val="FF0000"/>
                      <w:szCs w:val="21"/>
                    </w:rPr>
                  </w:pPr>
                  <w:r>
                    <w:rPr>
                      <w:rFonts w:hint="eastAsia"/>
                      <w:color w:val="FF0000"/>
                      <w:szCs w:val="21"/>
                    </w:rPr>
                    <w:t>脱硫系统</w:t>
                  </w:r>
                </w:p>
              </w:tc>
              <w:tc>
                <w:tcPr>
                  <w:tcW w:w="736" w:type="dxa"/>
                  <w:vAlign w:val="center"/>
                </w:tcPr>
                <w:p>
                  <w:pPr>
                    <w:spacing w:line="240" w:lineRule="auto"/>
                    <w:jc w:val="center"/>
                    <w:rPr>
                      <w:color w:val="FF0000"/>
                      <w:szCs w:val="21"/>
                    </w:rPr>
                  </w:pPr>
                  <w:r>
                    <w:rPr>
                      <w:rFonts w:hint="eastAsia"/>
                      <w:color w:val="FF0000"/>
                      <w:szCs w:val="21"/>
                    </w:rPr>
                    <w:t>脱硫系统排水</w:t>
                  </w:r>
                </w:p>
              </w:tc>
              <w:tc>
                <w:tcPr>
                  <w:tcW w:w="992" w:type="dxa"/>
                  <w:vAlign w:val="center"/>
                </w:tcPr>
                <w:p>
                  <w:pPr>
                    <w:spacing w:line="240" w:lineRule="auto"/>
                    <w:jc w:val="center"/>
                    <w:rPr>
                      <w:color w:val="FF0000"/>
                      <w:szCs w:val="21"/>
                    </w:rPr>
                  </w:pPr>
                  <w:r>
                    <w:rPr>
                      <w:rFonts w:hint="eastAsia"/>
                      <w:color w:val="FF0000"/>
                      <w:szCs w:val="21"/>
                    </w:rPr>
                    <w:t>p</w:t>
                  </w:r>
                  <w:r>
                    <w:rPr>
                      <w:color w:val="FF0000"/>
                      <w:szCs w:val="21"/>
                    </w:rPr>
                    <w:t>H</w:t>
                  </w:r>
                </w:p>
              </w:tc>
              <w:tc>
                <w:tcPr>
                  <w:tcW w:w="993" w:type="dxa"/>
                  <w:vAlign w:val="center"/>
                </w:tcPr>
                <w:p>
                  <w:pPr>
                    <w:spacing w:line="240" w:lineRule="auto"/>
                    <w:jc w:val="center"/>
                    <w:rPr>
                      <w:color w:val="FF0000"/>
                      <w:szCs w:val="21"/>
                    </w:rPr>
                  </w:pPr>
                  <w:r>
                    <w:rPr>
                      <w:color w:val="FF0000"/>
                      <w:szCs w:val="21"/>
                    </w:rPr>
                    <w:t>176</w:t>
                  </w:r>
                </w:p>
              </w:tc>
              <w:tc>
                <w:tcPr>
                  <w:tcW w:w="989" w:type="dxa"/>
                  <w:vAlign w:val="center"/>
                </w:tcPr>
                <w:p>
                  <w:pPr>
                    <w:spacing w:line="240" w:lineRule="auto"/>
                    <w:jc w:val="center"/>
                    <w:rPr>
                      <w:color w:val="FF0000"/>
                      <w:szCs w:val="21"/>
                    </w:rPr>
                  </w:pPr>
                  <w:r>
                    <w:rPr>
                      <w:color w:val="FF0000"/>
                      <w:szCs w:val="21"/>
                    </w:rPr>
                    <w:t>6</w:t>
                  </w:r>
                  <w:r>
                    <w:rPr>
                      <w:rFonts w:hint="eastAsia"/>
                      <w:color w:val="FF0000"/>
                      <w:szCs w:val="21"/>
                    </w:rPr>
                    <w:t>~</w:t>
                  </w:r>
                  <w:r>
                    <w:rPr>
                      <w:color w:val="FF0000"/>
                      <w:szCs w:val="21"/>
                    </w:rPr>
                    <w:t>9</w:t>
                  </w:r>
                </w:p>
              </w:tc>
              <w:tc>
                <w:tcPr>
                  <w:tcW w:w="946" w:type="dxa"/>
                  <w:vAlign w:val="center"/>
                </w:tcPr>
                <w:p>
                  <w:pPr>
                    <w:spacing w:line="240" w:lineRule="auto"/>
                    <w:jc w:val="center"/>
                    <w:rPr>
                      <w:rFonts w:eastAsia="等线"/>
                      <w:color w:val="FF0000"/>
                      <w:szCs w:val="21"/>
                    </w:rPr>
                  </w:pPr>
                  <w:r>
                    <w:rPr>
                      <w:rFonts w:eastAsia="等线"/>
                      <w:color w:val="FF0000"/>
                      <w:szCs w:val="21"/>
                    </w:rPr>
                    <w:t>/</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restart"/>
                  <w:vAlign w:val="center"/>
                </w:tcPr>
                <w:p>
                  <w:pPr>
                    <w:spacing w:line="240" w:lineRule="auto"/>
                    <w:jc w:val="center"/>
                    <w:rPr>
                      <w:color w:val="FF0000"/>
                      <w:szCs w:val="21"/>
                    </w:rPr>
                  </w:pPr>
                  <w:r>
                    <w:rPr>
                      <w:rFonts w:hint="eastAsia"/>
                      <w:color w:val="FF0000"/>
                      <w:szCs w:val="21"/>
                    </w:rPr>
                    <w:t>初期雨水</w:t>
                  </w:r>
                </w:p>
              </w:tc>
              <w:tc>
                <w:tcPr>
                  <w:tcW w:w="736" w:type="dxa"/>
                  <w:vMerge w:val="restart"/>
                  <w:vAlign w:val="center"/>
                </w:tcPr>
                <w:p>
                  <w:pPr>
                    <w:spacing w:line="240" w:lineRule="auto"/>
                    <w:jc w:val="center"/>
                    <w:rPr>
                      <w:color w:val="FF0000"/>
                      <w:szCs w:val="21"/>
                    </w:rPr>
                  </w:pPr>
                  <w:r>
                    <w:rPr>
                      <w:rFonts w:hint="eastAsia"/>
                      <w:color w:val="FF0000"/>
                      <w:szCs w:val="21"/>
                    </w:rPr>
                    <w:t>初期雨水</w:t>
                  </w:r>
                </w:p>
              </w:tc>
              <w:tc>
                <w:tcPr>
                  <w:tcW w:w="992" w:type="dxa"/>
                  <w:vAlign w:val="center"/>
                </w:tcPr>
                <w:p>
                  <w:pPr>
                    <w:spacing w:line="240" w:lineRule="auto"/>
                    <w:jc w:val="center"/>
                    <w:rPr>
                      <w:color w:val="FF0000"/>
                      <w:szCs w:val="21"/>
                    </w:rPr>
                  </w:pPr>
                  <w:r>
                    <w:rPr>
                      <w:rFonts w:hint="eastAsia"/>
                      <w:color w:val="FF0000"/>
                      <w:szCs w:val="21"/>
                    </w:rPr>
                    <w:t>p</w:t>
                  </w:r>
                  <w:r>
                    <w:rPr>
                      <w:color w:val="FF0000"/>
                      <w:szCs w:val="21"/>
                    </w:rPr>
                    <w:t>H</w:t>
                  </w:r>
                </w:p>
              </w:tc>
              <w:tc>
                <w:tcPr>
                  <w:tcW w:w="993" w:type="dxa"/>
                  <w:vMerge w:val="restart"/>
                  <w:vAlign w:val="center"/>
                </w:tcPr>
                <w:p>
                  <w:pPr>
                    <w:spacing w:line="240" w:lineRule="auto"/>
                    <w:jc w:val="center"/>
                    <w:rPr>
                      <w:color w:val="FF0000"/>
                      <w:szCs w:val="21"/>
                    </w:rPr>
                  </w:pPr>
                  <w:r>
                    <w:rPr>
                      <w:color w:val="FF0000"/>
                      <w:szCs w:val="21"/>
                    </w:rPr>
                    <w:t>709</w:t>
                  </w:r>
                </w:p>
              </w:tc>
              <w:tc>
                <w:tcPr>
                  <w:tcW w:w="989" w:type="dxa"/>
                  <w:vAlign w:val="center"/>
                </w:tcPr>
                <w:p>
                  <w:pPr>
                    <w:spacing w:line="240" w:lineRule="auto"/>
                    <w:jc w:val="center"/>
                    <w:rPr>
                      <w:color w:val="FF0000"/>
                      <w:szCs w:val="21"/>
                    </w:rPr>
                  </w:pPr>
                  <w:r>
                    <w:rPr>
                      <w:rFonts w:hint="eastAsia"/>
                      <w:color w:val="FF0000"/>
                      <w:szCs w:val="21"/>
                    </w:rPr>
                    <w:t>6~</w:t>
                  </w:r>
                  <w:r>
                    <w:rPr>
                      <w:color w:val="FF0000"/>
                      <w:szCs w:val="21"/>
                    </w:rPr>
                    <w:t>9</w:t>
                  </w:r>
                </w:p>
              </w:tc>
              <w:tc>
                <w:tcPr>
                  <w:tcW w:w="946" w:type="dxa"/>
                  <w:vAlign w:val="center"/>
                </w:tcPr>
                <w:p>
                  <w:pPr>
                    <w:spacing w:line="240" w:lineRule="auto"/>
                    <w:jc w:val="center"/>
                    <w:rPr>
                      <w:rFonts w:eastAsia="等线"/>
                      <w:color w:val="FF0000"/>
                      <w:szCs w:val="21"/>
                    </w:rPr>
                  </w:pPr>
                  <w:r>
                    <w:rPr>
                      <w:rFonts w:hint="eastAsia" w:eastAsia="等线"/>
                      <w:color w:val="FF0000"/>
                      <w:szCs w:val="21"/>
                    </w:rPr>
                    <w:t>/</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C</w:t>
                  </w:r>
                  <w:r>
                    <w:rPr>
                      <w:color w:val="FF0000"/>
                      <w:szCs w:val="21"/>
                    </w:rPr>
                    <w:t>OD</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color w:val="FF0000"/>
                      <w:szCs w:val="21"/>
                    </w:rPr>
                  </w:pPr>
                  <w:r>
                    <w:rPr>
                      <w:rFonts w:hint="eastAsia"/>
                      <w:color w:val="FF0000"/>
                      <w:szCs w:val="21"/>
                    </w:rPr>
                    <w:t>1</w:t>
                  </w:r>
                  <w:r>
                    <w:rPr>
                      <w:color w:val="FF0000"/>
                      <w:szCs w:val="21"/>
                    </w:rPr>
                    <w:t>50</w:t>
                  </w:r>
                </w:p>
              </w:tc>
              <w:tc>
                <w:tcPr>
                  <w:tcW w:w="946" w:type="dxa"/>
                  <w:vAlign w:val="center"/>
                </w:tcPr>
                <w:p>
                  <w:pPr>
                    <w:spacing w:line="240" w:lineRule="auto"/>
                    <w:jc w:val="center"/>
                    <w:rPr>
                      <w:rFonts w:eastAsia="等线"/>
                      <w:color w:val="FF0000"/>
                      <w:szCs w:val="21"/>
                    </w:rPr>
                  </w:pPr>
                  <w:r>
                    <w:rPr>
                      <w:rFonts w:hint="eastAsia" w:eastAsia="等线"/>
                      <w:color w:val="FF0000"/>
                      <w:szCs w:val="21"/>
                    </w:rPr>
                    <w:t>0</w:t>
                  </w:r>
                  <w:r>
                    <w:rPr>
                      <w:rFonts w:eastAsia="等线"/>
                      <w:color w:val="FF0000"/>
                      <w:szCs w:val="21"/>
                    </w:rPr>
                    <w:t>.106</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szCs w:val="21"/>
                    </w:rPr>
                  </w:pPr>
                  <w:r>
                    <w:rPr>
                      <w:rFonts w:hint="eastAsia"/>
                      <w:color w:val="FF0000"/>
                      <w:szCs w:val="21"/>
                    </w:rPr>
                    <w:t>/</w:t>
                  </w:r>
                </w:p>
              </w:tc>
              <w:tc>
                <w:tcPr>
                  <w:tcW w:w="850" w:type="dxa"/>
                  <w:vAlign w:val="center"/>
                </w:tcPr>
                <w:p>
                  <w:pPr>
                    <w:spacing w:line="240" w:lineRule="auto"/>
                    <w:jc w:val="center"/>
                    <w:rPr>
                      <w:color w:val="FF0000"/>
                      <w:szCs w:val="21"/>
                    </w:rPr>
                  </w:pPr>
                  <w:r>
                    <w:rPr>
                      <w:rFonts w:hint="eastAsia"/>
                      <w:color w:val="FF0000"/>
                      <w:szCs w:val="21"/>
                    </w:rPr>
                    <w:t>/</w:t>
                  </w:r>
                </w:p>
              </w:tc>
              <w:tc>
                <w:tcPr>
                  <w:tcW w:w="851" w:type="dxa"/>
                  <w:vAlign w:val="center"/>
                </w:tcPr>
                <w:p>
                  <w:pPr>
                    <w:spacing w:line="240" w:lineRule="auto"/>
                    <w:jc w:val="center"/>
                    <w:rPr>
                      <w:color w:val="FF0000"/>
                      <w:szCs w:val="21"/>
                    </w:rPr>
                  </w:pPr>
                  <w:r>
                    <w:rPr>
                      <w:rFonts w:hint="eastAsia"/>
                      <w:color w:val="FF0000"/>
                      <w:szCs w:val="21"/>
                    </w:rPr>
                    <w:t>/</w:t>
                  </w:r>
                </w:p>
              </w:tc>
              <w:tc>
                <w:tcPr>
                  <w:tcW w:w="930" w:type="dxa"/>
                  <w:vAlign w:val="center"/>
                </w:tcPr>
                <w:p>
                  <w:pPr>
                    <w:spacing w:line="240" w:lineRule="auto"/>
                    <w:jc w:val="center"/>
                    <w:rPr>
                      <w:color w:val="FF0000"/>
                      <w:szCs w:val="21"/>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S</w:t>
                  </w:r>
                  <w:r>
                    <w:rPr>
                      <w:color w:val="FF0000"/>
                      <w:szCs w:val="21"/>
                    </w:rPr>
                    <w:t>S</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color w:val="FF0000"/>
                      <w:szCs w:val="21"/>
                    </w:rPr>
                  </w:pPr>
                  <w:r>
                    <w:rPr>
                      <w:rFonts w:hint="eastAsia"/>
                      <w:color w:val="FF0000"/>
                      <w:szCs w:val="21"/>
                    </w:rPr>
                    <w:t>2</w:t>
                  </w:r>
                  <w:r>
                    <w:rPr>
                      <w:color w:val="FF0000"/>
                      <w:szCs w:val="21"/>
                    </w:rPr>
                    <w:t>00</w:t>
                  </w:r>
                </w:p>
              </w:tc>
              <w:tc>
                <w:tcPr>
                  <w:tcW w:w="946" w:type="dxa"/>
                  <w:vAlign w:val="center"/>
                </w:tcPr>
                <w:p>
                  <w:pPr>
                    <w:spacing w:line="240" w:lineRule="auto"/>
                    <w:jc w:val="center"/>
                    <w:rPr>
                      <w:rFonts w:eastAsia="等线"/>
                      <w:color w:val="FF0000"/>
                      <w:szCs w:val="21"/>
                    </w:rPr>
                  </w:pPr>
                  <w:r>
                    <w:rPr>
                      <w:rFonts w:hint="eastAsia" w:eastAsia="等线"/>
                      <w:color w:val="FF0000"/>
                      <w:szCs w:val="21"/>
                    </w:rPr>
                    <w:t>0</w:t>
                  </w:r>
                  <w:r>
                    <w:rPr>
                      <w:rFonts w:eastAsia="等线"/>
                      <w:color w:val="FF0000"/>
                      <w:szCs w:val="21"/>
                    </w:rPr>
                    <w:t>.142</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szCs w:val="21"/>
                    </w:rPr>
                  </w:pPr>
                  <w:r>
                    <w:rPr>
                      <w:rFonts w:hint="eastAsia"/>
                      <w:color w:val="FF0000"/>
                      <w:szCs w:val="21"/>
                    </w:rPr>
                    <w:t>/</w:t>
                  </w:r>
                </w:p>
              </w:tc>
              <w:tc>
                <w:tcPr>
                  <w:tcW w:w="850" w:type="dxa"/>
                  <w:vAlign w:val="center"/>
                </w:tcPr>
                <w:p>
                  <w:pPr>
                    <w:spacing w:line="240" w:lineRule="auto"/>
                    <w:jc w:val="center"/>
                    <w:rPr>
                      <w:color w:val="FF0000"/>
                      <w:szCs w:val="21"/>
                    </w:rPr>
                  </w:pPr>
                  <w:r>
                    <w:rPr>
                      <w:rFonts w:hint="eastAsia"/>
                      <w:color w:val="FF0000"/>
                      <w:szCs w:val="21"/>
                    </w:rPr>
                    <w:t>/</w:t>
                  </w:r>
                </w:p>
              </w:tc>
              <w:tc>
                <w:tcPr>
                  <w:tcW w:w="851" w:type="dxa"/>
                  <w:vAlign w:val="center"/>
                </w:tcPr>
                <w:p>
                  <w:pPr>
                    <w:spacing w:line="240" w:lineRule="auto"/>
                    <w:jc w:val="center"/>
                    <w:rPr>
                      <w:color w:val="FF0000"/>
                      <w:szCs w:val="21"/>
                    </w:rPr>
                  </w:pPr>
                  <w:r>
                    <w:rPr>
                      <w:rFonts w:hint="eastAsia"/>
                      <w:color w:val="FF0000"/>
                      <w:szCs w:val="21"/>
                    </w:rPr>
                    <w:t>/</w:t>
                  </w:r>
                </w:p>
              </w:tc>
              <w:tc>
                <w:tcPr>
                  <w:tcW w:w="930" w:type="dxa"/>
                  <w:vAlign w:val="center"/>
                </w:tcPr>
                <w:p>
                  <w:pPr>
                    <w:spacing w:line="240" w:lineRule="auto"/>
                    <w:jc w:val="center"/>
                    <w:rPr>
                      <w:color w:val="FF0000"/>
                      <w:szCs w:val="21"/>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石油类</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color w:val="FF0000"/>
                      <w:szCs w:val="21"/>
                    </w:rPr>
                  </w:pPr>
                  <w:r>
                    <w:rPr>
                      <w:color w:val="FF0000"/>
                      <w:szCs w:val="21"/>
                    </w:rPr>
                    <w:t>40</w:t>
                  </w:r>
                </w:p>
              </w:tc>
              <w:tc>
                <w:tcPr>
                  <w:tcW w:w="946" w:type="dxa"/>
                  <w:vAlign w:val="center"/>
                </w:tcPr>
                <w:p>
                  <w:pPr>
                    <w:spacing w:line="240" w:lineRule="auto"/>
                    <w:jc w:val="center"/>
                    <w:rPr>
                      <w:rFonts w:eastAsia="等线"/>
                      <w:color w:val="FF0000"/>
                      <w:szCs w:val="21"/>
                    </w:rPr>
                  </w:pPr>
                  <w:r>
                    <w:rPr>
                      <w:rFonts w:hint="eastAsia" w:eastAsia="等线"/>
                      <w:color w:val="FF0000"/>
                      <w:szCs w:val="21"/>
                    </w:rPr>
                    <w:t>0</w:t>
                  </w:r>
                  <w:r>
                    <w:rPr>
                      <w:rFonts w:eastAsia="等线"/>
                      <w:color w:val="FF0000"/>
                      <w:szCs w:val="21"/>
                    </w:rPr>
                    <w:t>.028</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8" w:type="dxa"/>
                  <w:gridSpan w:val="2"/>
                  <w:vMerge w:val="restart"/>
                  <w:vAlign w:val="center"/>
                </w:tcPr>
                <w:p>
                  <w:pPr>
                    <w:spacing w:line="240" w:lineRule="auto"/>
                    <w:jc w:val="center"/>
                    <w:rPr>
                      <w:color w:val="FF0000"/>
                      <w:szCs w:val="21"/>
                    </w:rPr>
                  </w:pPr>
                  <w:r>
                    <w:rPr>
                      <w:rFonts w:hint="eastAsia"/>
                      <w:color w:val="FF0000"/>
                      <w:szCs w:val="21"/>
                    </w:rPr>
                    <w:t>合计</w:t>
                  </w:r>
                </w:p>
              </w:tc>
              <w:tc>
                <w:tcPr>
                  <w:tcW w:w="736" w:type="dxa"/>
                  <w:vMerge w:val="restart"/>
                  <w:vAlign w:val="center"/>
                </w:tcPr>
                <w:p>
                  <w:pPr>
                    <w:spacing w:line="240" w:lineRule="auto"/>
                    <w:jc w:val="center"/>
                    <w:rPr>
                      <w:color w:val="FF0000"/>
                      <w:szCs w:val="21"/>
                    </w:rPr>
                  </w:pPr>
                  <w:r>
                    <w:rPr>
                      <w:rFonts w:hint="eastAsia"/>
                      <w:color w:val="FF0000"/>
                      <w:szCs w:val="21"/>
                    </w:rPr>
                    <w:t>综合废水</w:t>
                  </w:r>
                </w:p>
              </w:tc>
              <w:tc>
                <w:tcPr>
                  <w:tcW w:w="992" w:type="dxa"/>
                  <w:vAlign w:val="center"/>
                </w:tcPr>
                <w:p>
                  <w:pPr>
                    <w:spacing w:line="240" w:lineRule="auto"/>
                    <w:jc w:val="center"/>
                    <w:rPr>
                      <w:color w:val="FF0000"/>
                      <w:szCs w:val="21"/>
                    </w:rPr>
                  </w:pPr>
                  <w:r>
                    <w:rPr>
                      <w:rFonts w:hint="eastAsia"/>
                      <w:color w:val="FF0000"/>
                      <w:szCs w:val="21"/>
                    </w:rPr>
                    <w:t>C</w:t>
                  </w:r>
                  <w:r>
                    <w:rPr>
                      <w:color w:val="FF0000"/>
                      <w:szCs w:val="21"/>
                    </w:rPr>
                    <w:t>OD</w:t>
                  </w:r>
                </w:p>
              </w:tc>
              <w:tc>
                <w:tcPr>
                  <w:tcW w:w="993" w:type="dxa"/>
                  <w:vMerge w:val="restart"/>
                  <w:vAlign w:val="center"/>
                </w:tcPr>
                <w:p>
                  <w:pPr>
                    <w:spacing w:line="240" w:lineRule="auto"/>
                    <w:jc w:val="center"/>
                    <w:rPr>
                      <w:color w:val="FF0000"/>
                      <w:szCs w:val="21"/>
                    </w:rPr>
                  </w:pPr>
                  <w:r>
                    <w:rPr>
                      <w:color w:val="FF0000"/>
                      <w:szCs w:val="21"/>
                    </w:rPr>
                    <w:t>4058.34</w:t>
                  </w:r>
                </w:p>
              </w:tc>
              <w:tc>
                <w:tcPr>
                  <w:tcW w:w="989" w:type="dxa"/>
                  <w:vAlign w:val="center"/>
                </w:tcPr>
                <w:p>
                  <w:pPr>
                    <w:spacing w:line="240" w:lineRule="auto"/>
                    <w:jc w:val="center"/>
                    <w:rPr>
                      <w:rFonts w:eastAsia="等线"/>
                      <w:color w:val="FF0000"/>
                      <w:kern w:val="0"/>
                      <w:szCs w:val="21"/>
                    </w:rPr>
                  </w:pPr>
                  <w:r>
                    <w:rPr>
                      <w:rFonts w:hint="eastAsia" w:eastAsia="等线"/>
                      <w:color w:val="FF0000"/>
                      <w:kern w:val="0"/>
                      <w:szCs w:val="21"/>
                    </w:rPr>
                    <w:t>1</w:t>
                  </w:r>
                  <w:r>
                    <w:rPr>
                      <w:rFonts w:eastAsia="等线"/>
                      <w:color w:val="FF0000"/>
                      <w:kern w:val="0"/>
                      <w:szCs w:val="21"/>
                    </w:rPr>
                    <w:t>89</w:t>
                  </w:r>
                </w:p>
              </w:tc>
              <w:tc>
                <w:tcPr>
                  <w:tcW w:w="946" w:type="dxa"/>
                  <w:vAlign w:val="center"/>
                </w:tcPr>
                <w:p>
                  <w:pPr>
                    <w:spacing w:line="240" w:lineRule="auto"/>
                    <w:jc w:val="center"/>
                    <w:rPr>
                      <w:rFonts w:eastAsia="等线"/>
                      <w:color w:val="FF0000"/>
                      <w:szCs w:val="21"/>
                    </w:rPr>
                  </w:pPr>
                  <w:r>
                    <w:rPr>
                      <w:rFonts w:hint="eastAsia" w:eastAsia="等线"/>
                      <w:color w:val="FF0000"/>
                      <w:szCs w:val="21"/>
                    </w:rPr>
                    <w:t>0</w:t>
                  </w:r>
                  <w:r>
                    <w:rPr>
                      <w:rFonts w:eastAsia="等线"/>
                      <w:color w:val="FF0000"/>
                      <w:szCs w:val="21"/>
                    </w:rPr>
                    <w:t>.766</w:t>
                  </w:r>
                </w:p>
              </w:tc>
              <w:tc>
                <w:tcPr>
                  <w:tcW w:w="958" w:type="dxa"/>
                  <w:vMerge w:val="restart"/>
                  <w:vAlign w:val="center"/>
                </w:tcPr>
                <w:p>
                  <w:pPr>
                    <w:spacing w:line="240" w:lineRule="auto"/>
                    <w:jc w:val="center"/>
                    <w:rPr>
                      <w:color w:val="FF0000"/>
                      <w:szCs w:val="21"/>
                    </w:rPr>
                  </w:pPr>
                  <w:r>
                    <w:rPr>
                      <w:color w:val="FF0000"/>
                      <w:szCs w:val="21"/>
                    </w:rPr>
                    <w:t>50</w:t>
                  </w:r>
                </w:p>
              </w:tc>
              <w:tc>
                <w:tcPr>
                  <w:tcW w:w="934" w:type="dxa"/>
                  <w:vMerge w:val="restart"/>
                  <w:vAlign w:val="center"/>
                </w:tcPr>
                <w:p>
                  <w:pPr>
                    <w:spacing w:line="240" w:lineRule="auto"/>
                    <w:jc w:val="center"/>
                    <w:rPr>
                      <w:color w:val="FF0000"/>
                      <w:szCs w:val="21"/>
                    </w:rPr>
                  </w:pPr>
                  <w:r>
                    <w:rPr>
                      <w:rFonts w:hint="eastAsia"/>
                      <w:color w:val="FF0000"/>
                      <w:szCs w:val="21"/>
                    </w:rPr>
                    <w:t>隔油+厌氧反应器+好氧活性污泥法（A/O法）+生化池</w:t>
                  </w:r>
                </w:p>
              </w:tc>
              <w:tc>
                <w:tcPr>
                  <w:tcW w:w="850" w:type="dxa"/>
                  <w:vMerge w:val="restart"/>
                  <w:vAlign w:val="center"/>
                </w:tcPr>
                <w:p>
                  <w:pPr>
                    <w:spacing w:line="240" w:lineRule="auto"/>
                    <w:jc w:val="center"/>
                    <w:rPr>
                      <w:color w:val="FF0000"/>
                      <w:szCs w:val="21"/>
                    </w:rPr>
                  </w:pPr>
                  <w:r>
                    <w:rPr>
                      <w:color w:val="FF0000"/>
                      <w:szCs w:val="21"/>
                    </w:rPr>
                    <w:t>是</w:t>
                  </w:r>
                </w:p>
              </w:tc>
              <w:tc>
                <w:tcPr>
                  <w:tcW w:w="1134" w:type="dxa"/>
                  <w:vMerge w:val="restart"/>
                  <w:vAlign w:val="center"/>
                </w:tcPr>
                <w:p>
                  <w:pPr>
                    <w:spacing w:line="240" w:lineRule="auto"/>
                    <w:jc w:val="center"/>
                    <w:rPr>
                      <w:color w:val="FF0000"/>
                      <w:szCs w:val="21"/>
                    </w:rPr>
                  </w:pPr>
                  <w:r>
                    <w:rPr>
                      <w:color w:val="FF0000"/>
                      <w:szCs w:val="21"/>
                    </w:rPr>
                    <w:t>4058.34</w:t>
                  </w:r>
                </w:p>
              </w:tc>
              <w:tc>
                <w:tcPr>
                  <w:tcW w:w="993" w:type="dxa"/>
                  <w:vAlign w:val="center"/>
                </w:tcPr>
                <w:p>
                  <w:pPr>
                    <w:spacing w:line="240" w:lineRule="auto"/>
                    <w:jc w:val="center"/>
                    <w:rPr>
                      <w:rFonts w:eastAsia="等线"/>
                      <w:color w:val="FF0000"/>
                      <w:kern w:val="0"/>
                      <w:szCs w:val="21"/>
                    </w:rPr>
                  </w:pPr>
                  <w:r>
                    <w:rPr>
                      <w:rFonts w:eastAsia="等线"/>
                      <w:color w:val="FF0000"/>
                      <w:szCs w:val="21"/>
                    </w:rPr>
                    <w:t>170</w:t>
                  </w:r>
                </w:p>
              </w:tc>
              <w:tc>
                <w:tcPr>
                  <w:tcW w:w="850" w:type="dxa"/>
                  <w:vAlign w:val="center"/>
                </w:tcPr>
                <w:p>
                  <w:pPr>
                    <w:spacing w:line="240" w:lineRule="auto"/>
                    <w:jc w:val="center"/>
                    <w:rPr>
                      <w:rFonts w:eastAsia="等线"/>
                      <w:color w:val="FF0000"/>
                      <w:szCs w:val="21"/>
                    </w:rPr>
                  </w:pPr>
                  <w:r>
                    <w:rPr>
                      <w:rFonts w:eastAsia="等线"/>
                      <w:color w:val="FF0000"/>
                      <w:szCs w:val="21"/>
                    </w:rPr>
                    <w:t>50</w:t>
                  </w:r>
                </w:p>
              </w:tc>
              <w:tc>
                <w:tcPr>
                  <w:tcW w:w="851" w:type="dxa"/>
                  <w:vAlign w:val="center"/>
                </w:tcPr>
                <w:p>
                  <w:pPr>
                    <w:spacing w:line="240" w:lineRule="auto"/>
                    <w:jc w:val="center"/>
                    <w:rPr>
                      <w:rFonts w:eastAsia="等线"/>
                      <w:color w:val="FF0000"/>
                      <w:szCs w:val="21"/>
                    </w:rPr>
                  </w:pPr>
                  <w:r>
                    <w:rPr>
                      <w:rFonts w:eastAsia="等线"/>
                      <w:color w:val="FF0000"/>
                      <w:szCs w:val="21"/>
                    </w:rPr>
                    <w:t xml:space="preserve">0.690 </w:t>
                  </w:r>
                </w:p>
              </w:tc>
              <w:tc>
                <w:tcPr>
                  <w:tcW w:w="930" w:type="dxa"/>
                  <w:vAlign w:val="center"/>
                </w:tcPr>
                <w:p>
                  <w:pPr>
                    <w:spacing w:line="240" w:lineRule="auto"/>
                    <w:jc w:val="center"/>
                    <w:rPr>
                      <w:rFonts w:eastAsia="等线"/>
                      <w:color w:val="FF0000"/>
                      <w:szCs w:val="21"/>
                    </w:rPr>
                  </w:pPr>
                  <w:r>
                    <w:rPr>
                      <w:rFonts w:eastAsia="等线"/>
                      <w:color w:val="FF0000"/>
                      <w:szCs w:val="21"/>
                    </w:rPr>
                    <w:t xml:space="preserve">0.203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8" w:type="dxa"/>
                  <w:gridSpan w:val="2"/>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p</w:t>
                  </w:r>
                  <w:r>
                    <w:rPr>
                      <w:color w:val="FF0000"/>
                      <w:szCs w:val="21"/>
                    </w:rPr>
                    <w:t>H</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6~9</w:t>
                  </w:r>
                </w:p>
              </w:tc>
              <w:tc>
                <w:tcPr>
                  <w:tcW w:w="946" w:type="dxa"/>
                  <w:vAlign w:val="center"/>
                </w:tcPr>
                <w:p>
                  <w:pPr>
                    <w:spacing w:line="240" w:lineRule="auto"/>
                    <w:jc w:val="center"/>
                    <w:rPr>
                      <w:rFonts w:eastAsia="等线"/>
                      <w:color w:val="FF0000"/>
                      <w:szCs w:val="21"/>
                    </w:rPr>
                  </w:pPr>
                  <w:r>
                    <w:rPr>
                      <w:rFonts w:eastAsia="等线"/>
                      <w:color w:val="FF0000"/>
                      <w:szCs w:val="21"/>
                    </w:rPr>
                    <w:t>/</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rFonts w:eastAsia="等线"/>
                      <w:color w:val="FF0000"/>
                      <w:szCs w:val="21"/>
                    </w:rPr>
                  </w:pPr>
                  <w:r>
                    <w:rPr>
                      <w:rFonts w:eastAsia="等线"/>
                      <w:color w:val="FF0000"/>
                      <w:szCs w:val="21"/>
                    </w:rPr>
                    <w:t>6~9</w:t>
                  </w:r>
                </w:p>
              </w:tc>
              <w:tc>
                <w:tcPr>
                  <w:tcW w:w="850" w:type="dxa"/>
                  <w:vAlign w:val="center"/>
                </w:tcPr>
                <w:p>
                  <w:pPr>
                    <w:spacing w:line="240" w:lineRule="auto"/>
                    <w:jc w:val="center"/>
                    <w:rPr>
                      <w:rFonts w:eastAsia="等线"/>
                      <w:color w:val="FF0000"/>
                      <w:szCs w:val="21"/>
                    </w:rPr>
                  </w:pPr>
                  <w:r>
                    <w:rPr>
                      <w:rFonts w:eastAsia="等线"/>
                      <w:color w:val="FF0000"/>
                      <w:szCs w:val="21"/>
                    </w:rPr>
                    <w:t>6~9</w:t>
                  </w:r>
                </w:p>
              </w:tc>
              <w:tc>
                <w:tcPr>
                  <w:tcW w:w="851" w:type="dxa"/>
                  <w:vAlign w:val="center"/>
                </w:tcPr>
                <w:p>
                  <w:pPr>
                    <w:spacing w:line="240" w:lineRule="auto"/>
                    <w:jc w:val="center"/>
                    <w:rPr>
                      <w:rFonts w:eastAsia="等线"/>
                      <w:color w:val="FF0000"/>
                      <w:szCs w:val="21"/>
                    </w:rPr>
                  </w:pPr>
                  <w:r>
                    <w:rPr>
                      <w:rFonts w:eastAsia="等线"/>
                      <w:color w:val="FF0000"/>
                      <w:szCs w:val="21"/>
                    </w:rPr>
                    <w:t>/</w:t>
                  </w:r>
                </w:p>
              </w:tc>
              <w:tc>
                <w:tcPr>
                  <w:tcW w:w="930" w:type="dxa"/>
                  <w:vAlign w:val="center"/>
                </w:tcPr>
                <w:p>
                  <w:pPr>
                    <w:spacing w:line="240" w:lineRule="auto"/>
                    <w:jc w:val="center"/>
                    <w:rPr>
                      <w:rFonts w:eastAsia="等线"/>
                      <w:color w:val="FF0000"/>
                      <w:szCs w:val="21"/>
                    </w:rPr>
                  </w:pPr>
                  <w:r>
                    <w:rPr>
                      <w:rFonts w:eastAsia="等线"/>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8" w:type="dxa"/>
                  <w:gridSpan w:val="2"/>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B</w:t>
                  </w:r>
                  <w:r>
                    <w:rPr>
                      <w:color w:val="FF0000"/>
                      <w:szCs w:val="21"/>
                    </w:rPr>
                    <w:t>OD</w:t>
                  </w:r>
                  <w:r>
                    <w:rPr>
                      <w:color w:val="FF0000"/>
                      <w:szCs w:val="21"/>
                      <w:vertAlign w:val="subscript"/>
                    </w:rPr>
                    <w:t>5</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kern w:val="0"/>
                      <w:szCs w:val="21"/>
                    </w:rPr>
                  </w:pPr>
                  <w:r>
                    <w:rPr>
                      <w:rFonts w:eastAsia="等线"/>
                      <w:color w:val="FF0000"/>
                      <w:szCs w:val="21"/>
                    </w:rPr>
                    <w:t xml:space="preserve">60 </w:t>
                  </w:r>
                </w:p>
              </w:tc>
              <w:tc>
                <w:tcPr>
                  <w:tcW w:w="946" w:type="dxa"/>
                  <w:vAlign w:val="center"/>
                </w:tcPr>
                <w:p>
                  <w:pPr>
                    <w:spacing w:line="240" w:lineRule="auto"/>
                    <w:jc w:val="center"/>
                    <w:rPr>
                      <w:rFonts w:eastAsia="等线"/>
                      <w:color w:val="FF0000"/>
                      <w:szCs w:val="21"/>
                    </w:rPr>
                  </w:pPr>
                  <w:r>
                    <w:rPr>
                      <w:rFonts w:eastAsia="等线"/>
                      <w:color w:val="FF0000"/>
                      <w:szCs w:val="21"/>
                    </w:rPr>
                    <w:t>0.243</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rFonts w:eastAsia="等线"/>
                      <w:color w:val="FF0000"/>
                      <w:kern w:val="0"/>
                      <w:szCs w:val="21"/>
                    </w:rPr>
                  </w:pPr>
                  <w:r>
                    <w:rPr>
                      <w:rFonts w:eastAsia="等线"/>
                      <w:color w:val="FF0000"/>
                      <w:szCs w:val="21"/>
                    </w:rPr>
                    <w:t>30</w:t>
                  </w:r>
                </w:p>
              </w:tc>
              <w:tc>
                <w:tcPr>
                  <w:tcW w:w="850" w:type="dxa"/>
                  <w:vAlign w:val="center"/>
                </w:tcPr>
                <w:p>
                  <w:pPr>
                    <w:spacing w:line="240" w:lineRule="auto"/>
                    <w:jc w:val="center"/>
                    <w:rPr>
                      <w:rFonts w:eastAsia="等线"/>
                      <w:color w:val="FF0000"/>
                      <w:szCs w:val="21"/>
                    </w:rPr>
                  </w:pPr>
                  <w:r>
                    <w:rPr>
                      <w:rFonts w:eastAsia="等线"/>
                      <w:color w:val="FF0000"/>
                      <w:szCs w:val="21"/>
                    </w:rPr>
                    <w:t>10</w:t>
                  </w:r>
                </w:p>
              </w:tc>
              <w:tc>
                <w:tcPr>
                  <w:tcW w:w="851" w:type="dxa"/>
                  <w:vAlign w:val="center"/>
                </w:tcPr>
                <w:p>
                  <w:pPr>
                    <w:spacing w:line="240" w:lineRule="auto"/>
                    <w:jc w:val="center"/>
                    <w:rPr>
                      <w:rFonts w:eastAsia="等线"/>
                      <w:color w:val="FF0000"/>
                      <w:szCs w:val="21"/>
                    </w:rPr>
                  </w:pPr>
                  <w:r>
                    <w:rPr>
                      <w:rFonts w:eastAsia="等线"/>
                      <w:color w:val="FF0000"/>
                      <w:szCs w:val="21"/>
                    </w:rPr>
                    <w:t xml:space="preserve">0.122 </w:t>
                  </w:r>
                </w:p>
              </w:tc>
              <w:tc>
                <w:tcPr>
                  <w:tcW w:w="930" w:type="dxa"/>
                  <w:vAlign w:val="center"/>
                </w:tcPr>
                <w:p>
                  <w:pPr>
                    <w:spacing w:line="240" w:lineRule="auto"/>
                    <w:jc w:val="center"/>
                    <w:rPr>
                      <w:rFonts w:eastAsia="等线"/>
                      <w:color w:val="FF0000"/>
                      <w:szCs w:val="21"/>
                    </w:rPr>
                  </w:pPr>
                  <w:r>
                    <w:rPr>
                      <w:rFonts w:eastAsia="等线"/>
                      <w:color w:val="FF0000"/>
                      <w:szCs w:val="21"/>
                    </w:rPr>
                    <w:t xml:space="preserve">0.041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8" w:type="dxa"/>
                  <w:gridSpan w:val="2"/>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S</w:t>
                  </w:r>
                  <w:r>
                    <w:rPr>
                      <w:color w:val="FF0000"/>
                      <w:szCs w:val="21"/>
                    </w:rPr>
                    <w:t>S</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 xml:space="preserve">148 </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0.599 </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rFonts w:eastAsia="等线"/>
                      <w:color w:val="FF0000"/>
                      <w:szCs w:val="21"/>
                    </w:rPr>
                  </w:pPr>
                  <w:r>
                    <w:rPr>
                      <w:rFonts w:eastAsia="等线"/>
                      <w:color w:val="FF0000"/>
                      <w:szCs w:val="21"/>
                    </w:rPr>
                    <w:t>140</w:t>
                  </w:r>
                </w:p>
              </w:tc>
              <w:tc>
                <w:tcPr>
                  <w:tcW w:w="850" w:type="dxa"/>
                  <w:vAlign w:val="center"/>
                </w:tcPr>
                <w:p>
                  <w:pPr>
                    <w:spacing w:line="240" w:lineRule="auto"/>
                    <w:jc w:val="center"/>
                    <w:rPr>
                      <w:rFonts w:eastAsia="等线"/>
                      <w:color w:val="FF0000"/>
                      <w:szCs w:val="21"/>
                    </w:rPr>
                  </w:pPr>
                  <w:r>
                    <w:rPr>
                      <w:rFonts w:eastAsia="等线"/>
                      <w:color w:val="FF0000"/>
                      <w:szCs w:val="21"/>
                    </w:rPr>
                    <w:t>10</w:t>
                  </w:r>
                </w:p>
              </w:tc>
              <w:tc>
                <w:tcPr>
                  <w:tcW w:w="851" w:type="dxa"/>
                  <w:vAlign w:val="center"/>
                </w:tcPr>
                <w:p>
                  <w:pPr>
                    <w:spacing w:line="240" w:lineRule="auto"/>
                    <w:jc w:val="center"/>
                    <w:rPr>
                      <w:rFonts w:eastAsia="等线"/>
                      <w:color w:val="FF0000"/>
                      <w:szCs w:val="21"/>
                    </w:rPr>
                  </w:pPr>
                  <w:r>
                    <w:rPr>
                      <w:rFonts w:eastAsia="等线"/>
                      <w:color w:val="FF0000"/>
                      <w:szCs w:val="21"/>
                    </w:rPr>
                    <w:t xml:space="preserve">0.568 </w:t>
                  </w:r>
                </w:p>
              </w:tc>
              <w:tc>
                <w:tcPr>
                  <w:tcW w:w="930" w:type="dxa"/>
                  <w:vAlign w:val="center"/>
                </w:tcPr>
                <w:p>
                  <w:pPr>
                    <w:spacing w:line="240" w:lineRule="auto"/>
                    <w:jc w:val="center"/>
                    <w:rPr>
                      <w:rFonts w:eastAsia="等线"/>
                      <w:color w:val="FF0000"/>
                      <w:szCs w:val="21"/>
                    </w:rPr>
                  </w:pPr>
                  <w:r>
                    <w:rPr>
                      <w:rFonts w:eastAsia="等线"/>
                      <w:color w:val="FF0000"/>
                      <w:szCs w:val="21"/>
                    </w:rPr>
                    <w:t xml:space="preserve">0.041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8" w:type="dxa"/>
                  <w:gridSpan w:val="2"/>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N</w:t>
                  </w:r>
                  <w:r>
                    <w:rPr>
                      <w:color w:val="FF0000"/>
                      <w:szCs w:val="21"/>
                    </w:rPr>
                    <w:t>H</w:t>
                  </w:r>
                  <w:r>
                    <w:rPr>
                      <w:color w:val="FF0000"/>
                      <w:szCs w:val="21"/>
                      <w:vertAlign w:val="subscript"/>
                    </w:rPr>
                    <w:t>3</w:t>
                  </w:r>
                  <w:r>
                    <w:rPr>
                      <w:color w:val="FF0000"/>
                      <w:szCs w:val="21"/>
                    </w:rPr>
                    <w:t>-N</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 xml:space="preserve">8 </w:t>
                  </w:r>
                </w:p>
              </w:tc>
              <w:tc>
                <w:tcPr>
                  <w:tcW w:w="946" w:type="dxa"/>
                  <w:vAlign w:val="center"/>
                </w:tcPr>
                <w:p>
                  <w:pPr>
                    <w:spacing w:line="240" w:lineRule="auto"/>
                    <w:jc w:val="center"/>
                    <w:rPr>
                      <w:rFonts w:eastAsia="等线"/>
                      <w:color w:val="FF0000"/>
                      <w:szCs w:val="21"/>
                    </w:rPr>
                  </w:pPr>
                  <w:r>
                    <w:rPr>
                      <w:rFonts w:eastAsia="等线"/>
                      <w:color w:val="FF0000"/>
                      <w:szCs w:val="21"/>
                    </w:rPr>
                    <w:t>0.031</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rFonts w:eastAsia="等线"/>
                      <w:color w:val="FF0000"/>
                      <w:szCs w:val="21"/>
                    </w:rPr>
                  </w:pPr>
                  <w:r>
                    <w:rPr>
                      <w:rFonts w:eastAsia="等线"/>
                      <w:color w:val="FF0000"/>
                      <w:szCs w:val="21"/>
                    </w:rPr>
                    <w:t>5</w:t>
                  </w:r>
                </w:p>
              </w:tc>
              <w:tc>
                <w:tcPr>
                  <w:tcW w:w="850" w:type="dxa"/>
                  <w:vAlign w:val="center"/>
                </w:tcPr>
                <w:p>
                  <w:pPr>
                    <w:spacing w:line="240" w:lineRule="auto"/>
                    <w:jc w:val="center"/>
                    <w:rPr>
                      <w:rFonts w:eastAsia="等线"/>
                      <w:color w:val="FF0000"/>
                      <w:szCs w:val="21"/>
                    </w:rPr>
                  </w:pPr>
                  <w:r>
                    <w:rPr>
                      <w:rFonts w:eastAsia="等线"/>
                      <w:color w:val="FF0000"/>
                      <w:szCs w:val="21"/>
                    </w:rPr>
                    <w:t>5</w:t>
                  </w:r>
                </w:p>
              </w:tc>
              <w:tc>
                <w:tcPr>
                  <w:tcW w:w="851" w:type="dxa"/>
                  <w:vAlign w:val="center"/>
                </w:tcPr>
                <w:p>
                  <w:pPr>
                    <w:spacing w:line="240" w:lineRule="auto"/>
                    <w:jc w:val="center"/>
                    <w:rPr>
                      <w:rFonts w:eastAsia="等线"/>
                      <w:color w:val="FF0000"/>
                      <w:szCs w:val="21"/>
                    </w:rPr>
                  </w:pPr>
                  <w:r>
                    <w:rPr>
                      <w:rFonts w:eastAsia="等线"/>
                      <w:color w:val="FF0000"/>
                      <w:szCs w:val="21"/>
                    </w:rPr>
                    <w:t xml:space="preserve">0.020 </w:t>
                  </w:r>
                </w:p>
              </w:tc>
              <w:tc>
                <w:tcPr>
                  <w:tcW w:w="930" w:type="dxa"/>
                  <w:vAlign w:val="center"/>
                </w:tcPr>
                <w:p>
                  <w:pPr>
                    <w:spacing w:line="240" w:lineRule="auto"/>
                    <w:jc w:val="center"/>
                    <w:rPr>
                      <w:rFonts w:eastAsia="等线"/>
                      <w:color w:val="FF0000"/>
                      <w:szCs w:val="21"/>
                    </w:rPr>
                  </w:pPr>
                  <w:r>
                    <w:rPr>
                      <w:rFonts w:eastAsia="等线"/>
                      <w:color w:val="FF0000"/>
                      <w:szCs w:val="21"/>
                    </w:rPr>
                    <w:t xml:space="preserve">0.020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8" w:type="dxa"/>
                  <w:gridSpan w:val="2"/>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动植物油</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 xml:space="preserve">5 </w:t>
                  </w:r>
                </w:p>
              </w:tc>
              <w:tc>
                <w:tcPr>
                  <w:tcW w:w="946" w:type="dxa"/>
                  <w:vAlign w:val="center"/>
                </w:tcPr>
                <w:p>
                  <w:pPr>
                    <w:spacing w:line="240" w:lineRule="auto"/>
                    <w:jc w:val="center"/>
                    <w:rPr>
                      <w:rFonts w:eastAsia="等线"/>
                      <w:color w:val="FF0000"/>
                      <w:szCs w:val="21"/>
                    </w:rPr>
                  </w:pPr>
                  <w:r>
                    <w:rPr>
                      <w:rFonts w:eastAsia="等线"/>
                      <w:color w:val="FF0000"/>
                      <w:szCs w:val="21"/>
                    </w:rPr>
                    <w:t>0.022</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rFonts w:eastAsia="等线"/>
                      <w:color w:val="FF0000"/>
                      <w:szCs w:val="21"/>
                    </w:rPr>
                  </w:pPr>
                  <w:r>
                    <w:rPr>
                      <w:rFonts w:eastAsia="等线"/>
                      <w:color w:val="FF0000"/>
                      <w:szCs w:val="21"/>
                    </w:rPr>
                    <w:t>3</w:t>
                  </w:r>
                </w:p>
              </w:tc>
              <w:tc>
                <w:tcPr>
                  <w:tcW w:w="850" w:type="dxa"/>
                  <w:vAlign w:val="center"/>
                </w:tcPr>
                <w:p>
                  <w:pPr>
                    <w:spacing w:line="240" w:lineRule="auto"/>
                    <w:jc w:val="center"/>
                    <w:rPr>
                      <w:rFonts w:eastAsia="等线"/>
                      <w:color w:val="FF0000"/>
                      <w:szCs w:val="21"/>
                    </w:rPr>
                  </w:pPr>
                  <w:r>
                    <w:rPr>
                      <w:rFonts w:eastAsia="等线"/>
                      <w:color w:val="FF0000"/>
                      <w:szCs w:val="21"/>
                    </w:rPr>
                    <w:t>1</w:t>
                  </w:r>
                </w:p>
              </w:tc>
              <w:tc>
                <w:tcPr>
                  <w:tcW w:w="851" w:type="dxa"/>
                  <w:vAlign w:val="center"/>
                </w:tcPr>
                <w:p>
                  <w:pPr>
                    <w:spacing w:line="240" w:lineRule="auto"/>
                    <w:jc w:val="center"/>
                    <w:rPr>
                      <w:rFonts w:eastAsia="等线"/>
                      <w:color w:val="FF0000"/>
                      <w:szCs w:val="21"/>
                    </w:rPr>
                  </w:pPr>
                  <w:r>
                    <w:rPr>
                      <w:rFonts w:eastAsia="等线"/>
                      <w:color w:val="FF0000"/>
                      <w:szCs w:val="21"/>
                    </w:rPr>
                    <w:t xml:space="preserve">0.012 </w:t>
                  </w:r>
                </w:p>
              </w:tc>
              <w:tc>
                <w:tcPr>
                  <w:tcW w:w="930" w:type="dxa"/>
                  <w:vAlign w:val="center"/>
                </w:tcPr>
                <w:p>
                  <w:pPr>
                    <w:spacing w:line="240" w:lineRule="auto"/>
                    <w:jc w:val="center"/>
                    <w:rPr>
                      <w:rFonts w:eastAsia="等线"/>
                      <w:color w:val="FF0000"/>
                      <w:szCs w:val="21"/>
                    </w:rPr>
                  </w:pPr>
                  <w:r>
                    <w:rPr>
                      <w:rFonts w:eastAsia="等线"/>
                      <w:color w:val="FF0000"/>
                      <w:szCs w:val="21"/>
                    </w:rPr>
                    <w:t xml:space="preserve">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8" w:type="dxa"/>
                  <w:gridSpan w:val="2"/>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总磷</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 xml:space="preserve">1 </w:t>
                  </w:r>
                </w:p>
              </w:tc>
              <w:tc>
                <w:tcPr>
                  <w:tcW w:w="946" w:type="dxa"/>
                  <w:vAlign w:val="center"/>
                </w:tcPr>
                <w:p>
                  <w:pPr>
                    <w:spacing w:line="240" w:lineRule="auto"/>
                    <w:jc w:val="center"/>
                    <w:rPr>
                      <w:rFonts w:eastAsia="等线"/>
                      <w:color w:val="FF0000"/>
                      <w:szCs w:val="21"/>
                    </w:rPr>
                  </w:pPr>
                  <w:r>
                    <w:rPr>
                      <w:rFonts w:eastAsia="等线"/>
                      <w:color w:val="FF0000"/>
                      <w:szCs w:val="21"/>
                    </w:rPr>
                    <w:t>0.003</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rFonts w:eastAsia="等线"/>
                      <w:color w:val="FF0000"/>
                      <w:szCs w:val="21"/>
                    </w:rPr>
                  </w:pPr>
                  <w:r>
                    <w:rPr>
                      <w:rFonts w:eastAsia="等线"/>
                      <w:color w:val="FF0000"/>
                      <w:szCs w:val="21"/>
                    </w:rPr>
                    <w:t>1</w:t>
                  </w:r>
                </w:p>
              </w:tc>
              <w:tc>
                <w:tcPr>
                  <w:tcW w:w="850" w:type="dxa"/>
                  <w:vAlign w:val="center"/>
                </w:tcPr>
                <w:p>
                  <w:pPr>
                    <w:spacing w:line="240" w:lineRule="auto"/>
                    <w:jc w:val="center"/>
                    <w:rPr>
                      <w:rFonts w:eastAsia="等线"/>
                      <w:color w:val="FF0000"/>
                      <w:szCs w:val="21"/>
                    </w:rPr>
                  </w:pPr>
                  <w:r>
                    <w:rPr>
                      <w:rFonts w:eastAsia="等线"/>
                      <w:color w:val="FF0000"/>
                      <w:szCs w:val="21"/>
                    </w:rPr>
                    <w:t>0.5</w:t>
                  </w:r>
                </w:p>
              </w:tc>
              <w:tc>
                <w:tcPr>
                  <w:tcW w:w="851" w:type="dxa"/>
                  <w:vAlign w:val="center"/>
                </w:tcPr>
                <w:p>
                  <w:pPr>
                    <w:spacing w:line="240" w:lineRule="auto"/>
                    <w:jc w:val="center"/>
                    <w:rPr>
                      <w:rFonts w:eastAsia="等线"/>
                      <w:color w:val="FF0000"/>
                      <w:szCs w:val="21"/>
                    </w:rPr>
                  </w:pPr>
                  <w:r>
                    <w:rPr>
                      <w:rFonts w:eastAsia="等线"/>
                      <w:color w:val="FF0000"/>
                      <w:szCs w:val="21"/>
                    </w:rPr>
                    <w:t xml:space="preserve">0.003 </w:t>
                  </w:r>
                </w:p>
              </w:tc>
              <w:tc>
                <w:tcPr>
                  <w:tcW w:w="930" w:type="dxa"/>
                  <w:vAlign w:val="center"/>
                </w:tcPr>
                <w:p>
                  <w:pPr>
                    <w:spacing w:line="240" w:lineRule="auto"/>
                    <w:jc w:val="center"/>
                    <w:rPr>
                      <w:rFonts w:eastAsia="等线"/>
                      <w:color w:val="FF0000"/>
                      <w:szCs w:val="21"/>
                    </w:rPr>
                  </w:pPr>
                  <w:r>
                    <w:rPr>
                      <w:rFonts w:eastAsia="等线"/>
                      <w:color w:val="FF0000"/>
                      <w:szCs w:val="21"/>
                    </w:rPr>
                    <w:t xml:space="preserve">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8" w:type="dxa"/>
                  <w:gridSpan w:val="2"/>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石油类</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 xml:space="preserve">8 </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0.032 </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rFonts w:eastAsia="等线"/>
                      <w:color w:val="FF0000"/>
                      <w:szCs w:val="21"/>
                    </w:rPr>
                  </w:pPr>
                  <w:r>
                    <w:rPr>
                      <w:rFonts w:eastAsia="等线"/>
                      <w:color w:val="FF0000"/>
                      <w:szCs w:val="21"/>
                    </w:rPr>
                    <w:t>5</w:t>
                  </w:r>
                </w:p>
              </w:tc>
              <w:tc>
                <w:tcPr>
                  <w:tcW w:w="850" w:type="dxa"/>
                  <w:vAlign w:val="center"/>
                </w:tcPr>
                <w:p>
                  <w:pPr>
                    <w:spacing w:line="240" w:lineRule="auto"/>
                    <w:jc w:val="center"/>
                    <w:rPr>
                      <w:rFonts w:eastAsia="等线"/>
                      <w:color w:val="FF0000"/>
                      <w:szCs w:val="21"/>
                    </w:rPr>
                  </w:pPr>
                  <w:r>
                    <w:rPr>
                      <w:rFonts w:eastAsia="等线"/>
                      <w:color w:val="FF0000"/>
                      <w:szCs w:val="21"/>
                    </w:rPr>
                    <w:t>1</w:t>
                  </w:r>
                </w:p>
              </w:tc>
              <w:tc>
                <w:tcPr>
                  <w:tcW w:w="851" w:type="dxa"/>
                  <w:vAlign w:val="center"/>
                </w:tcPr>
                <w:p>
                  <w:pPr>
                    <w:spacing w:line="240" w:lineRule="auto"/>
                    <w:jc w:val="center"/>
                    <w:rPr>
                      <w:rFonts w:eastAsia="等线"/>
                      <w:color w:val="FF0000"/>
                      <w:szCs w:val="21"/>
                    </w:rPr>
                  </w:pPr>
                  <w:r>
                    <w:rPr>
                      <w:rFonts w:eastAsia="等线"/>
                      <w:color w:val="FF0000"/>
                      <w:szCs w:val="21"/>
                    </w:rPr>
                    <w:t xml:space="preserve">0.020 </w:t>
                  </w:r>
                </w:p>
              </w:tc>
              <w:tc>
                <w:tcPr>
                  <w:tcW w:w="930" w:type="dxa"/>
                  <w:vAlign w:val="center"/>
                </w:tcPr>
                <w:p>
                  <w:pPr>
                    <w:spacing w:line="240" w:lineRule="auto"/>
                    <w:jc w:val="center"/>
                    <w:rPr>
                      <w:rFonts w:eastAsia="等线"/>
                      <w:color w:val="FF0000"/>
                      <w:szCs w:val="21"/>
                    </w:rPr>
                  </w:pPr>
                  <w:r>
                    <w:rPr>
                      <w:rFonts w:eastAsia="等线"/>
                      <w:color w:val="FF0000"/>
                      <w:szCs w:val="21"/>
                    </w:rPr>
                    <w:t xml:space="preserve">0.004 </w:t>
                  </w:r>
                </w:p>
              </w:tc>
            </w:tr>
          </w:tbl>
          <w:p>
            <w:pPr>
              <w:spacing w:line="24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 xml:space="preserve">5  </w:t>
            </w:r>
            <w:r>
              <w:rPr>
                <w:rFonts w:hint="eastAsia"/>
                <w:b/>
                <w:bCs/>
                <w:color w:val="000000" w:themeColor="text1"/>
                <w:sz w:val="24"/>
                <w14:textFill>
                  <w14:solidFill>
                    <w14:schemeClr w14:val="tx1"/>
                  </w14:solidFill>
                </w14:textFill>
              </w:rPr>
              <w:t>项目二期建成后全厂</w:t>
            </w:r>
            <w:r>
              <w:rPr>
                <w:rFonts w:hint="eastAsia"/>
                <w:b/>
                <w:color w:val="000000" w:themeColor="text1"/>
                <w:sz w:val="24"/>
                <w14:textFill>
                  <w14:solidFill>
                    <w14:schemeClr w14:val="tx1"/>
                  </w14:solidFill>
                </w14:textFill>
              </w:rPr>
              <w:t>废水类别、污染物、产排情况及治理设施信息一览表</w:t>
            </w:r>
          </w:p>
          <w:tbl>
            <w:tblPr>
              <w:tblStyle w:val="36"/>
              <w:tblW w:w="13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681"/>
              <w:gridCol w:w="736"/>
              <w:gridCol w:w="992"/>
              <w:gridCol w:w="993"/>
              <w:gridCol w:w="989"/>
              <w:gridCol w:w="946"/>
              <w:gridCol w:w="958"/>
              <w:gridCol w:w="934"/>
              <w:gridCol w:w="850"/>
              <w:gridCol w:w="1134"/>
              <w:gridCol w:w="993"/>
              <w:gridCol w:w="850"/>
              <w:gridCol w:w="851"/>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restart"/>
                  <w:vAlign w:val="center"/>
                </w:tcPr>
                <w:p>
                  <w:pPr>
                    <w:spacing w:line="240" w:lineRule="auto"/>
                    <w:jc w:val="center"/>
                    <w:rPr>
                      <w:b/>
                      <w:color w:val="FF0000"/>
                      <w:szCs w:val="21"/>
                    </w:rPr>
                  </w:pPr>
                  <w:r>
                    <w:rPr>
                      <w:rFonts w:hint="eastAsia"/>
                      <w:b/>
                      <w:color w:val="FF0000"/>
                      <w:szCs w:val="21"/>
                    </w:rPr>
                    <w:t>排放口</w:t>
                  </w:r>
                </w:p>
              </w:tc>
              <w:tc>
                <w:tcPr>
                  <w:tcW w:w="681" w:type="dxa"/>
                  <w:vMerge w:val="restart"/>
                  <w:vAlign w:val="center"/>
                </w:tcPr>
                <w:p>
                  <w:pPr>
                    <w:spacing w:line="240" w:lineRule="auto"/>
                    <w:jc w:val="center"/>
                    <w:rPr>
                      <w:b/>
                      <w:color w:val="FF0000"/>
                      <w:szCs w:val="21"/>
                    </w:rPr>
                  </w:pPr>
                  <w:r>
                    <w:rPr>
                      <w:rFonts w:hint="eastAsia"/>
                      <w:b/>
                      <w:color w:val="FF0000"/>
                      <w:szCs w:val="21"/>
                    </w:rPr>
                    <w:t>产污环节</w:t>
                  </w:r>
                </w:p>
              </w:tc>
              <w:tc>
                <w:tcPr>
                  <w:tcW w:w="736" w:type="dxa"/>
                  <w:vMerge w:val="restart"/>
                  <w:vAlign w:val="center"/>
                </w:tcPr>
                <w:p>
                  <w:pPr>
                    <w:spacing w:line="240" w:lineRule="auto"/>
                    <w:jc w:val="center"/>
                    <w:rPr>
                      <w:b/>
                      <w:color w:val="FF0000"/>
                      <w:szCs w:val="21"/>
                    </w:rPr>
                  </w:pPr>
                  <w:r>
                    <w:rPr>
                      <w:rFonts w:hint="eastAsia"/>
                      <w:b/>
                      <w:color w:val="FF0000"/>
                      <w:szCs w:val="21"/>
                    </w:rPr>
                    <w:t>废水类别</w:t>
                  </w:r>
                </w:p>
              </w:tc>
              <w:tc>
                <w:tcPr>
                  <w:tcW w:w="992" w:type="dxa"/>
                  <w:vMerge w:val="restart"/>
                  <w:vAlign w:val="center"/>
                </w:tcPr>
                <w:p>
                  <w:pPr>
                    <w:spacing w:line="240" w:lineRule="auto"/>
                    <w:jc w:val="center"/>
                    <w:rPr>
                      <w:b/>
                      <w:color w:val="FF0000"/>
                      <w:szCs w:val="21"/>
                    </w:rPr>
                  </w:pPr>
                  <w:r>
                    <w:rPr>
                      <w:rFonts w:hint="eastAsia"/>
                      <w:b/>
                      <w:color w:val="FF0000"/>
                      <w:szCs w:val="21"/>
                    </w:rPr>
                    <w:t>污染物种类</w:t>
                  </w:r>
                </w:p>
              </w:tc>
              <w:tc>
                <w:tcPr>
                  <w:tcW w:w="2928" w:type="dxa"/>
                  <w:gridSpan w:val="3"/>
                  <w:vAlign w:val="center"/>
                </w:tcPr>
                <w:p>
                  <w:pPr>
                    <w:spacing w:line="240" w:lineRule="auto"/>
                    <w:jc w:val="center"/>
                    <w:rPr>
                      <w:b/>
                      <w:color w:val="FF0000"/>
                      <w:szCs w:val="21"/>
                    </w:rPr>
                  </w:pPr>
                  <w:r>
                    <w:rPr>
                      <w:rFonts w:hint="eastAsia"/>
                      <w:b/>
                      <w:color w:val="FF0000"/>
                      <w:szCs w:val="21"/>
                    </w:rPr>
                    <w:t>产生情况</w:t>
                  </w:r>
                </w:p>
              </w:tc>
              <w:tc>
                <w:tcPr>
                  <w:tcW w:w="2742" w:type="dxa"/>
                  <w:gridSpan w:val="3"/>
                  <w:vAlign w:val="center"/>
                </w:tcPr>
                <w:p>
                  <w:pPr>
                    <w:spacing w:line="240" w:lineRule="auto"/>
                    <w:jc w:val="center"/>
                    <w:rPr>
                      <w:b/>
                      <w:color w:val="FF0000"/>
                      <w:szCs w:val="21"/>
                    </w:rPr>
                  </w:pPr>
                  <w:r>
                    <w:rPr>
                      <w:rFonts w:hint="eastAsia"/>
                      <w:b/>
                      <w:color w:val="FF0000"/>
                      <w:szCs w:val="21"/>
                    </w:rPr>
                    <w:t>治理设施</w:t>
                  </w:r>
                </w:p>
              </w:tc>
              <w:tc>
                <w:tcPr>
                  <w:tcW w:w="4758" w:type="dxa"/>
                  <w:gridSpan w:val="5"/>
                  <w:vAlign w:val="center"/>
                </w:tcPr>
                <w:p>
                  <w:pPr>
                    <w:spacing w:line="240" w:lineRule="auto"/>
                    <w:jc w:val="center"/>
                    <w:rPr>
                      <w:b/>
                      <w:color w:val="FF0000"/>
                      <w:szCs w:val="21"/>
                    </w:rPr>
                  </w:pPr>
                  <w:r>
                    <w:rPr>
                      <w:rFonts w:hint="eastAsia"/>
                      <w:b/>
                      <w:color w:val="FF0000"/>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Merge w:val="continue"/>
                  <w:vAlign w:val="center"/>
                </w:tcPr>
                <w:p>
                  <w:pPr>
                    <w:spacing w:line="240" w:lineRule="auto"/>
                    <w:jc w:val="center"/>
                    <w:rPr>
                      <w:color w:val="FF0000"/>
                      <w:szCs w:val="21"/>
                    </w:rPr>
                  </w:pPr>
                </w:p>
              </w:tc>
              <w:tc>
                <w:tcPr>
                  <w:tcW w:w="993" w:type="dxa"/>
                  <w:vMerge w:val="restart"/>
                  <w:vAlign w:val="center"/>
                </w:tcPr>
                <w:p>
                  <w:pPr>
                    <w:spacing w:line="240" w:lineRule="auto"/>
                    <w:jc w:val="center"/>
                    <w:rPr>
                      <w:b/>
                      <w:color w:val="FF0000"/>
                      <w:szCs w:val="21"/>
                    </w:rPr>
                  </w:pPr>
                  <w:r>
                    <w:rPr>
                      <w:rFonts w:hint="eastAsia"/>
                      <w:b/>
                      <w:color w:val="FF0000"/>
                      <w:szCs w:val="21"/>
                    </w:rPr>
                    <w:t>废水产生量(m</w:t>
                  </w:r>
                  <w:r>
                    <w:rPr>
                      <w:b/>
                      <w:color w:val="FF0000"/>
                      <w:szCs w:val="21"/>
                      <w:vertAlign w:val="superscript"/>
                    </w:rPr>
                    <w:t>3</w:t>
                  </w:r>
                  <w:r>
                    <w:rPr>
                      <w:b/>
                      <w:color w:val="FF0000"/>
                      <w:szCs w:val="21"/>
                    </w:rPr>
                    <w:t>/</w:t>
                  </w:r>
                  <w:r>
                    <w:rPr>
                      <w:rFonts w:hint="eastAsia"/>
                      <w:b/>
                      <w:color w:val="FF0000"/>
                      <w:szCs w:val="21"/>
                    </w:rPr>
                    <w:t>a)</w:t>
                  </w:r>
                </w:p>
              </w:tc>
              <w:tc>
                <w:tcPr>
                  <w:tcW w:w="989" w:type="dxa"/>
                  <w:vMerge w:val="restart"/>
                  <w:vAlign w:val="center"/>
                </w:tcPr>
                <w:p>
                  <w:pPr>
                    <w:spacing w:line="240" w:lineRule="auto"/>
                    <w:jc w:val="center"/>
                    <w:rPr>
                      <w:b/>
                      <w:color w:val="FF0000"/>
                      <w:szCs w:val="21"/>
                    </w:rPr>
                  </w:pPr>
                  <w:r>
                    <w:rPr>
                      <w:rFonts w:hint="eastAsia"/>
                      <w:b/>
                      <w:color w:val="FF0000"/>
                      <w:szCs w:val="21"/>
                    </w:rPr>
                    <w:t>污染物产生浓度(mg</w:t>
                  </w:r>
                  <w:r>
                    <w:rPr>
                      <w:b/>
                      <w:color w:val="FF0000"/>
                      <w:szCs w:val="21"/>
                    </w:rPr>
                    <w:t>/L</w:t>
                  </w:r>
                  <w:r>
                    <w:rPr>
                      <w:rFonts w:hint="eastAsia"/>
                      <w:b/>
                      <w:color w:val="FF0000"/>
                      <w:szCs w:val="21"/>
                    </w:rPr>
                    <w:t>)</w:t>
                  </w:r>
                </w:p>
              </w:tc>
              <w:tc>
                <w:tcPr>
                  <w:tcW w:w="946" w:type="dxa"/>
                  <w:vMerge w:val="restart"/>
                  <w:vAlign w:val="center"/>
                </w:tcPr>
                <w:p>
                  <w:pPr>
                    <w:spacing w:line="240" w:lineRule="auto"/>
                    <w:jc w:val="center"/>
                    <w:rPr>
                      <w:b/>
                      <w:color w:val="FF0000"/>
                      <w:szCs w:val="21"/>
                    </w:rPr>
                  </w:pPr>
                  <w:r>
                    <w:rPr>
                      <w:rFonts w:hint="eastAsia"/>
                      <w:b/>
                      <w:color w:val="FF0000"/>
                      <w:szCs w:val="21"/>
                    </w:rPr>
                    <w:t>污染物产生量（t</w:t>
                  </w:r>
                  <w:r>
                    <w:rPr>
                      <w:b/>
                      <w:color w:val="FF0000"/>
                      <w:szCs w:val="21"/>
                    </w:rPr>
                    <w:t>/</w:t>
                  </w:r>
                  <w:r>
                    <w:rPr>
                      <w:rFonts w:hint="eastAsia"/>
                      <w:b/>
                      <w:color w:val="FF0000"/>
                      <w:szCs w:val="21"/>
                    </w:rPr>
                    <w:t>a）</w:t>
                  </w:r>
                </w:p>
              </w:tc>
              <w:tc>
                <w:tcPr>
                  <w:tcW w:w="958" w:type="dxa"/>
                  <w:vMerge w:val="restart"/>
                  <w:vAlign w:val="center"/>
                </w:tcPr>
                <w:p>
                  <w:pPr>
                    <w:spacing w:line="240" w:lineRule="auto"/>
                    <w:jc w:val="center"/>
                    <w:rPr>
                      <w:b/>
                      <w:color w:val="FF0000"/>
                      <w:szCs w:val="21"/>
                    </w:rPr>
                  </w:pPr>
                  <w:r>
                    <w:rPr>
                      <w:rFonts w:hint="eastAsia"/>
                      <w:b/>
                      <w:color w:val="FF0000"/>
                      <w:szCs w:val="21"/>
                    </w:rPr>
                    <w:t>处理能力(m</w:t>
                  </w:r>
                  <w:r>
                    <w:rPr>
                      <w:b/>
                      <w:color w:val="FF0000"/>
                      <w:szCs w:val="21"/>
                      <w:vertAlign w:val="superscript"/>
                    </w:rPr>
                    <w:t>3</w:t>
                  </w:r>
                  <w:r>
                    <w:rPr>
                      <w:b/>
                      <w:color w:val="FF0000"/>
                      <w:szCs w:val="21"/>
                    </w:rPr>
                    <w:t>/</w:t>
                  </w:r>
                  <w:r>
                    <w:rPr>
                      <w:rFonts w:hint="eastAsia"/>
                      <w:b/>
                      <w:color w:val="FF0000"/>
                      <w:szCs w:val="21"/>
                    </w:rPr>
                    <w:t>d)</w:t>
                  </w:r>
                </w:p>
              </w:tc>
              <w:tc>
                <w:tcPr>
                  <w:tcW w:w="934" w:type="dxa"/>
                  <w:vMerge w:val="restart"/>
                  <w:vAlign w:val="center"/>
                </w:tcPr>
                <w:p>
                  <w:pPr>
                    <w:spacing w:line="240" w:lineRule="auto"/>
                    <w:jc w:val="center"/>
                    <w:rPr>
                      <w:b/>
                      <w:color w:val="FF0000"/>
                      <w:szCs w:val="21"/>
                    </w:rPr>
                  </w:pPr>
                  <w:r>
                    <w:rPr>
                      <w:rFonts w:hint="eastAsia"/>
                      <w:b/>
                      <w:color w:val="FF0000"/>
                      <w:szCs w:val="21"/>
                    </w:rPr>
                    <w:t>治理工艺</w:t>
                  </w:r>
                </w:p>
              </w:tc>
              <w:tc>
                <w:tcPr>
                  <w:tcW w:w="850" w:type="dxa"/>
                  <w:vMerge w:val="restart"/>
                  <w:vAlign w:val="center"/>
                </w:tcPr>
                <w:p>
                  <w:pPr>
                    <w:spacing w:line="240" w:lineRule="auto"/>
                    <w:jc w:val="center"/>
                    <w:rPr>
                      <w:b/>
                      <w:color w:val="FF0000"/>
                      <w:szCs w:val="21"/>
                    </w:rPr>
                  </w:pPr>
                  <w:r>
                    <w:rPr>
                      <w:rFonts w:hint="eastAsia"/>
                      <w:b/>
                      <w:color w:val="FF0000"/>
                      <w:szCs w:val="21"/>
                    </w:rPr>
                    <w:t>是否为可行技术</w:t>
                  </w:r>
                </w:p>
              </w:tc>
              <w:tc>
                <w:tcPr>
                  <w:tcW w:w="1134" w:type="dxa"/>
                  <w:vMerge w:val="restart"/>
                  <w:vAlign w:val="center"/>
                </w:tcPr>
                <w:p>
                  <w:pPr>
                    <w:spacing w:line="240" w:lineRule="auto"/>
                    <w:jc w:val="center"/>
                    <w:rPr>
                      <w:b/>
                      <w:color w:val="FF0000"/>
                      <w:szCs w:val="21"/>
                    </w:rPr>
                  </w:pPr>
                  <w:r>
                    <w:rPr>
                      <w:rFonts w:hint="eastAsia"/>
                      <w:b/>
                      <w:color w:val="FF0000"/>
                      <w:szCs w:val="21"/>
                    </w:rPr>
                    <w:t>废水排放量（m</w:t>
                  </w:r>
                  <w:r>
                    <w:rPr>
                      <w:b/>
                      <w:color w:val="FF0000"/>
                      <w:szCs w:val="21"/>
                      <w:vertAlign w:val="superscript"/>
                    </w:rPr>
                    <w:t>3</w:t>
                  </w:r>
                  <w:r>
                    <w:rPr>
                      <w:b/>
                      <w:color w:val="FF0000"/>
                      <w:szCs w:val="21"/>
                    </w:rPr>
                    <w:t>/</w:t>
                  </w:r>
                  <w:r>
                    <w:rPr>
                      <w:rFonts w:hint="eastAsia"/>
                      <w:b/>
                      <w:color w:val="FF0000"/>
                      <w:szCs w:val="21"/>
                    </w:rPr>
                    <w:t>a）</w:t>
                  </w:r>
                </w:p>
              </w:tc>
              <w:tc>
                <w:tcPr>
                  <w:tcW w:w="1843" w:type="dxa"/>
                  <w:gridSpan w:val="2"/>
                  <w:vAlign w:val="center"/>
                </w:tcPr>
                <w:p>
                  <w:pPr>
                    <w:spacing w:line="240" w:lineRule="auto"/>
                    <w:jc w:val="center"/>
                    <w:rPr>
                      <w:b/>
                      <w:color w:val="FF0000"/>
                      <w:szCs w:val="21"/>
                    </w:rPr>
                  </w:pPr>
                  <w:r>
                    <w:rPr>
                      <w:rFonts w:hint="eastAsia"/>
                      <w:b/>
                      <w:color w:val="FF0000"/>
                      <w:szCs w:val="21"/>
                    </w:rPr>
                    <w:t>污染物排放浓度（mg</w:t>
                  </w:r>
                  <w:r>
                    <w:rPr>
                      <w:b/>
                      <w:color w:val="FF0000"/>
                      <w:szCs w:val="21"/>
                    </w:rPr>
                    <w:t>/L</w:t>
                  </w:r>
                  <w:r>
                    <w:rPr>
                      <w:rFonts w:hint="eastAsia"/>
                      <w:b/>
                      <w:color w:val="FF0000"/>
                      <w:szCs w:val="21"/>
                    </w:rPr>
                    <w:t>）</w:t>
                  </w:r>
                </w:p>
              </w:tc>
              <w:tc>
                <w:tcPr>
                  <w:tcW w:w="1781" w:type="dxa"/>
                  <w:gridSpan w:val="2"/>
                  <w:vAlign w:val="center"/>
                </w:tcPr>
                <w:p>
                  <w:pPr>
                    <w:spacing w:line="240" w:lineRule="auto"/>
                    <w:jc w:val="center"/>
                    <w:rPr>
                      <w:b/>
                      <w:color w:val="FF0000"/>
                      <w:szCs w:val="21"/>
                    </w:rPr>
                  </w:pPr>
                  <w:r>
                    <w:rPr>
                      <w:rFonts w:hint="eastAsia"/>
                      <w:b/>
                      <w:color w:val="FF0000"/>
                      <w:szCs w:val="21"/>
                    </w:rPr>
                    <w:t>污染物排放量（t</w:t>
                  </w:r>
                  <w:r>
                    <w:rPr>
                      <w:b/>
                      <w:color w:val="FF0000"/>
                      <w:szCs w:val="21"/>
                    </w:rPr>
                    <w:t>/</w:t>
                  </w:r>
                  <w:r>
                    <w:rPr>
                      <w:rFonts w:hint="eastAsia"/>
                      <w:b/>
                      <w:color w:val="FF000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Merge w:val="continue"/>
                  <w:vAlign w:val="center"/>
                </w:tcPr>
                <w:p>
                  <w:pPr>
                    <w:spacing w:line="240" w:lineRule="auto"/>
                    <w:jc w:val="center"/>
                    <w:rPr>
                      <w:color w:val="FF0000"/>
                      <w:szCs w:val="21"/>
                    </w:rPr>
                  </w:pPr>
                </w:p>
              </w:tc>
              <w:tc>
                <w:tcPr>
                  <w:tcW w:w="993" w:type="dxa"/>
                  <w:vMerge w:val="continue"/>
                  <w:vAlign w:val="center"/>
                </w:tcPr>
                <w:p>
                  <w:pPr>
                    <w:spacing w:line="240" w:lineRule="auto"/>
                    <w:jc w:val="center"/>
                    <w:rPr>
                      <w:b/>
                      <w:color w:val="FF0000"/>
                      <w:szCs w:val="21"/>
                    </w:rPr>
                  </w:pPr>
                </w:p>
              </w:tc>
              <w:tc>
                <w:tcPr>
                  <w:tcW w:w="989" w:type="dxa"/>
                  <w:vMerge w:val="continue"/>
                  <w:vAlign w:val="center"/>
                </w:tcPr>
                <w:p>
                  <w:pPr>
                    <w:spacing w:line="240" w:lineRule="auto"/>
                    <w:jc w:val="center"/>
                    <w:rPr>
                      <w:b/>
                      <w:color w:val="FF0000"/>
                      <w:szCs w:val="21"/>
                    </w:rPr>
                  </w:pPr>
                </w:p>
              </w:tc>
              <w:tc>
                <w:tcPr>
                  <w:tcW w:w="946" w:type="dxa"/>
                  <w:vMerge w:val="continue"/>
                  <w:vAlign w:val="center"/>
                </w:tcPr>
                <w:p>
                  <w:pPr>
                    <w:spacing w:line="240" w:lineRule="auto"/>
                    <w:jc w:val="center"/>
                    <w:rPr>
                      <w:b/>
                      <w:color w:val="FF0000"/>
                      <w:szCs w:val="21"/>
                    </w:rPr>
                  </w:pPr>
                </w:p>
              </w:tc>
              <w:tc>
                <w:tcPr>
                  <w:tcW w:w="958" w:type="dxa"/>
                  <w:vMerge w:val="continue"/>
                  <w:vAlign w:val="center"/>
                </w:tcPr>
                <w:p>
                  <w:pPr>
                    <w:spacing w:line="240" w:lineRule="auto"/>
                    <w:jc w:val="center"/>
                    <w:rPr>
                      <w:b/>
                      <w:color w:val="FF0000"/>
                      <w:szCs w:val="21"/>
                    </w:rPr>
                  </w:pPr>
                </w:p>
              </w:tc>
              <w:tc>
                <w:tcPr>
                  <w:tcW w:w="934" w:type="dxa"/>
                  <w:vMerge w:val="continue"/>
                  <w:vAlign w:val="center"/>
                </w:tcPr>
                <w:p>
                  <w:pPr>
                    <w:spacing w:line="240" w:lineRule="auto"/>
                    <w:jc w:val="center"/>
                    <w:rPr>
                      <w:b/>
                      <w:color w:val="FF0000"/>
                      <w:szCs w:val="21"/>
                    </w:rPr>
                  </w:pPr>
                </w:p>
              </w:tc>
              <w:tc>
                <w:tcPr>
                  <w:tcW w:w="850" w:type="dxa"/>
                  <w:vMerge w:val="continue"/>
                  <w:vAlign w:val="center"/>
                </w:tcPr>
                <w:p>
                  <w:pPr>
                    <w:spacing w:line="240" w:lineRule="auto"/>
                    <w:jc w:val="center"/>
                    <w:rPr>
                      <w:b/>
                      <w:color w:val="FF0000"/>
                      <w:szCs w:val="21"/>
                    </w:rPr>
                  </w:pPr>
                </w:p>
              </w:tc>
              <w:tc>
                <w:tcPr>
                  <w:tcW w:w="1134" w:type="dxa"/>
                  <w:vMerge w:val="continue"/>
                  <w:vAlign w:val="center"/>
                </w:tcPr>
                <w:p>
                  <w:pPr>
                    <w:spacing w:line="240" w:lineRule="auto"/>
                    <w:jc w:val="center"/>
                    <w:rPr>
                      <w:b/>
                      <w:color w:val="FF0000"/>
                      <w:szCs w:val="21"/>
                    </w:rPr>
                  </w:pPr>
                </w:p>
              </w:tc>
              <w:tc>
                <w:tcPr>
                  <w:tcW w:w="993" w:type="dxa"/>
                  <w:vAlign w:val="center"/>
                </w:tcPr>
                <w:p>
                  <w:pPr>
                    <w:pStyle w:val="198"/>
                    <w:spacing w:line="240" w:lineRule="auto"/>
                    <w:jc w:val="center"/>
                    <w:rPr>
                      <w:b/>
                      <w:color w:val="FF0000"/>
                      <w:sz w:val="21"/>
                      <w:szCs w:val="21"/>
                    </w:rPr>
                  </w:pPr>
                  <w:r>
                    <w:rPr>
                      <w:rFonts w:hint="eastAsia" w:ascii="Times New Roman"/>
                      <w:b/>
                      <w:color w:val="FF0000"/>
                      <w:sz w:val="21"/>
                      <w:szCs w:val="21"/>
                    </w:rPr>
                    <w:t>排管网</w:t>
                  </w:r>
                </w:p>
              </w:tc>
              <w:tc>
                <w:tcPr>
                  <w:tcW w:w="850" w:type="dxa"/>
                  <w:vAlign w:val="center"/>
                </w:tcPr>
                <w:p>
                  <w:pPr>
                    <w:pStyle w:val="198"/>
                    <w:spacing w:line="240" w:lineRule="auto"/>
                    <w:jc w:val="center"/>
                    <w:rPr>
                      <w:b/>
                      <w:color w:val="FF0000"/>
                      <w:sz w:val="21"/>
                      <w:szCs w:val="21"/>
                    </w:rPr>
                  </w:pPr>
                  <w:r>
                    <w:rPr>
                      <w:rFonts w:hint="eastAsia" w:ascii="Times New Roman"/>
                      <w:b/>
                      <w:color w:val="FF0000"/>
                      <w:sz w:val="21"/>
                      <w:szCs w:val="21"/>
                    </w:rPr>
                    <w:t>排环境</w:t>
                  </w:r>
                </w:p>
              </w:tc>
              <w:tc>
                <w:tcPr>
                  <w:tcW w:w="851" w:type="dxa"/>
                  <w:vAlign w:val="center"/>
                </w:tcPr>
                <w:p>
                  <w:pPr>
                    <w:pStyle w:val="198"/>
                    <w:spacing w:line="240" w:lineRule="auto"/>
                    <w:jc w:val="center"/>
                    <w:rPr>
                      <w:b/>
                      <w:color w:val="FF0000"/>
                      <w:sz w:val="21"/>
                      <w:szCs w:val="21"/>
                    </w:rPr>
                  </w:pPr>
                  <w:r>
                    <w:rPr>
                      <w:rFonts w:hint="eastAsia" w:ascii="Times New Roman"/>
                      <w:b/>
                      <w:color w:val="FF0000"/>
                      <w:sz w:val="21"/>
                      <w:szCs w:val="21"/>
                    </w:rPr>
                    <w:t>排管网</w:t>
                  </w:r>
                </w:p>
              </w:tc>
              <w:tc>
                <w:tcPr>
                  <w:tcW w:w="930" w:type="dxa"/>
                  <w:vAlign w:val="center"/>
                </w:tcPr>
                <w:p>
                  <w:pPr>
                    <w:pStyle w:val="198"/>
                    <w:spacing w:line="240" w:lineRule="auto"/>
                    <w:jc w:val="center"/>
                    <w:rPr>
                      <w:b/>
                      <w:color w:val="FF0000"/>
                      <w:sz w:val="21"/>
                      <w:szCs w:val="21"/>
                    </w:rPr>
                  </w:pPr>
                  <w:r>
                    <w:rPr>
                      <w:rFonts w:hint="eastAsia" w:ascii="Times New Roman"/>
                      <w:b/>
                      <w:color w:val="FF0000"/>
                      <w:sz w:val="21"/>
                      <w:szCs w:val="21"/>
                    </w:rPr>
                    <w:t>排环境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restart"/>
                  <w:vAlign w:val="center"/>
                </w:tcPr>
                <w:p>
                  <w:pPr>
                    <w:spacing w:line="240" w:lineRule="auto"/>
                    <w:jc w:val="center"/>
                    <w:rPr>
                      <w:color w:val="FF0000"/>
                      <w:szCs w:val="21"/>
                    </w:rPr>
                  </w:pPr>
                  <w:r>
                    <w:rPr>
                      <w:rFonts w:hint="eastAsia"/>
                      <w:color w:val="FF0000"/>
                      <w:szCs w:val="21"/>
                    </w:rPr>
                    <w:t>生化池排放口</w:t>
                  </w:r>
                  <w:r>
                    <w:rPr>
                      <w:bCs/>
                      <w:color w:val="FF0000"/>
                      <w:szCs w:val="21"/>
                    </w:rPr>
                    <w:t>DW001</w:t>
                  </w:r>
                </w:p>
              </w:tc>
              <w:tc>
                <w:tcPr>
                  <w:tcW w:w="681" w:type="dxa"/>
                  <w:vMerge w:val="restart"/>
                  <w:vAlign w:val="center"/>
                </w:tcPr>
                <w:p>
                  <w:pPr>
                    <w:spacing w:line="240" w:lineRule="auto"/>
                    <w:jc w:val="center"/>
                    <w:rPr>
                      <w:color w:val="FF0000"/>
                      <w:szCs w:val="21"/>
                    </w:rPr>
                  </w:pPr>
                  <w:r>
                    <w:rPr>
                      <w:rFonts w:hint="eastAsia"/>
                      <w:color w:val="FF0000"/>
                      <w:szCs w:val="21"/>
                    </w:rPr>
                    <w:t>员工</w:t>
                  </w:r>
                </w:p>
                <w:p>
                  <w:pPr>
                    <w:spacing w:line="240" w:lineRule="auto"/>
                    <w:jc w:val="center"/>
                    <w:rPr>
                      <w:color w:val="FF0000"/>
                      <w:szCs w:val="21"/>
                    </w:rPr>
                  </w:pPr>
                  <w:r>
                    <w:rPr>
                      <w:rFonts w:hint="eastAsia"/>
                      <w:color w:val="FF0000"/>
                      <w:szCs w:val="21"/>
                    </w:rPr>
                    <w:t>生活</w:t>
                  </w:r>
                </w:p>
              </w:tc>
              <w:tc>
                <w:tcPr>
                  <w:tcW w:w="736" w:type="dxa"/>
                  <w:vMerge w:val="restart"/>
                  <w:vAlign w:val="center"/>
                </w:tcPr>
                <w:p>
                  <w:pPr>
                    <w:spacing w:line="240" w:lineRule="auto"/>
                    <w:jc w:val="center"/>
                    <w:rPr>
                      <w:color w:val="FF0000"/>
                      <w:szCs w:val="21"/>
                    </w:rPr>
                  </w:pPr>
                  <w:r>
                    <w:rPr>
                      <w:rFonts w:hint="eastAsia"/>
                      <w:color w:val="FF0000"/>
                      <w:szCs w:val="21"/>
                    </w:rPr>
                    <w:t>生活污水</w:t>
                  </w:r>
                </w:p>
              </w:tc>
              <w:tc>
                <w:tcPr>
                  <w:tcW w:w="992" w:type="dxa"/>
                  <w:vAlign w:val="center"/>
                </w:tcPr>
                <w:p>
                  <w:pPr>
                    <w:spacing w:line="240" w:lineRule="auto"/>
                    <w:jc w:val="center"/>
                    <w:rPr>
                      <w:color w:val="FF0000"/>
                      <w:szCs w:val="21"/>
                    </w:rPr>
                  </w:pPr>
                  <w:r>
                    <w:rPr>
                      <w:rFonts w:hint="eastAsia"/>
                      <w:color w:val="FF0000"/>
                      <w:szCs w:val="21"/>
                    </w:rPr>
                    <w:t>C</w:t>
                  </w:r>
                  <w:r>
                    <w:rPr>
                      <w:color w:val="FF0000"/>
                      <w:szCs w:val="21"/>
                    </w:rPr>
                    <w:t>OD</w:t>
                  </w:r>
                </w:p>
              </w:tc>
              <w:tc>
                <w:tcPr>
                  <w:tcW w:w="993" w:type="dxa"/>
                  <w:vMerge w:val="restart"/>
                  <w:vAlign w:val="center"/>
                </w:tcPr>
                <w:p>
                  <w:pPr>
                    <w:spacing w:line="240" w:lineRule="auto"/>
                    <w:jc w:val="center"/>
                    <w:rPr>
                      <w:color w:val="FF0000"/>
                      <w:szCs w:val="21"/>
                    </w:rPr>
                  </w:pPr>
                  <w:r>
                    <w:rPr>
                      <w:color w:val="FF0000"/>
                      <w:szCs w:val="21"/>
                    </w:rPr>
                    <w:t>810</w:t>
                  </w:r>
                </w:p>
              </w:tc>
              <w:tc>
                <w:tcPr>
                  <w:tcW w:w="989" w:type="dxa"/>
                  <w:vAlign w:val="center"/>
                </w:tcPr>
                <w:p>
                  <w:pPr>
                    <w:spacing w:line="240" w:lineRule="auto"/>
                    <w:jc w:val="center"/>
                    <w:rPr>
                      <w:rFonts w:eastAsia="等线"/>
                      <w:color w:val="FF0000"/>
                      <w:kern w:val="0"/>
                      <w:szCs w:val="21"/>
                    </w:rPr>
                  </w:pPr>
                  <w:r>
                    <w:rPr>
                      <w:rFonts w:eastAsia="等线"/>
                      <w:color w:val="FF0000"/>
                      <w:szCs w:val="21"/>
                    </w:rPr>
                    <w:t>450</w:t>
                  </w:r>
                </w:p>
              </w:tc>
              <w:tc>
                <w:tcPr>
                  <w:tcW w:w="946" w:type="dxa"/>
                  <w:vAlign w:val="center"/>
                </w:tcPr>
                <w:p>
                  <w:pPr>
                    <w:spacing w:line="240" w:lineRule="auto"/>
                    <w:jc w:val="center"/>
                    <w:rPr>
                      <w:rFonts w:eastAsia="等线"/>
                      <w:color w:val="FF0000"/>
                      <w:szCs w:val="21"/>
                    </w:rPr>
                  </w:pPr>
                  <w:r>
                    <w:rPr>
                      <w:rFonts w:eastAsia="等线"/>
                      <w:color w:val="FF0000"/>
                      <w:szCs w:val="21"/>
                    </w:rPr>
                    <w:t>0.365</w:t>
                  </w:r>
                </w:p>
              </w:tc>
              <w:tc>
                <w:tcPr>
                  <w:tcW w:w="958" w:type="dxa"/>
                  <w:vMerge w:val="restart"/>
                  <w:vAlign w:val="center"/>
                </w:tcPr>
                <w:p>
                  <w:pPr>
                    <w:spacing w:line="240" w:lineRule="auto"/>
                    <w:jc w:val="center"/>
                    <w:rPr>
                      <w:color w:val="FF0000"/>
                      <w:szCs w:val="21"/>
                    </w:rPr>
                  </w:pPr>
                  <w:r>
                    <w:rPr>
                      <w:color w:val="FF0000"/>
                      <w:szCs w:val="21"/>
                    </w:rPr>
                    <w:t>50</w:t>
                  </w:r>
                </w:p>
              </w:tc>
              <w:tc>
                <w:tcPr>
                  <w:tcW w:w="934" w:type="dxa"/>
                  <w:vMerge w:val="restart"/>
                  <w:vAlign w:val="center"/>
                </w:tcPr>
                <w:p>
                  <w:pPr>
                    <w:spacing w:line="240" w:lineRule="auto"/>
                    <w:jc w:val="center"/>
                    <w:rPr>
                      <w:color w:val="FF0000"/>
                      <w:szCs w:val="21"/>
                    </w:rPr>
                  </w:pPr>
                  <w:r>
                    <w:rPr>
                      <w:rFonts w:hint="eastAsia"/>
                      <w:color w:val="FF0000"/>
                      <w:szCs w:val="21"/>
                    </w:rPr>
                    <w:t>生化池（格栅沉淀+水解酸化）</w:t>
                  </w:r>
                </w:p>
              </w:tc>
              <w:tc>
                <w:tcPr>
                  <w:tcW w:w="850" w:type="dxa"/>
                  <w:vMerge w:val="restart"/>
                  <w:vAlign w:val="center"/>
                </w:tcPr>
                <w:p>
                  <w:pPr>
                    <w:spacing w:line="240" w:lineRule="auto"/>
                    <w:jc w:val="center"/>
                    <w:rPr>
                      <w:color w:val="FF0000"/>
                      <w:szCs w:val="21"/>
                    </w:rPr>
                  </w:pPr>
                  <w:r>
                    <w:rPr>
                      <w:rFonts w:hint="eastAsia"/>
                      <w:color w:val="FF0000"/>
                      <w:szCs w:val="21"/>
                    </w:rPr>
                    <w:t>是</w:t>
                  </w:r>
                </w:p>
              </w:tc>
              <w:tc>
                <w:tcPr>
                  <w:tcW w:w="1134" w:type="dxa"/>
                  <w:vMerge w:val="restart"/>
                  <w:vAlign w:val="center"/>
                </w:tcPr>
                <w:p>
                  <w:pPr>
                    <w:spacing w:line="240" w:lineRule="auto"/>
                    <w:jc w:val="center"/>
                    <w:rPr>
                      <w:color w:val="FF0000"/>
                      <w:szCs w:val="21"/>
                    </w:rPr>
                  </w:pPr>
                  <w:r>
                    <w:rPr>
                      <w:color w:val="FF0000"/>
                      <w:szCs w:val="21"/>
                    </w:rPr>
                    <w:t>810</w:t>
                  </w: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B</w:t>
                  </w:r>
                  <w:r>
                    <w:rPr>
                      <w:color w:val="FF0000"/>
                      <w:szCs w:val="21"/>
                    </w:rPr>
                    <w:t>OD</w:t>
                  </w:r>
                  <w:r>
                    <w:rPr>
                      <w:color w:val="FF0000"/>
                      <w:szCs w:val="21"/>
                      <w:vertAlign w:val="subscript"/>
                    </w:rPr>
                    <w:t>5</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250</w:t>
                  </w:r>
                </w:p>
              </w:tc>
              <w:tc>
                <w:tcPr>
                  <w:tcW w:w="946" w:type="dxa"/>
                  <w:vAlign w:val="center"/>
                </w:tcPr>
                <w:p>
                  <w:pPr>
                    <w:spacing w:line="240" w:lineRule="auto"/>
                    <w:jc w:val="center"/>
                    <w:rPr>
                      <w:rFonts w:eastAsia="等线"/>
                      <w:color w:val="FF0000"/>
                      <w:szCs w:val="21"/>
                    </w:rPr>
                  </w:pPr>
                  <w:r>
                    <w:rPr>
                      <w:rFonts w:eastAsia="等线"/>
                      <w:color w:val="FF0000"/>
                      <w:szCs w:val="21"/>
                    </w:rPr>
                    <w:t>0.203</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S</w:t>
                  </w:r>
                  <w:r>
                    <w:rPr>
                      <w:color w:val="FF0000"/>
                      <w:szCs w:val="21"/>
                    </w:rPr>
                    <w:t>S</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350</w:t>
                  </w:r>
                </w:p>
              </w:tc>
              <w:tc>
                <w:tcPr>
                  <w:tcW w:w="946" w:type="dxa"/>
                  <w:vAlign w:val="center"/>
                </w:tcPr>
                <w:p>
                  <w:pPr>
                    <w:spacing w:line="240" w:lineRule="auto"/>
                    <w:jc w:val="center"/>
                    <w:rPr>
                      <w:rFonts w:eastAsia="等线"/>
                      <w:color w:val="FF0000"/>
                      <w:szCs w:val="21"/>
                    </w:rPr>
                  </w:pPr>
                  <w:r>
                    <w:rPr>
                      <w:rFonts w:eastAsia="等线"/>
                      <w:color w:val="FF0000"/>
                      <w:szCs w:val="21"/>
                    </w:rPr>
                    <w:t>0.284</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总磷</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5</w:t>
                  </w:r>
                </w:p>
              </w:tc>
              <w:tc>
                <w:tcPr>
                  <w:tcW w:w="946" w:type="dxa"/>
                  <w:vAlign w:val="center"/>
                </w:tcPr>
                <w:p>
                  <w:pPr>
                    <w:spacing w:line="240" w:lineRule="auto"/>
                    <w:jc w:val="center"/>
                    <w:rPr>
                      <w:rFonts w:eastAsia="等线"/>
                      <w:color w:val="FF0000"/>
                      <w:szCs w:val="21"/>
                    </w:rPr>
                  </w:pPr>
                  <w:r>
                    <w:rPr>
                      <w:rFonts w:eastAsia="等线"/>
                      <w:color w:val="FF0000"/>
                      <w:szCs w:val="21"/>
                    </w:rPr>
                    <w:t>0.004</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szCs w:val="21"/>
                    </w:rPr>
                  </w:pPr>
                </w:p>
              </w:tc>
              <w:tc>
                <w:tcPr>
                  <w:tcW w:w="850" w:type="dxa"/>
                  <w:vAlign w:val="center"/>
                </w:tcPr>
                <w:p>
                  <w:pPr>
                    <w:spacing w:line="240" w:lineRule="auto"/>
                    <w:jc w:val="center"/>
                    <w:rPr>
                      <w:color w:val="FF0000"/>
                      <w:szCs w:val="21"/>
                    </w:rPr>
                  </w:pPr>
                </w:p>
              </w:tc>
              <w:tc>
                <w:tcPr>
                  <w:tcW w:w="851" w:type="dxa"/>
                  <w:vAlign w:val="center"/>
                </w:tcPr>
                <w:p>
                  <w:pPr>
                    <w:spacing w:line="240" w:lineRule="auto"/>
                    <w:jc w:val="center"/>
                    <w:rPr>
                      <w:color w:val="FF0000"/>
                      <w:szCs w:val="21"/>
                    </w:rPr>
                  </w:pPr>
                </w:p>
              </w:tc>
              <w:tc>
                <w:tcPr>
                  <w:tcW w:w="930" w:type="dxa"/>
                  <w:vAlign w:val="center"/>
                </w:tcPr>
                <w:p>
                  <w:pPr>
                    <w:spacing w:line="240" w:lineRule="auto"/>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N</w:t>
                  </w:r>
                  <w:r>
                    <w:rPr>
                      <w:color w:val="FF0000"/>
                      <w:szCs w:val="21"/>
                    </w:rPr>
                    <w:t>H</w:t>
                  </w:r>
                  <w:r>
                    <w:rPr>
                      <w:color w:val="FF0000"/>
                      <w:szCs w:val="21"/>
                      <w:vertAlign w:val="subscript"/>
                    </w:rPr>
                    <w:t>3</w:t>
                  </w:r>
                  <w:r>
                    <w:rPr>
                      <w:color w:val="FF0000"/>
                      <w:szCs w:val="21"/>
                    </w:rPr>
                    <w:t>-N</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40</w:t>
                  </w:r>
                </w:p>
              </w:tc>
              <w:tc>
                <w:tcPr>
                  <w:tcW w:w="946" w:type="dxa"/>
                  <w:vAlign w:val="center"/>
                </w:tcPr>
                <w:p>
                  <w:pPr>
                    <w:spacing w:line="240" w:lineRule="auto"/>
                    <w:jc w:val="center"/>
                    <w:rPr>
                      <w:rFonts w:eastAsia="等线"/>
                      <w:color w:val="FF0000"/>
                      <w:szCs w:val="21"/>
                    </w:rPr>
                  </w:pPr>
                  <w:r>
                    <w:rPr>
                      <w:rFonts w:eastAsia="等线"/>
                      <w:color w:val="FF0000"/>
                      <w:szCs w:val="21"/>
                    </w:rPr>
                    <w:t>0.032</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restart"/>
                  <w:vAlign w:val="center"/>
                </w:tcPr>
                <w:p>
                  <w:pPr>
                    <w:spacing w:line="240" w:lineRule="auto"/>
                    <w:jc w:val="center"/>
                    <w:rPr>
                      <w:color w:val="FF0000"/>
                      <w:szCs w:val="21"/>
                    </w:rPr>
                  </w:pPr>
                  <w:r>
                    <w:rPr>
                      <w:rFonts w:hint="eastAsia"/>
                      <w:color w:val="FF0000"/>
                      <w:szCs w:val="21"/>
                    </w:rPr>
                    <w:t>食堂废水</w:t>
                  </w:r>
                </w:p>
              </w:tc>
              <w:tc>
                <w:tcPr>
                  <w:tcW w:w="992" w:type="dxa"/>
                  <w:vAlign w:val="center"/>
                </w:tcPr>
                <w:p>
                  <w:pPr>
                    <w:spacing w:line="240" w:lineRule="auto"/>
                    <w:jc w:val="center"/>
                    <w:rPr>
                      <w:color w:val="FF0000"/>
                      <w:szCs w:val="21"/>
                    </w:rPr>
                  </w:pPr>
                  <w:r>
                    <w:rPr>
                      <w:rFonts w:hint="eastAsia"/>
                      <w:color w:val="FF0000"/>
                      <w:szCs w:val="21"/>
                    </w:rPr>
                    <w:t>C</w:t>
                  </w:r>
                  <w:r>
                    <w:rPr>
                      <w:color w:val="FF0000"/>
                      <w:szCs w:val="21"/>
                    </w:rPr>
                    <w:t>OD</w:t>
                  </w:r>
                </w:p>
              </w:tc>
              <w:tc>
                <w:tcPr>
                  <w:tcW w:w="993" w:type="dxa"/>
                  <w:vMerge w:val="restart"/>
                  <w:vAlign w:val="center"/>
                </w:tcPr>
                <w:p>
                  <w:pPr>
                    <w:spacing w:line="240" w:lineRule="auto"/>
                    <w:jc w:val="center"/>
                    <w:rPr>
                      <w:color w:val="FF0000"/>
                      <w:szCs w:val="21"/>
                    </w:rPr>
                  </w:pPr>
                  <w:r>
                    <w:rPr>
                      <w:color w:val="FF0000"/>
                      <w:szCs w:val="21"/>
                    </w:rPr>
                    <w:t>648</w:t>
                  </w:r>
                </w:p>
              </w:tc>
              <w:tc>
                <w:tcPr>
                  <w:tcW w:w="989" w:type="dxa"/>
                  <w:vAlign w:val="center"/>
                </w:tcPr>
                <w:p>
                  <w:pPr>
                    <w:spacing w:line="240" w:lineRule="auto"/>
                    <w:jc w:val="center"/>
                    <w:rPr>
                      <w:rFonts w:eastAsia="等线"/>
                      <w:color w:val="FF0000"/>
                      <w:szCs w:val="21"/>
                    </w:rPr>
                  </w:pPr>
                  <w:r>
                    <w:rPr>
                      <w:rFonts w:eastAsia="等线"/>
                      <w:color w:val="FF0000"/>
                      <w:szCs w:val="21"/>
                    </w:rPr>
                    <w:t>400</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0.259 </w:t>
                  </w:r>
                </w:p>
              </w:tc>
              <w:tc>
                <w:tcPr>
                  <w:tcW w:w="958" w:type="dxa"/>
                  <w:vMerge w:val="restart"/>
                  <w:vAlign w:val="center"/>
                </w:tcPr>
                <w:p>
                  <w:pPr>
                    <w:spacing w:line="240" w:lineRule="auto"/>
                    <w:jc w:val="center"/>
                    <w:rPr>
                      <w:color w:val="FF0000"/>
                      <w:szCs w:val="21"/>
                    </w:rPr>
                  </w:pPr>
                  <w:r>
                    <w:rPr>
                      <w:rFonts w:hint="eastAsia"/>
                      <w:color w:val="FF0000"/>
                      <w:szCs w:val="21"/>
                    </w:rPr>
                    <w:t>5</w:t>
                  </w:r>
                </w:p>
              </w:tc>
              <w:tc>
                <w:tcPr>
                  <w:tcW w:w="934" w:type="dxa"/>
                  <w:vMerge w:val="restart"/>
                  <w:vAlign w:val="center"/>
                </w:tcPr>
                <w:p>
                  <w:pPr>
                    <w:spacing w:line="240" w:lineRule="auto"/>
                    <w:jc w:val="center"/>
                    <w:rPr>
                      <w:color w:val="FF0000"/>
                      <w:szCs w:val="21"/>
                    </w:rPr>
                  </w:pPr>
                  <w:r>
                    <w:rPr>
                      <w:rFonts w:hint="eastAsia"/>
                      <w:color w:val="FF0000"/>
                      <w:szCs w:val="21"/>
                    </w:rPr>
                    <w:t>隔油池</w:t>
                  </w:r>
                </w:p>
              </w:tc>
              <w:tc>
                <w:tcPr>
                  <w:tcW w:w="850" w:type="dxa"/>
                  <w:vMerge w:val="restart"/>
                  <w:vAlign w:val="center"/>
                </w:tcPr>
                <w:p>
                  <w:pPr>
                    <w:spacing w:line="240" w:lineRule="auto"/>
                    <w:jc w:val="center"/>
                    <w:rPr>
                      <w:color w:val="FF0000"/>
                      <w:szCs w:val="21"/>
                    </w:rPr>
                  </w:pPr>
                  <w:r>
                    <w:rPr>
                      <w:rFonts w:hint="eastAsia"/>
                      <w:color w:val="FF0000"/>
                      <w:szCs w:val="21"/>
                    </w:rPr>
                    <w:t>是</w:t>
                  </w:r>
                </w:p>
              </w:tc>
              <w:tc>
                <w:tcPr>
                  <w:tcW w:w="1134" w:type="dxa"/>
                  <w:vMerge w:val="restart"/>
                  <w:vAlign w:val="center"/>
                </w:tcPr>
                <w:p>
                  <w:pPr>
                    <w:spacing w:line="240" w:lineRule="auto"/>
                    <w:jc w:val="center"/>
                    <w:rPr>
                      <w:color w:val="FF0000"/>
                      <w:szCs w:val="21"/>
                    </w:rPr>
                  </w:pPr>
                  <w:r>
                    <w:rPr>
                      <w:color w:val="FF0000"/>
                      <w:szCs w:val="21"/>
                    </w:rPr>
                    <w:t>648</w:t>
                  </w: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B</w:t>
                  </w:r>
                  <w:r>
                    <w:rPr>
                      <w:color w:val="FF0000"/>
                      <w:szCs w:val="21"/>
                    </w:rPr>
                    <w:t>OD</w:t>
                  </w:r>
                  <w:r>
                    <w:rPr>
                      <w:color w:val="FF0000"/>
                      <w:szCs w:val="21"/>
                      <w:vertAlign w:val="subscript"/>
                    </w:rPr>
                    <w:t>5</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250</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0.162 </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S</w:t>
                  </w:r>
                  <w:r>
                    <w:rPr>
                      <w:color w:val="FF0000"/>
                      <w:szCs w:val="21"/>
                    </w:rPr>
                    <w:t>S</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300</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0.194 </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N</w:t>
                  </w:r>
                  <w:r>
                    <w:rPr>
                      <w:color w:val="FF0000"/>
                      <w:szCs w:val="21"/>
                    </w:rPr>
                    <w:t>H</w:t>
                  </w:r>
                  <w:r>
                    <w:rPr>
                      <w:color w:val="FF0000"/>
                      <w:szCs w:val="21"/>
                      <w:vertAlign w:val="subscript"/>
                    </w:rPr>
                    <w:t>3</w:t>
                  </w:r>
                  <w:r>
                    <w:rPr>
                      <w:color w:val="FF0000"/>
                      <w:szCs w:val="21"/>
                    </w:rPr>
                    <w:t>-N</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20</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0.013 </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动植物油</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50</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0.032 </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restart"/>
                  <w:vAlign w:val="center"/>
                </w:tcPr>
                <w:p>
                  <w:pPr>
                    <w:spacing w:line="240" w:lineRule="auto"/>
                    <w:jc w:val="center"/>
                    <w:rPr>
                      <w:color w:val="FF0000"/>
                      <w:szCs w:val="21"/>
                    </w:rPr>
                  </w:pPr>
                  <w:r>
                    <w:rPr>
                      <w:rFonts w:hint="eastAsia"/>
                      <w:color w:val="FF0000"/>
                      <w:szCs w:val="21"/>
                    </w:rPr>
                    <w:t>循环冷却</w:t>
                  </w:r>
                </w:p>
              </w:tc>
              <w:tc>
                <w:tcPr>
                  <w:tcW w:w="736" w:type="dxa"/>
                  <w:vMerge w:val="restart"/>
                  <w:vAlign w:val="center"/>
                </w:tcPr>
                <w:p>
                  <w:pPr>
                    <w:spacing w:line="240" w:lineRule="auto"/>
                    <w:jc w:val="center"/>
                    <w:rPr>
                      <w:color w:val="FF0000"/>
                      <w:szCs w:val="21"/>
                    </w:rPr>
                  </w:pPr>
                  <w:r>
                    <w:rPr>
                      <w:rFonts w:hint="eastAsia"/>
                      <w:color w:val="FF0000"/>
                      <w:szCs w:val="21"/>
                    </w:rPr>
                    <w:t>循环冷却系统排水</w:t>
                  </w:r>
                </w:p>
              </w:tc>
              <w:tc>
                <w:tcPr>
                  <w:tcW w:w="992" w:type="dxa"/>
                  <w:vAlign w:val="center"/>
                </w:tcPr>
                <w:p>
                  <w:pPr>
                    <w:spacing w:line="240" w:lineRule="auto"/>
                    <w:jc w:val="center"/>
                    <w:rPr>
                      <w:color w:val="FF0000"/>
                      <w:szCs w:val="21"/>
                    </w:rPr>
                  </w:pPr>
                  <w:r>
                    <w:rPr>
                      <w:rFonts w:hint="eastAsia"/>
                      <w:color w:val="FF0000"/>
                      <w:szCs w:val="21"/>
                    </w:rPr>
                    <w:t>C</w:t>
                  </w:r>
                  <w:r>
                    <w:rPr>
                      <w:color w:val="FF0000"/>
                      <w:szCs w:val="21"/>
                    </w:rPr>
                    <w:t>OD</w:t>
                  </w:r>
                </w:p>
              </w:tc>
              <w:tc>
                <w:tcPr>
                  <w:tcW w:w="993" w:type="dxa"/>
                  <w:vMerge w:val="restart"/>
                  <w:vAlign w:val="center"/>
                </w:tcPr>
                <w:p>
                  <w:pPr>
                    <w:spacing w:line="240" w:lineRule="auto"/>
                    <w:jc w:val="center"/>
                    <w:rPr>
                      <w:color w:val="FF0000"/>
                      <w:szCs w:val="21"/>
                    </w:rPr>
                  </w:pPr>
                  <w:r>
                    <w:rPr>
                      <w:rFonts w:hint="eastAsia"/>
                      <w:color w:val="FF0000"/>
                      <w:szCs w:val="21"/>
                    </w:rPr>
                    <w:t>6</w:t>
                  </w:r>
                  <w:r>
                    <w:rPr>
                      <w:color w:val="FF0000"/>
                      <w:szCs w:val="21"/>
                    </w:rPr>
                    <w:t>480</w:t>
                  </w:r>
                </w:p>
              </w:tc>
              <w:tc>
                <w:tcPr>
                  <w:tcW w:w="989" w:type="dxa"/>
                  <w:vAlign w:val="center"/>
                </w:tcPr>
                <w:p>
                  <w:pPr>
                    <w:spacing w:line="240" w:lineRule="auto"/>
                    <w:jc w:val="center"/>
                    <w:rPr>
                      <w:rFonts w:eastAsia="等线"/>
                      <w:color w:val="FF0000"/>
                      <w:szCs w:val="21"/>
                    </w:rPr>
                  </w:pPr>
                  <w:r>
                    <w:rPr>
                      <w:rFonts w:eastAsia="等线"/>
                      <w:color w:val="FF0000"/>
                      <w:szCs w:val="21"/>
                    </w:rPr>
                    <w:t>110</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0.713 </w:t>
                  </w:r>
                </w:p>
              </w:tc>
              <w:tc>
                <w:tcPr>
                  <w:tcW w:w="958" w:type="dxa"/>
                  <w:vMerge w:val="restart"/>
                  <w:vAlign w:val="center"/>
                </w:tcPr>
                <w:p>
                  <w:pPr>
                    <w:spacing w:line="240" w:lineRule="auto"/>
                    <w:jc w:val="center"/>
                    <w:rPr>
                      <w:color w:val="FF0000"/>
                      <w:szCs w:val="21"/>
                    </w:rPr>
                  </w:pPr>
                  <w:r>
                    <w:rPr>
                      <w:color w:val="FF0000"/>
                      <w:szCs w:val="21"/>
                    </w:rPr>
                    <w:t>50</w:t>
                  </w:r>
                </w:p>
              </w:tc>
              <w:tc>
                <w:tcPr>
                  <w:tcW w:w="934" w:type="dxa"/>
                  <w:vMerge w:val="restart"/>
                  <w:vAlign w:val="center"/>
                </w:tcPr>
                <w:p>
                  <w:pPr>
                    <w:spacing w:line="240" w:lineRule="auto"/>
                    <w:jc w:val="center"/>
                    <w:rPr>
                      <w:color w:val="FF0000"/>
                      <w:szCs w:val="21"/>
                    </w:rPr>
                  </w:pPr>
                  <w:r>
                    <w:rPr>
                      <w:rFonts w:hint="eastAsia"/>
                      <w:color w:val="FF0000"/>
                      <w:szCs w:val="21"/>
                    </w:rPr>
                    <w:t>生化池</w:t>
                  </w:r>
                </w:p>
              </w:tc>
              <w:tc>
                <w:tcPr>
                  <w:tcW w:w="850" w:type="dxa"/>
                  <w:vMerge w:val="restart"/>
                  <w:vAlign w:val="center"/>
                </w:tcPr>
                <w:p>
                  <w:pPr>
                    <w:spacing w:line="240" w:lineRule="auto"/>
                    <w:jc w:val="center"/>
                    <w:rPr>
                      <w:color w:val="FF0000"/>
                      <w:szCs w:val="21"/>
                    </w:rPr>
                  </w:pPr>
                  <w:r>
                    <w:rPr>
                      <w:rFonts w:hint="eastAsia"/>
                      <w:color w:val="FF0000"/>
                      <w:szCs w:val="21"/>
                    </w:rPr>
                    <w:t>是</w:t>
                  </w:r>
                </w:p>
              </w:tc>
              <w:tc>
                <w:tcPr>
                  <w:tcW w:w="1134" w:type="dxa"/>
                  <w:vMerge w:val="restart"/>
                  <w:vAlign w:val="center"/>
                </w:tcPr>
                <w:p>
                  <w:pPr>
                    <w:spacing w:line="240" w:lineRule="auto"/>
                    <w:jc w:val="center"/>
                    <w:rPr>
                      <w:color w:val="FF0000"/>
                      <w:szCs w:val="21"/>
                    </w:rPr>
                  </w:pPr>
                  <w:r>
                    <w:rPr>
                      <w:rFonts w:hint="eastAsia"/>
                      <w:color w:val="FF0000"/>
                      <w:szCs w:val="21"/>
                    </w:rPr>
                    <w:t>6</w:t>
                  </w:r>
                  <w:r>
                    <w:rPr>
                      <w:color w:val="FF0000"/>
                      <w:szCs w:val="21"/>
                    </w:rPr>
                    <w:t>480</w:t>
                  </w: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S</w:t>
                  </w:r>
                  <w:r>
                    <w:rPr>
                      <w:color w:val="FF0000"/>
                      <w:szCs w:val="21"/>
                    </w:rPr>
                    <w:t>S</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60</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0.389 </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restart"/>
                  <w:vAlign w:val="center"/>
                </w:tcPr>
                <w:p>
                  <w:pPr>
                    <w:spacing w:line="240" w:lineRule="auto"/>
                    <w:jc w:val="center"/>
                    <w:rPr>
                      <w:color w:val="FF0000"/>
                      <w:szCs w:val="21"/>
                    </w:rPr>
                  </w:pPr>
                  <w:r>
                    <w:rPr>
                      <w:rFonts w:hint="eastAsia"/>
                      <w:color w:val="FF0000"/>
                      <w:szCs w:val="21"/>
                    </w:rPr>
                    <w:t>地面冲洗</w:t>
                  </w:r>
                </w:p>
              </w:tc>
              <w:tc>
                <w:tcPr>
                  <w:tcW w:w="736" w:type="dxa"/>
                  <w:vMerge w:val="restart"/>
                  <w:vAlign w:val="center"/>
                </w:tcPr>
                <w:p>
                  <w:pPr>
                    <w:spacing w:line="240" w:lineRule="auto"/>
                    <w:jc w:val="center"/>
                    <w:rPr>
                      <w:color w:val="FF0000"/>
                      <w:szCs w:val="21"/>
                    </w:rPr>
                  </w:pPr>
                  <w:r>
                    <w:rPr>
                      <w:rFonts w:hint="eastAsia"/>
                      <w:color w:val="FF0000"/>
                      <w:szCs w:val="21"/>
                    </w:rPr>
                    <w:t>地面冲洗废水</w:t>
                  </w:r>
                </w:p>
              </w:tc>
              <w:tc>
                <w:tcPr>
                  <w:tcW w:w="992" w:type="dxa"/>
                  <w:vAlign w:val="center"/>
                </w:tcPr>
                <w:p>
                  <w:pPr>
                    <w:spacing w:line="240" w:lineRule="auto"/>
                    <w:jc w:val="center"/>
                    <w:rPr>
                      <w:color w:val="FF0000"/>
                      <w:szCs w:val="21"/>
                    </w:rPr>
                  </w:pPr>
                  <w:r>
                    <w:rPr>
                      <w:rFonts w:hint="eastAsia"/>
                      <w:color w:val="FF0000"/>
                      <w:szCs w:val="21"/>
                    </w:rPr>
                    <w:t>C</w:t>
                  </w:r>
                  <w:r>
                    <w:rPr>
                      <w:color w:val="FF0000"/>
                      <w:szCs w:val="21"/>
                    </w:rPr>
                    <w:t>OD</w:t>
                  </w:r>
                </w:p>
              </w:tc>
              <w:tc>
                <w:tcPr>
                  <w:tcW w:w="993" w:type="dxa"/>
                  <w:vMerge w:val="restart"/>
                  <w:vAlign w:val="center"/>
                </w:tcPr>
                <w:p>
                  <w:pPr>
                    <w:spacing w:line="240" w:lineRule="auto"/>
                    <w:jc w:val="center"/>
                    <w:rPr>
                      <w:color w:val="FF0000"/>
                      <w:szCs w:val="21"/>
                    </w:rPr>
                  </w:pPr>
                  <w:r>
                    <w:rPr>
                      <w:color w:val="FF0000"/>
                      <w:szCs w:val="21"/>
                    </w:rPr>
                    <w:t>124.03</w:t>
                  </w:r>
                </w:p>
              </w:tc>
              <w:tc>
                <w:tcPr>
                  <w:tcW w:w="989" w:type="dxa"/>
                  <w:vAlign w:val="center"/>
                </w:tcPr>
                <w:p>
                  <w:pPr>
                    <w:spacing w:line="240" w:lineRule="auto"/>
                    <w:jc w:val="center"/>
                    <w:rPr>
                      <w:rFonts w:eastAsia="等线"/>
                      <w:color w:val="FF0000"/>
                      <w:szCs w:val="21"/>
                    </w:rPr>
                  </w:pPr>
                  <w:r>
                    <w:rPr>
                      <w:rFonts w:eastAsia="等线"/>
                      <w:color w:val="FF0000"/>
                      <w:szCs w:val="21"/>
                    </w:rPr>
                    <w:t>150</w:t>
                  </w:r>
                </w:p>
              </w:tc>
              <w:tc>
                <w:tcPr>
                  <w:tcW w:w="946" w:type="dxa"/>
                  <w:vAlign w:val="center"/>
                </w:tcPr>
                <w:p>
                  <w:pPr>
                    <w:spacing w:line="240" w:lineRule="auto"/>
                    <w:jc w:val="center"/>
                    <w:rPr>
                      <w:rFonts w:eastAsia="等线"/>
                      <w:color w:val="FF0000"/>
                      <w:szCs w:val="21"/>
                    </w:rPr>
                  </w:pPr>
                  <w:r>
                    <w:rPr>
                      <w:rFonts w:eastAsia="等线"/>
                      <w:color w:val="FF0000"/>
                      <w:szCs w:val="21"/>
                    </w:rPr>
                    <w:t>0.019</w:t>
                  </w:r>
                </w:p>
              </w:tc>
              <w:tc>
                <w:tcPr>
                  <w:tcW w:w="958" w:type="dxa"/>
                  <w:vMerge w:val="restart"/>
                  <w:vAlign w:val="center"/>
                </w:tcPr>
                <w:p>
                  <w:pPr>
                    <w:spacing w:line="240" w:lineRule="auto"/>
                    <w:jc w:val="center"/>
                    <w:rPr>
                      <w:color w:val="FF0000"/>
                      <w:szCs w:val="21"/>
                    </w:rPr>
                  </w:pPr>
                  <w:r>
                    <w:rPr>
                      <w:color w:val="FF0000"/>
                      <w:szCs w:val="21"/>
                    </w:rPr>
                    <w:t>20</w:t>
                  </w:r>
                </w:p>
              </w:tc>
              <w:tc>
                <w:tcPr>
                  <w:tcW w:w="934" w:type="dxa"/>
                  <w:vMerge w:val="restart"/>
                  <w:vAlign w:val="center"/>
                </w:tcPr>
                <w:p>
                  <w:pPr>
                    <w:spacing w:line="240" w:lineRule="auto"/>
                    <w:jc w:val="center"/>
                    <w:rPr>
                      <w:color w:val="FF0000"/>
                      <w:szCs w:val="21"/>
                    </w:rPr>
                  </w:pPr>
                  <w:r>
                    <w:rPr>
                      <w:rFonts w:hint="eastAsia"/>
                      <w:color w:val="FF0000"/>
                      <w:szCs w:val="21"/>
                    </w:rPr>
                    <w:t>隔油+厌氧反应器+好氧活性污泥法（A/O法）</w:t>
                  </w:r>
                </w:p>
              </w:tc>
              <w:tc>
                <w:tcPr>
                  <w:tcW w:w="850" w:type="dxa"/>
                  <w:vMerge w:val="restart"/>
                  <w:vAlign w:val="center"/>
                </w:tcPr>
                <w:p>
                  <w:pPr>
                    <w:spacing w:line="240" w:lineRule="auto"/>
                    <w:jc w:val="center"/>
                    <w:rPr>
                      <w:color w:val="FF0000"/>
                      <w:szCs w:val="21"/>
                    </w:rPr>
                  </w:pPr>
                  <w:r>
                    <w:rPr>
                      <w:rFonts w:hint="eastAsia"/>
                      <w:color w:val="FF0000"/>
                      <w:szCs w:val="21"/>
                    </w:rPr>
                    <w:t>是</w:t>
                  </w:r>
                </w:p>
              </w:tc>
              <w:tc>
                <w:tcPr>
                  <w:tcW w:w="1134" w:type="dxa"/>
                  <w:vMerge w:val="restart"/>
                  <w:vAlign w:val="center"/>
                </w:tcPr>
                <w:p>
                  <w:pPr>
                    <w:spacing w:line="240" w:lineRule="auto"/>
                    <w:jc w:val="center"/>
                    <w:rPr>
                      <w:color w:val="FF0000"/>
                      <w:szCs w:val="21"/>
                    </w:rPr>
                  </w:pPr>
                  <w:r>
                    <w:rPr>
                      <w:color w:val="FF0000"/>
                      <w:szCs w:val="21"/>
                    </w:rPr>
                    <w:t>1361.03</w:t>
                  </w: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S</w:t>
                  </w:r>
                  <w:r>
                    <w:rPr>
                      <w:color w:val="FF0000"/>
                      <w:szCs w:val="21"/>
                    </w:rPr>
                    <w:t>S</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200</w:t>
                  </w:r>
                </w:p>
              </w:tc>
              <w:tc>
                <w:tcPr>
                  <w:tcW w:w="946" w:type="dxa"/>
                  <w:vAlign w:val="center"/>
                </w:tcPr>
                <w:p>
                  <w:pPr>
                    <w:spacing w:line="240" w:lineRule="auto"/>
                    <w:jc w:val="center"/>
                    <w:rPr>
                      <w:rFonts w:eastAsia="等线"/>
                      <w:color w:val="FF0000"/>
                      <w:szCs w:val="21"/>
                    </w:rPr>
                  </w:pPr>
                  <w:r>
                    <w:rPr>
                      <w:rFonts w:eastAsia="等线"/>
                      <w:color w:val="FF0000"/>
                      <w:szCs w:val="21"/>
                    </w:rPr>
                    <w:t>0.025</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石油类</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100</w:t>
                  </w:r>
                </w:p>
              </w:tc>
              <w:tc>
                <w:tcPr>
                  <w:tcW w:w="946" w:type="dxa"/>
                  <w:vAlign w:val="center"/>
                </w:tcPr>
                <w:p>
                  <w:pPr>
                    <w:spacing w:line="240" w:lineRule="auto"/>
                    <w:jc w:val="center"/>
                    <w:rPr>
                      <w:rFonts w:eastAsia="等线"/>
                      <w:color w:val="FF0000"/>
                      <w:szCs w:val="21"/>
                    </w:rPr>
                  </w:pPr>
                  <w:r>
                    <w:rPr>
                      <w:rFonts w:eastAsia="等线"/>
                      <w:color w:val="FF0000"/>
                      <w:szCs w:val="21"/>
                    </w:rPr>
                    <w:t>0.012</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Align w:val="center"/>
                </w:tcPr>
                <w:p>
                  <w:pPr>
                    <w:spacing w:line="240" w:lineRule="auto"/>
                    <w:jc w:val="center"/>
                    <w:rPr>
                      <w:color w:val="FF0000"/>
                      <w:szCs w:val="21"/>
                    </w:rPr>
                  </w:pPr>
                  <w:r>
                    <w:rPr>
                      <w:rFonts w:hint="eastAsia"/>
                      <w:color w:val="FF0000"/>
                      <w:szCs w:val="21"/>
                    </w:rPr>
                    <w:t>脱硫系统</w:t>
                  </w:r>
                </w:p>
              </w:tc>
              <w:tc>
                <w:tcPr>
                  <w:tcW w:w="736" w:type="dxa"/>
                  <w:vAlign w:val="center"/>
                </w:tcPr>
                <w:p>
                  <w:pPr>
                    <w:spacing w:line="240" w:lineRule="auto"/>
                    <w:jc w:val="center"/>
                    <w:rPr>
                      <w:color w:val="FF0000"/>
                      <w:szCs w:val="21"/>
                    </w:rPr>
                  </w:pPr>
                  <w:r>
                    <w:rPr>
                      <w:rFonts w:hint="eastAsia"/>
                      <w:color w:val="FF0000"/>
                      <w:szCs w:val="21"/>
                    </w:rPr>
                    <w:t>脱硫系统排水</w:t>
                  </w:r>
                </w:p>
              </w:tc>
              <w:tc>
                <w:tcPr>
                  <w:tcW w:w="992" w:type="dxa"/>
                  <w:vAlign w:val="center"/>
                </w:tcPr>
                <w:p>
                  <w:pPr>
                    <w:spacing w:line="240" w:lineRule="auto"/>
                    <w:jc w:val="center"/>
                    <w:rPr>
                      <w:color w:val="FF0000"/>
                      <w:szCs w:val="21"/>
                    </w:rPr>
                  </w:pPr>
                  <w:r>
                    <w:rPr>
                      <w:rFonts w:hint="eastAsia"/>
                      <w:color w:val="FF0000"/>
                      <w:szCs w:val="21"/>
                    </w:rPr>
                    <w:t>p</w:t>
                  </w:r>
                  <w:r>
                    <w:rPr>
                      <w:color w:val="FF0000"/>
                      <w:szCs w:val="21"/>
                    </w:rPr>
                    <w:t>H</w:t>
                  </w:r>
                </w:p>
              </w:tc>
              <w:tc>
                <w:tcPr>
                  <w:tcW w:w="993" w:type="dxa"/>
                  <w:vAlign w:val="center"/>
                </w:tcPr>
                <w:p>
                  <w:pPr>
                    <w:spacing w:line="240" w:lineRule="auto"/>
                    <w:jc w:val="center"/>
                    <w:rPr>
                      <w:color w:val="FF0000"/>
                      <w:szCs w:val="21"/>
                    </w:rPr>
                  </w:pPr>
                  <w:r>
                    <w:rPr>
                      <w:color w:val="FF0000"/>
                      <w:szCs w:val="21"/>
                    </w:rPr>
                    <w:t>528</w:t>
                  </w:r>
                </w:p>
              </w:tc>
              <w:tc>
                <w:tcPr>
                  <w:tcW w:w="989" w:type="dxa"/>
                  <w:vAlign w:val="center"/>
                </w:tcPr>
                <w:p>
                  <w:pPr>
                    <w:spacing w:line="240" w:lineRule="auto"/>
                    <w:jc w:val="center"/>
                    <w:rPr>
                      <w:rFonts w:eastAsia="等线"/>
                      <w:color w:val="FF0000"/>
                      <w:szCs w:val="21"/>
                    </w:rPr>
                  </w:pPr>
                  <w:r>
                    <w:rPr>
                      <w:rFonts w:eastAsia="等线"/>
                      <w:color w:val="FF0000"/>
                      <w:szCs w:val="21"/>
                    </w:rPr>
                    <w:t>6~9</w:t>
                  </w:r>
                </w:p>
              </w:tc>
              <w:tc>
                <w:tcPr>
                  <w:tcW w:w="946" w:type="dxa"/>
                  <w:vAlign w:val="center"/>
                </w:tcPr>
                <w:p>
                  <w:pPr>
                    <w:spacing w:line="240" w:lineRule="auto"/>
                    <w:jc w:val="center"/>
                    <w:rPr>
                      <w:rFonts w:eastAsia="等线"/>
                      <w:color w:val="FF0000"/>
                      <w:szCs w:val="21"/>
                    </w:rPr>
                  </w:pPr>
                  <w:r>
                    <w:rPr>
                      <w:rFonts w:eastAsia="等线"/>
                      <w:color w:val="FF0000"/>
                      <w:szCs w:val="21"/>
                    </w:rPr>
                    <w:t>/</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restart"/>
                  <w:vAlign w:val="center"/>
                </w:tcPr>
                <w:p>
                  <w:pPr>
                    <w:spacing w:line="240" w:lineRule="auto"/>
                    <w:jc w:val="center"/>
                    <w:rPr>
                      <w:color w:val="FF0000"/>
                      <w:szCs w:val="21"/>
                    </w:rPr>
                  </w:pPr>
                  <w:r>
                    <w:rPr>
                      <w:rFonts w:hint="eastAsia"/>
                      <w:color w:val="FF0000"/>
                      <w:szCs w:val="21"/>
                    </w:rPr>
                    <w:t>初期雨水</w:t>
                  </w:r>
                </w:p>
              </w:tc>
              <w:tc>
                <w:tcPr>
                  <w:tcW w:w="736" w:type="dxa"/>
                  <w:vMerge w:val="restart"/>
                  <w:vAlign w:val="center"/>
                </w:tcPr>
                <w:p>
                  <w:pPr>
                    <w:spacing w:line="240" w:lineRule="auto"/>
                    <w:jc w:val="center"/>
                    <w:rPr>
                      <w:color w:val="FF0000"/>
                      <w:szCs w:val="21"/>
                    </w:rPr>
                  </w:pPr>
                  <w:r>
                    <w:rPr>
                      <w:rFonts w:hint="eastAsia"/>
                      <w:color w:val="FF0000"/>
                      <w:szCs w:val="21"/>
                    </w:rPr>
                    <w:t>初期雨水</w:t>
                  </w:r>
                </w:p>
              </w:tc>
              <w:tc>
                <w:tcPr>
                  <w:tcW w:w="992" w:type="dxa"/>
                  <w:vAlign w:val="center"/>
                </w:tcPr>
                <w:p>
                  <w:pPr>
                    <w:spacing w:line="240" w:lineRule="auto"/>
                    <w:jc w:val="center"/>
                    <w:rPr>
                      <w:color w:val="FF0000"/>
                      <w:szCs w:val="21"/>
                    </w:rPr>
                  </w:pPr>
                  <w:r>
                    <w:rPr>
                      <w:rFonts w:hint="eastAsia"/>
                      <w:color w:val="FF0000"/>
                      <w:szCs w:val="21"/>
                    </w:rPr>
                    <w:t>p</w:t>
                  </w:r>
                  <w:r>
                    <w:rPr>
                      <w:color w:val="FF0000"/>
                      <w:szCs w:val="21"/>
                    </w:rPr>
                    <w:t>H</w:t>
                  </w:r>
                </w:p>
              </w:tc>
              <w:tc>
                <w:tcPr>
                  <w:tcW w:w="993" w:type="dxa"/>
                  <w:vMerge w:val="restart"/>
                  <w:vAlign w:val="center"/>
                </w:tcPr>
                <w:p>
                  <w:pPr>
                    <w:spacing w:line="240" w:lineRule="auto"/>
                    <w:jc w:val="center"/>
                    <w:rPr>
                      <w:color w:val="FF0000"/>
                      <w:szCs w:val="21"/>
                    </w:rPr>
                  </w:pPr>
                  <w:r>
                    <w:rPr>
                      <w:color w:val="FF0000"/>
                      <w:szCs w:val="21"/>
                    </w:rPr>
                    <w:t>709</w:t>
                  </w:r>
                </w:p>
              </w:tc>
              <w:tc>
                <w:tcPr>
                  <w:tcW w:w="989" w:type="dxa"/>
                  <w:vAlign w:val="center"/>
                </w:tcPr>
                <w:p>
                  <w:pPr>
                    <w:spacing w:line="240" w:lineRule="auto"/>
                    <w:jc w:val="center"/>
                    <w:rPr>
                      <w:rFonts w:eastAsia="等线"/>
                      <w:color w:val="FF0000"/>
                      <w:szCs w:val="21"/>
                    </w:rPr>
                  </w:pPr>
                  <w:r>
                    <w:rPr>
                      <w:rFonts w:hint="eastAsia" w:eastAsia="等线"/>
                      <w:color w:val="FF0000"/>
                      <w:szCs w:val="21"/>
                    </w:rPr>
                    <w:t>6~</w:t>
                  </w:r>
                  <w:r>
                    <w:rPr>
                      <w:rFonts w:eastAsia="等线"/>
                      <w:color w:val="FF0000"/>
                      <w:szCs w:val="21"/>
                    </w:rPr>
                    <w:t>9</w:t>
                  </w:r>
                </w:p>
              </w:tc>
              <w:tc>
                <w:tcPr>
                  <w:tcW w:w="946" w:type="dxa"/>
                  <w:vAlign w:val="center"/>
                </w:tcPr>
                <w:p>
                  <w:pPr>
                    <w:spacing w:line="240" w:lineRule="auto"/>
                    <w:jc w:val="center"/>
                    <w:rPr>
                      <w:rFonts w:eastAsia="等线"/>
                      <w:color w:val="FF0000"/>
                      <w:szCs w:val="21"/>
                    </w:rPr>
                  </w:pPr>
                  <w:r>
                    <w:rPr>
                      <w:rFonts w:hint="eastAsia" w:eastAsia="等线"/>
                      <w:color w:val="FF0000"/>
                      <w:szCs w:val="21"/>
                    </w:rPr>
                    <w:t>/</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C</w:t>
                  </w:r>
                  <w:r>
                    <w:rPr>
                      <w:color w:val="FF0000"/>
                      <w:szCs w:val="21"/>
                    </w:rPr>
                    <w:t>OD</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hint="eastAsia" w:eastAsia="等线"/>
                      <w:color w:val="FF0000"/>
                      <w:szCs w:val="21"/>
                    </w:rPr>
                    <w:t>1</w:t>
                  </w:r>
                  <w:r>
                    <w:rPr>
                      <w:rFonts w:eastAsia="等线"/>
                      <w:color w:val="FF0000"/>
                      <w:szCs w:val="21"/>
                    </w:rPr>
                    <w:t>50</w:t>
                  </w:r>
                </w:p>
              </w:tc>
              <w:tc>
                <w:tcPr>
                  <w:tcW w:w="946" w:type="dxa"/>
                  <w:vAlign w:val="center"/>
                </w:tcPr>
                <w:p>
                  <w:pPr>
                    <w:spacing w:line="240" w:lineRule="auto"/>
                    <w:jc w:val="center"/>
                    <w:rPr>
                      <w:rFonts w:eastAsia="等线"/>
                      <w:color w:val="FF0000"/>
                      <w:kern w:val="0"/>
                      <w:szCs w:val="21"/>
                    </w:rPr>
                  </w:pPr>
                  <w:r>
                    <w:rPr>
                      <w:rFonts w:eastAsia="等线"/>
                      <w:color w:val="FF0000"/>
                      <w:szCs w:val="21"/>
                    </w:rPr>
                    <w:t>0.615</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szCs w:val="21"/>
                    </w:rPr>
                  </w:pPr>
                  <w:r>
                    <w:rPr>
                      <w:rFonts w:hint="eastAsia"/>
                      <w:color w:val="FF0000"/>
                      <w:szCs w:val="21"/>
                    </w:rPr>
                    <w:t>/</w:t>
                  </w:r>
                </w:p>
              </w:tc>
              <w:tc>
                <w:tcPr>
                  <w:tcW w:w="850" w:type="dxa"/>
                  <w:vAlign w:val="center"/>
                </w:tcPr>
                <w:p>
                  <w:pPr>
                    <w:spacing w:line="240" w:lineRule="auto"/>
                    <w:jc w:val="center"/>
                    <w:rPr>
                      <w:color w:val="FF0000"/>
                      <w:szCs w:val="21"/>
                    </w:rPr>
                  </w:pPr>
                  <w:r>
                    <w:rPr>
                      <w:rFonts w:hint="eastAsia"/>
                      <w:color w:val="FF0000"/>
                      <w:szCs w:val="21"/>
                    </w:rPr>
                    <w:t>/</w:t>
                  </w:r>
                </w:p>
              </w:tc>
              <w:tc>
                <w:tcPr>
                  <w:tcW w:w="851" w:type="dxa"/>
                  <w:vAlign w:val="center"/>
                </w:tcPr>
                <w:p>
                  <w:pPr>
                    <w:spacing w:line="240" w:lineRule="auto"/>
                    <w:jc w:val="center"/>
                    <w:rPr>
                      <w:color w:val="FF0000"/>
                      <w:szCs w:val="21"/>
                    </w:rPr>
                  </w:pPr>
                  <w:r>
                    <w:rPr>
                      <w:rFonts w:hint="eastAsia"/>
                      <w:color w:val="FF0000"/>
                      <w:szCs w:val="21"/>
                    </w:rPr>
                    <w:t>/</w:t>
                  </w:r>
                </w:p>
              </w:tc>
              <w:tc>
                <w:tcPr>
                  <w:tcW w:w="930" w:type="dxa"/>
                  <w:vAlign w:val="center"/>
                </w:tcPr>
                <w:p>
                  <w:pPr>
                    <w:spacing w:line="240" w:lineRule="auto"/>
                    <w:jc w:val="center"/>
                    <w:rPr>
                      <w:color w:val="FF0000"/>
                      <w:szCs w:val="21"/>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S</w:t>
                  </w:r>
                  <w:r>
                    <w:rPr>
                      <w:color w:val="FF0000"/>
                      <w:szCs w:val="21"/>
                    </w:rPr>
                    <w:t>S</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hint="eastAsia" w:eastAsia="等线"/>
                      <w:color w:val="FF0000"/>
                      <w:szCs w:val="21"/>
                    </w:rPr>
                    <w:t>2</w:t>
                  </w:r>
                  <w:r>
                    <w:rPr>
                      <w:rFonts w:eastAsia="等线"/>
                      <w:color w:val="FF0000"/>
                      <w:szCs w:val="21"/>
                    </w:rPr>
                    <w:t>00</w:t>
                  </w:r>
                </w:p>
              </w:tc>
              <w:tc>
                <w:tcPr>
                  <w:tcW w:w="946" w:type="dxa"/>
                  <w:vAlign w:val="center"/>
                </w:tcPr>
                <w:p>
                  <w:pPr>
                    <w:spacing w:line="240" w:lineRule="auto"/>
                    <w:jc w:val="center"/>
                    <w:rPr>
                      <w:rFonts w:eastAsia="等线"/>
                      <w:color w:val="FF0000"/>
                      <w:szCs w:val="21"/>
                    </w:rPr>
                  </w:pPr>
                  <w:r>
                    <w:rPr>
                      <w:rFonts w:eastAsia="等线"/>
                      <w:color w:val="FF0000"/>
                      <w:szCs w:val="21"/>
                    </w:rPr>
                    <w:t>0.820</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szCs w:val="21"/>
                    </w:rPr>
                  </w:pPr>
                  <w:r>
                    <w:rPr>
                      <w:rFonts w:hint="eastAsia"/>
                      <w:color w:val="FF0000"/>
                      <w:szCs w:val="21"/>
                    </w:rPr>
                    <w:t>/</w:t>
                  </w:r>
                </w:p>
              </w:tc>
              <w:tc>
                <w:tcPr>
                  <w:tcW w:w="850" w:type="dxa"/>
                  <w:vAlign w:val="center"/>
                </w:tcPr>
                <w:p>
                  <w:pPr>
                    <w:spacing w:line="240" w:lineRule="auto"/>
                    <w:jc w:val="center"/>
                    <w:rPr>
                      <w:color w:val="FF0000"/>
                      <w:szCs w:val="21"/>
                    </w:rPr>
                  </w:pPr>
                  <w:r>
                    <w:rPr>
                      <w:rFonts w:hint="eastAsia"/>
                      <w:color w:val="FF0000"/>
                      <w:szCs w:val="21"/>
                    </w:rPr>
                    <w:t>/</w:t>
                  </w:r>
                </w:p>
              </w:tc>
              <w:tc>
                <w:tcPr>
                  <w:tcW w:w="851" w:type="dxa"/>
                  <w:vAlign w:val="center"/>
                </w:tcPr>
                <w:p>
                  <w:pPr>
                    <w:spacing w:line="240" w:lineRule="auto"/>
                    <w:jc w:val="center"/>
                    <w:rPr>
                      <w:color w:val="FF0000"/>
                      <w:szCs w:val="21"/>
                    </w:rPr>
                  </w:pPr>
                  <w:r>
                    <w:rPr>
                      <w:rFonts w:hint="eastAsia"/>
                      <w:color w:val="FF0000"/>
                      <w:szCs w:val="21"/>
                    </w:rPr>
                    <w:t>/</w:t>
                  </w:r>
                </w:p>
              </w:tc>
              <w:tc>
                <w:tcPr>
                  <w:tcW w:w="930" w:type="dxa"/>
                  <w:vAlign w:val="center"/>
                </w:tcPr>
                <w:p>
                  <w:pPr>
                    <w:spacing w:line="240" w:lineRule="auto"/>
                    <w:jc w:val="center"/>
                    <w:rPr>
                      <w:color w:val="FF0000"/>
                      <w:szCs w:val="21"/>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7" w:type="dxa"/>
                  <w:vMerge w:val="continue"/>
                  <w:vAlign w:val="center"/>
                </w:tcPr>
                <w:p>
                  <w:pPr>
                    <w:spacing w:line="240" w:lineRule="auto"/>
                    <w:jc w:val="center"/>
                    <w:rPr>
                      <w:color w:val="FF0000"/>
                      <w:szCs w:val="21"/>
                    </w:rPr>
                  </w:pPr>
                </w:p>
              </w:tc>
              <w:tc>
                <w:tcPr>
                  <w:tcW w:w="681" w:type="dxa"/>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石油类</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40</w:t>
                  </w:r>
                </w:p>
              </w:tc>
              <w:tc>
                <w:tcPr>
                  <w:tcW w:w="946" w:type="dxa"/>
                  <w:vAlign w:val="center"/>
                </w:tcPr>
                <w:p>
                  <w:pPr>
                    <w:spacing w:line="240" w:lineRule="auto"/>
                    <w:jc w:val="center"/>
                    <w:rPr>
                      <w:rFonts w:eastAsia="等线"/>
                      <w:color w:val="FF0000"/>
                      <w:szCs w:val="21"/>
                    </w:rPr>
                  </w:pPr>
                  <w:r>
                    <w:rPr>
                      <w:rFonts w:eastAsia="等线"/>
                      <w:color w:val="FF0000"/>
                      <w:szCs w:val="21"/>
                    </w:rPr>
                    <w:t>0.164</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color w:val="FF0000"/>
                    </w:rPr>
                  </w:pPr>
                  <w:r>
                    <w:rPr>
                      <w:rFonts w:hint="eastAsia"/>
                      <w:color w:val="FF0000"/>
                      <w:szCs w:val="21"/>
                    </w:rPr>
                    <w:t>/</w:t>
                  </w:r>
                </w:p>
              </w:tc>
              <w:tc>
                <w:tcPr>
                  <w:tcW w:w="850" w:type="dxa"/>
                  <w:vAlign w:val="center"/>
                </w:tcPr>
                <w:p>
                  <w:pPr>
                    <w:spacing w:line="240" w:lineRule="auto"/>
                    <w:jc w:val="center"/>
                    <w:rPr>
                      <w:color w:val="FF0000"/>
                    </w:rPr>
                  </w:pPr>
                  <w:r>
                    <w:rPr>
                      <w:rFonts w:hint="eastAsia"/>
                      <w:color w:val="FF0000"/>
                      <w:szCs w:val="21"/>
                    </w:rPr>
                    <w:t>/</w:t>
                  </w:r>
                </w:p>
              </w:tc>
              <w:tc>
                <w:tcPr>
                  <w:tcW w:w="851" w:type="dxa"/>
                  <w:vAlign w:val="center"/>
                </w:tcPr>
                <w:p>
                  <w:pPr>
                    <w:spacing w:line="240" w:lineRule="auto"/>
                    <w:jc w:val="center"/>
                    <w:rPr>
                      <w:color w:val="FF0000"/>
                    </w:rPr>
                  </w:pPr>
                  <w:r>
                    <w:rPr>
                      <w:rFonts w:hint="eastAsia"/>
                      <w:color w:val="FF0000"/>
                      <w:szCs w:val="21"/>
                    </w:rPr>
                    <w:t>/</w:t>
                  </w:r>
                </w:p>
              </w:tc>
              <w:tc>
                <w:tcPr>
                  <w:tcW w:w="930" w:type="dxa"/>
                  <w:vAlign w:val="center"/>
                </w:tcPr>
                <w:p>
                  <w:pPr>
                    <w:spacing w:line="240" w:lineRule="auto"/>
                    <w:jc w:val="center"/>
                    <w:rPr>
                      <w:color w:val="FF0000"/>
                    </w:rPr>
                  </w:pPr>
                  <w:r>
                    <w:rPr>
                      <w:rFonts w:hint="eastAsia"/>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8" w:type="dxa"/>
                  <w:gridSpan w:val="2"/>
                  <w:vMerge w:val="restart"/>
                  <w:vAlign w:val="center"/>
                </w:tcPr>
                <w:p>
                  <w:pPr>
                    <w:spacing w:line="240" w:lineRule="auto"/>
                    <w:jc w:val="center"/>
                    <w:rPr>
                      <w:color w:val="FF0000"/>
                      <w:szCs w:val="21"/>
                    </w:rPr>
                  </w:pPr>
                  <w:r>
                    <w:rPr>
                      <w:rFonts w:hint="eastAsia"/>
                      <w:color w:val="FF0000"/>
                      <w:szCs w:val="21"/>
                    </w:rPr>
                    <w:t>合计</w:t>
                  </w:r>
                </w:p>
              </w:tc>
              <w:tc>
                <w:tcPr>
                  <w:tcW w:w="736" w:type="dxa"/>
                  <w:vMerge w:val="restart"/>
                  <w:vAlign w:val="center"/>
                </w:tcPr>
                <w:p>
                  <w:pPr>
                    <w:spacing w:line="240" w:lineRule="auto"/>
                    <w:jc w:val="center"/>
                    <w:rPr>
                      <w:color w:val="FF0000"/>
                      <w:szCs w:val="21"/>
                    </w:rPr>
                  </w:pPr>
                  <w:r>
                    <w:rPr>
                      <w:rFonts w:hint="eastAsia"/>
                      <w:color w:val="FF0000"/>
                      <w:szCs w:val="21"/>
                    </w:rPr>
                    <w:t>综合废水</w:t>
                  </w:r>
                </w:p>
              </w:tc>
              <w:tc>
                <w:tcPr>
                  <w:tcW w:w="992" w:type="dxa"/>
                  <w:vAlign w:val="center"/>
                </w:tcPr>
                <w:p>
                  <w:pPr>
                    <w:spacing w:line="240" w:lineRule="auto"/>
                    <w:jc w:val="center"/>
                    <w:rPr>
                      <w:color w:val="FF0000"/>
                      <w:szCs w:val="21"/>
                    </w:rPr>
                  </w:pPr>
                  <w:r>
                    <w:rPr>
                      <w:rFonts w:hint="eastAsia"/>
                      <w:color w:val="FF0000"/>
                      <w:szCs w:val="21"/>
                    </w:rPr>
                    <w:t>C</w:t>
                  </w:r>
                  <w:r>
                    <w:rPr>
                      <w:color w:val="FF0000"/>
                      <w:szCs w:val="21"/>
                    </w:rPr>
                    <w:t>OD</w:t>
                  </w:r>
                </w:p>
              </w:tc>
              <w:tc>
                <w:tcPr>
                  <w:tcW w:w="993" w:type="dxa"/>
                  <w:vMerge w:val="restart"/>
                  <w:vAlign w:val="center"/>
                </w:tcPr>
                <w:p>
                  <w:pPr>
                    <w:spacing w:line="240" w:lineRule="auto"/>
                    <w:jc w:val="center"/>
                    <w:rPr>
                      <w:color w:val="FF0000"/>
                      <w:szCs w:val="21"/>
                    </w:rPr>
                  </w:pPr>
                  <w:r>
                    <w:rPr>
                      <w:color w:val="FF0000"/>
                      <w:szCs w:val="21"/>
                    </w:rPr>
                    <w:t>9299.03</w:t>
                  </w:r>
                </w:p>
              </w:tc>
              <w:tc>
                <w:tcPr>
                  <w:tcW w:w="989" w:type="dxa"/>
                  <w:vAlign w:val="center"/>
                </w:tcPr>
                <w:p>
                  <w:pPr>
                    <w:spacing w:line="240" w:lineRule="auto"/>
                    <w:jc w:val="center"/>
                    <w:rPr>
                      <w:rFonts w:eastAsia="等线"/>
                      <w:color w:val="FF0000"/>
                      <w:kern w:val="0"/>
                      <w:szCs w:val="21"/>
                    </w:rPr>
                  </w:pPr>
                  <w:r>
                    <w:rPr>
                      <w:rFonts w:eastAsia="等线"/>
                      <w:color w:val="FF0000"/>
                      <w:szCs w:val="21"/>
                    </w:rPr>
                    <w:t xml:space="preserve">157 </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1.462 </w:t>
                  </w:r>
                </w:p>
              </w:tc>
              <w:tc>
                <w:tcPr>
                  <w:tcW w:w="958" w:type="dxa"/>
                  <w:vMerge w:val="restart"/>
                  <w:vAlign w:val="center"/>
                </w:tcPr>
                <w:p>
                  <w:pPr>
                    <w:spacing w:line="240" w:lineRule="auto"/>
                    <w:jc w:val="center"/>
                    <w:rPr>
                      <w:color w:val="FF0000"/>
                      <w:szCs w:val="21"/>
                    </w:rPr>
                  </w:pPr>
                  <w:r>
                    <w:rPr>
                      <w:color w:val="FF0000"/>
                      <w:szCs w:val="21"/>
                    </w:rPr>
                    <w:t>50</w:t>
                  </w:r>
                </w:p>
              </w:tc>
              <w:tc>
                <w:tcPr>
                  <w:tcW w:w="934" w:type="dxa"/>
                  <w:vMerge w:val="restart"/>
                  <w:vAlign w:val="center"/>
                </w:tcPr>
                <w:p>
                  <w:pPr>
                    <w:spacing w:line="240" w:lineRule="auto"/>
                    <w:jc w:val="center"/>
                    <w:rPr>
                      <w:color w:val="FF0000"/>
                      <w:szCs w:val="21"/>
                    </w:rPr>
                  </w:pPr>
                  <w:r>
                    <w:rPr>
                      <w:rFonts w:hint="eastAsia"/>
                      <w:color w:val="FF0000"/>
                      <w:szCs w:val="21"/>
                    </w:rPr>
                    <w:t>隔油+厌氧反应器+好氧活性污泥法（A/O法）+生化池</w:t>
                  </w:r>
                </w:p>
              </w:tc>
              <w:tc>
                <w:tcPr>
                  <w:tcW w:w="850" w:type="dxa"/>
                  <w:vMerge w:val="restart"/>
                  <w:vAlign w:val="center"/>
                </w:tcPr>
                <w:p>
                  <w:pPr>
                    <w:spacing w:line="240" w:lineRule="auto"/>
                    <w:jc w:val="center"/>
                    <w:rPr>
                      <w:color w:val="FF0000"/>
                      <w:szCs w:val="21"/>
                    </w:rPr>
                  </w:pPr>
                  <w:r>
                    <w:rPr>
                      <w:color w:val="FF0000"/>
                      <w:szCs w:val="21"/>
                    </w:rPr>
                    <w:t>是</w:t>
                  </w:r>
                </w:p>
              </w:tc>
              <w:tc>
                <w:tcPr>
                  <w:tcW w:w="1134" w:type="dxa"/>
                  <w:vMerge w:val="restart"/>
                  <w:vAlign w:val="center"/>
                </w:tcPr>
                <w:p>
                  <w:pPr>
                    <w:spacing w:line="240" w:lineRule="auto"/>
                    <w:jc w:val="center"/>
                    <w:rPr>
                      <w:color w:val="FF0000"/>
                      <w:szCs w:val="21"/>
                    </w:rPr>
                  </w:pPr>
                  <w:r>
                    <w:rPr>
                      <w:color w:val="FF0000"/>
                      <w:szCs w:val="21"/>
                    </w:rPr>
                    <w:t>9299.03</w:t>
                  </w:r>
                </w:p>
              </w:tc>
              <w:tc>
                <w:tcPr>
                  <w:tcW w:w="993" w:type="dxa"/>
                  <w:vAlign w:val="center"/>
                </w:tcPr>
                <w:p>
                  <w:pPr>
                    <w:spacing w:line="240" w:lineRule="auto"/>
                    <w:jc w:val="center"/>
                    <w:rPr>
                      <w:rFonts w:eastAsia="等线"/>
                      <w:color w:val="FF0000"/>
                      <w:kern w:val="0"/>
                      <w:szCs w:val="21"/>
                    </w:rPr>
                  </w:pPr>
                  <w:r>
                    <w:rPr>
                      <w:rFonts w:eastAsia="等线"/>
                      <w:color w:val="FF0000"/>
                      <w:szCs w:val="21"/>
                    </w:rPr>
                    <w:t>150</w:t>
                  </w:r>
                </w:p>
              </w:tc>
              <w:tc>
                <w:tcPr>
                  <w:tcW w:w="850" w:type="dxa"/>
                  <w:vAlign w:val="center"/>
                </w:tcPr>
                <w:p>
                  <w:pPr>
                    <w:spacing w:line="240" w:lineRule="auto"/>
                    <w:jc w:val="center"/>
                    <w:rPr>
                      <w:rFonts w:eastAsia="等线"/>
                      <w:color w:val="FF0000"/>
                      <w:szCs w:val="21"/>
                    </w:rPr>
                  </w:pPr>
                  <w:r>
                    <w:rPr>
                      <w:rFonts w:eastAsia="等线"/>
                      <w:color w:val="FF0000"/>
                      <w:szCs w:val="21"/>
                    </w:rPr>
                    <w:t>50</w:t>
                  </w:r>
                </w:p>
              </w:tc>
              <w:tc>
                <w:tcPr>
                  <w:tcW w:w="851" w:type="dxa"/>
                  <w:vAlign w:val="center"/>
                </w:tcPr>
                <w:p>
                  <w:pPr>
                    <w:spacing w:line="240" w:lineRule="auto"/>
                    <w:jc w:val="center"/>
                    <w:rPr>
                      <w:rFonts w:eastAsia="等线"/>
                      <w:color w:val="FF0000"/>
                      <w:szCs w:val="21"/>
                    </w:rPr>
                  </w:pPr>
                  <w:r>
                    <w:rPr>
                      <w:rFonts w:eastAsia="等线"/>
                      <w:color w:val="FF0000"/>
                      <w:szCs w:val="21"/>
                    </w:rPr>
                    <w:t xml:space="preserve">1.395 </w:t>
                  </w:r>
                </w:p>
              </w:tc>
              <w:tc>
                <w:tcPr>
                  <w:tcW w:w="930" w:type="dxa"/>
                  <w:vAlign w:val="center"/>
                </w:tcPr>
                <w:p>
                  <w:pPr>
                    <w:spacing w:line="240" w:lineRule="auto"/>
                    <w:jc w:val="center"/>
                    <w:rPr>
                      <w:rFonts w:eastAsia="等线"/>
                      <w:color w:val="FF0000"/>
                      <w:szCs w:val="21"/>
                    </w:rPr>
                  </w:pPr>
                  <w:r>
                    <w:rPr>
                      <w:rFonts w:eastAsia="等线"/>
                      <w:color w:val="FF0000"/>
                      <w:szCs w:val="21"/>
                    </w:rPr>
                    <w:t xml:space="preserve">0.465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8" w:type="dxa"/>
                  <w:gridSpan w:val="2"/>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p</w:t>
                  </w:r>
                  <w:r>
                    <w:rPr>
                      <w:color w:val="FF0000"/>
                      <w:szCs w:val="21"/>
                    </w:rPr>
                    <w:t>H</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6~9</w:t>
                  </w:r>
                </w:p>
              </w:tc>
              <w:tc>
                <w:tcPr>
                  <w:tcW w:w="946" w:type="dxa"/>
                  <w:vAlign w:val="center"/>
                </w:tcPr>
                <w:p>
                  <w:pPr>
                    <w:spacing w:line="240" w:lineRule="auto"/>
                    <w:jc w:val="center"/>
                    <w:rPr>
                      <w:rFonts w:eastAsia="等线"/>
                      <w:color w:val="FF0000"/>
                      <w:szCs w:val="21"/>
                    </w:rPr>
                  </w:pPr>
                  <w:r>
                    <w:rPr>
                      <w:rFonts w:eastAsia="等线"/>
                      <w:color w:val="FF0000"/>
                      <w:szCs w:val="21"/>
                    </w:rPr>
                    <w:t>/</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rFonts w:eastAsia="等线"/>
                      <w:color w:val="FF0000"/>
                      <w:szCs w:val="21"/>
                    </w:rPr>
                  </w:pPr>
                  <w:r>
                    <w:rPr>
                      <w:rFonts w:eastAsia="等线"/>
                      <w:color w:val="FF0000"/>
                      <w:szCs w:val="21"/>
                    </w:rPr>
                    <w:t>6~9</w:t>
                  </w:r>
                </w:p>
              </w:tc>
              <w:tc>
                <w:tcPr>
                  <w:tcW w:w="850" w:type="dxa"/>
                  <w:vAlign w:val="center"/>
                </w:tcPr>
                <w:p>
                  <w:pPr>
                    <w:spacing w:line="240" w:lineRule="auto"/>
                    <w:jc w:val="center"/>
                    <w:rPr>
                      <w:rFonts w:eastAsia="等线"/>
                      <w:color w:val="FF0000"/>
                      <w:szCs w:val="21"/>
                    </w:rPr>
                  </w:pPr>
                  <w:r>
                    <w:rPr>
                      <w:rFonts w:eastAsia="等线"/>
                      <w:color w:val="FF0000"/>
                      <w:szCs w:val="21"/>
                    </w:rPr>
                    <w:t>6~9</w:t>
                  </w:r>
                </w:p>
              </w:tc>
              <w:tc>
                <w:tcPr>
                  <w:tcW w:w="851" w:type="dxa"/>
                  <w:vAlign w:val="center"/>
                </w:tcPr>
                <w:p>
                  <w:pPr>
                    <w:spacing w:line="240" w:lineRule="auto"/>
                    <w:jc w:val="center"/>
                    <w:rPr>
                      <w:rFonts w:eastAsia="等线"/>
                      <w:color w:val="FF0000"/>
                      <w:szCs w:val="21"/>
                    </w:rPr>
                  </w:pPr>
                  <w:r>
                    <w:rPr>
                      <w:rFonts w:eastAsia="等线"/>
                      <w:color w:val="FF0000"/>
                      <w:szCs w:val="21"/>
                    </w:rPr>
                    <w:t>/</w:t>
                  </w:r>
                </w:p>
              </w:tc>
              <w:tc>
                <w:tcPr>
                  <w:tcW w:w="930" w:type="dxa"/>
                  <w:vAlign w:val="center"/>
                </w:tcPr>
                <w:p>
                  <w:pPr>
                    <w:spacing w:line="240" w:lineRule="auto"/>
                    <w:jc w:val="center"/>
                    <w:rPr>
                      <w:rFonts w:eastAsia="等线"/>
                      <w:color w:val="FF0000"/>
                      <w:szCs w:val="21"/>
                    </w:rPr>
                  </w:pPr>
                  <w:r>
                    <w:rPr>
                      <w:rFonts w:eastAsia="等线"/>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08" w:type="dxa"/>
                  <w:gridSpan w:val="2"/>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B</w:t>
                  </w:r>
                  <w:r>
                    <w:rPr>
                      <w:color w:val="FF0000"/>
                      <w:szCs w:val="21"/>
                    </w:rPr>
                    <w:t>OD</w:t>
                  </w:r>
                  <w:r>
                    <w:rPr>
                      <w:color w:val="FF0000"/>
                      <w:szCs w:val="21"/>
                      <w:vertAlign w:val="subscript"/>
                    </w:rPr>
                    <w:t>5</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 xml:space="preserve">39 </w:t>
                  </w:r>
                </w:p>
              </w:tc>
              <w:tc>
                <w:tcPr>
                  <w:tcW w:w="946" w:type="dxa"/>
                  <w:vAlign w:val="center"/>
                </w:tcPr>
                <w:p>
                  <w:pPr>
                    <w:spacing w:line="240" w:lineRule="auto"/>
                    <w:jc w:val="center"/>
                    <w:rPr>
                      <w:rFonts w:eastAsia="等线"/>
                      <w:color w:val="FF0000"/>
                      <w:szCs w:val="21"/>
                    </w:rPr>
                  </w:pPr>
                  <w:r>
                    <w:rPr>
                      <w:rFonts w:eastAsia="等线"/>
                      <w:color w:val="FF0000"/>
                      <w:szCs w:val="21"/>
                    </w:rPr>
                    <w:t>0.365</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rFonts w:eastAsia="等线"/>
                      <w:color w:val="FF0000"/>
                      <w:szCs w:val="21"/>
                    </w:rPr>
                  </w:pPr>
                  <w:r>
                    <w:rPr>
                      <w:rFonts w:eastAsia="等线"/>
                      <w:color w:val="FF0000"/>
                      <w:szCs w:val="21"/>
                    </w:rPr>
                    <w:t>30</w:t>
                  </w:r>
                </w:p>
              </w:tc>
              <w:tc>
                <w:tcPr>
                  <w:tcW w:w="850" w:type="dxa"/>
                  <w:vAlign w:val="center"/>
                </w:tcPr>
                <w:p>
                  <w:pPr>
                    <w:spacing w:line="240" w:lineRule="auto"/>
                    <w:jc w:val="center"/>
                    <w:rPr>
                      <w:rFonts w:eastAsia="等线"/>
                      <w:color w:val="FF0000"/>
                      <w:szCs w:val="21"/>
                    </w:rPr>
                  </w:pPr>
                  <w:r>
                    <w:rPr>
                      <w:rFonts w:eastAsia="等线"/>
                      <w:color w:val="FF0000"/>
                      <w:szCs w:val="21"/>
                    </w:rPr>
                    <w:t>10</w:t>
                  </w:r>
                </w:p>
              </w:tc>
              <w:tc>
                <w:tcPr>
                  <w:tcW w:w="851" w:type="dxa"/>
                  <w:vAlign w:val="center"/>
                </w:tcPr>
                <w:p>
                  <w:pPr>
                    <w:spacing w:line="240" w:lineRule="auto"/>
                    <w:jc w:val="center"/>
                    <w:rPr>
                      <w:rFonts w:eastAsia="等线"/>
                      <w:color w:val="FF0000"/>
                      <w:szCs w:val="21"/>
                    </w:rPr>
                  </w:pPr>
                  <w:r>
                    <w:rPr>
                      <w:rFonts w:eastAsia="等线"/>
                      <w:color w:val="FF0000"/>
                      <w:szCs w:val="21"/>
                    </w:rPr>
                    <w:t xml:space="preserve">0.279 </w:t>
                  </w:r>
                </w:p>
              </w:tc>
              <w:tc>
                <w:tcPr>
                  <w:tcW w:w="930" w:type="dxa"/>
                  <w:vAlign w:val="center"/>
                </w:tcPr>
                <w:p>
                  <w:pPr>
                    <w:spacing w:line="240" w:lineRule="auto"/>
                    <w:jc w:val="center"/>
                    <w:rPr>
                      <w:rFonts w:eastAsia="等线"/>
                      <w:color w:val="FF0000"/>
                      <w:szCs w:val="21"/>
                    </w:rPr>
                  </w:pPr>
                  <w:r>
                    <w:rPr>
                      <w:rFonts w:eastAsia="等线"/>
                      <w:color w:val="FF0000"/>
                      <w:szCs w:val="21"/>
                    </w:rPr>
                    <w:t xml:space="preserve">0.093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8" w:type="dxa"/>
                  <w:gridSpan w:val="2"/>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S</w:t>
                  </w:r>
                  <w:r>
                    <w:rPr>
                      <w:color w:val="FF0000"/>
                      <w:szCs w:val="21"/>
                    </w:rPr>
                    <w:t>S</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 xml:space="preserve">111 </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1.034 </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rFonts w:eastAsia="等线"/>
                      <w:color w:val="FF0000"/>
                      <w:szCs w:val="21"/>
                    </w:rPr>
                  </w:pPr>
                  <w:r>
                    <w:rPr>
                      <w:rFonts w:eastAsia="等线"/>
                      <w:color w:val="FF0000"/>
                      <w:szCs w:val="21"/>
                    </w:rPr>
                    <w:t>100</w:t>
                  </w:r>
                </w:p>
              </w:tc>
              <w:tc>
                <w:tcPr>
                  <w:tcW w:w="850" w:type="dxa"/>
                  <w:vAlign w:val="center"/>
                </w:tcPr>
                <w:p>
                  <w:pPr>
                    <w:spacing w:line="240" w:lineRule="auto"/>
                    <w:jc w:val="center"/>
                    <w:rPr>
                      <w:rFonts w:eastAsia="等线"/>
                      <w:color w:val="FF0000"/>
                      <w:szCs w:val="21"/>
                    </w:rPr>
                  </w:pPr>
                  <w:r>
                    <w:rPr>
                      <w:rFonts w:eastAsia="等线"/>
                      <w:color w:val="FF0000"/>
                      <w:szCs w:val="21"/>
                    </w:rPr>
                    <w:t>10</w:t>
                  </w:r>
                </w:p>
              </w:tc>
              <w:tc>
                <w:tcPr>
                  <w:tcW w:w="851" w:type="dxa"/>
                  <w:vAlign w:val="center"/>
                </w:tcPr>
                <w:p>
                  <w:pPr>
                    <w:spacing w:line="240" w:lineRule="auto"/>
                    <w:jc w:val="center"/>
                    <w:rPr>
                      <w:rFonts w:eastAsia="等线"/>
                      <w:color w:val="FF0000"/>
                      <w:szCs w:val="21"/>
                    </w:rPr>
                  </w:pPr>
                  <w:r>
                    <w:rPr>
                      <w:rFonts w:eastAsia="等线"/>
                      <w:color w:val="FF0000"/>
                      <w:szCs w:val="21"/>
                    </w:rPr>
                    <w:t xml:space="preserve">0.930 </w:t>
                  </w:r>
                </w:p>
              </w:tc>
              <w:tc>
                <w:tcPr>
                  <w:tcW w:w="930" w:type="dxa"/>
                  <w:vAlign w:val="center"/>
                </w:tcPr>
                <w:p>
                  <w:pPr>
                    <w:spacing w:line="240" w:lineRule="auto"/>
                    <w:jc w:val="center"/>
                    <w:rPr>
                      <w:rFonts w:eastAsia="等线"/>
                      <w:color w:val="FF0000"/>
                      <w:szCs w:val="21"/>
                    </w:rPr>
                  </w:pPr>
                  <w:r>
                    <w:rPr>
                      <w:rFonts w:eastAsia="等线"/>
                      <w:color w:val="FF0000"/>
                      <w:szCs w:val="21"/>
                    </w:rPr>
                    <w:t xml:space="preserve">0.093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08" w:type="dxa"/>
                  <w:gridSpan w:val="2"/>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N</w:t>
                  </w:r>
                  <w:r>
                    <w:rPr>
                      <w:color w:val="FF0000"/>
                      <w:szCs w:val="21"/>
                    </w:rPr>
                    <w:t>H</w:t>
                  </w:r>
                  <w:r>
                    <w:rPr>
                      <w:color w:val="FF0000"/>
                      <w:szCs w:val="21"/>
                      <w:vertAlign w:val="subscript"/>
                    </w:rPr>
                    <w:t>3</w:t>
                  </w:r>
                  <w:r>
                    <w:rPr>
                      <w:color w:val="FF0000"/>
                      <w:szCs w:val="21"/>
                    </w:rPr>
                    <w:t>-N</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 xml:space="preserve">5 </w:t>
                  </w:r>
                </w:p>
              </w:tc>
              <w:tc>
                <w:tcPr>
                  <w:tcW w:w="946" w:type="dxa"/>
                  <w:vAlign w:val="center"/>
                </w:tcPr>
                <w:p>
                  <w:pPr>
                    <w:spacing w:line="240" w:lineRule="auto"/>
                    <w:jc w:val="center"/>
                    <w:rPr>
                      <w:rFonts w:eastAsia="等线"/>
                      <w:color w:val="FF0000"/>
                      <w:szCs w:val="21"/>
                    </w:rPr>
                  </w:pPr>
                  <w:r>
                    <w:rPr>
                      <w:rFonts w:eastAsia="等线"/>
                      <w:color w:val="FF0000"/>
                      <w:szCs w:val="21"/>
                    </w:rPr>
                    <w:t>0.045</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rFonts w:eastAsia="等线"/>
                      <w:color w:val="FF0000"/>
                      <w:szCs w:val="21"/>
                    </w:rPr>
                  </w:pPr>
                  <w:r>
                    <w:rPr>
                      <w:rFonts w:eastAsia="等线"/>
                      <w:color w:val="FF0000"/>
                      <w:szCs w:val="21"/>
                    </w:rPr>
                    <w:t>5</w:t>
                  </w:r>
                </w:p>
              </w:tc>
              <w:tc>
                <w:tcPr>
                  <w:tcW w:w="850" w:type="dxa"/>
                  <w:vAlign w:val="center"/>
                </w:tcPr>
                <w:p>
                  <w:pPr>
                    <w:spacing w:line="240" w:lineRule="auto"/>
                    <w:jc w:val="center"/>
                    <w:rPr>
                      <w:rFonts w:eastAsia="等线"/>
                      <w:color w:val="FF0000"/>
                      <w:szCs w:val="21"/>
                    </w:rPr>
                  </w:pPr>
                  <w:r>
                    <w:rPr>
                      <w:rFonts w:eastAsia="等线"/>
                      <w:color w:val="FF0000"/>
                      <w:szCs w:val="21"/>
                    </w:rPr>
                    <w:t>5</w:t>
                  </w:r>
                </w:p>
              </w:tc>
              <w:tc>
                <w:tcPr>
                  <w:tcW w:w="851" w:type="dxa"/>
                  <w:vAlign w:val="center"/>
                </w:tcPr>
                <w:p>
                  <w:pPr>
                    <w:spacing w:line="240" w:lineRule="auto"/>
                    <w:jc w:val="center"/>
                    <w:rPr>
                      <w:rFonts w:eastAsia="等线"/>
                      <w:color w:val="FF0000"/>
                      <w:szCs w:val="21"/>
                    </w:rPr>
                  </w:pPr>
                  <w:r>
                    <w:rPr>
                      <w:rFonts w:eastAsia="等线"/>
                      <w:color w:val="FF0000"/>
                      <w:szCs w:val="21"/>
                    </w:rPr>
                    <w:t xml:space="preserve">0.046 </w:t>
                  </w:r>
                </w:p>
              </w:tc>
              <w:tc>
                <w:tcPr>
                  <w:tcW w:w="930" w:type="dxa"/>
                  <w:vAlign w:val="center"/>
                </w:tcPr>
                <w:p>
                  <w:pPr>
                    <w:spacing w:line="240" w:lineRule="auto"/>
                    <w:jc w:val="center"/>
                    <w:rPr>
                      <w:rFonts w:eastAsia="等线"/>
                      <w:color w:val="FF0000"/>
                      <w:szCs w:val="21"/>
                    </w:rPr>
                  </w:pPr>
                  <w:r>
                    <w:rPr>
                      <w:rFonts w:eastAsia="等线"/>
                      <w:color w:val="FF0000"/>
                      <w:szCs w:val="21"/>
                    </w:rPr>
                    <w:t xml:space="preserve">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08" w:type="dxa"/>
                  <w:gridSpan w:val="2"/>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动植物油</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 xml:space="preserve">3 </w:t>
                  </w:r>
                </w:p>
              </w:tc>
              <w:tc>
                <w:tcPr>
                  <w:tcW w:w="946" w:type="dxa"/>
                  <w:vAlign w:val="center"/>
                </w:tcPr>
                <w:p>
                  <w:pPr>
                    <w:spacing w:line="240" w:lineRule="auto"/>
                    <w:jc w:val="center"/>
                    <w:rPr>
                      <w:rFonts w:eastAsia="等线"/>
                      <w:color w:val="FF0000"/>
                      <w:szCs w:val="21"/>
                    </w:rPr>
                  </w:pPr>
                  <w:r>
                    <w:rPr>
                      <w:rFonts w:eastAsia="等线"/>
                      <w:color w:val="FF0000"/>
                      <w:szCs w:val="21"/>
                    </w:rPr>
                    <w:t>0.032</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rFonts w:eastAsia="等线"/>
                      <w:color w:val="FF0000"/>
                      <w:szCs w:val="21"/>
                    </w:rPr>
                  </w:pPr>
                  <w:r>
                    <w:rPr>
                      <w:rFonts w:eastAsia="等线"/>
                      <w:color w:val="FF0000"/>
                      <w:szCs w:val="21"/>
                    </w:rPr>
                    <w:t>1</w:t>
                  </w:r>
                </w:p>
              </w:tc>
              <w:tc>
                <w:tcPr>
                  <w:tcW w:w="850" w:type="dxa"/>
                  <w:vAlign w:val="center"/>
                </w:tcPr>
                <w:p>
                  <w:pPr>
                    <w:spacing w:line="240" w:lineRule="auto"/>
                    <w:jc w:val="center"/>
                    <w:rPr>
                      <w:rFonts w:eastAsia="等线"/>
                      <w:color w:val="FF0000"/>
                      <w:szCs w:val="21"/>
                    </w:rPr>
                  </w:pPr>
                  <w:r>
                    <w:rPr>
                      <w:rFonts w:eastAsia="等线"/>
                      <w:color w:val="FF0000"/>
                      <w:szCs w:val="21"/>
                    </w:rPr>
                    <w:t>1</w:t>
                  </w:r>
                </w:p>
              </w:tc>
              <w:tc>
                <w:tcPr>
                  <w:tcW w:w="851" w:type="dxa"/>
                  <w:vAlign w:val="center"/>
                </w:tcPr>
                <w:p>
                  <w:pPr>
                    <w:spacing w:line="240" w:lineRule="auto"/>
                    <w:jc w:val="center"/>
                    <w:rPr>
                      <w:rFonts w:eastAsia="等线"/>
                      <w:color w:val="FF0000"/>
                      <w:szCs w:val="21"/>
                    </w:rPr>
                  </w:pPr>
                  <w:r>
                    <w:rPr>
                      <w:rFonts w:eastAsia="等线"/>
                      <w:color w:val="FF0000"/>
                      <w:szCs w:val="21"/>
                    </w:rPr>
                    <w:t xml:space="preserve">0.009 </w:t>
                  </w:r>
                </w:p>
              </w:tc>
              <w:tc>
                <w:tcPr>
                  <w:tcW w:w="930" w:type="dxa"/>
                  <w:vAlign w:val="center"/>
                </w:tcPr>
                <w:p>
                  <w:pPr>
                    <w:spacing w:line="240" w:lineRule="auto"/>
                    <w:jc w:val="center"/>
                    <w:rPr>
                      <w:rFonts w:eastAsia="等线"/>
                      <w:color w:val="FF0000"/>
                      <w:szCs w:val="21"/>
                    </w:rPr>
                  </w:pPr>
                  <w:r>
                    <w:rPr>
                      <w:rFonts w:eastAsia="等线"/>
                      <w:color w:val="FF0000"/>
                      <w:szCs w:val="21"/>
                    </w:rPr>
                    <w:t xml:space="preserve">0.009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08" w:type="dxa"/>
                  <w:gridSpan w:val="2"/>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总磷</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 xml:space="preserve">1 </w:t>
                  </w:r>
                </w:p>
              </w:tc>
              <w:tc>
                <w:tcPr>
                  <w:tcW w:w="946" w:type="dxa"/>
                  <w:vAlign w:val="center"/>
                </w:tcPr>
                <w:p>
                  <w:pPr>
                    <w:spacing w:line="240" w:lineRule="auto"/>
                    <w:jc w:val="center"/>
                    <w:rPr>
                      <w:rFonts w:eastAsia="等线"/>
                      <w:color w:val="FF0000"/>
                      <w:szCs w:val="21"/>
                    </w:rPr>
                  </w:pPr>
                  <w:r>
                    <w:rPr>
                      <w:rFonts w:eastAsia="等线"/>
                      <w:color w:val="FF0000"/>
                      <w:szCs w:val="21"/>
                    </w:rPr>
                    <w:t>0.004</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rFonts w:eastAsia="等线"/>
                      <w:color w:val="FF0000"/>
                      <w:szCs w:val="21"/>
                    </w:rPr>
                  </w:pPr>
                  <w:r>
                    <w:rPr>
                      <w:rFonts w:eastAsia="等线"/>
                      <w:color w:val="FF0000"/>
                      <w:szCs w:val="21"/>
                    </w:rPr>
                    <w:t>1</w:t>
                  </w:r>
                </w:p>
              </w:tc>
              <w:tc>
                <w:tcPr>
                  <w:tcW w:w="850" w:type="dxa"/>
                  <w:vAlign w:val="center"/>
                </w:tcPr>
                <w:p>
                  <w:pPr>
                    <w:spacing w:line="240" w:lineRule="auto"/>
                    <w:jc w:val="center"/>
                    <w:rPr>
                      <w:rFonts w:eastAsia="等线"/>
                      <w:color w:val="FF0000"/>
                      <w:szCs w:val="21"/>
                    </w:rPr>
                  </w:pPr>
                  <w:r>
                    <w:rPr>
                      <w:rFonts w:eastAsia="等线"/>
                      <w:color w:val="FF0000"/>
                      <w:szCs w:val="21"/>
                    </w:rPr>
                    <w:t>0.5</w:t>
                  </w:r>
                </w:p>
              </w:tc>
              <w:tc>
                <w:tcPr>
                  <w:tcW w:w="851" w:type="dxa"/>
                  <w:vAlign w:val="center"/>
                </w:tcPr>
                <w:p>
                  <w:pPr>
                    <w:spacing w:line="240" w:lineRule="auto"/>
                    <w:jc w:val="center"/>
                    <w:rPr>
                      <w:rFonts w:eastAsia="等线"/>
                      <w:color w:val="FF0000"/>
                      <w:szCs w:val="21"/>
                    </w:rPr>
                  </w:pPr>
                  <w:r>
                    <w:rPr>
                      <w:rFonts w:eastAsia="等线"/>
                      <w:color w:val="FF0000"/>
                      <w:szCs w:val="21"/>
                    </w:rPr>
                    <w:t xml:space="preserve">0.004 </w:t>
                  </w:r>
                </w:p>
              </w:tc>
              <w:tc>
                <w:tcPr>
                  <w:tcW w:w="930" w:type="dxa"/>
                  <w:vAlign w:val="center"/>
                </w:tcPr>
                <w:p>
                  <w:pPr>
                    <w:spacing w:line="240" w:lineRule="auto"/>
                    <w:jc w:val="center"/>
                    <w:rPr>
                      <w:rFonts w:eastAsia="等线"/>
                      <w:color w:val="FF0000"/>
                      <w:szCs w:val="21"/>
                    </w:rPr>
                  </w:pPr>
                  <w:r>
                    <w:rPr>
                      <w:rFonts w:eastAsia="等线"/>
                      <w:color w:val="FF0000"/>
                      <w:szCs w:val="21"/>
                    </w:rPr>
                    <w:t xml:space="preserve">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08" w:type="dxa"/>
                  <w:gridSpan w:val="2"/>
                  <w:vMerge w:val="continue"/>
                  <w:vAlign w:val="center"/>
                </w:tcPr>
                <w:p>
                  <w:pPr>
                    <w:spacing w:line="240" w:lineRule="auto"/>
                    <w:jc w:val="center"/>
                    <w:rPr>
                      <w:color w:val="FF0000"/>
                      <w:szCs w:val="21"/>
                    </w:rPr>
                  </w:pPr>
                </w:p>
              </w:tc>
              <w:tc>
                <w:tcPr>
                  <w:tcW w:w="736" w:type="dxa"/>
                  <w:vMerge w:val="continue"/>
                  <w:vAlign w:val="center"/>
                </w:tcPr>
                <w:p>
                  <w:pPr>
                    <w:spacing w:line="240" w:lineRule="auto"/>
                    <w:jc w:val="center"/>
                    <w:rPr>
                      <w:color w:val="FF0000"/>
                      <w:szCs w:val="21"/>
                    </w:rPr>
                  </w:pPr>
                </w:p>
              </w:tc>
              <w:tc>
                <w:tcPr>
                  <w:tcW w:w="992" w:type="dxa"/>
                  <w:vAlign w:val="center"/>
                </w:tcPr>
                <w:p>
                  <w:pPr>
                    <w:spacing w:line="240" w:lineRule="auto"/>
                    <w:jc w:val="center"/>
                    <w:rPr>
                      <w:color w:val="FF0000"/>
                      <w:szCs w:val="21"/>
                    </w:rPr>
                  </w:pPr>
                  <w:r>
                    <w:rPr>
                      <w:rFonts w:hint="eastAsia"/>
                      <w:color w:val="FF0000"/>
                      <w:szCs w:val="21"/>
                    </w:rPr>
                    <w:t>石油类</w:t>
                  </w:r>
                </w:p>
              </w:tc>
              <w:tc>
                <w:tcPr>
                  <w:tcW w:w="993" w:type="dxa"/>
                  <w:vMerge w:val="continue"/>
                  <w:vAlign w:val="center"/>
                </w:tcPr>
                <w:p>
                  <w:pPr>
                    <w:spacing w:line="240" w:lineRule="auto"/>
                    <w:jc w:val="center"/>
                    <w:rPr>
                      <w:color w:val="FF0000"/>
                      <w:szCs w:val="21"/>
                    </w:rPr>
                  </w:pPr>
                </w:p>
              </w:tc>
              <w:tc>
                <w:tcPr>
                  <w:tcW w:w="989" w:type="dxa"/>
                  <w:vAlign w:val="center"/>
                </w:tcPr>
                <w:p>
                  <w:pPr>
                    <w:spacing w:line="240" w:lineRule="auto"/>
                    <w:jc w:val="center"/>
                    <w:rPr>
                      <w:rFonts w:eastAsia="等线"/>
                      <w:color w:val="FF0000"/>
                      <w:szCs w:val="21"/>
                    </w:rPr>
                  </w:pPr>
                  <w:r>
                    <w:rPr>
                      <w:rFonts w:eastAsia="等线"/>
                      <w:color w:val="FF0000"/>
                      <w:szCs w:val="21"/>
                    </w:rPr>
                    <w:t xml:space="preserve">4 </w:t>
                  </w:r>
                </w:p>
              </w:tc>
              <w:tc>
                <w:tcPr>
                  <w:tcW w:w="946" w:type="dxa"/>
                  <w:vAlign w:val="center"/>
                </w:tcPr>
                <w:p>
                  <w:pPr>
                    <w:spacing w:line="240" w:lineRule="auto"/>
                    <w:jc w:val="center"/>
                    <w:rPr>
                      <w:rFonts w:eastAsia="等线"/>
                      <w:color w:val="FF0000"/>
                      <w:szCs w:val="21"/>
                    </w:rPr>
                  </w:pPr>
                  <w:r>
                    <w:rPr>
                      <w:rFonts w:eastAsia="等线"/>
                      <w:color w:val="FF0000"/>
                      <w:szCs w:val="21"/>
                    </w:rPr>
                    <w:t xml:space="preserve">0.040 </w:t>
                  </w:r>
                </w:p>
              </w:tc>
              <w:tc>
                <w:tcPr>
                  <w:tcW w:w="958" w:type="dxa"/>
                  <w:vMerge w:val="continue"/>
                  <w:vAlign w:val="center"/>
                </w:tcPr>
                <w:p>
                  <w:pPr>
                    <w:spacing w:line="240" w:lineRule="auto"/>
                    <w:jc w:val="center"/>
                    <w:rPr>
                      <w:color w:val="FF0000"/>
                      <w:szCs w:val="21"/>
                    </w:rPr>
                  </w:pPr>
                </w:p>
              </w:tc>
              <w:tc>
                <w:tcPr>
                  <w:tcW w:w="934" w:type="dxa"/>
                  <w:vMerge w:val="continue"/>
                  <w:vAlign w:val="center"/>
                </w:tcPr>
                <w:p>
                  <w:pPr>
                    <w:spacing w:line="240" w:lineRule="auto"/>
                    <w:jc w:val="center"/>
                    <w:rPr>
                      <w:color w:val="FF0000"/>
                      <w:szCs w:val="21"/>
                    </w:rPr>
                  </w:pPr>
                </w:p>
              </w:tc>
              <w:tc>
                <w:tcPr>
                  <w:tcW w:w="850" w:type="dxa"/>
                  <w:vMerge w:val="continue"/>
                  <w:vAlign w:val="center"/>
                </w:tcPr>
                <w:p>
                  <w:pPr>
                    <w:spacing w:line="240" w:lineRule="auto"/>
                    <w:jc w:val="center"/>
                    <w:rPr>
                      <w:color w:val="FF0000"/>
                      <w:szCs w:val="21"/>
                    </w:rPr>
                  </w:pPr>
                </w:p>
              </w:tc>
              <w:tc>
                <w:tcPr>
                  <w:tcW w:w="1134" w:type="dxa"/>
                  <w:vMerge w:val="continue"/>
                  <w:vAlign w:val="center"/>
                </w:tcPr>
                <w:p>
                  <w:pPr>
                    <w:spacing w:line="240" w:lineRule="auto"/>
                    <w:jc w:val="center"/>
                    <w:rPr>
                      <w:color w:val="FF0000"/>
                      <w:szCs w:val="21"/>
                    </w:rPr>
                  </w:pPr>
                </w:p>
              </w:tc>
              <w:tc>
                <w:tcPr>
                  <w:tcW w:w="993" w:type="dxa"/>
                  <w:vAlign w:val="center"/>
                </w:tcPr>
                <w:p>
                  <w:pPr>
                    <w:spacing w:line="240" w:lineRule="auto"/>
                    <w:jc w:val="center"/>
                    <w:rPr>
                      <w:rFonts w:eastAsia="等线"/>
                      <w:color w:val="FF0000"/>
                      <w:szCs w:val="21"/>
                    </w:rPr>
                  </w:pPr>
                  <w:r>
                    <w:rPr>
                      <w:rFonts w:eastAsia="等线"/>
                      <w:color w:val="FF0000"/>
                      <w:szCs w:val="21"/>
                    </w:rPr>
                    <w:t>1</w:t>
                  </w:r>
                </w:p>
              </w:tc>
              <w:tc>
                <w:tcPr>
                  <w:tcW w:w="850" w:type="dxa"/>
                  <w:vAlign w:val="center"/>
                </w:tcPr>
                <w:p>
                  <w:pPr>
                    <w:spacing w:line="240" w:lineRule="auto"/>
                    <w:jc w:val="center"/>
                    <w:rPr>
                      <w:rFonts w:eastAsia="等线"/>
                      <w:color w:val="FF0000"/>
                      <w:szCs w:val="21"/>
                    </w:rPr>
                  </w:pPr>
                  <w:r>
                    <w:rPr>
                      <w:rFonts w:eastAsia="等线"/>
                      <w:color w:val="FF0000"/>
                      <w:szCs w:val="21"/>
                    </w:rPr>
                    <w:t>1</w:t>
                  </w:r>
                </w:p>
              </w:tc>
              <w:tc>
                <w:tcPr>
                  <w:tcW w:w="851" w:type="dxa"/>
                  <w:vAlign w:val="center"/>
                </w:tcPr>
                <w:p>
                  <w:pPr>
                    <w:spacing w:line="240" w:lineRule="auto"/>
                    <w:jc w:val="center"/>
                    <w:rPr>
                      <w:rFonts w:eastAsia="等线"/>
                      <w:color w:val="FF0000"/>
                      <w:szCs w:val="21"/>
                    </w:rPr>
                  </w:pPr>
                  <w:r>
                    <w:rPr>
                      <w:rFonts w:eastAsia="等线"/>
                      <w:color w:val="FF0000"/>
                      <w:szCs w:val="21"/>
                    </w:rPr>
                    <w:t xml:space="preserve">0.009 </w:t>
                  </w:r>
                </w:p>
              </w:tc>
              <w:tc>
                <w:tcPr>
                  <w:tcW w:w="930" w:type="dxa"/>
                  <w:vAlign w:val="center"/>
                </w:tcPr>
                <w:p>
                  <w:pPr>
                    <w:spacing w:line="240" w:lineRule="auto"/>
                    <w:jc w:val="center"/>
                    <w:rPr>
                      <w:rFonts w:eastAsia="等线"/>
                      <w:color w:val="FF0000"/>
                      <w:szCs w:val="21"/>
                    </w:rPr>
                  </w:pPr>
                  <w:r>
                    <w:rPr>
                      <w:rFonts w:eastAsia="等线"/>
                      <w:color w:val="FF0000"/>
                      <w:szCs w:val="21"/>
                    </w:rPr>
                    <w:t xml:space="preserve">0.009 </w:t>
                  </w:r>
                </w:p>
              </w:tc>
            </w:tr>
          </w:tbl>
          <w:p>
            <w:pPr>
              <w:pStyle w:val="198"/>
              <w:ind w:firstLine="480"/>
              <w:rPr>
                <w:color w:val="000000" w:themeColor="text1"/>
                <w14:textFill>
                  <w14:solidFill>
                    <w14:schemeClr w14:val="tx1"/>
                  </w14:solidFill>
                </w14:textFill>
              </w:rPr>
            </w:pPr>
          </w:p>
        </w:tc>
      </w:tr>
    </w:tbl>
    <w:p>
      <w:pPr>
        <w:pStyle w:val="32"/>
        <w:ind w:firstLine="600"/>
        <w:jc w:val="center"/>
        <w:rPr>
          <w:rFonts w:ascii="Times New Roman" w:hAnsi="Times New Roman" w:eastAsia="黑体"/>
          <w:snapToGrid w:val="0"/>
          <w:color w:val="000000" w:themeColor="text1"/>
          <w:sz w:val="30"/>
          <w:szCs w:val="30"/>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36"/>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7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4" w:type="dxa"/>
            <w:vAlign w:val="center"/>
          </w:tcPr>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pPr>
              <w:pStyle w:val="32"/>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bCs/>
                <w:color w:val="000000" w:themeColor="text1"/>
                <w:szCs w:val="24"/>
                <w14:textFill>
                  <w14:solidFill>
                    <w14:schemeClr w14:val="tx1"/>
                  </w14:solidFill>
                </w14:textFill>
              </w:rPr>
              <w:t>措施</w:t>
            </w:r>
          </w:p>
        </w:tc>
        <w:tc>
          <w:tcPr>
            <w:tcW w:w="8934" w:type="dxa"/>
          </w:tcPr>
          <w:p>
            <w:pPr>
              <w:pStyle w:val="72"/>
              <w:ind w:firstLine="482"/>
              <w:rPr>
                <w:rFonts w:cs="Times New Roman"/>
                <w:b/>
                <w:color w:val="000000" w:themeColor="text1"/>
                <w:highlight w:val="yellow"/>
                <w14:textFill>
                  <w14:solidFill>
                    <w14:schemeClr w14:val="tx1"/>
                  </w14:solidFill>
                </w14:textFill>
              </w:rPr>
            </w:pPr>
            <w:r>
              <w:rPr>
                <w:rFonts w:cs="Times New Roman"/>
                <w:b/>
                <w:color w:val="000000" w:themeColor="text1"/>
                <w14:textFill>
                  <w14:solidFill>
                    <w14:schemeClr w14:val="tx1"/>
                  </w14:solidFill>
                </w14:textFill>
              </w:rPr>
              <w:t>2</w:t>
            </w:r>
            <w:r>
              <w:rPr>
                <w:rFonts w:hint="eastAsia" w:cs="Times New Roman"/>
                <w:b/>
                <w:color w:val="000000" w:themeColor="text1"/>
                <w14:textFill>
                  <w14:solidFill>
                    <w14:schemeClr w14:val="tx1"/>
                  </w14:solidFill>
                </w14:textFill>
              </w:rPr>
              <w:t>、</w:t>
            </w:r>
            <w:r>
              <w:rPr>
                <w:rFonts w:cs="Times New Roman"/>
                <w:b/>
                <w:color w:val="000000" w:themeColor="text1"/>
                <w14:textFill>
                  <w14:solidFill>
                    <w14:schemeClr w14:val="tx1"/>
                  </w14:solidFill>
                </w14:textFill>
              </w:rPr>
              <w:t>废水</w:t>
            </w:r>
            <w:r>
              <w:rPr>
                <w:rFonts w:hint="eastAsia" w:cs="Times New Roman"/>
                <w:b/>
                <w:color w:val="000000" w:themeColor="text1"/>
                <w14:textFill>
                  <w14:solidFill>
                    <w14:schemeClr w14:val="tx1"/>
                  </w14:solidFill>
                </w14:textFill>
              </w:rPr>
              <w:t>处理措施及</w:t>
            </w:r>
            <w:r>
              <w:rPr>
                <w:rFonts w:cs="Times New Roman"/>
                <w:b/>
                <w:color w:val="000000" w:themeColor="text1"/>
                <w14:textFill>
                  <w14:solidFill>
                    <w14:schemeClr w14:val="tx1"/>
                  </w14:solidFill>
                </w14:textFill>
              </w:rPr>
              <w:t>可行性分析</w:t>
            </w:r>
          </w:p>
          <w:p>
            <w:pPr>
              <w:pStyle w:val="72"/>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（1）废水处理可行性分析</w:t>
            </w:r>
          </w:p>
          <w:p>
            <w:pPr>
              <w:pStyle w:val="72"/>
              <w:ind w:firstLine="48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本项目外排的综合废水主要污染因子为p</w:t>
            </w:r>
            <w:r>
              <w:rPr>
                <w:rFonts w:cs="Times New Roman"/>
                <w:color w:val="000000" w:themeColor="text1"/>
                <w:szCs w:val="24"/>
                <w14:textFill>
                  <w14:solidFill>
                    <w14:schemeClr w14:val="tx1"/>
                  </w14:solidFill>
                </w14:textFill>
              </w:rPr>
              <w:t>H</w:t>
            </w:r>
            <w:r>
              <w:rPr>
                <w:rFonts w:hint="eastAsia" w:cs="Times New Roman"/>
                <w:color w:val="000000" w:themeColor="text1"/>
                <w:szCs w:val="24"/>
                <w14:textFill>
                  <w14:solidFill>
                    <w14:schemeClr w14:val="tx1"/>
                  </w14:solidFill>
                </w14:textFill>
              </w:rPr>
              <w:t>、COD、BOD</w:t>
            </w:r>
            <w:r>
              <w:rPr>
                <w:rFonts w:hint="eastAsia" w:cs="Times New Roman"/>
                <w:color w:val="000000" w:themeColor="text1"/>
                <w:szCs w:val="24"/>
                <w:vertAlign w:val="subscript"/>
                <w14:textFill>
                  <w14:solidFill>
                    <w14:schemeClr w14:val="tx1"/>
                  </w14:solidFill>
                </w14:textFill>
              </w:rPr>
              <w:t>5</w:t>
            </w:r>
            <w:r>
              <w:rPr>
                <w:rFonts w:hint="eastAsia" w:cs="Times New Roman"/>
                <w:color w:val="000000" w:themeColor="text1"/>
                <w:szCs w:val="24"/>
                <w14:textFill>
                  <w14:solidFill>
                    <w14:schemeClr w14:val="tx1"/>
                  </w14:solidFill>
                </w14:textFill>
              </w:rPr>
              <w:t>、SS、氨氮、动植物油、石油类、总磷。</w:t>
            </w:r>
            <w:r>
              <w:rPr>
                <w:rFonts w:hint="eastAsia"/>
                <w:bCs/>
                <w:color w:val="000000" w:themeColor="text1"/>
                <w:szCs w:val="26"/>
                <w14:textFill>
                  <w14:solidFill>
                    <w14:schemeClr w14:val="tx1"/>
                  </w14:solidFill>
                </w14:textFill>
              </w:rPr>
              <w:t>地面冲洗废水、脱硫系统及初期雨水经生产废水处理设施“</w:t>
            </w:r>
            <w:r>
              <w:rPr>
                <w:rFonts w:hint="eastAsia"/>
                <w:color w:val="FF0000"/>
                <w:szCs w:val="21"/>
              </w:rPr>
              <w:t>隔油+厌氧反应器+好氧活性污泥法（A/O法）</w:t>
            </w:r>
            <w:r>
              <w:rPr>
                <w:rFonts w:hint="eastAsia"/>
                <w:bCs/>
                <w:color w:val="000000" w:themeColor="text1"/>
                <w:szCs w:val="26"/>
                <w14:textFill>
                  <w14:solidFill>
                    <w14:schemeClr w14:val="tx1"/>
                  </w14:solidFill>
                </w14:textFill>
              </w:rPr>
              <w:t>”处理</w:t>
            </w:r>
            <w:r>
              <w:rPr>
                <w:rFonts w:hint="eastAsia" w:cs="Times New Roman"/>
                <w:color w:val="000000" w:themeColor="text1"/>
                <w:szCs w:val="24"/>
                <w14:textFill>
                  <w14:solidFill>
                    <w14:schemeClr w14:val="tx1"/>
                  </w14:solidFill>
                </w14:textFill>
              </w:rPr>
              <w:t>、食堂废水经隔油池预处理后再排入生化池，循环冷却系统排水排入生化池。生化池处理工艺为“</w:t>
            </w:r>
            <w:r>
              <w:rPr>
                <w:rFonts w:hint="eastAsia"/>
                <w:color w:val="000000" w:themeColor="text1"/>
                <w:szCs w:val="24"/>
                <w14:textFill>
                  <w14:solidFill>
                    <w14:schemeClr w14:val="tx1"/>
                  </w14:solidFill>
                </w14:textFill>
              </w:rPr>
              <w:t>格栅沉淀</w:t>
            </w:r>
            <w:r>
              <w:rPr>
                <w:rFonts w:hint="eastAsia" w:cs="Times New Roman"/>
                <w:color w:val="000000" w:themeColor="text1"/>
                <w:szCs w:val="24"/>
                <w14:textFill>
                  <w14:solidFill>
                    <w14:schemeClr w14:val="tx1"/>
                  </w14:solidFill>
                </w14:textFill>
              </w:rPr>
              <w:t>+水解酸化”，处理工艺属于</w:t>
            </w:r>
            <w:r>
              <w:rPr>
                <w:rFonts w:hint="eastAsia"/>
                <w:color w:val="000000" w:themeColor="text1"/>
                <w:szCs w:val="24"/>
                <w14:textFill>
                  <w14:solidFill>
                    <w14:schemeClr w14:val="tx1"/>
                  </w14:solidFill>
                </w14:textFill>
              </w:rPr>
              <w:t>《排污许可证申请与核发技术规范 废弃资源加工工业》（HJ</w:t>
            </w:r>
            <w:r>
              <w:rPr>
                <w:color w:val="000000" w:themeColor="text1"/>
                <w:szCs w:val="24"/>
                <w14:textFill>
                  <w14:solidFill>
                    <w14:schemeClr w14:val="tx1"/>
                  </w14:solidFill>
                </w14:textFill>
              </w:rPr>
              <w:t>1034</w:t>
            </w:r>
            <w:r>
              <w:rPr>
                <w:rFonts w:hint="eastAsia"/>
                <w:color w:val="000000" w:themeColor="text1"/>
                <w:szCs w:val="24"/>
                <w14:textFill>
                  <w14:solidFill>
                    <w14:schemeClr w14:val="tx1"/>
                  </w14:solidFill>
                </w14:textFill>
              </w:rPr>
              <w:t>-201</w:t>
            </w:r>
            <w:r>
              <w:rPr>
                <w:color w:val="000000" w:themeColor="text1"/>
                <w:szCs w:val="24"/>
                <w14:textFill>
                  <w14:solidFill>
                    <w14:schemeClr w14:val="tx1"/>
                  </w14:solidFill>
                </w14:textFill>
              </w:rPr>
              <w:t>9</w:t>
            </w:r>
            <w:r>
              <w:rPr>
                <w:rFonts w:hint="eastAsia"/>
                <w:color w:val="000000" w:themeColor="text1"/>
                <w:szCs w:val="24"/>
                <w14:textFill>
                  <w14:solidFill>
                    <w14:schemeClr w14:val="tx1"/>
                  </w14:solidFill>
                </w14:textFill>
              </w:rPr>
              <w:t>）的可行技术</w:t>
            </w:r>
            <w:r>
              <w:rPr>
                <w:rFonts w:hint="eastAsia" w:cs="Times New Roman"/>
                <w:color w:val="000000" w:themeColor="text1"/>
                <w:szCs w:val="24"/>
                <w14:textFill>
                  <w14:solidFill>
                    <w14:schemeClr w14:val="tx1"/>
                  </w14:solidFill>
                </w14:textFill>
              </w:rPr>
              <w:t>。项目排入生产废水处理设施废水量为</w:t>
            </w:r>
            <w:r>
              <w:rPr>
                <w:rFonts w:cs="Times New Roman"/>
                <w:color w:val="000000" w:themeColor="text1"/>
                <w:szCs w:val="24"/>
                <w14:textFill>
                  <w14:solidFill>
                    <w14:schemeClr w14:val="tx1"/>
                  </w14:solidFill>
                </w14:textFill>
              </w:rPr>
              <w:t>14.46</w:t>
            </w:r>
            <w:r>
              <w:rPr>
                <w:rFonts w:hint="eastAsia" w:cs="Times New Roman"/>
                <w:color w:val="000000" w:themeColor="text1"/>
                <w:szCs w:val="24"/>
                <w14:textFill>
                  <w14:solidFill>
                    <w14:schemeClr w14:val="tx1"/>
                  </w14:solidFill>
                </w14:textFill>
              </w:rPr>
              <w:t>m</w:t>
            </w:r>
            <w:r>
              <w:rPr>
                <w:rFonts w:cs="Times New Roman"/>
                <w:color w:val="000000" w:themeColor="text1"/>
                <w:szCs w:val="24"/>
                <w:vertAlign w:val="superscript"/>
                <w14:textFill>
                  <w14:solidFill>
                    <w14:schemeClr w14:val="tx1"/>
                  </w14:solidFill>
                </w14:textFill>
              </w:rPr>
              <w:t>3</w:t>
            </w:r>
            <w:r>
              <w:rPr>
                <w:rFonts w:cs="Times New Roman"/>
                <w:color w:val="000000" w:themeColor="text1"/>
                <w:szCs w:val="24"/>
                <w14:textFill>
                  <w14:solidFill>
                    <w14:schemeClr w14:val="tx1"/>
                  </w14:solidFill>
                </w14:textFill>
              </w:rPr>
              <w:t>/</w:t>
            </w:r>
            <w:r>
              <w:rPr>
                <w:rFonts w:hint="eastAsia" w:cs="Times New Roman"/>
                <w:color w:val="000000" w:themeColor="text1"/>
                <w:szCs w:val="24"/>
                <w14:textFill>
                  <w14:solidFill>
                    <w14:schemeClr w14:val="tx1"/>
                  </w14:solidFill>
                </w14:textFill>
              </w:rPr>
              <w:t>d（</w:t>
            </w:r>
            <w:r>
              <w:rPr>
                <w:rFonts w:hint="eastAsia" w:cs="Times New Roman"/>
                <w:color w:val="FF0000"/>
                <w:szCs w:val="24"/>
              </w:rPr>
              <w:t>含初期雨水</w:t>
            </w:r>
            <w:r>
              <w:rPr>
                <w:rFonts w:cs="Times New Roman"/>
                <w:color w:val="FF0000"/>
                <w:szCs w:val="24"/>
              </w:rPr>
              <w:t>2.36</w:t>
            </w:r>
            <w:r>
              <w:rPr>
                <w:rFonts w:hint="eastAsia" w:cs="Times New Roman"/>
                <w:color w:val="FF0000"/>
                <w:szCs w:val="24"/>
              </w:rPr>
              <w:t>m</w:t>
            </w:r>
            <w:r>
              <w:rPr>
                <w:rFonts w:cs="Times New Roman"/>
                <w:color w:val="FF0000"/>
                <w:szCs w:val="24"/>
                <w:vertAlign w:val="superscript"/>
              </w:rPr>
              <w:t>3</w:t>
            </w:r>
            <w:r>
              <w:rPr>
                <w:rFonts w:cs="Times New Roman"/>
                <w:color w:val="FF0000"/>
                <w:szCs w:val="24"/>
              </w:rPr>
              <w:t>/</w:t>
            </w:r>
            <w:r>
              <w:rPr>
                <w:rFonts w:hint="eastAsia" w:cs="Times New Roman"/>
                <w:color w:val="FF0000"/>
                <w:szCs w:val="24"/>
              </w:rPr>
              <w:t>d，初期雨水收集后，通过生产废水处理设施预处理）</w:t>
            </w:r>
            <w:r>
              <w:rPr>
                <w:rFonts w:hint="eastAsia" w:cs="Times New Roman"/>
                <w:color w:val="000000" w:themeColor="text1"/>
                <w:szCs w:val="24"/>
                <w14:textFill>
                  <w14:solidFill>
                    <w14:schemeClr w14:val="tx1"/>
                  </w14:solidFill>
                </w14:textFill>
              </w:rPr>
              <w:t>，排入生化池废水量为</w:t>
            </w:r>
            <w:r>
              <w:rPr>
                <w:rFonts w:cs="Times New Roman"/>
                <w:color w:val="000000" w:themeColor="text1"/>
                <w:szCs w:val="24"/>
                <w14:textFill>
                  <w14:solidFill>
                    <w14:schemeClr w14:val="tx1"/>
                  </w14:solidFill>
                </w14:textFill>
              </w:rPr>
              <w:t>40.92</w:t>
            </w:r>
            <w:r>
              <w:rPr>
                <w:rFonts w:hint="eastAsia" w:cs="Times New Roman"/>
                <w:color w:val="000000" w:themeColor="text1"/>
                <w:szCs w:val="24"/>
                <w14:textFill>
                  <w14:solidFill>
                    <w14:schemeClr w14:val="tx1"/>
                  </w14:solidFill>
                </w14:textFill>
              </w:rPr>
              <w:t>m</w:t>
            </w:r>
            <w:r>
              <w:rPr>
                <w:rFonts w:cs="Times New Roman"/>
                <w:color w:val="000000" w:themeColor="text1"/>
                <w:szCs w:val="24"/>
                <w:vertAlign w:val="superscript"/>
                <w14:textFill>
                  <w14:solidFill>
                    <w14:schemeClr w14:val="tx1"/>
                  </w14:solidFill>
                </w14:textFill>
              </w:rPr>
              <w:t>3</w:t>
            </w:r>
            <w:r>
              <w:rPr>
                <w:rFonts w:cs="Times New Roman"/>
                <w:color w:val="000000" w:themeColor="text1"/>
                <w:szCs w:val="24"/>
                <w14:textFill>
                  <w14:solidFill>
                    <w14:schemeClr w14:val="tx1"/>
                  </w14:solidFill>
                </w14:textFill>
              </w:rPr>
              <w:t>/</w:t>
            </w:r>
            <w:r>
              <w:rPr>
                <w:rFonts w:hint="eastAsia" w:cs="Times New Roman"/>
                <w:color w:val="000000" w:themeColor="text1"/>
                <w:szCs w:val="24"/>
                <w14:textFill>
                  <w14:solidFill>
                    <w14:schemeClr w14:val="tx1"/>
                  </w14:solidFill>
                </w14:textFill>
              </w:rPr>
              <w:t>d，生产废水处理规模为</w:t>
            </w:r>
            <w:r>
              <w:rPr>
                <w:rFonts w:cs="Times New Roman"/>
                <w:color w:val="000000" w:themeColor="text1"/>
                <w:szCs w:val="24"/>
                <w14:textFill>
                  <w14:solidFill>
                    <w14:schemeClr w14:val="tx1"/>
                  </w14:solidFill>
                </w14:textFill>
              </w:rPr>
              <w:t>20</w:t>
            </w:r>
            <w:r>
              <w:rPr>
                <w:rFonts w:hint="eastAsia" w:cs="Times New Roman"/>
                <w:color w:val="000000" w:themeColor="text1"/>
                <w:szCs w:val="24"/>
                <w14:textFill>
                  <w14:solidFill>
                    <w14:schemeClr w14:val="tx1"/>
                  </w14:solidFill>
                </w14:textFill>
              </w:rPr>
              <w:t>m</w:t>
            </w:r>
            <w:r>
              <w:rPr>
                <w:rFonts w:cs="Times New Roman"/>
                <w:color w:val="000000" w:themeColor="text1"/>
                <w:szCs w:val="24"/>
                <w:vertAlign w:val="superscript"/>
                <w14:textFill>
                  <w14:solidFill>
                    <w14:schemeClr w14:val="tx1"/>
                  </w14:solidFill>
                </w14:textFill>
              </w:rPr>
              <w:t>3</w:t>
            </w:r>
            <w:r>
              <w:rPr>
                <w:rFonts w:cs="Times New Roman"/>
                <w:color w:val="000000" w:themeColor="text1"/>
                <w:szCs w:val="24"/>
                <w14:textFill>
                  <w14:solidFill>
                    <w14:schemeClr w14:val="tx1"/>
                  </w14:solidFill>
                </w14:textFill>
              </w:rPr>
              <w:t>/</w:t>
            </w:r>
            <w:r>
              <w:rPr>
                <w:rFonts w:hint="eastAsia" w:cs="Times New Roman"/>
                <w:color w:val="000000" w:themeColor="text1"/>
                <w:szCs w:val="24"/>
                <w14:textFill>
                  <w14:solidFill>
                    <w14:schemeClr w14:val="tx1"/>
                  </w14:solidFill>
                </w14:textFill>
              </w:rPr>
              <w:t>d，生化池处理规模为</w:t>
            </w:r>
            <w:r>
              <w:rPr>
                <w:rFonts w:cs="Times New Roman"/>
                <w:color w:val="000000" w:themeColor="text1"/>
                <w:szCs w:val="24"/>
                <w14:textFill>
                  <w14:solidFill>
                    <w14:schemeClr w14:val="tx1"/>
                  </w14:solidFill>
                </w14:textFill>
              </w:rPr>
              <w:t>50</w:t>
            </w:r>
            <w:r>
              <w:rPr>
                <w:rFonts w:hint="eastAsia" w:cs="Times New Roman"/>
                <w:color w:val="000000" w:themeColor="text1"/>
                <w:szCs w:val="24"/>
                <w14:textFill>
                  <w14:solidFill>
                    <w14:schemeClr w14:val="tx1"/>
                  </w14:solidFill>
                </w14:textFill>
              </w:rPr>
              <w:t>m</w:t>
            </w:r>
            <w:r>
              <w:rPr>
                <w:rFonts w:cs="Times New Roman"/>
                <w:color w:val="000000" w:themeColor="text1"/>
                <w:szCs w:val="24"/>
                <w:vertAlign w:val="superscript"/>
                <w14:textFill>
                  <w14:solidFill>
                    <w14:schemeClr w14:val="tx1"/>
                  </w14:solidFill>
                </w14:textFill>
              </w:rPr>
              <w:t>3</w:t>
            </w:r>
            <w:r>
              <w:rPr>
                <w:rFonts w:cs="Times New Roman"/>
                <w:color w:val="000000" w:themeColor="text1"/>
                <w:szCs w:val="24"/>
                <w14:textFill>
                  <w14:solidFill>
                    <w14:schemeClr w14:val="tx1"/>
                  </w14:solidFill>
                </w14:textFill>
              </w:rPr>
              <w:t>/</w:t>
            </w:r>
            <w:r>
              <w:rPr>
                <w:rFonts w:hint="eastAsia" w:cs="Times New Roman"/>
                <w:color w:val="000000" w:themeColor="text1"/>
                <w:szCs w:val="24"/>
                <w14:textFill>
                  <w14:solidFill>
                    <w14:schemeClr w14:val="tx1"/>
                  </w14:solidFill>
                </w14:textFill>
              </w:rPr>
              <w:t>d，处理规模满足要求。</w:t>
            </w:r>
          </w:p>
          <w:p>
            <w:pPr>
              <w:pStyle w:val="72"/>
              <w:ind w:firstLine="48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本项目水封罐更换废水产生量较少，经雾化处理后喷入二燃室燃烧处理，不外排，水封罐更换废水污染物为石油类，浓度较大适用于燃烧处理。因此，本项目水封罐更换废水喷入二燃室可行。</w:t>
            </w:r>
          </w:p>
          <w:p>
            <w:pPr>
              <w:pStyle w:val="72"/>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（2）污水处理厂依托合理性分析</w:t>
            </w:r>
          </w:p>
          <w:p>
            <w:pPr>
              <w:pStyle w:val="32"/>
              <w:spacing w:before="0" w:beforeAutospacing="0" w:after="0" w:afterAutospacing="0"/>
              <w:ind w:firstLine="480" w:firstLineChars="200"/>
              <w:jc w:val="both"/>
              <w:outlineLvl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根据调查，双桥工业园区污水处理厂位于邮亭镇天堂村，总设计规模为30000m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/d</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目前已建成规模为10000m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d，采用的工艺为改良卡式氧化沟工艺，出水执行《城镇污水处理厂污染物排放标准》（GB18918-2002）中一级A标准，处理后的尾水排入高洞子水库下的泄洪槽，再汇入苦水河。根据调查，该污水处理厂现状处理水量约3000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/d，富余处理能力</w:t>
            </w:r>
            <w:r>
              <w:rPr>
                <w:rFonts w:hint="eastAsia" w:ascii="Times New Roman" w:hAnsi="Times New Roman"/>
                <w:color w:val="000000" w:themeColor="text1"/>
                <w14:textFill>
                  <w14:solidFill>
                    <w14:schemeClr w14:val="tx1"/>
                  </w14:solidFill>
                </w14:textFill>
              </w:rPr>
              <w:t>7</w:t>
            </w:r>
            <w:r>
              <w:rPr>
                <w:rFonts w:ascii="Times New Roman" w:hAnsi="Times New Roman"/>
                <w:color w:val="000000" w:themeColor="text1"/>
                <w14:textFill>
                  <w14:solidFill>
                    <w14:schemeClr w14:val="tx1"/>
                  </w14:solidFill>
                </w14:textFill>
              </w:rPr>
              <w:t>000</w:t>
            </w:r>
            <w:r>
              <w:rPr>
                <w:rFonts w:hint="eastAsia" w:ascii="Times New Roman" w:hAnsi="Times New Roman"/>
                <w:color w:val="000000" w:themeColor="text1"/>
                <w14:textFill>
                  <w14:solidFill>
                    <w14:schemeClr w14:val="tx1"/>
                  </w14:solidFill>
                </w14:textFill>
              </w:rPr>
              <w:t>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d，</w:t>
            </w:r>
            <w:r>
              <w:rPr>
                <w:rFonts w:ascii="Times New Roman" w:hAnsi="Times New Roman"/>
                <w:color w:val="000000" w:themeColor="text1"/>
                <w14:textFill>
                  <w14:solidFill>
                    <w14:schemeClr w14:val="tx1"/>
                  </w14:solidFill>
                </w14:textFill>
              </w:rPr>
              <w:t>目前该污水处理厂运行良好。</w:t>
            </w:r>
          </w:p>
          <w:p>
            <w:pPr>
              <w:pStyle w:val="72"/>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w:t>
            </w:r>
            <w:r>
              <w:rPr>
                <w:rFonts w:cs="Times New Roman"/>
                <w:color w:val="000000" w:themeColor="text1"/>
                <w14:textFill>
                  <w14:solidFill>
                    <w14:schemeClr w14:val="tx1"/>
                  </w14:solidFill>
                </w14:textFill>
              </w:rPr>
              <w:t>位于邮亭镇，属于</w:t>
            </w:r>
            <w:r>
              <w:rPr>
                <w:rFonts w:cs="Times New Roman"/>
                <w:color w:val="000000" w:themeColor="text1"/>
                <w:szCs w:val="24"/>
                <w14:textFill>
                  <w14:solidFill>
                    <w14:schemeClr w14:val="tx1"/>
                  </w14:solidFill>
                </w14:textFill>
              </w:rPr>
              <w:t>双桥园区污水处理厂</w:t>
            </w:r>
            <w:r>
              <w:rPr>
                <w:rFonts w:cs="Times New Roman"/>
                <w:color w:val="000000" w:themeColor="text1"/>
                <w14:textFill>
                  <w14:solidFill>
                    <w14:schemeClr w14:val="tx1"/>
                  </w14:solidFill>
                </w14:textFill>
              </w:rPr>
              <w:t>的服务范围，且周边污水管网已建成并已接入</w:t>
            </w:r>
            <w:r>
              <w:rPr>
                <w:rFonts w:cs="Times New Roman"/>
                <w:color w:val="000000" w:themeColor="text1"/>
                <w:szCs w:val="24"/>
                <w14:textFill>
                  <w14:solidFill>
                    <w14:schemeClr w14:val="tx1"/>
                  </w14:solidFill>
                </w14:textFill>
              </w:rPr>
              <w:t>双桥园区污水处理厂</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本项目综合废水排放量</w:t>
            </w:r>
            <w:r>
              <w:rPr>
                <w:rFonts w:cs="Times New Roman"/>
                <w:color w:val="000000" w:themeColor="text1"/>
                <w14:textFill>
                  <w14:solidFill>
                    <w14:schemeClr w14:val="tx1"/>
                  </w14:solidFill>
                </w14:textFill>
              </w:rPr>
              <w:t>40.92m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w:t>
            </w:r>
            <w:r>
              <w:rPr>
                <w:rFonts w:hint="eastAsia"/>
                <w:color w:val="000000" w:themeColor="text1"/>
                <w14:textFill>
                  <w14:solidFill>
                    <w14:schemeClr w14:val="tx1"/>
                  </w14:solidFill>
                </w14:textFill>
              </w:rPr>
              <w:t>废水</w:t>
            </w:r>
            <w:r>
              <w:rPr>
                <w:color w:val="000000" w:themeColor="text1"/>
                <w14:textFill>
                  <w14:solidFill>
                    <w14:schemeClr w14:val="tx1"/>
                  </w14:solidFill>
                </w14:textFill>
              </w:rPr>
              <w:t>排放量小，成分简单，不</w:t>
            </w:r>
            <w:r>
              <w:rPr>
                <w:rFonts w:hint="eastAsia"/>
                <w:color w:val="000000" w:themeColor="text1"/>
                <w:lang w:val="en-US" w:eastAsia="zh-CN"/>
                <w14:textFill>
                  <w14:solidFill>
                    <w14:schemeClr w14:val="tx1"/>
                  </w14:solidFill>
                </w14:textFill>
              </w:rPr>
              <w:t>会</w:t>
            </w:r>
            <w:r>
              <w:rPr>
                <w:color w:val="000000" w:themeColor="text1"/>
                <w14:textFill>
                  <w14:solidFill>
                    <w14:schemeClr w14:val="tx1"/>
                  </w14:solidFill>
                </w14:textFill>
              </w:rPr>
              <w:t>对园区污水处理厂造成冲击负荷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由以上分析可知，</w:t>
            </w:r>
            <w:r>
              <w:rPr>
                <w:rFonts w:hint="eastAsia"/>
                <w:color w:val="000000" w:themeColor="text1"/>
                <w14:textFill>
                  <w14:solidFill>
                    <w14:schemeClr w14:val="tx1"/>
                  </w14:solidFill>
                </w14:textFill>
              </w:rPr>
              <w:t>双桥工业园区污水处理厂</w:t>
            </w:r>
            <w:r>
              <w:rPr>
                <w:color w:val="000000" w:themeColor="text1"/>
                <w14:textFill>
                  <w14:solidFill>
                    <w14:schemeClr w14:val="tx1"/>
                  </w14:solidFill>
                </w14:textFill>
              </w:rPr>
              <w:t>服务范围、管网敷设、处理容量和处理能力等均能满足</w:t>
            </w: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项目排水要求。</w:t>
            </w: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项目废污水经预处理后从水质、水量等方面分析，接入</w:t>
            </w:r>
            <w:r>
              <w:rPr>
                <w:rFonts w:hint="eastAsia"/>
                <w:color w:val="000000" w:themeColor="text1"/>
                <w14:textFill>
                  <w14:solidFill>
                    <w14:schemeClr w14:val="tx1"/>
                  </w14:solidFill>
                </w14:textFill>
              </w:rPr>
              <w:t>双桥</w:t>
            </w:r>
            <w:r>
              <w:rPr>
                <w:color w:val="000000" w:themeColor="text1"/>
                <w14:textFill>
                  <w14:solidFill>
                    <w14:schemeClr w14:val="tx1"/>
                  </w14:solidFill>
                </w14:textFill>
              </w:rPr>
              <w:t>园区污水处理厂集中处理是可行的，不会对污水处理厂造成冲击。</w:t>
            </w:r>
          </w:p>
          <w:p>
            <w:pPr>
              <w:pStyle w:val="7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综上，本项目生活污水排入双桥园区污水处理厂可行。</w:t>
            </w:r>
          </w:p>
          <w:p>
            <w:pPr>
              <w:pStyle w:val="72"/>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3</w:t>
            </w:r>
            <w:r>
              <w:rPr>
                <w:rFonts w:hint="eastAsia" w:cs="Times New Roman"/>
                <w:b/>
                <w:color w:val="000000" w:themeColor="text1"/>
                <w14:textFill>
                  <w14:solidFill>
                    <w14:schemeClr w14:val="tx1"/>
                  </w14:solidFill>
                </w14:textFill>
              </w:rPr>
              <w:t>、</w:t>
            </w:r>
            <w:r>
              <w:rPr>
                <w:rFonts w:cs="Times New Roman"/>
                <w:b/>
                <w:color w:val="000000" w:themeColor="text1"/>
                <w14:textFill>
                  <w14:solidFill>
                    <w14:schemeClr w14:val="tx1"/>
                  </w14:solidFill>
                </w14:textFill>
              </w:rPr>
              <w:t>废水</w:t>
            </w:r>
            <w:r>
              <w:rPr>
                <w:rFonts w:hint="eastAsia" w:cs="Times New Roman"/>
                <w:b/>
                <w:color w:val="000000" w:themeColor="text1"/>
                <w14:textFill>
                  <w14:solidFill>
                    <w14:schemeClr w14:val="tx1"/>
                  </w14:solidFill>
                </w14:textFill>
              </w:rPr>
              <w:t>达标排放分析</w:t>
            </w:r>
          </w:p>
          <w:p>
            <w:pPr>
              <w:pStyle w:val="13"/>
              <w:autoSpaceDE w:val="0"/>
              <w:autoSpaceDN w:val="0"/>
              <w:adjustRightInd w:val="0"/>
              <w:spacing w:line="240" w:lineRule="auto"/>
              <w:textAlignment w:val="baseline"/>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表4</w:t>
            </w:r>
            <w:r>
              <w:rPr>
                <w:rFonts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b/>
                <w:bCs/>
                <w:color w:val="000000" w:themeColor="text1"/>
                <w:sz w:val="24"/>
                <w:szCs w:val="24"/>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16</w:t>
            </w:r>
            <w:r>
              <w:rPr>
                <w:rFonts w:hint="eastAsia" w:ascii="Times New Roman" w:hAnsi="Times New Roman" w:eastAsia="宋体" w:cs="Times New Roman"/>
                <w:b/>
                <w:bCs/>
                <w:color w:val="000000" w:themeColor="text1"/>
                <w:sz w:val="24"/>
                <w:szCs w:val="24"/>
                <w14:textFill>
                  <w14:solidFill>
                    <w14:schemeClr w14:val="tx1"/>
                  </w14:solidFill>
                </w14:textFill>
              </w:rPr>
              <w:t xml:space="preserve">  废水排放口达标排放分析表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899"/>
              <w:gridCol w:w="1084"/>
              <w:gridCol w:w="987"/>
              <w:gridCol w:w="979"/>
              <w:gridCol w:w="1301"/>
              <w:gridCol w:w="2130"/>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9" w:type="dxa"/>
                  <w:vMerge w:val="restart"/>
                  <w:vAlign w:val="center"/>
                </w:tcPr>
                <w:p>
                  <w:pPr>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w:t>
                  </w:r>
                  <w:r>
                    <w:rPr>
                      <w:rFonts w:hint="eastAsia"/>
                      <w:b/>
                      <w:bCs/>
                      <w:color w:val="000000" w:themeColor="text1"/>
                      <w:szCs w:val="21"/>
                      <w14:textFill>
                        <w14:solidFill>
                          <w14:schemeClr w14:val="tx1"/>
                        </w14:solidFill>
                      </w14:textFill>
                    </w:rPr>
                    <w:t>水</w:t>
                  </w:r>
                  <w:r>
                    <w:rPr>
                      <w:b/>
                      <w:bCs/>
                      <w:color w:val="000000" w:themeColor="text1"/>
                      <w:szCs w:val="21"/>
                      <w14:textFill>
                        <w14:solidFill>
                          <w14:schemeClr w14:val="tx1"/>
                        </w14:solidFill>
                      </w14:textFill>
                    </w:rPr>
                    <w:t>排放口编号</w:t>
                  </w:r>
                </w:p>
              </w:tc>
              <w:tc>
                <w:tcPr>
                  <w:tcW w:w="899" w:type="dxa"/>
                  <w:vMerge w:val="restart"/>
                  <w:vAlign w:val="center"/>
                </w:tcPr>
                <w:p>
                  <w:pPr>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排放废水量m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/a</w:t>
                  </w:r>
                </w:p>
              </w:tc>
              <w:tc>
                <w:tcPr>
                  <w:tcW w:w="3050" w:type="dxa"/>
                  <w:gridSpan w:val="3"/>
                  <w:tcBorders>
                    <w:bottom w:val="single" w:color="auto" w:sz="4" w:space="0"/>
                  </w:tcBorders>
                  <w:vAlign w:val="center"/>
                </w:tcPr>
                <w:p>
                  <w:pPr>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排放量</w:t>
                  </w:r>
                </w:p>
              </w:tc>
              <w:tc>
                <w:tcPr>
                  <w:tcW w:w="3244" w:type="dxa"/>
                  <w:gridSpan w:val="2"/>
                  <w:tcBorders>
                    <w:bottom w:val="single" w:color="auto" w:sz="4" w:space="0"/>
                  </w:tcBorders>
                  <w:vAlign w:val="center"/>
                </w:tcPr>
                <w:p>
                  <w:pPr>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排放标准</w:t>
                  </w:r>
                </w:p>
              </w:tc>
              <w:tc>
                <w:tcPr>
                  <w:tcW w:w="676" w:type="dxa"/>
                  <w:vMerge w:val="restart"/>
                  <w:vAlign w:val="center"/>
                </w:tcPr>
                <w:p>
                  <w:pPr>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9" w:type="dxa"/>
                  <w:vMerge w:val="continue"/>
                  <w:vAlign w:val="center"/>
                </w:tcPr>
                <w:p>
                  <w:pPr>
                    <w:spacing w:line="240" w:lineRule="auto"/>
                    <w:jc w:val="center"/>
                    <w:rPr>
                      <w:b/>
                      <w:color w:val="000000" w:themeColor="text1"/>
                      <w:szCs w:val="21"/>
                      <w14:textFill>
                        <w14:solidFill>
                          <w14:schemeClr w14:val="tx1"/>
                        </w14:solidFill>
                      </w14:textFill>
                    </w:rPr>
                  </w:pPr>
                </w:p>
              </w:tc>
              <w:tc>
                <w:tcPr>
                  <w:tcW w:w="899" w:type="dxa"/>
                  <w:vMerge w:val="continue"/>
                  <w:vAlign w:val="center"/>
                </w:tcPr>
                <w:p>
                  <w:pPr>
                    <w:spacing w:line="240" w:lineRule="auto"/>
                    <w:jc w:val="center"/>
                    <w:rPr>
                      <w:b/>
                      <w:bCs/>
                      <w:color w:val="000000" w:themeColor="text1"/>
                      <w:szCs w:val="21"/>
                      <w14:textFill>
                        <w14:solidFill>
                          <w14:schemeClr w14:val="tx1"/>
                        </w14:solidFill>
                      </w14:textFill>
                    </w:rPr>
                  </w:pPr>
                </w:p>
              </w:tc>
              <w:tc>
                <w:tcPr>
                  <w:tcW w:w="1084" w:type="dxa"/>
                  <w:vAlign w:val="center"/>
                </w:tcPr>
                <w:p>
                  <w:pPr>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w:t>
                  </w:r>
                </w:p>
                <w:p>
                  <w:pPr>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因子</w:t>
                  </w:r>
                </w:p>
              </w:tc>
              <w:tc>
                <w:tcPr>
                  <w:tcW w:w="987" w:type="dxa"/>
                  <w:vAlign w:val="center"/>
                </w:tcPr>
                <w:p>
                  <w:pPr>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排放浓度mg/m</w:t>
                  </w:r>
                  <w:r>
                    <w:rPr>
                      <w:b/>
                      <w:bCs/>
                      <w:color w:val="000000" w:themeColor="text1"/>
                      <w:szCs w:val="21"/>
                      <w:vertAlign w:val="superscript"/>
                      <w14:textFill>
                        <w14:solidFill>
                          <w14:schemeClr w14:val="tx1"/>
                        </w14:solidFill>
                      </w14:textFill>
                    </w:rPr>
                    <w:t>3</w:t>
                  </w:r>
                </w:p>
              </w:tc>
              <w:tc>
                <w:tcPr>
                  <w:tcW w:w="979" w:type="dxa"/>
                  <w:vAlign w:val="center"/>
                </w:tcPr>
                <w:p>
                  <w:pPr>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排放量t/a</w:t>
                  </w:r>
                </w:p>
              </w:tc>
              <w:tc>
                <w:tcPr>
                  <w:tcW w:w="1301" w:type="dxa"/>
                  <w:vAlign w:val="center"/>
                </w:tcPr>
                <w:p>
                  <w:pPr>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w:t>
                  </w:r>
                </w:p>
                <w:p>
                  <w:pPr>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限值mg/m</w:t>
                  </w:r>
                  <w:r>
                    <w:rPr>
                      <w:b/>
                      <w:bCs/>
                      <w:color w:val="000000" w:themeColor="text1"/>
                      <w:szCs w:val="21"/>
                      <w:vertAlign w:val="superscript"/>
                      <w14:textFill>
                        <w14:solidFill>
                          <w14:schemeClr w14:val="tx1"/>
                        </w14:solidFill>
                      </w14:textFill>
                    </w:rPr>
                    <w:t>3</w:t>
                  </w:r>
                </w:p>
              </w:tc>
              <w:tc>
                <w:tcPr>
                  <w:tcW w:w="1943" w:type="dxa"/>
                  <w:vAlign w:val="center"/>
                </w:tcPr>
                <w:p>
                  <w:pPr>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标准文号</w:t>
                  </w:r>
                </w:p>
              </w:tc>
              <w:tc>
                <w:tcPr>
                  <w:tcW w:w="676" w:type="dxa"/>
                  <w:vMerge w:val="continue"/>
                  <w:vAlign w:val="center"/>
                </w:tcPr>
                <w:p>
                  <w:pPr>
                    <w:spacing w:line="240" w:lineRule="auto"/>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9" w:type="dxa"/>
                  <w:vMerge w:val="restart"/>
                  <w:vAlign w:val="center"/>
                </w:tcPr>
                <w:p>
                  <w:pPr>
                    <w:spacing w:line="240"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DW001</w:t>
                  </w:r>
                </w:p>
              </w:tc>
              <w:tc>
                <w:tcPr>
                  <w:tcW w:w="899" w:type="dxa"/>
                  <w:vMerge w:val="restart"/>
                  <w:vAlign w:val="center"/>
                </w:tcPr>
                <w:p>
                  <w:pPr>
                    <w:spacing w:line="240" w:lineRule="auto"/>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9299.03</w:t>
                  </w:r>
                </w:p>
              </w:tc>
              <w:tc>
                <w:tcPr>
                  <w:tcW w:w="1084"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w:t>
                  </w:r>
                  <w:r>
                    <w:rPr>
                      <w:color w:val="000000" w:themeColor="text1"/>
                      <w:szCs w:val="21"/>
                      <w14:textFill>
                        <w14:solidFill>
                          <w14:schemeClr w14:val="tx1"/>
                        </w14:solidFill>
                      </w14:textFill>
                    </w:rPr>
                    <w:t>H</w:t>
                  </w:r>
                </w:p>
              </w:tc>
              <w:tc>
                <w:tcPr>
                  <w:tcW w:w="987" w:type="dxa"/>
                  <w:vAlign w:val="center"/>
                </w:tcPr>
                <w:p>
                  <w:pPr>
                    <w:spacing w:line="240" w:lineRule="auto"/>
                    <w:jc w:val="center"/>
                    <w:rPr>
                      <w:rFonts w:eastAsia="等线"/>
                      <w:color w:val="000000" w:themeColor="text1"/>
                      <w:kern w:val="0"/>
                      <w:szCs w:val="21"/>
                      <w14:textFill>
                        <w14:solidFill>
                          <w14:schemeClr w14:val="tx1"/>
                        </w14:solidFill>
                      </w14:textFill>
                    </w:rPr>
                  </w:pPr>
                  <w:r>
                    <w:rPr>
                      <w:rFonts w:hint="eastAsia" w:eastAsia="等线"/>
                      <w:color w:val="000000" w:themeColor="text1"/>
                      <w:kern w:val="0"/>
                      <w:szCs w:val="21"/>
                      <w14:textFill>
                        <w14:solidFill>
                          <w14:schemeClr w14:val="tx1"/>
                        </w14:solidFill>
                      </w14:textFill>
                    </w:rPr>
                    <w:t>6~</w:t>
                  </w:r>
                  <w:r>
                    <w:rPr>
                      <w:rFonts w:eastAsia="等线"/>
                      <w:color w:val="000000" w:themeColor="text1"/>
                      <w:kern w:val="0"/>
                      <w:szCs w:val="21"/>
                      <w14:textFill>
                        <w14:solidFill>
                          <w14:schemeClr w14:val="tx1"/>
                        </w14:solidFill>
                      </w14:textFill>
                    </w:rPr>
                    <w:t>9</w:t>
                  </w:r>
                  <w:r>
                    <w:rPr>
                      <w:rFonts w:hint="eastAsia" w:eastAsia="等线"/>
                      <w:color w:val="000000" w:themeColor="text1"/>
                      <w:kern w:val="0"/>
                      <w:szCs w:val="21"/>
                      <w14:textFill>
                        <w14:solidFill>
                          <w14:schemeClr w14:val="tx1"/>
                        </w14:solidFill>
                      </w14:textFill>
                    </w:rPr>
                    <w:t>（无量纲）</w:t>
                  </w:r>
                </w:p>
              </w:tc>
              <w:tc>
                <w:tcPr>
                  <w:tcW w:w="979" w:type="dxa"/>
                  <w:vAlign w:val="center"/>
                </w:tcPr>
                <w:p>
                  <w:pPr>
                    <w:spacing w:line="240" w:lineRule="auto"/>
                    <w:jc w:val="center"/>
                    <w:rPr>
                      <w:rFonts w:eastAsia="等线"/>
                      <w:color w:val="000000" w:themeColor="text1"/>
                      <w:kern w:val="0"/>
                      <w:szCs w:val="21"/>
                      <w14:textFill>
                        <w14:solidFill>
                          <w14:schemeClr w14:val="tx1"/>
                        </w14:solidFill>
                      </w14:textFill>
                    </w:rPr>
                  </w:pPr>
                  <w:r>
                    <w:rPr>
                      <w:rFonts w:hint="eastAsia" w:eastAsia="等线"/>
                      <w:color w:val="000000" w:themeColor="text1"/>
                      <w:kern w:val="0"/>
                      <w:szCs w:val="21"/>
                      <w14:textFill>
                        <w14:solidFill>
                          <w14:schemeClr w14:val="tx1"/>
                        </w14:solidFill>
                      </w14:textFill>
                    </w:rPr>
                    <w:t>/</w:t>
                  </w:r>
                </w:p>
              </w:tc>
              <w:tc>
                <w:tcPr>
                  <w:tcW w:w="1301" w:type="dxa"/>
                  <w:vAlign w:val="center"/>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w:t>
                  </w:r>
                  <w:r>
                    <w:rPr>
                      <w:bCs/>
                      <w:color w:val="000000" w:themeColor="text1"/>
                      <w:szCs w:val="21"/>
                      <w14:textFill>
                        <w14:solidFill>
                          <w14:schemeClr w14:val="tx1"/>
                        </w14:solidFill>
                      </w14:textFill>
                    </w:rPr>
                    <w:t>9</w:t>
                  </w:r>
                </w:p>
              </w:tc>
              <w:tc>
                <w:tcPr>
                  <w:tcW w:w="1943" w:type="dxa"/>
                  <w:vMerge w:val="restart"/>
                  <w:vAlign w:val="center"/>
                </w:tcPr>
                <w:p>
                  <w:pPr>
                    <w:spacing w:line="240"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《污水综合排放标准》（GB8978-1996）三级标准</w:t>
                  </w:r>
                  <w:r>
                    <w:rPr>
                      <w:rFonts w:hint="eastAsia"/>
                      <w:bCs/>
                      <w:color w:val="000000" w:themeColor="text1"/>
                      <w:szCs w:val="21"/>
                      <w14:textFill>
                        <w14:solidFill>
                          <w14:schemeClr w14:val="tx1"/>
                        </w14:solidFill>
                      </w14:textFill>
                    </w:rPr>
                    <w:t>（石油类达到《石油化学工业污染物排放标准》（GB31571-2015）间接排放标准，氨氮、总磷达到《污水排入城镇下水道水质标准》（GB/T31962-2015）B等级标准）</w:t>
                  </w:r>
                </w:p>
              </w:tc>
              <w:tc>
                <w:tcPr>
                  <w:tcW w:w="676" w:type="dxa"/>
                  <w:vAlign w:val="center"/>
                </w:tcPr>
                <w:p>
                  <w:pPr>
                    <w:spacing w:line="240"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9" w:type="dxa"/>
                  <w:vMerge w:val="continue"/>
                  <w:vAlign w:val="center"/>
                </w:tcPr>
                <w:p>
                  <w:pPr>
                    <w:spacing w:line="240" w:lineRule="auto"/>
                    <w:jc w:val="center"/>
                    <w:rPr>
                      <w:bCs/>
                      <w:color w:val="000000" w:themeColor="text1"/>
                      <w:szCs w:val="21"/>
                      <w14:textFill>
                        <w14:solidFill>
                          <w14:schemeClr w14:val="tx1"/>
                        </w14:solidFill>
                      </w14:textFill>
                    </w:rPr>
                  </w:pPr>
                </w:p>
              </w:tc>
              <w:tc>
                <w:tcPr>
                  <w:tcW w:w="899" w:type="dxa"/>
                  <w:vMerge w:val="continue"/>
                  <w:vAlign w:val="center"/>
                </w:tcPr>
                <w:p>
                  <w:pPr>
                    <w:spacing w:line="240" w:lineRule="auto"/>
                    <w:jc w:val="center"/>
                    <w:rPr>
                      <w:color w:val="000000" w:themeColor="text1"/>
                      <w:szCs w:val="21"/>
                      <w14:textFill>
                        <w14:solidFill>
                          <w14:schemeClr w14:val="tx1"/>
                        </w14:solidFill>
                      </w14:textFill>
                    </w:rPr>
                  </w:pPr>
                </w:p>
              </w:tc>
              <w:tc>
                <w:tcPr>
                  <w:tcW w:w="1084"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OD</w:t>
                  </w:r>
                </w:p>
              </w:tc>
              <w:tc>
                <w:tcPr>
                  <w:tcW w:w="987" w:type="dxa"/>
                  <w:vAlign w:val="center"/>
                </w:tcPr>
                <w:p>
                  <w:pPr>
                    <w:spacing w:line="240" w:lineRule="auto"/>
                    <w:jc w:val="center"/>
                    <w:rPr>
                      <w:rFonts w:eastAsia="等线"/>
                      <w:color w:val="000000" w:themeColor="text1"/>
                      <w:kern w:val="0"/>
                      <w:szCs w:val="21"/>
                      <w14:textFill>
                        <w14:solidFill>
                          <w14:schemeClr w14:val="tx1"/>
                        </w14:solidFill>
                      </w14:textFill>
                    </w:rPr>
                  </w:pPr>
                  <w:r>
                    <w:rPr>
                      <w:rFonts w:hint="eastAsia" w:eastAsia="等线"/>
                      <w:color w:val="000000" w:themeColor="text1"/>
                      <w:kern w:val="0"/>
                      <w:szCs w:val="21"/>
                      <w14:textFill>
                        <w14:solidFill>
                          <w14:schemeClr w14:val="tx1"/>
                        </w14:solidFill>
                      </w14:textFill>
                    </w:rPr>
                    <w:t>1</w:t>
                  </w:r>
                  <w:r>
                    <w:rPr>
                      <w:rFonts w:eastAsia="等线"/>
                      <w:color w:val="000000" w:themeColor="text1"/>
                      <w:kern w:val="0"/>
                      <w:szCs w:val="21"/>
                      <w14:textFill>
                        <w14:solidFill>
                          <w14:schemeClr w14:val="tx1"/>
                        </w14:solidFill>
                      </w14:textFill>
                    </w:rPr>
                    <w:t>50</w:t>
                  </w:r>
                </w:p>
              </w:tc>
              <w:tc>
                <w:tcPr>
                  <w:tcW w:w="979" w:type="dxa"/>
                  <w:vAlign w:val="center"/>
                </w:tcPr>
                <w:p>
                  <w:pPr>
                    <w:spacing w:line="240" w:lineRule="auto"/>
                    <w:jc w:val="center"/>
                    <w:rPr>
                      <w:rFonts w:eastAsia="等线"/>
                      <w:color w:val="000000" w:themeColor="text1"/>
                      <w:kern w:val="0"/>
                      <w:szCs w:val="21"/>
                      <w14:textFill>
                        <w14:solidFill>
                          <w14:schemeClr w14:val="tx1"/>
                        </w14:solidFill>
                      </w14:textFill>
                    </w:rPr>
                  </w:pPr>
                  <w:r>
                    <w:rPr>
                      <w:rFonts w:hint="eastAsia" w:eastAsia="等线"/>
                      <w:color w:val="000000" w:themeColor="text1"/>
                      <w:kern w:val="0"/>
                      <w:szCs w:val="21"/>
                      <w14:textFill>
                        <w14:solidFill>
                          <w14:schemeClr w14:val="tx1"/>
                        </w14:solidFill>
                      </w14:textFill>
                    </w:rPr>
                    <w:t>1</w:t>
                  </w:r>
                  <w:r>
                    <w:rPr>
                      <w:rFonts w:eastAsia="等线"/>
                      <w:color w:val="000000" w:themeColor="text1"/>
                      <w:kern w:val="0"/>
                      <w:szCs w:val="21"/>
                      <w14:textFill>
                        <w14:solidFill>
                          <w14:schemeClr w14:val="tx1"/>
                        </w14:solidFill>
                      </w14:textFill>
                    </w:rPr>
                    <w:t>.395</w:t>
                  </w:r>
                </w:p>
              </w:tc>
              <w:tc>
                <w:tcPr>
                  <w:tcW w:w="1301" w:type="dxa"/>
                  <w:vAlign w:val="center"/>
                </w:tcPr>
                <w:p>
                  <w:pPr>
                    <w:spacing w:line="240" w:lineRule="auto"/>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943" w:type="dxa"/>
                  <w:vMerge w:val="continue"/>
                  <w:vAlign w:val="center"/>
                </w:tcPr>
                <w:p>
                  <w:pPr>
                    <w:spacing w:line="240" w:lineRule="auto"/>
                    <w:jc w:val="center"/>
                    <w:rPr>
                      <w:bCs/>
                      <w:color w:val="000000" w:themeColor="text1"/>
                      <w:szCs w:val="21"/>
                      <w14:textFill>
                        <w14:solidFill>
                          <w14:schemeClr w14:val="tx1"/>
                        </w14:solidFill>
                      </w14:textFill>
                    </w:rPr>
                  </w:pPr>
                </w:p>
              </w:tc>
              <w:tc>
                <w:tcPr>
                  <w:tcW w:w="676" w:type="dxa"/>
                  <w:vAlign w:val="center"/>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9" w:type="dxa"/>
                  <w:vMerge w:val="continue"/>
                  <w:vAlign w:val="center"/>
                </w:tcPr>
                <w:p>
                  <w:pPr>
                    <w:spacing w:line="240" w:lineRule="auto"/>
                    <w:jc w:val="center"/>
                    <w:rPr>
                      <w:bCs/>
                      <w:color w:val="000000" w:themeColor="text1"/>
                      <w:szCs w:val="21"/>
                      <w14:textFill>
                        <w14:solidFill>
                          <w14:schemeClr w14:val="tx1"/>
                        </w14:solidFill>
                      </w14:textFill>
                    </w:rPr>
                  </w:pPr>
                </w:p>
              </w:tc>
              <w:tc>
                <w:tcPr>
                  <w:tcW w:w="899" w:type="dxa"/>
                  <w:vMerge w:val="continue"/>
                  <w:vAlign w:val="center"/>
                </w:tcPr>
                <w:p>
                  <w:pPr>
                    <w:spacing w:line="240" w:lineRule="auto"/>
                    <w:jc w:val="center"/>
                    <w:rPr>
                      <w:bCs/>
                      <w:color w:val="000000" w:themeColor="text1"/>
                      <w:szCs w:val="21"/>
                      <w14:textFill>
                        <w14:solidFill>
                          <w14:schemeClr w14:val="tx1"/>
                        </w14:solidFill>
                      </w14:textFill>
                    </w:rPr>
                  </w:pPr>
                </w:p>
              </w:tc>
              <w:tc>
                <w:tcPr>
                  <w:tcW w:w="1084"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w:t>
                  </w:r>
                  <w:r>
                    <w:rPr>
                      <w:color w:val="000000" w:themeColor="text1"/>
                      <w:szCs w:val="21"/>
                      <w14:textFill>
                        <w14:solidFill>
                          <w14:schemeClr w14:val="tx1"/>
                        </w14:solidFill>
                      </w14:textFill>
                    </w:rPr>
                    <w:t>OD</w:t>
                  </w:r>
                  <w:r>
                    <w:rPr>
                      <w:color w:val="000000" w:themeColor="text1"/>
                      <w:szCs w:val="21"/>
                      <w:vertAlign w:val="subscript"/>
                      <w14:textFill>
                        <w14:solidFill>
                          <w14:schemeClr w14:val="tx1"/>
                        </w14:solidFill>
                      </w14:textFill>
                    </w:rPr>
                    <w:t>5</w:t>
                  </w:r>
                </w:p>
              </w:tc>
              <w:tc>
                <w:tcPr>
                  <w:tcW w:w="987" w:type="dxa"/>
                  <w:vAlign w:val="center"/>
                </w:tcPr>
                <w:p>
                  <w:pPr>
                    <w:spacing w:line="240" w:lineRule="auto"/>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30</w:t>
                  </w:r>
                </w:p>
              </w:tc>
              <w:tc>
                <w:tcPr>
                  <w:tcW w:w="979"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.279</w:t>
                  </w:r>
                </w:p>
              </w:tc>
              <w:tc>
                <w:tcPr>
                  <w:tcW w:w="1301" w:type="dxa"/>
                  <w:vAlign w:val="center"/>
                </w:tcPr>
                <w:p>
                  <w:pPr>
                    <w:spacing w:line="240" w:lineRule="auto"/>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1943" w:type="dxa"/>
                  <w:vMerge w:val="continue"/>
                  <w:vAlign w:val="center"/>
                </w:tcPr>
                <w:p>
                  <w:pPr>
                    <w:spacing w:line="240" w:lineRule="auto"/>
                    <w:jc w:val="center"/>
                    <w:rPr>
                      <w:bCs/>
                      <w:color w:val="000000" w:themeColor="text1"/>
                      <w:szCs w:val="21"/>
                      <w14:textFill>
                        <w14:solidFill>
                          <w14:schemeClr w14:val="tx1"/>
                        </w14:solidFill>
                      </w14:textFill>
                    </w:rPr>
                  </w:pPr>
                </w:p>
              </w:tc>
              <w:tc>
                <w:tcPr>
                  <w:tcW w:w="676" w:type="dxa"/>
                  <w:vAlign w:val="center"/>
                </w:tcPr>
                <w:p>
                  <w:pPr>
                    <w:spacing w:line="240"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9" w:type="dxa"/>
                  <w:vMerge w:val="continue"/>
                  <w:vAlign w:val="center"/>
                </w:tcPr>
                <w:p>
                  <w:pPr>
                    <w:spacing w:line="240" w:lineRule="auto"/>
                    <w:jc w:val="center"/>
                    <w:rPr>
                      <w:bCs/>
                      <w:color w:val="000000" w:themeColor="text1"/>
                      <w:szCs w:val="21"/>
                      <w14:textFill>
                        <w14:solidFill>
                          <w14:schemeClr w14:val="tx1"/>
                        </w14:solidFill>
                      </w14:textFill>
                    </w:rPr>
                  </w:pPr>
                </w:p>
              </w:tc>
              <w:tc>
                <w:tcPr>
                  <w:tcW w:w="899" w:type="dxa"/>
                  <w:vMerge w:val="continue"/>
                  <w:vAlign w:val="center"/>
                </w:tcPr>
                <w:p>
                  <w:pPr>
                    <w:spacing w:line="240" w:lineRule="auto"/>
                    <w:jc w:val="center"/>
                    <w:rPr>
                      <w:bCs/>
                      <w:color w:val="000000" w:themeColor="text1"/>
                      <w:szCs w:val="21"/>
                      <w14:textFill>
                        <w14:solidFill>
                          <w14:schemeClr w14:val="tx1"/>
                        </w14:solidFill>
                      </w14:textFill>
                    </w:rPr>
                  </w:pPr>
                </w:p>
              </w:tc>
              <w:tc>
                <w:tcPr>
                  <w:tcW w:w="1084"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p>
              </w:tc>
              <w:tc>
                <w:tcPr>
                  <w:tcW w:w="987"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w:t>
                  </w:r>
                  <w:r>
                    <w:rPr>
                      <w:rFonts w:eastAsia="等线"/>
                      <w:color w:val="000000" w:themeColor="text1"/>
                      <w:szCs w:val="21"/>
                      <w14:textFill>
                        <w14:solidFill>
                          <w14:schemeClr w14:val="tx1"/>
                        </w14:solidFill>
                      </w14:textFill>
                    </w:rPr>
                    <w:t>00</w:t>
                  </w:r>
                </w:p>
              </w:tc>
              <w:tc>
                <w:tcPr>
                  <w:tcW w:w="979"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.930</w:t>
                  </w:r>
                </w:p>
              </w:tc>
              <w:tc>
                <w:tcPr>
                  <w:tcW w:w="1301" w:type="dxa"/>
                  <w:vAlign w:val="center"/>
                </w:tcPr>
                <w:p>
                  <w:pPr>
                    <w:spacing w:line="240" w:lineRule="auto"/>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r>
                    <w:rPr>
                      <w:color w:val="000000" w:themeColor="text1"/>
                      <w:szCs w:val="21"/>
                      <w14:textFill>
                        <w14:solidFill>
                          <w14:schemeClr w14:val="tx1"/>
                        </w14:solidFill>
                      </w14:textFill>
                    </w:rPr>
                    <w:t>0</w:t>
                  </w:r>
                </w:p>
              </w:tc>
              <w:tc>
                <w:tcPr>
                  <w:tcW w:w="1943" w:type="dxa"/>
                  <w:vMerge w:val="continue"/>
                  <w:vAlign w:val="center"/>
                </w:tcPr>
                <w:p>
                  <w:pPr>
                    <w:spacing w:line="240" w:lineRule="auto"/>
                    <w:jc w:val="center"/>
                    <w:rPr>
                      <w:bCs/>
                      <w:color w:val="000000" w:themeColor="text1"/>
                      <w:szCs w:val="21"/>
                      <w14:textFill>
                        <w14:solidFill>
                          <w14:schemeClr w14:val="tx1"/>
                        </w14:solidFill>
                      </w14:textFill>
                    </w:rPr>
                  </w:pPr>
                </w:p>
              </w:tc>
              <w:tc>
                <w:tcPr>
                  <w:tcW w:w="676" w:type="dxa"/>
                  <w:vAlign w:val="center"/>
                </w:tcPr>
                <w:p>
                  <w:pPr>
                    <w:spacing w:line="240"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9" w:type="dxa"/>
                  <w:vMerge w:val="continue"/>
                  <w:vAlign w:val="center"/>
                </w:tcPr>
                <w:p>
                  <w:pPr>
                    <w:spacing w:line="240" w:lineRule="auto"/>
                    <w:jc w:val="center"/>
                    <w:rPr>
                      <w:bCs/>
                      <w:color w:val="000000" w:themeColor="text1"/>
                      <w:szCs w:val="21"/>
                      <w14:textFill>
                        <w14:solidFill>
                          <w14:schemeClr w14:val="tx1"/>
                        </w14:solidFill>
                      </w14:textFill>
                    </w:rPr>
                  </w:pPr>
                </w:p>
              </w:tc>
              <w:tc>
                <w:tcPr>
                  <w:tcW w:w="899" w:type="dxa"/>
                  <w:vMerge w:val="continue"/>
                  <w:vAlign w:val="center"/>
                </w:tcPr>
                <w:p>
                  <w:pPr>
                    <w:spacing w:line="240" w:lineRule="auto"/>
                    <w:jc w:val="center"/>
                    <w:rPr>
                      <w:bCs/>
                      <w:color w:val="000000" w:themeColor="text1"/>
                      <w:szCs w:val="21"/>
                      <w14:textFill>
                        <w14:solidFill>
                          <w14:schemeClr w14:val="tx1"/>
                        </w14:solidFill>
                      </w14:textFill>
                    </w:rPr>
                  </w:pPr>
                </w:p>
              </w:tc>
              <w:tc>
                <w:tcPr>
                  <w:tcW w:w="1084"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987"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5</w:t>
                  </w:r>
                </w:p>
              </w:tc>
              <w:tc>
                <w:tcPr>
                  <w:tcW w:w="979"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.046</w:t>
                  </w:r>
                </w:p>
              </w:tc>
              <w:tc>
                <w:tcPr>
                  <w:tcW w:w="1301" w:type="dxa"/>
                  <w:vAlign w:val="center"/>
                </w:tcPr>
                <w:p>
                  <w:pPr>
                    <w:spacing w:line="240" w:lineRule="auto"/>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w:t>
                  </w:r>
                </w:p>
              </w:tc>
              <w:tc>
                <w:tcPr>
                  <w:tcW w:w="1943" w:type="dxa"/>
                  <w:vMerge w:val="continue"/>
                  <w:vAlign w:val="center"/>
                </w:tcPr>
                <w:p>
                  <w:pPr>
                    <w:spacing w:line="240" w:lineRule="auto"/>
                    <w:jc w:val="center"/>
                    <w:rPr>
                      <w:bCs/>
                      <w:color w:val="000000" w:themeColor="text1"/>
                      <w:szCs w:val="21"/>
                      <w14:textFill>
                        <w14:solidFill>
                          <w14:schemeClr w14:val="tx1"/>
                        </w14:solidFill>
                      </w14:textFill>
                    </w:rPr>
                  </w:pPr>
                </w:p>
              </w:tc>
              <w:tc>
                <w:tcPr>
                  <w:tcW w:w="676" w:type="dxa"/>
                  <w:vAlign w:val="center"/>
                </w:tcPr>
                <w:p>
                  <w:pPr>
                    <w:spacing w:line="240"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9" w:type="dxa"/>
                  <w:vMerge w:val="continue"/>
                  <w:vAlign w:val="center"/>
                </w:tcPr>
                <w:p>
                  <w:pPr>
                    <w:spacing w:line="240" w:lineRule="auto"/>
                    <w:jc w:val="center"/>
                    <w:rPr>
                      <w:bCs/>
                      <w:color w:val="000000" w:themeColor="text1"/>
                      <w:szCs w:val="21"/>
                      <w14:textFill>
                        <w14:solidFill>
                          <w14:schemeClr w14:val="tx1"/>
                        </w14:solidFill>
                      </w14:textFill>
                    </w:rPr>
                  </w:pPr>
                </w:p>
              </w:tc>
              <w:tc>
                <w:tcPr>
                  <w:tcW w:w="899" w:type="dxa"/>
                  <w:vMerge w:val="continue"/>
                  <w:vAlign w:val="center"/>
                </w:tcPr>
                <w:p>
                  <w:pPr>
                    <w:spacing w:line="240" w:lineRule="auto"/>
                    <w:jc w:val="center"/>
                    <w:rPr>
                      <w:bCs/>
                      <w:color w:val="000000" w:themeColor="text1"/>
                      <w:szCs w:val="21"/>
                      <w14:textFill>
                        <w14:solidFill>
                          <w14:schemeClr w14:val="tx1"/>
                        </w14:solidFill>
                      </w14:textFill>
                    </w:rPr>
                  </w:pPr>
                </w:p>
              </w:tc>
              <w:tc>
                <w:tcPr>
                  <w:tcW w:w="1084"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动植物油</w:t>
                  </w:r>
                </w:p>
              </w:tc>
              <w:tc>
                <w:tcPr>
                  <w:tcW w:w="987"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w:t>
                  </w:r>
                </w:p>
              </w:tc>
              <w:tc>
                <w:tcPr>
                  <w:tcW w:w="979"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.009</w:t>
                  </w:r>
                </w:p>
              </w:tc>
              <w:tc>
                <w:tcPr>
                  <w:tcW w:w="1301"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1943" w:type="dxa"/>
                  <w:vMerge w:val="continue"/>
                  <w:vAlign w:val="center"/>
                </w:tcPr>
                <w:p>
                  <w:pPr>
                    <w:spacing w:line="240" w:lineRule="auto"/>
                    <w:jc w:val="center"/>
                    <w:rPr>
                      <w:bCs/>
                      <w:color w:val="000000" w:themeColor="text1"/>
                      <w:szCs w:val="21"/>
                      <w14:textFill>
                        <w14:solidFill>
                          <w14:schemeClr w14:val="tx1"/>
                        </w14:solidFill>
                      </w14:textFill>
                    </w:rPr>
                  </w:pPr>
                </w:p>
              </w:tc>
              <w:tc>
                <w:tcPr>
                  <w:tcW w:w="676" w:type="dxa"/>
                  <w:vAlign w:val="center"/>
                </w:tcPr>
                <w:p>
                  <w:pPr>
                    <w:spacing w:line="240"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9" w:type="dxa"/>
                  <w:vMerge w:val="continue"/>
                  <w:vAlign w:val="center"/>
                </w:tcPr>
                <w:p>
                  <w:pPr>
                    <w:spacing w:line="240" w:lineRule="auto"/>
                    <w:jc w:val="center"/>
                    <w:rPr>
                      <w:bCs/>
                      <w:color w:val="000000" w:themeColor="text1"/>
                      <w:szCs w:val="21"/>
                      <w14:textFill>
                        <w14:solidFill>
                          <w14:schemeClr w14:val="tx1"/>
                        </w14:solidFill>
                      </w14:textFill>
                    </w:rPr>
                  </w:pPr>
                </w:p>
              </w:tc>
              <w:tc>
                <w:tcPr>
                  <w:tcW w:w="899" w:type="dxa"/>
                  <w:vMerge w:val="continue"/>
                  <w:vAlign w:val="center"/>
                </w:tcPr>
                <w:p>
                  <w:pPr>
                    <w:spacing w:line="240" w:lineRule="auto"/>
                    <w:jc w:val="center"/>
                    <w:rPr>
                      <w:bCs/>
                      <w:color w:val="000000" w:themeColor="text1"/>
                      <w:szCs w:val="21"/>
                      <w14:textFill>
                        <w14:solidFill>
                          <w14:schemeClr w14:val="tx1"/>
                        </w14:solidFill>
                      </w14:textFill>
                    </w:rPr>
                  </w:pPr>
                </w:p>
              </w:tc>
              <w:tc>
                <w:tcPr>
                  <w:tcW w:w="1084"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总磷</w:t>
                  </w:r>
                </w:p>
              </w:tc>
              <w:tc>
                <w:tcPr>
                  <w:tcW w:w="987"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w:t>
                  </w:r>
                </w:p>
              </w:tc>
              <w:tc>
                <w:tcPr>
                  <w:tcW w:w="979"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.004</w:t>
                  </w:r>
                </w:p>
              </w:tc>
              <w:tc>
                <w:tcPr>
                  <w:tcW w:w="1301" w:type="dxa"/>
                  <w:vAlign w:val="center"/>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w:t>
                  </w:r>
                </w:p>
              </w:tc>
              <w:tc>
                <w:tcPr>
                  <w:tcW w:w="1943" w:type="dxa"/>
                  <w:vMerge w:val="continue"/>
                  <w:vAlign w:val="center"/>
                </w:tcPr>
                <w:p>
                  <w:pPr>
                    <w:spacing w:line="240" w:lineRule="auto"/>
                    <w:jc w:val="center"/>
                    <w:rPr>
                      <w:bCs/>
                      <w:color w:val="000000" w:themeColor="text1"/>
                      <w:szCs w:val="21"/>
                      <w14:textFill>
                        <w14:solidFill>
                          <w14:schemeClr w14:val="tx1"/>
                        </w14:solidFill>
                      </w14:textFill>
                    </w:rPr>
                  </w:pPr>
                </w:p>
              </w:tc>
              <w:tc>
                <w:tcPr>
                  <w:tcW w:w="676" w:type="dxa"/>
                  <w:vAlign w:val="center"/>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9" w:type="dxa"/>
                  <w:vMerge w:val="continue"/>
                  <w:vAlign w:val="center"/>
                </w:tcPr>
                <w:p>
                  <w:pPr>
                    <w:spacing w:line="240" w:lineRule="auto"/>
                    <w:jc w:val="center"/>
                    <w:rPr>
                      <w:bCs/>
                      <w:color w:val="000000" w:themeColor="text1"/>
                      <w:szCs w:val="21"/>
                      <w14:textFill>
                        <w14:solidFill>
                          <w14:schemeClr w14:val="tx1"/>
                        </w14:solidFill>
                      </w14:textFill>
                    </w:rPr>
                  </w:pPr>
                </w:p>
              </w:tc>
              <w:tc>
                <w:tcPr>
                  <w:tcW w:w="899" w:type="dxa"/>
                  <w:vMerge w:val="continue"/>
                  <w:vAlign w:val="center"/>
                </w:tcPr>
                <w:p>
                  <w:pPr>
                    <w:spacing w:line="240" w:lineRule="auto"/>
                    <w:jc w:val="center"/>
                    <w:rPr>
                      <w:bCs/>
                      <w:color w:val="000000" w:themeColor="text1"/>
                      <w:szCs w:val="21"/>
                      <w14:textFill>
                        <w14:solidFill>
                          <w14:schemeClr w14:val="tx1"/>
                        </w14:solidFill>
                      </w14:textFill>
                    </w:rPr>
                  </w:pPr>
                </w:p>
              </w:tc>
              <w:tc>
                <w:tcPr>
                  <w:tcW w:w="1084"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石油类</w:t>
                  </w:r>
                </w:p>
              </w:tc>
              <w:tc>
                <w:tcPr>
                  <w:tcW w:w="987"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w:t>
                  </w:r>
                </w:p>
              </w:tc>
              <w:tc>
                <w:tcPr>
                  <w:tcW w:w="979"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.009</w:t>
                  </w:r>
                </w:p>
              </w:tc>
              <w:tc>
                <w:tcPr>
                  <w:tcW w:w="1301" w:type="dxa"/>
                  <w:vAlign w:val="center"/>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5</w:t>
                  </w:r>
                </w:p>
              </w:tc>
              <w:tc>
                <w:tcPr>
                  <w:tcW w:w="1943" w:type="dxa"/>
                  <w:vMerge w:val="continue"/>
                  <w:vAlign w:val="center"/>
                </w:tcPr>
                <w:p>
                  <w:pPr>
                    <w:spacing w:line="240" w:lineRule="auto"/>
                    <w:jc w:val="center"/>
                    <w:rPr>
                      <w:bCs/>
                      <w:color w:val="000000" w:themeColor="text1"/>
                      <w:szCs w:val="21"/>
                      <w14:textFill>
                        <w14:solidFill>
                          <w14:schemeClr w14:val="tx1"/>
                        </w14:solidFill>
                      </w14:textFill>
                    </w:rPr>
                  </w:pPr>
                </w:p>
              </w:tc>
              <w:tc>
                <w:tcPr>
                  <w:tcW w:w="676" w:type="dxa"/>
                  <w:vAlign w:val="center"/>
                </w:tcPr>
                <w:p>
                  <w:pPr>
                    <w:spacing w:line="240" w:lineRule="auto"/>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达标</w:t>
                  </w:r>
                </w:p>
              </w:tc>
            </w:tr>
          </w:tbl>
          <w:p>
            <w:pPr>
              <w:pStyle w:val="72"/>
              <w:ind w:firstLine="480"/>
              <w:rPr>
                <w:rFonts w:cs="Times New Roman"/>
                <w:color w:val="000000" w:themeColor="text1"/>
                <w14:textFill>
                  <w14:solidFill>
                    <w14:schemeClr w14:val="tx1"/>
                  </w14:solidFill>
                </w14:textFill>
              </w:rPr>
            </w:pPr>
            <w:r>
              <w:rPr>
                <w:rFonts w:hint="eastAsia" w:cs="Times New Roman"/>
                <w:color w:val="000000" w:themeColor="text1"/>
                <w:kern w:val="0"/>
                <w14:textFill>
                  <w14:solidFill>
                    <w14:schemeClr w14:val="tx1"/>
                  </w14:solidFill>
                </w14:textFill>
              </w:rPr>
              <w:t>本项目废水污染物p</w:t>
            </w:r>
            <w:r>
              <w:rPr>
                <w:rFonts w:cs="Times New Roman"/>
                <w:color w:val="000000" w:themeColor="text1"/>
                <w:kern w:val="0"/>
                <w14:textFill>
                  <w14:solidFill>
                    <w14:schemeClr w14:val="tx1"/>
                  </w14:solidFill>
                </w14:textFill>
              </w:rPr>
              <w:t>H</w:t>
            </w:r>
            <w:r>
              <w:rPr>
                <w:rFonts w:hint="eastAsia" w:cs="Times New Roman"/>
                <w:color w:val="000000" w:themeColor="text1"/>
                <w:kern w:val="0"/>
                <w14:textFill>
                  <w14:solidFill>
                    <w14:schemeClr w14:val="tx1"/>
                  </w14:solidFill>
                </w14:textFill>
              </w:rPr>
              <w:t>、COD、BOD</w:t>
            </w:r>
            <w:r>
              <w:rPr>
                <w:rFonts w:hint="eastAsia" w:cs="Times New Roman"/>
                <w:color w:val="000000" w:themeColor="text1"/>
                <w:kern w:val="0"/>
                <w:vertAlign w:val="subscript"/>
                <w14:textFill>
                  <w14:solidFill>
                    <w14:schemeClr w14:val="tx1"/>
                  </w14:solidFill>
                </w14:textFill>
              </w:rPr>
              <w:t>5</w:t>
            </w:r>
            <w:r>
              <w:rPr>
                <w:rFonts w:hint="eastAsia" w:cs="Times New Roman"/>
                <w:color w:val="000000" w:themeColor="text1"/>
                <w:kern w:val="0"/>
                <w14:textFill>
                  <w14:solidFill>
                    <w14:schemeClr w14:val="tx1"/>
                  </w14:solidFill>
                </w14:textFill>
              </w:rPr>
              <w:t>、SS、动植物油</w:t>
            </w:r>
            <w:r>
              <w:rPr>
                <w:rFonts w:cs="Times New Roman"/>
                <w:color w:val="000000" w:themeColor="text1"/>
                <w:kern w:val="0"/>
                <w14:textFill>
                  <w14:solidFill>
                    <w14:schemeClr w14:val="tx1"/>
                  </w14:solidFill>
                </w14:textFill>
              </w:rPr>
              <w:t>排放浓度</w:t>
            </w:r>
            <w:r>
              <w:rPr>
                <w:rFonts w:hint="eastAsia" w:cs="Times New Roman"/>
                <w:color w:val="000000" w:themeColor="text1"/>
                <w:kern w:val="0"/>
                <w14:textFill>
                  <w14:solidFill>
                    <w14:schemeClr w14:val="tx1"/>
                  </w14:solidFill>
                </w14:textFill>
              </w:rPr>
              <w:t>满足</w:t>
            </w:r>
            <w:r>
              <w:rPr>
                <w:rFonts w:cs="Times New Roman"/>
                <w:color w:val="000000" w:themeColor="text1"/>
                <w:kern w:val="0"/>
                <w14:textFill>
                  <w14:solidFill>
                    <w14:schemeClr w14:val="tx1"/>
                  </w14:solidFill>
                </w14:textFill>
              </w:rPr>
              <w:t>《污水综合排放标准》（GB8978-1996）三级标准排放标准</w:t>
            </w:r>
            <w:r>
              <w:rPr>
                <w:rFonts w:hint="eastAsia" w:cs="Times New Roman"/>
                <w:color w:val="000000" w:themeColor="text1"/>
                <w:kern w:val="0"/>
                <w14:textFill>
                  <w14:solidFill>
                    <w14:schemeClr w14:val="tx1"/>
                  </w14:solidFill>
                </w14:textFill>
              </w:rPr>
              <w:t>要求（</w:t>
            </w:r>
            <w:r>
              <w:rPr>
                <w:rFonts w:hint="eastAsia"/>
                <w:color w:val="000000" w:themeColor="text1"/>
                <w14:textFill>
                  <w14:solidFill>
                    <w14:schemeClr w14:val="tx1"/>
                  </w14:solidFill>
                </w14:textFill>
              </w:rPr>
              <w:t>石油类达到《石油化学工业污染物排放标准》（GB31571-2015）间接排放标准，氨氮、总磷达到《污水排入城镇下水道水质标准》（GB/T31962-2015）B等级标准</w:t>
            </w:r>
            <w:r>
              <w:rPr>
                <w:rFonts w:hint="eastAsia" w:cs="Times New Roman"/>
                <w:color w:val="000000" w:themeColor="text1"/>
                <w:kern w:val="0"/>
                <w14:textFill>
                  <w14:solidFill>
                    <w14:schemeClr w14:val="tx1"/>
                  </w14:solidFill>
                </w14:textFill>
              </w:rPr>
              <w:t>）</w:t>
            </w:r>
            <w:r>
              <w:rPr>
                <w:rFonts w:cs="Times New Roman"/>
                <w:color w:val="000000" w:themeColor="text1"/>
                <w:kern w:val="0"/>
                <w14:textFill>
                  <w14:solidFill>
                    <w14:schemeClr w14:val="tx1"/>
                  </w14:solidFill>
                </w14:textFill>
              </w:rPr>
              <w:t>。</w:t>
            </w:r>
          </w:p>
          <w:p>
            <w:pPr>
              <w:pStyle w:val="72"/>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5</w:t>
            </w:r>
            <w:r>
              <w:rPr>
                <w:rFonts w:hint="eastAsia" w:cs="Times New Roman"/>
                <w:b/>
                <w:color w:val="000000" w:themeColor="text1"/>
                <w14:textFill>
                  <w14:solidFill>
                    <w14:schemeClr w14:val="tx1"/>
                  </w14:solidFill>
                </w14:textFill>
              </w:rPr>
              <w:t>、</w:t>
            </w:r>
            <w:r>
              <w:rPr>
                <w:rFonts w:cs="Times New Roman"/>
                <w:b/>
                <w:color w:val="000000" w:themeColor="text1"/>
                <w14:textFill>
                  <w14:solidFill>
                    <w14:schemeClr w14:val="tx1"/>
                  </w14:solidFill>
                </w14:textFill>
              </w:rPr>
              <w:t>废水排放</w:t>
            </w:r>
            <w:r>
              <w:rPr>
                <w:rFonts w:hint="eastAsia" w:cs="Times New Roman"/>
                <w:b/>
                <w:color w:val="000000" w:themeColor="text1"/>
                <w14:textFill>
                  <w14:solidFill>
                    <w14:schemeClr w14:val="tx1"/>
                  </w14:solidFill>
                </w14:textFill>
              </w:rPr>
              <w:t>口情况</w:t>
            </w:r>
          </w:p>
          <w:p>
            <w:pPr>
              <w:ind w:firstLine="480" w:firstLineChars="200"/>
              <w:jc w:val="left"/>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（1）</w:t>
            </w:r>
            <w:r>
              <w:rPr>
                <w:color w:val="000000" w:themeColor="text1"/>
                <w:sz w:val="24"/>
                <w:lang w:bidi="ar"/>
                <w14:textFill>
                  <w14:solidFill>
                    <w14:schemeClr w14:val="tx1"/>
                  </w14:solidFill>
                </w14:textFill>
              </w:rPr>
              <w:t>废水类别、污染物及污染治理设施信息见表4.2-</w:t>
            </w:r>
            <w:r>
              <w:rPr>
                <w:rFonts w:hint="eastAsia"/>
                <w:color w:val="000000" w:themeColor="text1"/>
                <w:sz w:val="24"/>
                <w:lang w:bidi="ar"/>
                <w14:textFill>
                  <w14:solidFill>
                    <w14:schemeClr w14:val="tx1"/>
                  </w14:solidFill>
                </w14:textFill>
              </w:rPr>
              <w:t>1</w:t>
            </w:r>
            <w:r>
              <w:rPr>
                <w:color w:val="000000" w:themeColor="text1"/>
                <w:sz w:val="24"/>
                <w:lang w:bidi="ar"/>
                <w14:textFill>
                  <w14:solidFill>
                    <w14:schemeClr w14:val="tx1"/>
                  </w14:solidFill>
                </w14:textFill>
              </w:rPr>
              <w:t>7。</w:t>
            </w:r>
          </w:p>
          <w:p>
            <w:pPr>
              <w:pStyle w:val="13"/>
              <w:autoSpaceDE w:val="0"/>
              <w:autoSpaceDN w:val="0"/>
              <w:adjustRightInd w:val="0"/>
              <w:spacing w:line="240" w:lineRule="auto"/>
              <w:textAlignment w:val="baseline"/>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表4.2</w:t>
            </w:r>
            <w:r>
              <w:rPr>
                <w:rFonts w:hint="eastAsia" w:ascii="Times New Roman" w:hAnsi="Times New Roman" w:eastAsia="宋体" w:cs="Times New Roman"/>
                <w:b/>
                <w:bCs/>
                <w:color w:val="000000" w:themeColor="text1"/>
                <w:sz w:val="24"/>
                <w:szCs w:val="24"/>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17  废水类别、污染物及污染物治理设施信息表</w:t>
            </w:r>
          </w:p>
          <w:tbl>
            <w:tblPr>
              <w:tblStyle w:val="36"/>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563"/>
              <w:gridCol w:w="1031"/>
              <w:gridCol w:w="581"/>
              <w:gridCol w:w="734"/>
              <w:gridCol w:w="858"/>
              <w:gridCol w:w="805"/>
              <w:gridCol w:w="788"/>
              <w:gridCol w:w="881"/>
              <w:gridCol w:w="836"/>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75"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序号</w:t>
                  </w:r>
                </w:p>
              </w:tc>
              <w:tc>
                <w:tcPr>
                  <w:tcW w:w="602"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废水类别</w:t>
                  </w:r>
                </w:p>
              </w:tc>
              <w:tc>
                <w:tcPr>
                  <w:tcW w:w="1034"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污染物种类</w:t>
                  </w:r>
                </w:p>
              </w:tc>
              <w:tc>
                <w:tcPr>
                  <w:tcW w:w="625"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排放去向</w:t>
                  </w:r>
                </w:p>
              </w:tc>
              <w:tc>
                <w:tcPr>
                  <w:tcW w:w="762"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排放规律</w:t>
                  </w:r>
                </w:p>
              </w:tc>
              <w:tc>
                <w:tcPr>
                  <w:tcW w:w="2413" w:type="dxa"/>
                  <w:gridSpan w:val="3"/>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污染治理设施</w:t>
                  </w:r>
                </w:p>
              </w:tc>
              <w:tc>
                <w:tcPr>
                  <w:tcW w:w="550"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排放口编号</w:t>
                  </w:r>
                </w:p>
              </w:tc>
              <w:tc>
                <w:tcPr>
                  <w:tcW w:w="900"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排放口设置是否符合要求</w:t>
                  </w:r>
                </w:p>
              </w:tc>
              <w:tc>
                <w:tcPr>
                  <w:tcW w:w="1419" w:type="dxa"/>
                  <w:vMerge w:val="restart"/>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vMerge w:val="continue"/>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02" w:type="dxa"/>
                  <w:vMerge w:val="continue"/>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034" w:type="dxa"/>
                  <w:vMerge w:val="continue"/>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625" w:type="dxa"/>
                  <w:vMerge w:val="continue"/>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62"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750" w:type="dxa"/>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污染治理设施编号</w:t>
                  </w:r>
                </w:p>
              </w:tc>
              <w:tc>
                <w:tcPr>
                  <w:tcW w:w="913" w:type="dxa"/>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污染治理设施名称</w:t>
                  </w:r>
                </w:p>
              </w:tc>
              <w:tc>
                <w:tcPr>
                  <w:tcW w:w="750" w:type="dxa"/>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污染治理设施工艺</w:t>
                  </w:r>
                </w:p>
              </w:tc>
              <w:tc>
                <w:tcPr>
                  <w:tcW w:w="550" w:type="dxa"/>
                  <w:vMerge w:val="continue"/>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900" w:type="dxa"/>
                  <w:vMerge w:val="continue"/>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419" w:type="dxa"/>
                  <w:vMerge w:val="continue"/>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602"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综合废水</w:t>
                  </w:r>
                </w:p>
              </w:tc>
              <w:tc>
                <w:tcPr>
                  <w:tcW w:w="1034"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p</w:t>
                  </w:r>
                  <w:r>
                    <w:rPr>
                      <w:rFonts w:cs="Times New Roman"/>
                      <w:color w:val="000000" w:themeColor="text1"/>
                      <w:sz w:val="21"/>
                      <w:szCs w:val="21"/>
                      <w14:textFill>
                        <w14:solidFill>
                          <w14:schemeClr w14:val="tx1"/>
                        </w14:solidFill>
                      </w14:textFill>
                    </w:rPr>
                    <w:t>H</w:t>
                  </w:r>
                  <w:r>
                    <w:rPr>
                      <w:rFonts w:hint="eastAsia"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COD、SS、NH</w:t>
                  </w:r>
                  <w:r>
                    <w:rPr>
                      <w:rFonts w:cs="Times New Roman"/>
                      <w:color w:val="000000" w:themeColor="text1"/>
                      <w:sz w:val="21"/>
                      <w:szCs w:val="21"/>
                      <w:vertAlign w:val="subscript"/>
                      <w14:textFill>
                        <w14:solidFill>
                          <w14:schemeClr w14:val="tx1"/>
                        </w14:solidFill>
                      </w14:textFill>
                    </w:rPr>
                    <w:t>3</w:t>
                  </w:r>
                  <w:r>
                    <w:rPr>
                      <w:rFonts w:cs="Times New Roman"/>
                      <w:color w:val="000000" w:themeColor="text1"/>
                      <w:sz w:val="21"/>
                      <w:szCs w:val="21"/>
                      <w14:textFill>
                        <w14:solidFill>
                          <w14:schemeClr w14:val="tx1"/>
                        </w14:solidFill>
                      </w14:textFill>
                    </w:rPr>
                    <w:t>-N、BOD</w:t>
                  </w:r>
                  <w:r>
                    <w:rPr>
                      <w:rFonts w:cs="Times New Roman"/>
                      <w:color w:val="000000" w:themeColor="text1"/>
                      <w:sz w:val="21"/>
                      <w:szCs w:val="21"/>
                      <w:vertAlign w:val="subscript"/>
                      <w14:textFill>
                        <w14:solidFill>
                          <w14:schemeClr w14:val="tx1"/>
                        </w14:solidFill>
                      </w14:textFill>
                    </w:rPr>
                    <w:t>5</w:t>
                  </w:r>
                  <w:r>
                    <w:rPr>
                      <w:rFonts w:hint="eastAsia" w:cs="Times New Roman"/>
                      <w:color w:val="000000" w:themeColor="text1"/>
                      <w:sz w:val="21"/>
                      <w:szCs w:val="21"/>
                      <w14:textFill>
                        <w14:solidFill>
                          <w14:schemeClr w14:val="tx1"/>
                        </w14:solidFill>
                      </w14:textFill>
                    </w:rPr>
                    <w:t>、石油类、动植物油、总磷</w:t>
                  </w:r>
                </w:p>
              </w:tc>
              <w:tc>
                <w:tcPr>
                  <w:tcW w:w="625"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市政污水管网</w:t>
                  </w:r>
                </w:p>
              </w:tc>
              <w:tc>
                <w:tcPr>
                  <w:tcW w:w="762"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连续排放，排放期间流量不稳定</w:t>
                  </w:r>
                </w:p>
              </w:tc>
              <w:tc>
                <w:tcPr>
                  <w:tcW w:w="750"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TW001</w:t>
                  </w:r>
                </w:p>
              </w:tc>
              <w:tc>
                <w:tcPr>
                  <w:tcW w:w="913"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生产废水处理设施+生化池</w:t>
                  </w:r>
                </w:p>
              </w:tc>
              <w:tc>
                <w:tcPr>
                  <w:tcW w:w="750"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隔油+厌氧反应器+好氧活性污泥法（A/O法）+生化池</w:t>
                  </w:r>
                </w:p>
              </w:tc>
              <w:tc>
                <w:tcPr>
                  <w:tcW w:w="550"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DW001</w:t>
                  </w:r>
                </w:p>
              </w:tc>
              <w:tc>
                <w:tcPr>
                  <w:tcW w:w="900"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sym w:font="Wingdings 2" w:char="0052"/>
                  </w:r>
                  <w:r>
                    <w:rPr>
                      <w:rFonts w:cs="Times New Roman"/>
                      <w:color w:val="000000" w:themeColor="text1"/>
                      <w:sz w:val="21"/>
                      <w:szCs w:val="21"/>
                      <w14:textFill>
                        <w14:solidFill>
                          <w14:schemeClr w14:val="tx1"/>
                        </w14:solidFill>
                      </w14:textFill>
                    </w:rPr>
                    <w:t xml:space="preserve">是   </w:t>
                  </w:r>
                  <w:r>
                    <w:rPr>
                      <w:rFonts w:cs="Times New Roman"/>
                      <w:color w:val="000000" w:themeColor="text1"/>
                      <w:sz w:val="21"/>
                      <w:szCs w:val="21"/>
                      <w14:textFill>
                        <w14:solidFill>
                          <w14:schemeClr w14:val="tx1"/>
                        </w14:solidFill>
                      </w14:textFill>
                    </w:rPr>
                    <w:sym w:font="Wingdings 2" w:char="00A3"/>
                  </w:r>
                  <w:r>
                    <w:rPr>
                      <w:rFonts w:cs="Times New Roman"/>
                      <w:color w:val="000000" w:themeColor="text1"/>
                      <w:sz w:val="21"/>
                      <w:szCs w:val="21"/>
                      <w14:textFill>
                        <w14:solidFill>
                          <w14:schemeClr w14:val="tx1"/>
                        </w14:solidFill>
                      </w14:textFill>
                    </w:rPr>
                    <w:t>否</w:t>
                  </w:r>
                </w:p>
              </w:tc>
              <w:tc>
                <w:tcPr>
                  <w:tcW w:w="1419" w:type="dxa"/>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sym w:font="Wingdings 2" w:char="0052"/>
                  </w:r>
                  <w:r>
                    <w:rPr>
                      <w:rFonts w:cs="Times New Roman"/>
                      <w:color w:val="000000" w:themeColor="text1"/>
                      <w:sz w:val="21"/>
                      <w:szCs w:val="21"/>
                      <w14:textFill>
                        <w14:solidFill>
                          <w14:schemeClr w14:val="tx1"/>
                        </w14:solidFill>
                      </w14:textFill>
                    </w:rPr>
                    <w:t>企业总排</w:t>
                  </w:r>
                </w:p>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sym w:font="Wingdings 2" w:char="00A3"/>
                  </w:r>
                  <w:r>
                    <w:rPr>
                      <w:rFonts w:cs="Times New Roman"/>
                      <w:color w:val="000000" w:themeColor="text1"/>
                      <w:sz w:val="21"/>
                      <w:szCs w:val="21"/>
                      <w14:textFill>
                        <w14:solidFill>
                          <w14:schemeClr w14:val="tx1"/>
                        </w14:solidFill>
                      </w14:textFill>
                    </w:rPr>
                    <w:t>雨水排放</w:t>
                  </w:r>
                </w:p>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sym w:font="Wingdings 2" w:char="00A3"/>
                  </w:r>
                  <w:r>
                    <w:rPr>
                      <w:rFonts w:cs="Times New Roman"/>
                      <w:color w:val="000000" w:themeColor="text1"/>
                      <w:sz w:val="21"/>
                      <w:szCs w:val="21"/>
                      <w14:textFill>
                        <w14:solidFill>
                          <w14:schemeClr w14:val="tx1"/>
                        </w14:solidFill>
                      </w14:textFill>
                    </w:rPr>
                    <w:t>清净下水排放</w:t>
                  </w:r>
                </w:p>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sym w:font="Wingdings 2" w:char="00A3"/>
                  </w:r>
                  <w:r>
                    <w:rPr>
                      <w:rFonts w:cs="Times New Roman"/>
                      <w:color w:val="000000" w:themeColor="text1"/>
                      <w:sz w:val="21"/>
                      <w:szCs w:val="21"/>
                      <w14:textFill>
                        <w14:solidFill>
                          <w14:schemeClr w14:val="tx1"/>
                        </w14:solidFill>
                      </w14:textFill>
                    </w:rPr>
                    <w:t>温排水排放</w:t>
                  </w:r>
                </w:p>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sym w:font="Wingdings 2" w:char="00A3"/>
                  </w:r>
                  <w:r>
                    <w:rPr>
                      <w:rFonts w:cs="Times New Roman"/>
                      <w:color w:val="000000" w:themeColor="text1"/>
                      <w:sz w:val="21"/>
                      <w:szCs w:val="21"/>
                      <w14:textFill>
                        <w14:solidFill>
                          <w14:schemeClr w14:val="tx1"/>
                        </w14:solidFill>
                      </w14:textFill>
                    </w:rPr>
                    <w:t>车间或车间处理设施排放口</w:t>
                  </w:r>
                </w:p>
              </w:tc>
            </w:tr>
          </w:tbl>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废水间接排放口基本情况</w:t>
            </w:r>
          </w:p>
          <w:p>
            <w:pPr>
              <w:pStyle w:val="13"/>
              <w:autoSpaceDE w:val="0"/>
              <w:autoSpaceDN w:val="0"/>
              <w:adjustRightInd w:val="0"/>
              <w:spacing w:line="240" w:lineRule="auto"/>
              <w:textAlignment w:val="baseline"/>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w:t>
            </w:r>
            <w:r>
              <w:rPr>
                <w:rFonts w:hint="eastAsia" w:ascii="Times New Roman" w:hAnsi="Times New Roman" w:eastAsia="宋体" w:cs="Times New Roman"/>
                <w:b/>
                <w:bCs/>
                <w:color w:val="000000" w:themeColor="text1"/>
                <w:sz w:val="24"/>
                <w:szCs w:val="24"/>
                <w14:textFill>
                  <w14:solidFill>
                    <w14:schemeClr w14:val="tx1"/>
                  </w14:solidFill>
                </w14:textFill>
              </w:rPr>
              <w:t>4</w:t>
            </w:r>
            <w:r>
              <w:rPr>
                <w:rFonts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b/>
                <w:bCs/>
                <w:color w:val="000000" w:themeColor="text1"/>
                <w:sz w:val="24"/>
                <w:szCs w:val="24"/>
                <w14:textFill>
                  <w14:solidFill>
                    <w14:schemeClr w14:val="tx1"/>
                  </w14:solidFill>
                </w14:textFill>
              </w:rPr>
              <w:t>1</w:t>
            </w:r>
            <w:r>
              <w:rPr>
                <w:rFonts w:ascii="Times New Roman" w:hAnsi="Times New Roman" w:eastAsia="宋体" w:cs="Times New Roman"/>
                <w:b/>
                <w:bCs/>
                <w:color w:val="000000" w:themeColor="text1"/>
                <w:sz w:val="24"/>
                <w:szCs w:val="24"/>
                <w14:textFill>
                  <w14:solidFill>
                    <w14:schemeClr w14:val="tx1"/>
                  </w14:solidFill>
                </w14:textFill>
              </w:rPr>
              <w:t>8  废水间接排放口基本情况表</w:t>
            </w:r>
          </w:p>
          <w:tbl>
            <w:tblPr>
              <w:tblStyle w:val="36"/>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81"/>
              <w:gridCol w:w="1823"/>
              <w:gridCol w:w="1613"/>
              <w:gridCol w:w="1004"/>
              <w:gridCol w:w="427"/>
              <w:gridCol w:w="636"/>
              <w:gridCol w:w="427"/>
              <w:gridCol w:w="427"/>
              <w:gridCol w:w="72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8" w:type="dxa"/>
                  <w:vMerge w:val="restart"/>
                  <w:vAlign w:val="center"/>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序号</w:t>
                  </w:r>
                </w:p>
              </w:tc>
              <w:tc>
                <w:tcPr>
                  <w:tcW w:w="881" w:type="dxa"/>
                  <w:vMerge w:val="restart"/>
                  <w:vAlign w:val="center"/>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排放口编号</w:t>
                  </w:r>
                </w:p>
              </w:tc>
              <w:tc>
                <w:tcPr>
                  <w:tcW w:w="1965" w:type="dxa"/>
                  <w:gridSpan w:val="2"/>
                  <w:vAlign w:val="center"/>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排放口地理位置坐标</w:t>
                  </w:r>
                </w:p>
              </w:tc>
              <w:tc>
                <w:tcPr>
                  <w:tcW w:w="1004" w:type="dxa"/>
                  <w:vMerge w:val="restart"/>
                  <w:vAlign w:val="center"/>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废水排放量</w:t>
                  </w:r>
                </w:p>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（万t/a）</w:t>
                  </w:r>
                </w:p>
              </w:tc>
              <w:tc>
                <w:tcPr>
                  <w:tcW w:w="550" w:type="dxa"/>
                  <w:vMerge w:val="restart"/>
                  <w:vAlign w:val="center"/>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排放去向</w:t>
                  </w:r>
                </w:p>
              </w:tc>
              <w:tc>
                <w:tcPr>
                  <w:tcW w:w="715" w:type="dxa"/>
                  <w:vMerge w:val="restart"/>
                  <w:vAlign w:val="center"/>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排放规律</w:t>
                  </w:r>
                </w:p>
              </w:tc>
              <w:tc>
                <w:tcPr>
                  <w:tcW w:w="540" w:type="dxa"/>
                  <w:vMerge w:val="restart"/>
                  <w:vAlign w:val="center"/>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间歇排放时段</w:t>
                  </w:r>
                </w:p>
              </w:tc>
              <w:tc>
                <w:tcPr>
                  <w:tcW w:w="2673" w:type="dxa"/>
                  <w:gridSpan w:val="3"/>
                  <w:vAlign w:val="center"/>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8" w:type="dxa"/>
                  <w:vMerge w:val="continue"/>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p>
              </w:tc>
              <w:tc>
                <w:tcPr>
                  <w:tcW w:w="881" w:type="dxa"/>
                  <w:vMerge w:val="continue"/>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p>
              </w:tc>
              <w:tc>
                <w:tcPr>
                  <w:tcW w:w="1035" w:type="dxa"/>
                  <w:vAlign w:val="center"/>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经度</w:t>
                  </w:r>
                </w:p>
              </w:tc>
              <w:tc>
                <w:tcPr>
                  <w:tcW w:w="930" w:type="dxa"/>
                  <w:vAlign w:val="center"/>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纬度</w:t>
                  </w:r>
                </w:p>
              </w:tc>
              <w:tc>
                <w:tcPr>
                  <w:tcW w:w="1004" w:type="dxa"/>
                  <w:vMerge w:val="continue"/>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p>
              </w:tc>
              <w:tc>
                <w:tcPr>
                  <w:tcW w:w="550" w:type="dxa"/>
                  <w:vMerge w:val="continue"/>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p>
              </w:tc>
              <w:tc>
                <w:tcPr>
                  <w:tcW w:w="715" w:type="dxa"/>
                  <w:vMerge w:val="continue"/>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p>
              </w:tc>
              <w:tc>
                <w:tcPr>
                  <w:tcW w:w="540" w:type="dxa"/>
                  <w:vMerge w:val="continue"/>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p>
              </w:tc>
              <w:tc>
                <w:tcPr>
                  <w:tcW w:w="534" w:type="dxa"/>
                  <w:vAlign w:val="center"/>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名称</w:t>
                  </w:r>
                </w:p>
              </w:tc>
              <w:tc>
                <w:tcPr>
                  <w:tcW w:w="875" w:type="dxa"/>
                  <w:vAlign w:val="center"/>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污染物种类</w:t>
                  </w:r>
                </w:p>
              </w:tc>
              <w:tc>
                <w:tcPr>
                  <w:tcW w:w="1264" w:type="dxa"/>
                  <w:vAlign w:val="center"/>
                </w:tcPr>
                <w:p>
                  <w:pPr>
                    <w:pStyle w:val="72"/>
                    <w:autoSpaceDE w:val="0"/>
                    <w:autoSpaceDN w:val="0"/>
                    <w:adjustRightInd w:val="0"/>
                    <w:spacing w:line="240" w:lineRule="auto"/>
                    <w:ind w:firstLine="0" w:firstLineChars="0"/>
                    <w:jc w:val="center"/>
                    <w:textAlignment w:val="baseline"/>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8" w:type="dxa"/>
                  <w:vMerge w:val="restart"/>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881" w:type="dxa"/>
                  <w:vMerge w:val="restart"/>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DW001</w:t>
                  </w:r>
                </w:p>
              </w:tc>
              <w:tc>
                <w:tcPr>
                  <w:tcW w:w="1035" w:type="dxa"/>
                  <w:vMerge w:val="restart"/>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105</w:t>
                  </w:r>
                  <w:r>
                    <w:rPr>
                      <w:rFonts w:cs="Times New Roman"/>
                      <w:bCs/>
                      <w:color w:val="000000" w:themeColor="text1"/>
                      <w:sz w:val="21"/>
                      <w:szCs w:val="21"/>
                      <w14:textFill>
                        <w14:solidFill>
                          <w14:schemeClr w14:val="tx1"/>
                        </w14:solidFill>
                      </w14:textFill>
                    </w:rPr>
                    <w:t>°</w:t>
                  </w:r>
                  <w:r>
                    <w:rPr>
                      <w:rFonts w:hint="eastAsia" w:cs="Times New Roman"/>
                      <w:bCs/>
                      <w:color w:val="000000" w:themeColor="text1"/>
                      <w:sz w:val="21"/>
                      <w:szCs w:val="21"/>
                      <w14:textFill>
                        <w14:solidFill>
                          <w14:schemeClr w14:val="tx1"/>
                        </w14:solidFill>
                      </w14:textFill>
                    </w:rPr>
                    <w:t>4</w:t>
                  </w:r>
                  <w:r>
                    <w:rPr>
                      <w:rFonts w:cs="Times New Roman"/>
                      <w:bCs/>
                      <w:color w:val="000000" w:themeColor="text1"/>
                      <w:sz w:val="21"/>
                      <w:szCs w:val="21"/>
                      <w14:textFill>
                        <w14:solidFill>
                          <w14:schemeClr w14:val="tx1"/>
                        </w14:solidFill>
                      </w14:textFill>
                    </w:rPr>
                    <w:t>3</w:t>
                  </w:r>
                  <w:r>
                    <w:rPr>
                      <w:rFonts w:hint="eastAsia" w:cs="Times New Roman"/>
                      <w:bCs/>
                      <w:color w:val="000000" w:themeColor="text1"/>
                      <w:sz w:val="21"/>
                      <w:szCs w:val="21"/>
                      <w14:textFill>
                        <w14:solidFill>
                          <w14:schemeClr w14:val="tx1"/>
                        </w14:solidFill>
                      </w14:textFill>
                    </w:rPr>
                    <w:t>′</w:t>
                  </w:r>
                  <w:r>
                    <w:rPr>
                      <w:rFonts w:cs="Times New Roman"/>
                      <w:bCs/>
                      <w:color w:val="000000" w:themeColor="text1"/>
                      <w:sz w:val="21"/>
                      <w:szCs w:val="21"/>
                      <w14:textFill>
                        <w14:solidFill>
                          <w14:schemeClr w14:val="tx1"/>
                        </w14:solidFill>
                      </w14:textFill>
                    </w:rPr>
                    <w:t>57.389</w:t>
                  </w:r>
                  <w:r>
                    <w:rPr>
                      <w:rFonts w:hint="eastAsia" w:cs="Times New Roman"/>
                      <w:bCs/>
                      <w:color w:val="000000" w:themeColor="text1"/>
                      <w:sz w:val="21"/>
                      <w:szCs w:val="21"/>
                      <w14:textFill>
                        <w14:solidFill>
                          <w14:schemeClr w14:val="tx1"/>
                        </w14:solidFill>
                      </w14:textFill>
                    </w:rPr>
                    <w:t>″</w:t>
                  </w:r>
                </w:p>
              </w:tc>
              <w:tc>
                <w:tcPr>
                  <w:tcW w:w="930" w:type="dxa"/>
                  <w:vMerge w:val="restart"/>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29</w:t>
                  </w:r>
                  <w:r>
                    <w:rPr>
                      <w:rFonts w:cs="Times New Roman"/>
                      <w:bCs/>
                      <w:color w:val="000000" w:themeColor="text1"/>
                      <w:sz w:val="21"/>
                      <w:szCs w:val="21"/>
                      <w14:textFill>
                        <w14:solidFill>
                          <w14:schemeClr w14:val="tx1"/>
                        </w14:solidFill>
                      </w14:textFill>
                    </w:rPr>
                    <w:t>°</w:t>
                  </w:r>
                  <w:r>
                    <w:rPr>
                      <w:rFonts w:hint="eastAsia" w:cs="Times New Roman"/>
                      <w:bCs/>
                      <w:color w:val="000000" w:themeColor="text1"/>
                      <w:sz w:val="21"/>
                      <w:szCs w:val="21"/>
                      <w14:textFill>
                        <w14:solidFill>
                          <w14:schemeClr w14:val="tx1"/>
                        </w14:solidFill>
                      </w14:textFill>
                    </w:rPr>
                    <w:t>2</w:t>
                  </w:r>
                  <w:r>
                    <w:rPr>
                      <w:rFonts w:cs="Times New Roman"/>
                      <w:bCs/>
                      <w:color w:val="000000" w:themeColor="text1"/>
                      <w:sz w:val="21"/>
                      <w:szCs w:val="21"/>
                      <w14:textFill>
                        <w14:solidFill>
                          <w14:schemeClr w14:val="tx1"/>
                        </w14:solidFill>
                      </w14:textFill>
                    </w:rPr>
                    <w:t>8</w:t>
                  </w:r>
                  <w:r>
                    <w:rPr>
                      <w:rFonts w:hint="eastAsia" w:cs="Times New Roman"/>
                      <w:bCs/>
                      <w:color w:val="000000" w:themeColor="text1"/>
                      <w:sz w:val="21"/>
                      <w:szCs w:val="21"/>
                      <w14:textFill>
                        <w14:solidFill>
                          <w14:schemeClr w14:val="tx1"/>
                        </w14:solidFill>
                      </w14:textFill>
                    </w:rPr>
                    <w:t>′</w:t>
                  </w:r>
                  <w:r>
                    <w:rPr>
                      <w:rFonts w:cs="Times New Roman"/>
                      <w:bCs/>
                      <w:color w:val="000000" w:themeColor="text1"/>
                      <w:sz w:val="21"/>
                      <w:szCs w:val="21"/>
                      <w14:textFill>
                        <w14:solidFill>
                          <w14:schemeClr w14:val="tx1"/>
                        </w14:solidFill>
                      </w14:textFill>
                    </w:rPr>
                    <w:t>9.799</w:t>
                  </w:r>
                  <w:r>
                    <w:rPr>
                      <w:rFonts w:hint="eastAsia" w:cs="Times New Roman"/>
                      <w:bCs/>
                      <w:color w:val="000000" w:themeColor="text1"/>
                      <w:sz w:val="21"/>
                      <w:szCs w:val="21"/>
                      <w14:textFill>
                        <w14:solidFill>
                          <w14:schemeClr w14:val="tx1"/>
                        </w14:solidFill>
                      </w14:textFill>
                    </w:rPr>
                    <w:t>″</w:t>
                  </w:r>
                </w:p>
              </w:tc>
              <w:tc>
                <w:tcPr>
                  <w:tcW w:w="1004" w:type="dxa"/>
                  <w:vMerge w:val="restart"/>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0.929903</w:t>
                  </w:r>
                </w:p>
              </w:tc>
              <w:tc>
                <w:tcPr>
                  <w:tcW w:w="550" w:type="dxa"/>
                  <w:vMerge w:val="restart"/>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市政污水管网</w:t>
                  </w:r>
                </w:p>
              </w:tc>
              <w:tc>
                <w:tcPr>
                  <w:tcW w:w="715" w:type="dxa"/>
                  <w:vMerge w:val="restart"/>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间断排放，排放期间流量不稳定</w:t>
                  </w:r>
                </w:p>
              </w:tc>
              <w:tc>
                <w:tcPr>
                  <w:tcW w:w="540" w:type="dxa"/>
                  <w:vMerge w:val="restart"/>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534" w:type="dxa"/>
                  <w:vMerge w:val="restart"/>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双桥园区污水处理厂</w:t>
                  </w:r>
                </w:p>
              </w:tc>
              <w:tc>
                <w:tcPr>
                  <w:tcW w:w="875" w:type="dxa"/>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p</w:t>
                  </w:r>
                  <w:r>
                    <w:rPr>
                      <w:rFonts w:cs="Times New Roman"/>
                      <w:color w:val="000000" w:themeColor="text1"/>
                      <w:sz w:val="21"/>
                      <w:szCs w:val="21"/>
                      <w14:textFill>
                        <w14:solidFill>
                          <w14:schemeClr w14:val="tx1"/>
                        </w14:solidFill>
                      </w14:textFill>
                    </w:rPr>
                    <w:t>H</w:t>
                  </w:r>
                </w:p>
              </w:tc>
              <w:tc>
                <w:tcPr>
                  <w:tcW w:w="1264" w:type="dxa"/>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9</w:t>
                  </w:r>
                  <w:r>
                    <w:rPr>
                      <w:rFonts w:hint="eastAsia" w:cs="Times New Roman"/>
                      <w:color w:val="000000" w:themeColor="text1"/>
                      <w:sz w:val="21"/>
                      <w:szCs w:val="21"/>
                      <w14:textFill>
                        <w14:solidFill>
                          <w14:schemeClr w14:val="tx1"/>
                        </w14:solidFill>
                      </w14:textFill>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8"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881"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1035"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93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1004"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55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715"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54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534"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875" w:type="dxa"/>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COD</w:t>
                  </w:r>
                </w:p>
              </w:tc>
              <w:tc>
                <w:tcPr>
                  <w:tcW w:w="1264" w:type="dxa"/>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8"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881"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1035"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93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1004"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55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715"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54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534"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14:textFill>
                        <w14:solidFill>
                          <w14:schemeClr w14:val="tx1"/>
                        </w14:solidFill>
                      </w14:textFill>
                    </w:rPr>
                  </w:pPr>
                </w:p>
              </w:tc>
              <w:tc>
                <w:tcPr>
                  <w:tcW w:w="875" w:type="dxa"/>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bCs/>
                      <w:color w:val="000000" w:themeColor="text1"/>
                      <w:sz w:val="21"/>
                      <w14:textFill>
                        <w14:solidFill>
                          <w14:schemeClr w14:val="tx1"/>
                        </w14:solidFill>
                      </w14:textFill>
                    </w:rPr>
                    <w:t>BOD</w:t>
                  </w:r>
                  <w:r>
                    <w:rPr>
                      <w:rFonts w:cs="Times New Roman"/>
                      <w:bCs/>
                      <w:color w:val="000000" w:themeColor="text1"/>
                      <w:sz w:val="21"/>
                      <w:vertAlign w:val="subscript"/>
                      <w14:textFill>
                        <w14:solidFill>
                          <w14:schemeClr w14:val="tx1"/>
                        </w14:solidFill>
                      </w14:textFill>
                    </w:rPr>
                    <w:t>5</w:t>
                  </w:r>
                </w:p>
              </w:tc>
              <w:tc>
                <w:tcPr>
                  <w:tcW w:w="1264" w:type="dxa"/>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8"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881"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1035"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93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1004"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55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715"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54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534"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875" w:type="dxa"/>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SS</w:t>
                  </w:r>
                </w:p>
              </w:tc>
              <w:tc>
                <w:tcPr>
                  <w:tcW w:w="1264" w:type="dxa"/>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8"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881"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1035"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93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1004"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55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715"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54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534"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875" w:type="dxa"/>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氨氮</w:t>
                  </w:r>
                </w:p>
              </w:tc>
              <w:tc>
                <w:tcPr>
                  <w:tcW w:w="1264" w:type="dxa"/>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8"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881"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1035"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93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1004"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55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715"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54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534"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875" w:type="dxa"/>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动植物油</w:t>
                  </w:r>
                </w:p>
              </w:tc>
              <w:tc>
                <w:tcPr>
                  <w:tcW w:w="1264" w:type="dxa"/>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8"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881"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1035"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93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1004"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55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715"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54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534"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875" w:type="dxa"/>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总磷</w:t>
                  </w:r>
                </w:p>
              </w:tc>
              <w:tc>
                <w:tcPr>
                  <w:tcW w:w="1264" w:type="dxa"/>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8"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881"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1035"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93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1004"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55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715"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540"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534" w:type="dxa"/>
                  <w:vMerge w:val="continue"/>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p>
              </w:tc>
              <w:tc>
                <w:tcPr>
                  <w:tcW w:w="875" w:type="dxa"/>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石油类</w:t>
                  </w:r>
                </w:p>
              </w:tc>
              <w:tc>
                <w:tcPr>
                  <w:tcW w:w="1264" w:type="dxa"/>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8756" w:type="dxa"/>
                  <w:gridSpan w:val="11"/>
                  <w:vAlign w:val="center"/>
                </w:tcPr>
                <w:p>
                  <w:pPr>
                    <w:pStyle w:val="72"/>
                    <w:autoSpaceDE w:val="0"/>
                    <w:autoSpaceDN w:val="0"/>
                    <w:adjustRightInd w:val="0"/>
                    <w:spacing w:line="240" w:lineRule="auto"/>
                    <w:ind w:firstLine="0" w:firstLineChars="0"/>
                    <w:jc w:val="center"/>
                    <w:textAlignment w:val="baseline"/>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注：氨氮括号外数值为水温&gt;12℃时的控制指标，括号内数值为水温</w:t>
                  </w:r>
                  <w:r>
                    <w:rPr>
                      <w:rFonts w:hint="eastAsia" w:ascii="宋体" w:hAnsi="宋体"/>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12℃时的控制指标</w:t>
                  </w:r>
                </w:p>
              </w:tc>
            </w:tr>
          </w:tbl>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（3）废水污染物排放量</w:t>
            </w:r>
          </w:p>
          <w:p>
            <w:pPr>
              <w:pStyle w:val="13"/>
              <w:autoSpaceDE w:val="0"/>
              <w:autoSpaceDN w:val="0"/>
              <w:adjustRightInd w:val="0"/>
              <w:spacing w:line="240" w:lineRule="auto"/>
              <w:textAlignment w:val="baseline"/>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表4.2-19</w:t>
            </w:r>
            <w:r>
              <w:rPr>
                <w:rFonts w:hint="eastAsia" w:ascii="Times New Roman" w:hAnsi="Times New Roman" w:eastAsia="宋体" w:cs="Times New Roman"/>
                <w:b/>
                <w:bCs/>
                <w:color w:val="000000" w:themeColor="text1"/>
                <w:sz w:val="24"/>
                <w:szCs w:val="24"/>
                <w14:textFill>
                  <w14:solidFill>
                    <w14:schemeClr w14:val="tx1"/>
                  </w14:solidFill>
                </w14:textFill>
              </w:rPr>
              <w:t xml:space="preserve"> </w:t>
            </w:r>
            <w:r>
              <w:rPr>
                <w:rFonts w:ascii="Times New Roman" w:hAnsi="Times New Roman" w:eastAsia="宋体" w:cs="Times New Roman"/>
                <w:b/>
                <w:bCs/>
                <w:color w:val="000000" w:themeColor="text1"/>
                <w:sz w:val="24"/>
                <w:szCs w:val="24"/>
                <w14:textFill>
                  <w14:solidFill>
                    <w14:schemeClr w14:val="tx1"/>
                  </w14:solidFill>
                </w14:textFill>
              </w:rPr>
              <w:t xml:space="preserve"> 废水污染物排放</w:t>
            </w:r>
            <w:r>
              <w:rPr>
                <w:rFonts w:hint="eastAsia" w:ascii="Times New Roman" w:hAnsi="Times New Roman" w:eastAsia="宋体" w:cs="Times New Roman"/>
                <w:b/>
                <w:bCs/>
                <w:color w:val="000000" w:themeColor="text1"/>
                <w:sz w:val="24"/>
                <w:szCs w:val="24"/>
                <w14:textFill>
                  <w14:solidFill>
                    <w14:schemeClr w14:val="tx1"/>
                  </w14:solidFill>
                </w14:textFill>
              </w:rPr>
              <w:t>量</w:t>
            </w:r>
          </w:p>
          <w:tbl>
            <w:tblPr>
              <w:tblStyle w:val="36"/>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114"/>
              <w:gridCol w:w="1573"/>
              <w:gridCol w:w="1507"/>
              <w:gridCol w:w="1746"/>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5" w:type="dxa"/>
                  <w:vMerge w:val="restart"/>
                  <w:vAlign w:val="center"/>
                </w:tcPr>
                <w:p>
                  <w:pPr>
                    <w:autoSpaceDE w:val="0"/>
                    <w:autoSpaceDN w:val="0"/>
                    <w:adjustRightInd w:val="0"/>
                    <w:snapToGrid w:val="0"/>
                    <w:spacing w:line="240" w:lineRule="auto"/>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污染源</w:t>
                  </w:r>
                </w:p>
              </w:tc>
              <w:tc>
                <w:tcPr>
                  <w:tcW w:w="1114" w:type="dxa"/>
                  <w:vMerge w:val="restart"/>
                  <w:vAlign w:val="center"/>
                </w:tcPr>
                <w:p>
                  <w:pPr>
                    <w:autoSpaceDE w:val="0"/>
                    <w:autoSpaceDN w:val="0"/>
                    <w:adjustRightInd w:val="0"/>
                    <w:snapToGrid w:val="0"/>
                    <w:spacing w:line="240" w:lineRule="auto"/>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3080" w:type="dxa"/>
                  <w:gridSpan w:val="2"/>
                  <w:vAlign w:val="center"/>
                </w:tcPr>
                <w:p>
                  <w:pPr>
                    <w:autoSpaceDE w:val="0"/>
                    <w:autoSpaceDN w:val="0"/>
                    <w:adjustRightInd w:val="0"/>
                    <w:snapToGrid w:val="0"/>
                    <w:spacing w:line="240" w:lineRule="auto"/>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《污水综合排放标准》(GB8978-1996)三级标准</w:t>
                  </w:r>
                  <w:r>
                    <w:rPr>
                      <w:rFonts w:hint="eastAsia"/>
                      <w:b/>
                      <w:color w:val="000000" w:themeColor="text1"/>
                      <w:szCs w:val="21"/>
                      <w14:textFill>
                        <w14:solidFill>
                          <w14:schemeClr w14:val="tx1"/>
                        </w14:solidFill>
                      </w14:textFill>
                    </w:rPr>
                    <w:t>、《石油化学工业污染物排放标准》（GB31571-2015）</w:t>
                  </w:r>
                </w:p>
              </w:tc>
              <w:tc>
                <w:tcPr>
                  <w:tcW w:w="3350" w:type="dxa"/>
                  <w:gridSpan w:val="2"/>
                  <w:vAlign w:val="center"/>
                </w:tcPr>
                <w:p>
                  <w:pPr>
                    <w:autoSpaceDE w:val="0"/>
                    <w:autoSpaceDN w:val="0"/>
                    <w:adjustRightInd w:val="0"/>
                    <w:snapToGrid w:val="0"/>
                    <w:spacing w:line="240" w:lineRule="auto"/>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《城镇污水处理厂污染物排放标准》（GB18918-2002）中的一级A标准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5" w:type="dxa"/>
                  <w:vMerge w:val="continue"/>
                  <w:vAlign w:val="center"/>
                </w:tcPr>
                <w:p>
                  <w:pPr>
                    <w:autoSpaceDE w:val="0"/>
                    <w:autoSpaceDN w:val="0"/>
                    <w:adjustRightInd w:val="0"/>
                    <w:snapToGrid w:val="0"/>
                    <w:spacing w:line="240" w:lineRule="auto"/>
                    <w:jc w:val="center"/>
                    <w:textAlignment w:val="baseline"/>
                    <w:rPr>
                      <w:b/>
                      <w:color w:val="000000" w:themeColor="text1"/>
                      <w14:textFill>
                        <w14:solidFill>
                          <w14:schemeClr w14:val="tx1"/>
                        </w14:solidFill>
                      </w14:textFill>
                    </w:rPr>
                  </w:pPr>
                </w:p>
                <w:p>
                  <w:pPr>
                    <w:pStyle w:val="75"/>
                    <w:tabs>
                      <w:tab w:val="left" w:pos="540"/>
                      <w:tab w:val="left" w:pos="1080"/>
                      <w:tab w:val="left" w:pos="1800"/>
                    </w:tabs>
                    <w:spacing w:line="240" w:lineRule="auto"/>
                    <w:ind w:firstLine="0"/>
                    <w:rPr>
                      <w:rFonts w:ascii="Times New Roman" w:hAnsi="Times New Roman" w:cs="Times New Roman"/>
                      <w:b/>
                      <w:color w:val="000000" w:themeColor="text1"/>
                      <w14:textFill>
                        <w14:solidFill>
                          <w14:schemeClr w14:val="tx1"/>
                        </w14:solidFill>
                      </w14:textFill>
                    </w:rPr>
                  </w:pPr>
                </w:p>
              </w:tc>
              <w:tc>
                <w:tcPr>
                  <w:tcW w:w="1114" w:type="dxa"/>
                  <w:vMerge w:val="continue"/>
                  <w:vAlign w:val="center"/>
                </w:tcPr>
                <w:p>
                  <w:pPr>
                    <w:autoSpaceDE w:val="0"/>
                    <w:autoSpaceDN w:val="0"/>
                    <w:adjustRightInd w:val="0"/>
                    <w:snapToGrid w:val="0"/>
                    <w:spacing w:line="240" w:lineRule="auto"/>
                    <w:jc w:val="center"/>
                    <w:textAlignment w:val="baseline"/>
                    <w:rPr>
                      <w:b/>
                      <w:color w:val="000000" w:themeColor="text1"/>
                      <w:szCs w:val="21"/>
                      <w14:textFill>
                        <w14:solidFill>
                          <w14:schemeClr w14:val="tx1"/>
                        </w14:solidFill>
                      </w14:textFill>
                    </w:rPr>
                  </w:pPr>
                </w:p>
              </w:tc>
              <w:tc>
                <w:tcPr>
                  <w:tcW w:w="1573" w:type="dxa"/>
                  <w:vAlign w:val="center"/>
                </w:tcPr>
                <w:p>
                  <w:pPr>
                    <w:autoSpaceDE w:val="0"/>
                    <w:autoSpaceDN w:val="0"/>
                    <w:adjustRightInd w:val="0"/>
                    <w:snapToGrid w:val="0"/>
                    <w:spacing w:line="240" w:lineRule="auto"/>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浓度（mg/L）</w:t>
                  </w:r>
                </w:p>
              </w:tc>
              <w:tc>
                <w:tcPr>
                  <w:tcW w:w="1507" w:type="dxa"/>
                  <w:vAlign w:val="center"/>
                </w:tcPr>
                <w:p>
                  <w:pPr>
                    <w:autoSpaceDE w:val="0"/>
                    <w:autoSpaceDN w:val="0"/>
                    <w:adjustRightInd w:val="0"/>
                    <w:snapToGrid w:val="0"/>
                    <w:spacing w:line="240" w:lineRule="auto"/>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排放量（t/a）</w:t>
                  </w:r>
                </w:p>
              </w:tc>
              <w:tc>
                <w:tcPr>
                  <w:tcW w:w="1746" w:type="dxa"/>
                  <w:vAlign w:val="center"/>
                </w:tcPr>
                <w:p>
                  <w:pPr>
                    <w:autoSpaceDE w:val="0"/>
                    <w:autoSpaceDN w:val="0"/>
                    <w:adjustRightInd w:val="0"/>
                    <w:snapToGrid w:val="0"/>
                    <w:spacing w:line="240" w:lineRule="auto"/>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浓度（mg/L）</w:t>
                  </w:r>
                </w:p>
              </w:tc>
              <w:tc>
                <w:tcPr>
                  <w:tcW w:w="1604" w:type="dxa"/>
                  <w:vAlign w:val="center"/>
                </w:tcPr>
                <w:p>
                  <w:pPr>
                    <w:autoSpaceDE w:val="0"/>
                    <w:autoSpaceDN w:val="0"/>
                    <w:adjustRightInd w:val="0"/>
                    <w:snapToGrid w:val="0"/>
                    <w:spacing w:line="240" w:lineRule="auto"/>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15" w:type="dxa"/>
                  <w:vMerge w:val="restart"/>
                  <w:vAlign w:val="center"/>
                </w:tcPr>
                <w:p>
                  <w:pPr>
                    <w:pStyle w:val="116"/>
                    <w:spacing w:before="24" w:after="24" w:line="240" w:lineRule="auto"/>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综合废</w:t>
                  </w:r>
                  <w:r>
                    <w:rPr>
                      <w:rFonts w:hint="eastAsia" w:ascii="Times New Roman" w:hAnsi="Times New Roman"/>
                      <w:color w:val="000000" w:themeColor="text1"/>
                      <w:lang w:val="en-US" w:eastAsia="zh-CN"/>
                      <w14:textFill>
                        <w14:solidFill>
                          <w14:schemeClr w14:val="tx1"/>
                        </w14:solidFill>
                      </w14:textFill>
                    </w:rPr>
                    <w:t>水</w:t>
                  </w:r>
                  <w:r>
                    <w:rPr>
                      <w:rFonts w:hint="eastAsia" w:ascii="Times New Roman" w:hAnsi="Times New Roman"/>
                      <w:color w:val="000000" w:themeColor="text1"/>
                      <w14:textFill>
                        <w14:solidFill>
                          <w14:schemeClr w14:val="tx1"/>
                        </w14:solidFill>
                      </w14:textFill>
                    </w:rPr>
                    <w:t>9</w:t>
                  </w:r>
                  <w:r>
                    <w:rPr>
                      <w:rFonts w:ascii="Times New Roman" w:hAnsi="Times New Roman"/>
                      <w:color w:val="000000" w:themeColor="text1"/>
                      <w14:textFill>
                        <w14:solidFill>
                          <w14:schemeClr w14:val="tx1"/>
                        </w14:solidFill>
                      </w14:textFill>
                    </w:rPr>
                    <w:t>299.03t/a</w:t>
                  </w:r>
                </w:p>
              </w:tc>
              <w:tc>
                <w:tcPr>
                  <w:tcW w:w="1114" w:type="dxa"/>
                  <w:vAlign w:val="center"/>
                </w:tcPr>
                <w:p>
                  <w:pPr>
                    <w:pStyle w:val="116"/>
                    <w:spacing w:before="24" w:after="24" w:line="24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p</w:t>
                  </w:r>
                  <w:r>
                    <w:rPr>
                      <w:rFonts w:ascii="Times New Roman" w:hAnsi="Times New Roman"/>
                      <w:color w:val="000000" w:themeColor="text1"/>
                      <w14:textFill>
                        <w14:solidFill>
                          <w14:schemeClr w14:val="tx1"/>
                        </w14:solidFill>
                      </w14:textFill>
                    </w:rPr>
                    <w:t>H</w:t>
                  </w:r>
                </w:p>
              </w:tc>
              <w:tc>
                <w:tcPr>
                  <w:tcW w:w="1573"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9</w:t>
                  </w:r>
                  <w:r>
                    <w:rPr>
                      <w:rFonts w:hint="eastAsia"/>
                      <w:color w:val="000000" w:themeColor="text1"/>
                      <w:szCs w:val="21"/>
                      <w14:textFill>
                        <w14:solidFill>
                          <w14:schemeClr w14:val="tx1"/>
                        </w14:solidFill>
                      </w14:textFill>
                    </w:rPr>
                    <w:t>（无量纲）</w:t>
                  </w:r>
                </w:p>
              </w:tc>
              <w:tc>
                <w:tcPr>
                  <w:tcW w:w="1507" w:type="dxa"/>
                  <w:vAlign w:val="center"/>
                </w:tcPr>
                <w:p>
                  <w:pPr>
                    <w:spacing w:line="240" w:lineRule="auto"/>
                    <w:jc w:val="center"/>
                    <w:rPr>
                      <w:rFonts w:eastAsia="等线"/>
                      <w:color w:val="000000" w:themeColor="text1"/>
                      <w:kern w:val="0"/>
                      <w:szCs w:val="21"/>
                      <w14:textFill>
                        <w14:solidFill>
                          <w14:schemeClr w14:val="tx1"/>
                        </w14:solidFill>
                      </w14:textFill>
                    </w:rPr>
                  </w:pPr>
                  <w:r>
                    <w:rPr>
                      <w:rFonts w:hint="eastAsia" w:eastAsia="等线"/>
                      <w:color w:val="000000" w:themeColor="text1"/>
                      <w:kern w:val="0"/>
                      <w:szCs w:val="21"/>
                      <w14:textFill>
                        <w14:solidFill>
                          <w14:schemeClr w14:val="tx1"/>
                        </w14:solidFill>
                      </w14:textFill>
                    </w:rPr>
                    <w:t>/</w:t>
                  </w:r>
                </w:p>
              </w:tc>
              <w:tc>
                <w:tcPr>
                  <w:tcW w:w="1746"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9</w:t>
                  </w:r>
                  <w:r>
                    <w:rPr>
                      <w:rFonts w:hint="eastAsia"/>
                      <w:color w:val="000000" w:themeColor="text1"/>
                      <w:szCs w:val="21"/>
                      <w14:textFill>
                        <w14:solidFill>
                          <w14:schemeClr w14:val="tx1"/>
                        </w14:solidFill>
                      </w14:textFill>
                    </w:rPr>
                    <w:t>（无量纲）</w:t>
                  </w:r>
                </w:p>
              </w:tc>
              <w:tc>
                <w:tcPr>
                  <w:tcW w:w="1604" w:type="dxa"/>
                  <w:vAlign w:val="center"/>
                </w:tcPr>
                <w:p>
                  <w:pPr>
                    <w:spacing w:line="240" w:lineRule="auto"/>
                    <w:jc w:val="center"/>
                    <w:rPr>
                      <w:rFonts w:eastAsia="等线"/>
                      <w:color w:val="000000" w:themeColor="text1"/>
                      <w:kern w:val="0"/>
                      <w:szCs w:val="21"/>
                      <w14:textFill>
                        <w14:solidFill>
                          <w14:schemeClr w14:val="tx1"/>
                        </w14:solidFill>
                      </w14:textFill>
                    </w:rPr>
                  </w:pPr>
                  <w:r>
                    <w:rPr>
                      <w:rFonts w:hint="eastAsia" w:eastAsia="等线"/>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5" w:type="dxa"/>
                  <w:vMerge w:val="continue"/>
                  <w:vAlign w:val="center"/>
                </w:tcPr>
                <w:p>
                  <w:pPr>
                    <w:pStyle w:val="116"/>
                    <w:spacing w:before="24" w:after="24" w:line="240" w:lineRule="auto"/>
                    <w:jc w:val="both"/>
                    <w:rPr>
                      <w:rFonts w:ascii="Times New Roman" w:hAnsi="Times New Roman"/>
                      <w:color w:val="000000" w:themeColor="text1"/>
                      <w14:textFill>
                        <w14:solidFill>
                          <w14:schemeClr w14:val="tx1"/>
                        </w14:solidFill>
                      </w14:textFill>
                    </w:rPr>
                  </w:pPr>
                </w:p>
              </w:tc>
              <w:tc>
                <w:tcPr>
                  <w:tcW w:w="1114" w:type="dxa"/>
                  <w:vAlign w:val="center"/>
                </w:tcPr>
                <w:p>
                  <w:pPr>
                    <w:pStyle w:val="116"/>
                    <w:spacing w:before="24" w:after="24"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COD</w:t>
                  </w:r>
                </w:p>
              </w:tc>
              <w:tc>
                <w:tcPr>
                  <w:tcW w:w="1573"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507" w:type="dxa"/>
                  <w:vAlign w:val="center"/>
                </w:tcPr>
                <w:p>
                  <w:pPr>
                    <w:spacing w:line="240" w:lineRule="auto"/>
                    <w:jc w:val="center"/>
                    <w:rPr>
                      <w:rFonts w:eastAsia="等线"/>
                      <w:color w:val="000000" w:themeColor="text1"/>
                      <w:kern w:val="0"/>
                      <w:szCs w:val="21"/>
                      <w14:textFill>
                        <w14:solidFill>
                          <w14:schemeClr w14:val="tx1"/>
                        </w14:solidFill>
                      </w14:textFill>
                    </w:rPr>
                  </w:pPr>
                  <w:r>
                    <w:rPr>
                      <w:rFonts w:hint="eastAsia" w:eastAsia="等线"/>
                      <w:color w:val="000000" w:themeColor="text1"/>
                      <w:kern w:val="0"/>
                      <w:szCs w:val="21"/>
                      <w14:textFill>
                        <w14:solidFill>
                          <w14:schemeClr w14:val="tx1"/>
                        </w14:solidFill>
                      </w14:textFill>
                    </w:rPr>
                    <w:t>1</w:t>
                  </w:r>
                  <w:r>
                    <w:rPr>
                      <w:rFonts w:eastAsia="等线"/>
                      <w:color w:val="000000" w:themeColor="text1"/>
                      <w:kern w:val="0"/>
                      <w:szCs w:val="21"/>
                      <w14:textFill>
                        <w14:solidFill>
                          <w14:schemeClr w14:val="tx1"/>
                        </w14:solidFill>
                      </w14:textFill>
                    </w:rPr>
                    <w:t>.395</w:t>
                  </w:r>
                </w:p>
              </w:tc>
              <w:tc>
                <w:tcPr>
                  <w:tcW w:w="1746"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w:t>
                  </w:r>
                </w:p>
              </w:tc>
              <w:tc>
                <w:tcPr>
                  <w:tcW w:w="1604" w:type="dxa"/>
                  <w:vAlign w:val="center"/>
                </w:tcPr>
                <w:p>
                  <w:pPr>
                    <w:spacing w:line="240" w:lineRule="auto"/>
                    <w:jc w:val="center"/>
                    <w:rPr>
                      <w:rFonts w:eastAsia="等线"/>
                      <w:color w:val="000000" w:themeColor="text1"/>
                      <w:kern w:val="0"/>
                      <w:szCs w:val="21"/>
                      <w14:textFill>
                        <w14:solidFill>
                          <w14:schemeClr w14:val="tx1"/>
                        </w14:solidFill>
                      </w14:textFill>
                    </w:rPr>
                  </w:pPr>
                  <w:r>
                    <w:rPr>
                      <w:rFonts w:hint="eastAsia" w:eastAsia="等线"/>
                      <w:color w:val="000000" w:themeColor="text1"/>
                      <w:kern w:val="0"/>
                      <w:szCs w:val="21"/>
                      <w14:textFill>
                        <w14:solidFill>
                          <w14:schemeClr w14:val="tx1"/>
                        </w14:solidFill>
                      </w14:textFill>
                    </w:rPr>
                    <w:t>0</w:t>
                  </w:r>
                  <w:r>
                    <w:rPr>
                      <w:rFonts w:eastAsia="等线"/>
                      <w:color w:val="000000" w:themeColor="text1"/>
                      <w:kern w:val="0"/>
                      <w:szCs w:val="21"/>
                      <w14:textFill>
                        <w14:solidFill>
                          <w14:schemeClr w14:val="tx1"/>
                        </w14:solidFill>
                      </w14:textFill>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5" w:type="dxa"/>
                  <w:vMerge w:val="continue"/>
                  <w:vAlign w:val="center"/>
                </w:tcPr>
                <w:p>
                  <w:pPr>
                    <w:autoSpaceDE w:val="0"/>
                    <w:autoSpaceDN w:val="0"/>
                    <w:adjustRightInd w:val="0"/>
                    <w:snapToGrid w:val="0"/>
                    <w:spacing w:line="240" w:lineRule="auto"/>
                    <w:jc w:val="center"/>
                    <w:textAlignment w:val="baseline"/>
                    <w:rPr>
                      <w:color w:val="000000" w:themeColor="text1"/>
                      <w:szCs w:val="21"/>
                      <w14:textFill>
                        <w14:solidFill>
                          <w14:schemeClr w14:val="tx1"/>
                        </w14:solidFill>
                      </w14:textFill>
                    </w:rPr>
                  </w:pPr>
                </w:p>
              </w:tc>
              <w:tc>
                <w:tcPr>
                  <w:tcW w:w="1114" w:type="dxa"/>
                  <w:vAlign w:val="center"/>
                </w:tcPr>
                <w:p>
                  <w:pPr>
                    <w:pStyle w:val="116"/>
                    <w:spacing w:before="24" w:after="24"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BOD</w:t>
                  </w:r>
                  <w:r>
                    <w:rPr>
                      <w:rFonts w:ascii="Times New Roman" w:hAnsi="Times New Roman"/>
                      <w:color w:val="000000" w:themeColor="text1"/>
                      <w:vertAlign w:val="subscript"/>
                      <w14:textFill>
                        <w14:solidFill>
                          <w14:schemeClr w14:val="tx1"/>
                        </w14:solidFill>
                      </w14:textFill>
                    </w:rPr>
                    <w:t>5</w:t>
                  </w:r>
                </w:p>
              </w:tc>
              <w:tc>
                <w:tcPr>
                  <w:tcW w:w="1573" w:type="dxa"/>
                  <w:vAlign w:val="center"/>
                </w:tcPr>
                <w:p>
                  <w:pPr>
                    <w:spacing w:line="240" w:lineRule="auto"/>
                    <w:jc w:val="center"/>
                    <w:rPr>
                      <w:color w:val="000000" w:themeColor="text1"/>
                      <w14:textFill>
                        <w14:solidFill>
                          <w14:schemeClr w14:val="tx1"/>
                        </w14:solidFill>
                      </w14:textFill>
                    </w:rPr>
                  </w:pPr>
                  <w:r>
                    <w:rPr>
                      <w:color w:val="000000" w:themeColor="text1"/>
                      <w:szCs w:val="21"/>
                      <w14:textFill>
                        <w14:solidFill>
                          <w14:schemeClr w14:val="tx1"/>
                        </w14:solidFill>
                      </w14:textFill>
                    </w:rPr>
                    <w:t>300</w:t>
                  </w:r>
                </w:p>
              </w:tc>
              <w:tc>
                <w:tcPr>
                  <w:tcW w:w="1507"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.279</w:t>
                  </w:r>
                </w:p>
              </w:tc>
              <w:tc>
                <w:tcPr>
                  <w:tcW w:w="1746"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1604"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5" w:type="dxa"/>
                  <w:vMerge w:val="continue"/>
                  <w:vAlign w:val="center"/>
                </w:tcPr>
                <w:p>
                  <w:pPr>
                    <w:autoSpaceDE w:val="0"/>
                    <w:autoSpaceDN w:val="0"/>
                    <w:adjustRightInd w:val="0"/>
                    <w:snapToGrid w:val="0"/>
                    <w:spacing w:line="240" w:lineRule="auto"/>
                    <w:jc w:val="center"/>
                    <w:textAlignment w:val="baseline"/>
                    <w:rPr>
                      <w:color w:val="000000" w:themeColor="text1"/>
                      <w:szCs w:val="21"/>
                      <w14:textFill>
                        <w14:solidFill>
                          <w14:schemeClr w14:val="tx1"/>
                        </w14:solidFill>
                      </w14:textFill>
                    </w:rPr>
                  </w:pPr>
                </w:p>
              </w:tc>
              <w:tc>
                <w:tcPr>
                  <w:tcW w:w="1114" w:type="dxa"/>
                  <w:vAlign w:val="center"/>
                </w:tcPr>
                <w:p>
                  <w:pPr>
                    <w:pStyle w:val="116"/>
                    <w:spacing w:before="24" w:after="24"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SS</w:t>
                  </w:r>
                </w:p>
              </w:tc>
              <w:tc>
                <w:tcPr>
                  <w:tcW w:w="1573"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40</w:t>
                  </w:r>
                  <w:r>
                    <w:rPr>
                      <w:color w:val="000000" w:themeColor="text1"/>
                      <w14:textFill>
                        <w14:solidFill>
                          <w14:schemeClr w14:val="tx1"/>
                        </w14:solidFill>
                      </w14:textFill>
                    </w:rPr>
                    <w:t>0</w:t>
                  </w:r>
                </w:p>
              </w:tc>
              <w:tc>
                <w:tcPr>
                  <w:tcW w:w="1507"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.930</w:t>
                  </w:r>
                </w:p>
              </w:tc>
              <w:tc>
                <w:tcPr>
                  <w:tcW w:w="1746"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1604"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15" w:type="dxa"/>
                  <w:vMerge w:val="continue"/>
                  <w:vAlign w:val="center"/>
                </w:tcPr>
                <w:p>
                  <w:pPr>
                    <w:autoSpaceDE w:val="0"/>
                    <w:autoSpaceDN w:val="0"/>
                    <w:adjustRightInd w:val="0"/>
                    <w:snapToGrid w:val="0"/>
                    <w:spacing w:line="240" w:lineRule="auto"/>
                    <w:jc w:val="center"/>
                    <w:textAlignment w:val="baseline"/>
                    <w:rPr>
                      <w:color w:val="000000" w:themeColor="text1"/>
                      <w:szCs w:val="21"/>
                      <w14:textFill>
                        <w14:solidFill>
                          <w14:schemeClr w14:val="tx1"/>
                        </w14:solidFill>
                      </w14:textFill>
                    </w:rPr>
                  </w:pPr>
                </w:p>
              </w:tc>
              <w:tc>
                <w:tcPr>
                  <w:tcW w:w="1114" w:type="dxa"/>
                  <w:vAlign w:val="center"/>
                </w:tcPr>
                <w:p>
                  <w:pPr>
                    <w:pStyle w:val="116"/>
                    <w:spacing w:before="24" w:after="24"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氨氮</w:t>
                  </w:r>
                </w:p>
              </w:tc>
              <w:tc>
                <w:tcPr>
                  <w:tcW w:w="1573"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45</w:t>
                  </w:r>
                </w:p>
              </w:tc>
              <w:tc>
                <w:tcPr>
                  <w:tcW w:w="1507"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.046</w:t>
                  </w:r>
                </w:p>
              </w:tc>
              <w:tc>
                <w:tcPr>
                  <w:tcW w:w="1746"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604"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5" w:type="dxa"/>
                  <w:vMerge w:val="continue"/>
                  <w:vAlign w:val="center"/>
                </w:tcPr>
                <w:p>
                  <w:pPr>
                    <w:autoSpaceDE w:val="0"/>
                    <w:autoSpaceDN w:val="0"/>
                    <w:adjustRightInd w:val="0"/>
                    <w:snapToGrid w:val="0"/>
                    <w:spacing w:line="240" w:lineRule="auto"/>
                    <w:jc w:val="center"/>
                    <w:textAlignment w:val="baseline"/>
                    <w:rPr>
                      <w:color w:val="000000" w:themeColor="text1"/>
                      <w:szCs w:val="21"/>
                      <w14:textFill>
                        <w14:solidFill>
                          <w14:schemeClr w14:val="tx1"/>
                        </w14:solidFill>
                      </w14:textFill>
                    </w:rPr>
                  </w:pPr>
                </w:p>
              </w:tc>
              <w:tc>
                <w:tcPr>
                  <w:tcW w:w="1114" w:type="dxa"/>
                  <w:vAlign w:val="center"/>
                </w:tcPr>
                <w:p>
                  <w:pPr>
                    <w:pStyle w:val="116"/>
                    <w:spacing w:before="24" w:after="24" w:line="240" w:lineRule="auto"/>
                    <w:rPr>
                      <w:rFonts w:ascii="Times New Roman" w:hAnsi="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动植物油</w:t>
                  </w:r>
                </w:p>
              </w:tc>
              <w:tc>
                <w:tcPr>
                  <w:tcW w:w="1573" w:type="dxa"/>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507"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.009</w:t>
                  </w:r>
                </w:p>
              </w:tc>
              <w:tc>
                <w:tcPr>
                  <w:tcW w:w="1746"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604"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5" w:type="dxa"/>
                  <w:vMerge w:val="continue"/>
                  <w:vAlign w:val="center"/>
                </w:tcPr>
                <w:p>
                  <w:pPr>
                    <w:autoSpaceDE w:val="0"/>
                    <w:autoSpaceDN w:val="0"/>
                    <w:adjustRightInd w:val="0"/>
                    <w:snapToGrid w:val="0"/>
                    <w:spacing w:line="240" w:lineRule="auto"/>
                    <w:jc w:val="center"/>
                    <w:textAlignment w:val="baseline"/>
                    <w:rPr>
                      <w:color w:val="000000" w:themeColor="text1"/>
                      <w:szCs w:val="21"/>
                      <w14:textFill>
                        <w14:solidFill>
                          <w14:schemeClr w14:val="tx1"/>
                        </w14:solidFill>
                      </w14:textFill>
                    </w:rPr>
                  </w:pPr>
                </w:p>
              </w:tc>
              <w:tc>
                <w:tcPr>
                  <w:tcW w:w="1114" w:type="dxa"/>
                  <w:vAlign w:val="center"/>
                </w:tcPr>
                <w:p>
                  <w:pPr>
                    <w:pStyle w:val="116"/>
                    <w:spacing w:before="24" w:after="24" w:line="24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总磷</w:t>
                  </w:r>
                </w:p>
              </w:tc>
              <w:tc>
                <w:tcPr>
                  <w:tcW w:w="1573"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507"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.004</w:t>
                  </w:r>
                </w:p>
              </w:tc>
              <w:tc>
                <w:tcPr>
                  <w:tcW w:w="1746"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.5</w:t>
                  </w:r>
                </w:p>
              </w:tc>
              <w:tc>
                <w:tcPr>
                  <w:tcW w:w="1604"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15" w:type="dxa"/>
                  <w:vMerge w:val="continue"/>
                  <w:vAlign w:val="center"/>
                </w:tcPr>
                <w:p>
                  <w:pPr>
                    <w:autoSpaceDE w:val="0"/>
                    <w:autoSpaceDN w:val="0"/>
                    <w:adjustRightInd w:val="0"/>
                    <w:snapToGrid w:val="0"/>
                    <w:spacing w:line="240" w:lineRule="auto"/>
                    <w:jc w:val="center"/>
                    <w:textAlignment w:val="baseline"/>
                    <w:rPr>
                      <w:color w:val="000000" w:themeColor="text1"/>
                      <w:szCs w:val="21"/>
                      <w14:textFill>
                        <w14:solidFill>
                          <w14:schemeClr w14:val="tx1"/>
                        </w14:solidFill>
                      </w14:textFill>
                    </w:rPr>
                  </w:pPr>
                </w:p>
              </w:tc>
              <w:tc>
                <w:tcPr>
                  <w:tcW w:w="1114" w:type="dxa"/>
                  <w:vAlign w:val="center"/>
                </w:tcPr>
                <w:p>
                  <w:pPr>
                    <w:pStyle w:val="116"/>
                    <w:spacing w:before="24" w:after="24" w:line="24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石油类</w:t>
                  </w:r>
                </w:p>
              </w:tc>
              <w:tc>
                <w:tcPr>
                  <w:tcW w:w="1573" w:type="dxa"/>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507"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.009</w:t>
                  </w:r>
                </w:p>
              </w:tc>
              <w:tc>
                <w:tcPr>
                  <w:tcW w:w="1746"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604" w:type="dxa"/>
                  <w:vAlign w:val="center"/>
                </w:tcPr>
                <w:p>
                  <w:pPr>
                    <w:spacing w:line="240" w:lineRule="auto"/>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.009</w:t>
                  </w:r>
                </w:p>
              </w:tc>
            </w:tr>
          </w:tbl>
          <w:p>
            <w:pPr>
              <w:pStyle w:val="72"/>
              <w:ind w:firstLine="482"/>
              <w:rPr>
                <w:rFonts w:cs="Times New Roman"/>
                <w:b/>
                <w:color w:val="000000" w:themeColor="text1"/>
                <w:highlight w:val="yellow"/>
                <w14:textFill>
                  <w14:solidFill>
                    <w14:schemeClr w14:val="tx1"/>
                  </w14:solidFill>
                </w14:textFill>
              </w:rPr>
            </w:pPr>
            <w:r>
              <w:rPr>
                <w:rFonts w:cs="Times New Roman"/>
                <w:b/>
                <w:color w:val="000000" w:themeColor="text1"/>
                <w14:textFill>
                  <w14:solidFill>
                    <w14:schemeClr w14:val="tx1"/>
                  </w14:solidFill>
                </w14:textFill>
              </w:rPr>
              <w:t>6</w:t>
            </w:r>
            <w:r>
              <w:rPr>
                <w:rFonts w:hint="eastAsia" w:cs="Times New Roman"/>
                <w:b/>
                <w:color w:val="000000" w:themeColor="text1"/>
                <w14:textFill>
                  <w14:solidFill>
                    <w14:schemeClr w14:val="tx1"/>
                  </w14:solidFill>
                </w14:textFill>
              </w:rPr>
              <w:t>、</w:t>
            </w:r>
            <w:r>
              <w:rPr>
                <w:rFonts w:cs="Times New Roman"/>
                <w:b/>
                <w:color w:val="000000" w:themeColor="text1"/>
                <w14:textFill>
                  <w14:solidFill>
                    <w14:schemeClr w14:val="tx1"/>
                  </w14:solidFill>
                </w14:textFill>
              </w:rPr>
              <w:t>废水监测计划</w:t>
            </w:r>
          </w:p>
          <w:p>
            <w:pPr>
              <w:pStyle w:val="72"/>
              <w:ind w:firstLine="480"/>
              <w:rPr>
                <w:rFonts w:cs="Times New Roman"/>
                <w:b/>
                <w:color w:val="000000" w:themeColor="text1"/>
                <w14:textFill>
                  <w14:solidFill>
                    <w14:schemeClr w14:val="tx1"/>
                  </w14:solidFill>
                </w14:textFill>
              </w:rPr>
            </w:pPr>
            <w:r>
              <w:rPr>
                <w:color w:val="000000" w:themeColor="text1"/>
                <w:szCs w:val="24"/>
                <w14:textFill>
                  <w14:solidFill>
                    <w14:schemeClr w14:val="tx1"/>
                  </w14:solidFill>
                </w14:textFill>
              </w:rPr>
              <w:t>参照</w:t>
            </w:r>
            <w:r>
              <w:rPr>
                <w:rFonts w:hint="eastAsia"/>
                <w:color w:val="000000" w:themeColor="text1"/>
                <w:szCs w:val="24"/>
                <w14:textFill>
                  <w14:solidFill>
                    <w14:schemeClr w14:val="tx1"/>
                  </w14:solidFill>
                </w14:textFill>
              </w:rPr>
              <w:t>《排污许可证申请与核发技术规范 废弃资源加工工业》（HJ</w:t>
            </w:r>
            <w:r>
              <w:rPr>
                <w:color w:val="000000" w:themeColor="text1"/>
                <w:szCs w:val="24"/>
                <w14:textFill>
                  <w14:solidFill>
                    <w14:schemeClr w14:val="tx1"/>
                  </w14:solidFill>
                </w14:textFill>
              </w:rPr>
              <w:t xml:space="preserve"> 1034</w:t>
            </w:r>
            <w:r>
              <w:rPr>
                <w:rFonts w:hint="eastAsia"/>
                <w:color w:val="000000" w:themeColor="text1"/>
                <w:szCs w:val="24"/>
                <w14:textFill>
                  <w14:solidFill>
                    <w14:schemeClr w14:val="tx1"/>
                  </w14:solidFill>
                </w14:textFill>
              </w:rPr>
              <w:t>-201</w:t>
            </w:r>
            <w:r>
              <w:rPr>
                <w:color w:val="000000" w:themeColor="text1"/>
                <w:szCs w:val="24"/>
                <w14:textFill>
                  <w14:solidFill>
                    <w14:schemeClr w14:val="tx1"/>
                  </w14:solidFill>
                </w14:textFill>
              </w:rPr>
              <w:t>9</w:t>
            </w:r>
            <w:r>
              <w:rPr>
                <w:rFonts w:hint="eastAsia"/>
                <w:color w:val="000000" w:themeColor="text1"/>
                <w:szCs w:val="24"/>
                <w14:textFill>
                  <w14:solidFill>
                    <w14:schemeClr w14:val="tx1"/>
                  </w14:solidFill>
                </w14:textFill>
              </w:rPr>
              <w:t>），</w:t>
            </w:r>
            <w:r>
              <w:rPr>
                <w:rFonts w:hint="eastAsia" w:cs="Times New Roman"/>
                <w:color w:val="000000" w:themeColor="text1"/>
                <w14:textFill>
                  <w14:solidFill>
                    <w14:schemeClr w14:val="tx1"/>
                  </w14:solidFill>
                </w14:textFill>
              </w:rPr>
              <w:t>本</w:t>
            </w:r>
            <w:r>
              <w:rPr>
                <w:rFonts w:cs="Times New Roman"/>
                <w:color w:val="000000" w:themeColor="text1"/>
                <w14:textFill>
                  <w14:solidFill>
                    <w14:schemeClr w14:val="tx1"/>
                  </w14:solidFill>
                </w14:textFill>
              </w:rPr>
              <w:t>项目废水监测计划见表4.2-20。</w:t>
            </w:r>
          </w:p>
          <w:p>
            <w:pPr>
              <w:pStyle w:val="13"/>
              <w:autoSpaceDE w:val="0"/>
              <w:autoSpaceDN w:val="0"/>
              <w:adjustRightInd w:val="0"/>
              <w:spacing w:line="240" w:lineRule="auto"/>
              <w:textAlignment w:val="baseline"/>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表4.2-20  </w:t>
            </w:r>
            <w:r>
              <w:rPr>
                <w:rFonts w:hint="eastAsia" w:ascii="Times New Roman" w:hAnsi="Times New Roman" w:eastAsia="宋体" w:cs="Times New Roman"/>
                <w:b/>
                <w:bCs/>
                <w:color w:val="000000" w:themeColor="text1"/>
                <w:sz w:val="24"/>
                <w:szCs w:val="24"/>
                <w14:textFill>
                  <w14:solidFill>
                    <w14:schemeClr w14:val="tx1"/>
                  </w14:solidFill>
                </w14:textFill>
              </w:rPr>
              <w:t>废水</w:t>
            </w:r>
            <w:r>
              <w:rPr>
                <w:rFonts w:ascii="Times New Roman" w:hAnsi="Times New Roman" w:eastAsia="宋体" w:cs="Times New Roman"/>
                <w:b/>
                <w:bCs/>
                <w:color w:val="000000" w:themeColor="text1"/>
                <w:sz w:val="24"/>
                <w:szCs w:val="24"/>
                <w14:textFill>
                  <w14:solidFill>
                    <w14:schemeClr w14:val="tx1"/>
                  </w14:solidFill>
                </w14:textFill>
              </w:rPr>
              <w:t>环境监测计划一览表</w:t>
            </w:r>
          </w:p>
          <w:tbl>
            <w:tblPr>
              <w:tblStyle w:val="36"/>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1269"/>
              <w:gridCol w:w="1281"/>
              <w:gridCol w:w="3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60" w:type="dxa"/>
                  <w:vAlign w:val="center"/>
                </w:tcPr>
                <w:p>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污染物</w:t>
                  </w:r>
                </w:p>
              </w:tc>
              <w:tc>
                <w:tcPr>
                  <w:tcW w:w="1269" w:type="dxa"/>
                  <w:vAlign w:val="center"/>
                </w:tcPr>
                <w:p>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监测点位</w:t>
                  </w:r>
                </w:p>
              </w:tc>
              <w:tc>
                <w:tcPr>
                  <w:tcW w:w="1281" w:type="dxa"/>
                  <w:vAlign w:val="center"/>
                </w:tcPr>
                <w:p>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监测频率</w:t>
                  </w:r>
                </w:p>
              </w:tc>
              <w:tc>
                <w:tcPr>
                  <w:tcW w:w="3588" w:type="dxa"/>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60" w:type="dxa"/>
                  <w:vAlign w:val="center"/>
                </w:tcPr>
                <w:p>
                  <w:pPr>
                    <w:spacing w:line="24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p</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COD、BOD</w:t>
                  </w:r>
                  <w:r>
                    <w:rPr>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氨氮、SS、</w:t>
                  </w:r>
                  <w:r>
                    <w:rPr>
                      <w:rFonts w:hint="eastAsia"/>
                      <w:color w:val="000000" w:themeColor="text1"/>
                      <w14:textFill>
                        <w14:solidFill>
                          <w14:schemeClr w14:val="tx1"/>
                        </w14:solidFill>
                      </w14:textFill>
                    </w:rPr>
                    <w:t>动植物油、石油类、总磷</w:t>
                  </w:r>
                </w:p>
              </w:tc>
              <w:tc>
                <w:tcPr>
                  <w:tcW w:w="1269" w:type="dxa"/>
                  <w:vAlign w:val="center"/>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生化池</w:t>
                  </w:r>
                  <w:r>
                    <w:rPr>
                      <w:color w:val="000000" w:themeColor="text1"/>
                      <w14:textFill>
                        <w14:solidFill>
                          <w14:schemeClr w14:val="tx1"/>
                        </w14:solidFill>
                      </w14:textFill>
                    </w:rPr>
                    <w:t>出口</w:t>
                  </w:r>
                </w:p>
              </w:tc>
              <w:tc>
                <w:tcPr>
                  <w:tcW w:w="1281"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1次/半年</w:t>
                  </w:r>
                </w:p>
              </w:tc>
              <w:tc>
                <w:tcPr>
                  <w:tcW w:w="3588" w:type="dxa"/>
                  <w:vAlign w:val="center"/>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《排污许可证申请与核发技术规范 废弃资源加工工业》（HJ 1034-2019）</w:t>
                  </w:r>
                </w:p>
              </w:tc>
            </w:tr>
          </w:tbl>
          <w:p>
            <w:pPr>
              <w:pStyle w:val="72"/>
              <w:ind w:firstLine="0" w:firstLineChars="0"/>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4.2.3噪声</w:t>
            </w:r>
          </w:p>
          <w:p>
            <w:pPr>
              <w:pStyle w:val="72"/>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1</w:t>
            </w:r>
            <w:r>
              <w:rPr>
                <w:rFonts w:hint="eastAsia" w:cs="Times New Roman"/>
                <w:b/>
                <w:color w:val="000000" w:themeColor="text1"/>
                <w14:textFill>
                  <w14:solidFill>
                    <w14:schemeClr w14:val="tx1"/>
                  </w14:solidFill>
                </w14:textFill>
              </w:rPr>
              <w:t>、</w:t>
            </w:r>
            <w:r>
              <w:rPr>
                <w:rFonts w:cs="Times New Roman"/>
                <w:b/>
                <w:color w:val="000000" w:themeColor="text1"/>
                <w14:textFill>
                  <w14:solidFill>
                    <w14:schemeClr w14:val="tx1"/>
                  </w14:solidFill>
                </w14:textFill>
              </w:rPr>
              <w:t>噪声</w:t>
            </w:r>
            <w:r>
              <w:rPr>
                <w:rFonts w:hint="eastAsia" w:cs="Times New Roman"/>
                <w:b/>
                <w:color w:val="000000" w:themeColor="text1"/>
                <w14:textFill>
                  <w14:solidFill>
                    <w14:schemeClr w14:val="tx1"/>
                  </w14:solidFill>
                </w14:textFill>
              </w:rPr>
              <w:t>源强</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本项目运营期噪声源主要为轮胎破碎生产线、连续干馏裂解生产线、风机等设备运行时产生的噪声，噪声级在</w:t>
            </w:r>
            <w:r>
              <w:rPr>
                <w:color w:val="000000" w:themeColor="text1"/>
                <w:sz w:val="24"/>
                <w14:textFill>
                  <w14:solidFill>
                    <w14:schemeClr w14:val="tx1"/>
                  </w14:solidFill>
                </w14:textFill>
              </w:rPr>
              <w:t>80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85</w:t>
            </w:r>
            <w:r>
              <w:rPr>
                <w:rFonts w:hint="eastAsia"/>
                <w:color w:val="000000" w:themeColor="text1"/>
                <w:sz w:val="24"/>
                <w14:textFill>
                  <w14:solidFill>
                    <w14:schemeClr w14:val="tx1"/>
                  </w14:solidFill>
                </w14:textFill>
              </w:rPr>
              <w:t>d</w:t>
            </w:r>
            <w:r>
              <w:rPr>
                <w:color w:val="000000" w:themeColor="text1"/>
                <w:sz w:val="24"/>
                <w14:textFill>
                  <w14:solidFill>
                    <w14:schemeClr w14:val="tx1"/>
                  </w14:solidFill>
                </w14:textFill>
              </w:rPr>
              <w:t>B</w:t>
            </w:r>
            <w:r>
              <w:rPr>
                <w:rFonts w:hint="eastAsia"/>
                <w:color w:val="000000" w:themeColor="text1"/>
                <w:sz w:val="24"/>
                <w14:textFill>
                  <w14:solidFill>
                    <w14:schemeClr w14:val="tx1"/>
                  </w14:solidFill>
                </w14:textFill>
              </w:rPr>
              <w:t>（A），项目噪声源强调查清单见表4</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21</w:t>
            </w:r>
            <w:r>
              <w:rPr>
                <w:rFonts w:hint="eastAsia"/>
                <w:color w:val="000000" w:themeColor="text1"/>
                <w:sz w:val="24"/>
                <w14:textFill>
                  <w14:solidFill>
                    <w14:schemeClr w14:val="tx1"/>
                  </w14:solidFill>
                </w14:textFill>
              </w:rPr>
              <w:t>。</w:t>
            </w:r>
          </w:p>
          <w:p>
            <w:pPr>
              <w:autoSpaceDE w:val="0"/>
              <w:autoSpaceDN w:val="0"/>
              <w:adjustRightInd w:val="0"/>
              <w:spacing w:line="240" w:lineRule="auto"/>
              <w:jc w:val="center"/>
              <w:textAlignment w:val="baseline"/>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 xml:space="preserve">21  </w:t>
            </w:r>
            <w:r>
              <w:rPr>
                <w:rFonts w:hint="eastAsia"/>
                <w:b/>
                <w:bCs/>
                <w:color w:val="000000" w:themeColor="text1"/>
                <w:sz w:val="24"/>
                <w14:textFill>
                  <w14:solidFill>
                    <w14:schemeClr w14:val="tx1"/>
                  </w14:solidFill>
                </w14:textFill>
              </w:rPr>
              <w:t>项目噪声源调查清单</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1134"/>
              <w:gridCol w:w="2410"/>
              <w:gridCol w:w="1417"/>
              <w:gridCol w:w="1276"/>
              <w:gridCol w:w="709"/>
              <w:gridCol w:w="709"/>
              <w:gridCol w:w="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vMerge w:val="restart"/>
                  <w:shd w:val="clear" w:color="auto" w:fill="auto"/>
                  <w:vAlign w:val="center"/>
                </w:tcPr>
                <w:p>
                  <w:pPr>
                    <w:pStyle w:val="2"/>
                    <w:spacing w:before="0" w:after="0" w:line="240" w:lineRule="auto"/>
                    <w:ind w:right="0"/>
                    <w:jc w:val="center"/>
                    <w:rPr>
                      <w:b/>
                      <w:color w:val="FF0000"/>
                      <w:sz w:val="21"/>
                      <w:szCs w:val="21"/>
                    </w:rPr>
                  </w:pPr>
                  <w:r>
                    <w:rPr>
                      <w:rFonts w:hint="eastAsia"/>
                      <w:b/>
                      <w:color w:val="FF0000"/>
                      <w:sz w:val="21"/>
                      <w:szCs w:val="21"/>
                    </w:rPr>
                    <w:t>序号</w:t>
                  </w:r>
                </w:p>
              </w:tc>
              <w:tc>
                <w:tcPr>
                  <w:tcW w:w="1134" w:type="dxa"/>
                  <w:vMerge w:val="restart"/>
                  <w:shd w:val="clear" w:color="auto" w:fill="auto"/>
                  <w:vAlign w:val="center"/>
                </w:tcPr>
                <w:p>
                  <w:pPr>
                    <w:pStyle w:val="2"/>
                    <w:spacing w:before="0" w:after="0" w:line="240" w:lineRule="auto"/>
                    <w:ind w:right="0"/>
                    <w:jc w:val="center"/>
                    <w:rPr>
                      <w:b/>
                      <w:color w:val="FF0000"/>
                      <w:sz w:val="21"/>
                      <w:szCs w:val="21"/>
                    </w:rPr>
                  </w:pPr>
                  <w:r>
                    <w:rPr>
                      <w:rFonts w:hint="eastAsia"/>
                      <w:b/>
                      <w:color w:val="FF0000"/>
                      <w:sz w:val="21"/>
                      <w:szCs w:val="21"/>
                    </w:rPr>
                    <w:t>建筑物名称</w:t>
                  </w:r>
                </w:p>
              </w:tc>
              <w:tc>
                <w:tcPr>
                  <w:tcW w:w="2410" w:type="dxa"/>
                  <w:vMerge w:val="restart"/>
                  <w:shd w:val="clear" w:color="auto" w:fill="auto"/>
                  <w:vAlign w:val="center"/>
                </w:tcPr>
                <w:p>
                  <w:pPr>
                    <w:pStyle w:val="2"/>
                    <w:spacing w:before="0" w:after="0" w:line="240" w:lineRule="auto"/>
                    <w:ind w:right="0"/>
                    <w:jc w:val="center"/>
                    <w:rPr>
                      <w:b/>
                      <w:color w:val="FF0000"/>
                      <w:sz w:val="21"/>
                      <w:szCs w:val="21"/>
                    </w:rPr>
                  </w:pPr>
                  <w:r>
                    <w:rPr>
                      <w:rFonts w:hint="eastAsia"/>
                      <w:b/>
                      <w:color w:val="FF0000"/>
                      <w:sz w:val="21"/>
                      <w:szCs w:val="21"/>
                    </w:rPr>
                    <w:t>声源名称</w:t>
                  </w:r>
                </w:p>
              </w:tc>
              <w:tc>
                <w:tcPr>
                  <w:tcW w:w="1417" w:type="dxa"/>
                  <w:vMerge w:val="restart"/>
                  <w:shd w:val="clear" w:color="auto" w:fill="auto"/>
                  <w:vAlign w:val="center"/>
                </w:tcPr>
                <w:p>
                  <w:pPr>
                    <w:pStyle w:val="2"/>
                    <w:spacing w:before="0" w:after="0" w:line="240" w:lineRule="auto"/>
                    <w:ind w:right="0"/>
                    <w:jc w:val="center"/>
                    <w:rPr>
                      <w:b/>
                      <w:color w:val="FF0000"/>
                      <w:sz w:val="21"/>
                      <w:szCs w:val="21"/>
                    </w:rPr>
                  </w:pPr>
                  <w:r>
                    <w:rPr>
                      <w:rFonts w:hint="eastAsia"/>
                      <w:b/>
                      <w:color w:val="FF0000"/>
                      <w:sz w:val="21"/>
                      <w:szCs w:val="21"/>
                    </w:rPr>
                    <w:t>声源源强（声压级/距声源距离/d</w:t>
                  </w:r>
                  <w:r>
                    <w:rPr>
                      <w:b/>
                      <w:color w:val="FF0000"/>
                      <w:sz w:val="21"/>
                      <w:szCs w:val="21"/>
                    </w:rPr>
                    <w:t>B</w:t>
                  </w:r>
                  <w:r>
                    <w:rPr>
                      <w:rFonts w:hint="eastAsia"/>
                      <w:b/>
                      <w:color w:val="FF0000"/>
                      <w:sz w:val="21"/>
                      <w:szCs w:val="21"/>
                    </w:rPr>
                    <w:t>（A）/m）</w:t>
                  </w:r>
                </w:p>
              </w:tc>
              <w:tc>
                <w:tcPr>
                  <w:tcW w:w="1276" w:type="dxa"/>
                  <w:vMerge w:val="restart"/>
                  <w:shd w:val="clear" w:color="auto" w:fill="auto"/>
                  <w:vAlign w:val="center"/>
                </w:tcPr>
                <w:p>
                  <w:pPr>
                    <w:pStyle w:val="2"/>
                    <w:spacing w:before="0" w:after="0" w:line="240" w:lineRule="auto"/>
                    <w:ind w:right="0"/>
                    <w:jc w:val="center"/>
                    <w:rPr>
                      <w:b/>
                      <w:color w:val="FF0000"/>
                      <w:sz w:val="21"/>
                      <w:szCs w:val="21"/>
                    </w:rPr>
                  </w:pPr>
                  <w:r>
                    <w:rPr>
                      <w:rFonts w:hint="eastAsia"/>
                      <w:b/>
                      <w:color w:val="FF0000"/>
                      <w:sz w:val="21"/>
                      <w:szCs w:val="21"/>
                    </w:rPr>
                    <w:t>声源控制措施</w:t>
                  </w:r>
                </w:p>
              </w:tc>
              <w:tc>
                <w:tcPr>
                  <w:tcW w:w="1993" w:type="dxa"/>
                  <w:gridSpan w:val="3"/>
                  <w:shd w:val="clear" w:color="auto" w:fill="auto"/>
                  <w:vAlign w:val="center"/>
                </w:tcPr>
                <w:p>
                  <w:pPr>
                    <w:pStyle w:val="2"/>
                    <w:spacing w:before="0" w:after="0" w:line="240" w:lineRule="auto"/>
                    <w:ind w:right="0"/>
                    <w:jc w:val="center"/>
                    <w:rPr>
                      <w:b/>
                      <w:color w:val="FF0000"/>
                      <w:sz w:val="21"/>
                      <w:szCs w:val="21"/>
                    </w:rPr>
                  </w:pPr>
                  <w:r>
                    <w:rPr>
                      <w:rFonts w:hint="eastAsia"/>
                      <w:b/>
                      <w:color w:val="FF0000"/>
                      <w:sz w:val="21"/>
                      <w:szCs w:val="21"/>
                    </w:rPr>
                    <w:t>空间相对位置/m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vMerge w:val="continue"/>
                  <w:shd w:val="clear" w:color="auto" w:fill="auto"/>
                  <w:vAlign w:val="center"/>
                </w:tcPr>
                <w:p>
                  <w:pPr>
                    <w:pStyle w:val="2"/>
                    <w:spacing w:before="0" w:after="0" w:line="240" w:lineRule="auto"/>
                    <w:ind w:right="0"/>
                    <w:jc w:val="center"/>
                    <w:rPr>
                      <w:color w:val="FF0000"/>
                      <w:sz w:val="21"/>
                      <w:szCs w:val="21"/>
                    </w:rPr>
                  </w:pPr>
                </w:p>
              </w:tc>
              <w:tc>
                <w:tcPr>
                  <w:tcW w:w="1134" w:type="dxa"/>
                  <w:vMerge w:val="continue"/>
                  <w:shd w:val="clear" w:color="auto" w:fill="auto"/>
                  <w:vAlign w:val="center"/>
                </w:tcPr>
                <w:p>
                  <w:pPr>
                    <w:pStyle w:val="2"/>
                    <w:spacing w:before="0" w:after="0" w:line="240" w:lineRule="auto"/>
                    <w:ind w:right="0"/>
                    <w:jc w:val="center"/>
                    <w:rPr>
                      <w:color w:val="FF0000"/>
                      <w:sz w:val="21"/>
                      <w:szCs w:val="21"/>
                    </w:rPr>
                  </w:pPr>
                </w:p>
              </w:tc>
              <w:tc>
                <w:tcPr>
                  <w:tcW w:w="2410" w:type="dxa"/>
                  <w:vMerge w:val="continue"/>
                  <w:shd w:val="clear" w:color="auto" w:fill="auto"/>
                  <w:vAlign w:val="center"/>
                </w:tcPr>
                <w:p>
                  <w:pPr>
                    <w:pStyle w:val="2"/>
                    <w:spacing w:before="0" w:after="0" w:line="240" w:lineRule="auto"/>
                    <w:ind w:right="0"/>
                    <w:jc w:val="center"/>
                    <w:rPr>
                      <w:color w:val="FF0000"/>
                      <w:sz w:val="21"/>
                      <w:szCs w:val="21"/>
                    </w:rPr>
                  </w:pPr>
                </w:p>
              </w:tc>
              <w:tc>
                <w:tcPr>
                  <w:tcW w:w="1417" w:type="dxa"/>
                  <w:vMerge w:val="continue"/>
                  <w:shd w:val="clear" w:color="auto" w:fill="auto"/>
                  <w:vAlign w:val="center"/>
                </w:tcPr>
                <w:p>
                  <w:pPr>
                    <w:pStyle w:val="2"/>
                    <w:spacing w:before="0" w:after="0" w:line="240" w:lineRule="auto"/>
                    <w:ind w:right="0"/>
                    <w:jc w:val="center"/>
                    <w:rPr>
                      <w:color w:val="FF0000"/>
                      <w:sz w:val="21"/>
                      <w:szCs w:val="21"/>
                    </w:rPr>
                  </w:pPr>
                </w:p>
              </w:tc>
              <w:tc>
                <w:tcPr>
                  <w:tcW w:w="1276" w:type="dxa"/>
                  <w:vMerge w:val="continue"/>
                  <w:shd w:val="clear" w:color="auto" w:fill="auto"/>
                  <w:vAlign w:val="center"/>
                </w:tcPr>
                <w:p>
                  <w:pPr>
                    <w:pStyle w:val="2"/>
                    <w:spacing w:before="0" w:after="0" w:line="240" w:lineRule="auto"/>
                    <w:ind w:right="0"/>
                    <w:jc w:val="center"/>
                    <w:rPr>
                      <w:color w:val="FF0000"/>
                      <w:sz w:val="21"/>
                      <w:szCs w:val="21"/>
                    </w:rPr>
                  </w:pP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X</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Y</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03" w:type="dxa"/>
                  <w:gridSpan w:val="8"/>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室内声源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1</w:t>
                  </w:r>
                </w:p>
              </w:tc>
              <w:tc>
                <w:tcPr>
                  <w:tcW w:w="1134" w:type="dxa"/>
                  <w:vMerge w:val="restart"/>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1#原料破碎车间</w:t>
                  </w:r>
                </w:p>
              </w:tc>
              <w:tc>
                <w:tcPr>
                  <w:tcW w:w="2410"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破碎机1</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5/1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24.7</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6.3</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shd w:val="clear" w:color="auto" w:fill="auto"/>
                  <w:vAlign w:val="center"/>
                </w:tcPr>
                <w:p>
                  <w:pPr>
                    <w:pStyle w:val="2"/>
                    <w:spacing w:before="0" w:after="0" w:line="240" w:lineRule="auto"/>
                    <w:ind w:right="0"/>
                    <w:jc w:val="center"/>
                    <w:rPr>
                      <w:color w:val="FF0000"/>
                      <w:sz w:val="21"/>
                      <w:szCs w:val="21"/>
                    </w:rPr>
                  </w:pPr>
                </w:p>
              </w:tc>
              <w:tc>
                <w:tcPr>
                  <w:tcW w:w="1134" w:type="dxa"/>
                  <w:vMerge w:val="continue"/>
                  <w:shd w:val="clear" w:color="auto" w:fill="auto"/>
                  <w:vAlign w:val="center"/>
                </w:tcPr>
                <w:p>
                  <w:pPr>
                    <w:pStyle w:val="2"/>
                    <w:spacing w:before="0" w:after="0" w:line="240" w:lineRule="auto"/>
                    <w:ind w:right="0"/>
                    <w:jc w:val="center"/>
                    <w:rPr>
                      <w:color w:val="FF0000"/>
                      <w:sz w:val="21"/>
                      <w:szCs w:val="21"/>
                    </w:rPr>
                  </w:pPr>
                </w:p>
              </w:tc>
              <w:tc>
                <w:tcPr>
                  <w:tcW w:w="2410"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破胶机1</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5/1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24.7</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8.3</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2</w:t>
                  </w:r>
                </w:p>
              </w:tc>
              <w:tc>
                <w:tcPr>
                  <w:tcW w:w="1134" w:type="dxa"/>
                  <w:vMerge w:val="continue"/>
                  <w:shd w:val="clear" w:color="auto" w:fill="auto"/>
                  <w:vAlign w:val="center"/>
                </w:tcPr>
                <w:p>
                  <w:pPr>
                    <w:pStyle w:val="2"/>
                    <w:spacing w:before="0" w:after="0" w:line="240" w:lineRule="auto"/>
                    <w:ind w:right="0"/>
                    <w:jc w:val="center"/>
                    <w:rPr>
                      <w:color w:val="FF0000"/>
                      <w:sz w:val="21"/>
                      <w:szCs w:val="21"/>
                    </w:rPr>
                  </w:pPr>
                </w:p>
              </w:tc>
              <w:tc>
                <w:tcPr>
                  <w:tcW w:w="2410"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破碎机2</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5/1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1.3</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7</w:t>
                  </w:r>
                  <w:r>
                    <w:rPr>
                      <w:color w:val="FF0000"/>
                      <w:sz w:val="21"/>
                      <w:szCs w:val="21"/>
                    </w:rPr>
                    <w:t>9.6</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shd w:val="clear" w:color="auto" w:fill="auto"/>
                  <w:vAlign w:val="center"/>
                </w:tcPr>
                <w:p>
                  <w:pPr>
                    <w:pStyle w:val="2"/>
                    <w:spacing w:before="0" w:after="0" w:line="240" w:lineRule="auto"/>
                    <w:ind w:right="0"/>
                    <w:jc w:val="center"/>
                    <w:rPr>
                      <w:color w:val="FF0000"/>
                      <w:sz w:val="21"/>
                      <w:szCs w:val="21"/>
                    </w:rPr>
                  </w:pPr>
                </w:p>
              </w:tc>
              <w:tc>
                <w:tcPr>
                  <w:tcW w:w="1134" w:type="dxa"/>
                  <w:vMerge w:val="continue"/>
                  <w:shd w:val="clear" w:color="auto" w:fill="auto"/>
                  <w:vAlign w:val="center"/>
                </w:tcPr>
                <w:p>
                  <w:pPr>
                    <w:pStyle w:val="2"/>
                    <w:spacing w:before="0" w:after="0" w:line="240" w:lineRule="auto"/>
                    <w:ind w:right="0"/>
                    <w:jc w:val="center"/>
                    <w:rPr>
                      <w:color w:val="FF0000"/>
                      <w:sz w:val="21"/>
                      <w:szCs w:val="21"/>
                    </w:rPr>
                  </w:pPr>
                </w:p>
              </w:tc>
              <w:tc>
                <w:tcPr>
                  <w:tcW w:w="2410"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破胶机2</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5/1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1.3</w:t>
                  </w:r>
                </w:p>
              </w:tc>
              <w:tc>
                <w:tcPr>
                  <w:tcW w:w="709" w:type="dxa"/>
                  <w:shd w:val="clear" w:color="auto" w:fill="auto"/>
                  <w:vAlign w:val="center"/>
                </w:tcPr>
                <w:p>
                  <w:pPr>
                    <w:pStyle w:val="2"/>
                    <w:spacing w:before="0" w:after="0" w:line="240" w:lineRule="auto"/>
                    <w:ind w:right="0"/>
                    <w:jc w:val="center"/>
                    <w:rPr>
                      <w:color w:val="FF0000"/>
                      <w:sz w:val="21"/>
                      <w:szCs w:val="21"/>
                    </w:rPr>
                  </w:pPr>
                  <w:r>
                    <w:rPr>
                      <w:color w:val="FF0000"/>
                      <w:sz w:val="21"/>
                      <w:szCs w:val="21"/>
                    </w:rPr>
                    <w:t>92.6</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3</w:t>
                  </w:r>
                </w:p>
              </w:tc>
              <w:tc>
                <w:tcPr>
                  <w:tcW w:w="1134" w:type="dxa"/>
                  <w:vMerge w:val="continue"/>
                  <w:shd w:val="clear" w:color="auto" w:fill="auto"/>
                  <w:vAlign w:val="center"/>
                </w:tcPr>
                <w:p>
                  <w:pPr>
                    <w:pStyle w:val="2"/>
                    <w:spacing w:before="0" w:after="0" w:line="240" w:lineRule="auto"/>
                    <w:ind w:right="0"/>
                    <w:jc w:val="center"/>
                    <w:rPr>
                      <w:color w:val="FF0000"/>
                      <w:sz w:val="21"/>
                      <w:szCs w:val="21"/>
                    </w:rPr>
                  </w:pPr>
                </w:p>
              </w:tc>
              <w:tc>
                <w:tcPr>
                  <w:tcW w:w="2410"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风机1</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5/1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26</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6</w:t>
                  </w:r>
                  <w:r>
                    <w:rPr>
                      <w:color w:val="FF0000"/>
                      <w:sz w:val="21"/>
                      <w:szCs w:val="21"/>
                    </w:rPr>
                    <w:t>4.2</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p>
              </w:tc>
              <w:tc>
                <w:tcPr>
                  <w:tcW w:w="1134" w:type="dxa"/>
                  <w:vMerge w:val="restart"/>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2#原料破碎车间</w:t>
                  </w:r>
                </w:p>
              </w:tc>
              <w:tc>
                <w:tcPr>
                  <w:tcW w:w="2410"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破碎机</w:t>
                  </w:r>
                  <w:r>
                    <w:rPr>
                      <w:color w:val="FF0000"/>
                      <w:sz w:val="21"/>
                      <w:szCs w:val="21"/>
                    </w:rPr>
                    <w:t>3</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5/1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47.3</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2</w:t>
                  </w:r>
                  <w:r>
                    <w:rPr>
                      <w:color w:val="FF0000"/>
                      <w:sz w:val="21"/>
                      <w:szCs w:val="21"/>
                    </w:rPr>
                    <w:t>2.9</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shd w:val="clear" w:color="auto" w:fill="auto"/>
                  <w:vAlign w:val="center"/>
                </w:tcPr>
                <w:p>
                  <w:pPr>
                    <w:pStyle w:val="2"/>
                    <w:spacing w:before="0" w:after="0" w:line="240" w:lineRule="auto"/>
                    <w:ind w:right="0"/>
                    <w:jc w:val="center"/>
                    <w:rPr>
                      <w:color w:val="FF0000"/>
                      <w:sz w:val="21"/>
                      <w:szCs w:val="21"/>
                    </w:rPr>
                  </w:pPr>
                </w:p>
              </w:tc>
              <w:tc>
                <w:tcPr>
                  <w:tcW w:w="1134" w:type="dxa"/>
                  <w:vMerge w:val="continue"/>
                  <w:shd w:val="clear" w:color="auto" w:fill="auto"/>
                  <w:vAlign w:val="center"/>
                </w:tcPr>
                <w:p>
                  <w:pPr>
                    <w:pStyle w:val="2"/>
                    <w:spacing w:before="0" w:after="0" w:line="240" w:lineRule="auto"/>
                    <w:ind w:right="0"/>
                    <w:jc w:val="center"/>
                    <w:rPr>
                      <w:color w:val="FF0000"/>
                      <w:sz w:val="21"/>
                      <w:szCs w:val="21"/>
                    </w:rPr>
                  </w:pPr>
                </w:p>
              </w:tc>
              <w:tc>
                <w:tcPr>
                  <w:tcW w:w="2410"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破胶机</w:t>
                  </w:r>
                  <w:r>
                    <w:rPr>
                      <w:color w:val="FF0000"/>
                      <w:sz w:val="21"/>
                      <w:szCs w:val="21"/>
                    </w:rPr>
                    <w:t>3</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5/1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47.3</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2</w:t>
                  </w:r>
                  <w:r>
                    <w:rPr>
                      <w:color w:val="FF0000"/>
                      <w:sz w:val="21"/>
                      <w:szCs w:val="21"/>
                    </w:rPr>
                    <w:t>5.9</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5</w:t>
                  </w:r>
                </w:p>
              </w:tc>
              <w:tc>
                <w:tcPr>
                  <w:tcW w:w="1134" w:type="dxa"/>
                  <w:vMerge w:val="continue"/>
                  <w:shd w:val="clear" w:color="auto" w:fill="auto"/>
                  <w:vAlign w:val="center"/>
                </w:tcPr>
                <w:p>
                  <w:pPr>
                    <w:pStyle w:val="2"/>
                    <w:spacing w:before="0" w:after="0" w:line="240" w:lineRule="auto"/>
                    <w:ind w:right="0"/>
                    <w:jc w:val="center"/>
                    <w:rPr>
                      <w:color w:val="FF0000"/>
                      <w:sz w:val="21"/>
                      <w:szCs w:val="21"/>
                    </w:rPr>
                  </w:pPr>
                </w:p>
              </w:tc>
              <w:tc>
                <w:tcPr>
                  <w:tcW w:w="2410"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破碎机</w:t>
                  </w:r>
                  <w:r>
                    <w:rPr>
                      <w:color w:val="FF0000"/>
                      <w:sz w:val="21"/>
                      <w:szCs w:val="21"/>
                    </w:rPr>
                    <w:t>4</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5/1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22.4</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1</w:t>
                  </w:r>
                  <w:r>
                    <w:rPr>
                      <w:color w:val="FF0000"/>
                      <w:sz w:val="21"/>
                      <w:szCs w:val="21"/>
                    </w:rPr>
                    <w:t>5.9</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shd w:val="clear" w:color="auto" w:fill="auto"/>
                  <w:vAlign w:val="center"/>
                </w:tcPr>
                <w:p>
                  <w:pPr>
                    <w:pStyle w:val="2"/>
                    <w:spacing w:before="0" w:after="0" w:line="240" w:lineRule="auto"/>
                    <w:ind w:right="0"/>
                    <w:jc w:val="center"/>
                    <w:rPr>
                      <w:color w:val="FF0000"/>
                      <w:sz w:val="21"/>
                      <w:szCs w:val="21"/>
                    </w:rPr>
                  </w:pPr>
                </w:p>
              </w:tc>
              <w:tc>
                <w:tcPr>
                  <w:tcW w:w="1134" w:type="dxa"/>
                  <w:vMerge w:val="continue"/>
                  <w:shd w:val="clear" w:color="auto" w:fill="auto"/>
                  <w:vAlign w:val="center"/>
                </w:tcPr>
                <w:p>
                  <w:pPr>
                    <w:pStyle w:val="2"/>
                    <w:spacing w:before="0" w:after="0" w:line="240" w:lineRule="auto"/>
                    <w:ind w:right="0"/>
                    <w:jc w:val="center"/>
                    <w:rPr>
                      <w:color w:val="FF0000"/>
                      <w:sz w:val="21"/>
                      <w:szCs w:val="21"/>
                    </w:rPr>
                  </w:pPr>
                </w:p>
              </w:tc>
              <w:tc>
                <w:tcPr>
                  <w:tcW w:w="2410"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破胶机</w:t>
                  </w:r>
                  <w:r>
                    <w:rPr>
                      <w:color w:val="FF0000"/>
                      <w:sz w:val="21"/>
                      <w:szCs w:val="21"/>
                    </w:rPr>
                    <w:t>4</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5/1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22.4</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1</w:t>
                  </w:r>
                  <w:r>
                    <w:rPr>
                      <w:color w:val="FF0000"/>
                      <w:sz w:val="21"/>
                      <w:szCs w:val="21"/>
                    </w:rPr>
                    <w:t>7.9</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6</w:t>
                  </w:r>
                </w:p>
              </w:tc>
              <w:tc>
                <w:tcPr>
                  <w:tcW w:w="1134" w:type="dxa"/>
                  <w:vMerge w:val="continue"/>
                  <w:shd w:val="clear" w:color="auto" w:fill="auto"/>
                  <w:vAlign w:val="center"/>
                </w:tcPr>
                <w:p>
                  <w:pPr>
                    <w:pStyle w:val="2"/>
                    <w:spacing w:before="0" w:after="0" w:line="240" w:lineRule="auto"/>
                    <w:ind w:right="0"/>
                    <w:jc w:val="center"/>
                    <w:rPr>
                      <w:color w:val="FF0000"/>
                      <w:sz w:val="21"/>
                      <w:szCs w:val="21"/>
                    </w:rPr>
                  </w:pPr>
                </w:p>
              </w:tc>
              <w:tc>
                <w:tcPr>
                  <w:tcW w:w="2410"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风机2</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5/1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54.3</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21.1</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7</w:t>
                  </w:r>
                </w:p>
              </w:tc>
              <w:tc>
                <w:tcPr>
                  <w:tcW w:w="1134" w:type="dxa"/>
                  <w:vMerge w:val="restart"/>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裂解车间</w:t>
                  </w:r>
                </w:p>
              </w:tc>
              <w:tc>
                <w:tcPr>
                  <w:tcW w:w="2410"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连续干馏裂解生产线1</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0/1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7</w:t>
                  </w:r>
                  <w:r>
                    <w:rPr>
                      <w:color w:val="FF0000"/>
                      <w:sz w:val="21"/>
                      <w:szCs w:val="21"/>
                    </w:rPr>
                    <w:t>0.2</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7</w:t>
                  </w:r>
                  <w:r>
                    <w:rPr>
                      <w:color w:val="FF0000"/>
                      <w:sz w:val="21"/>
                      <w:szCs w:val="21"/>
                    </w:rPr>
                    <w:t>4.9</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p>
              </w:tc>
              <w:tc>
                <w:tcPr>
                  <w:tcW w:w="1134" w:type="dxa"/>
                  <w:vMerge w:val="continue"/>
                  <w:shd w:val="clear" w:color="auto" w:fill="auto"/>
                  <w:vAlign w:val="center"/>
                </w:tcPr>
                <w:p>
                  <w:pPr>
                    <w:pStyle w:val="2"/>
                    <w:spacing w:before="0" w:after="0" w:line="240" w:lineRule="auto"/>
                    <w:ind w:right="0"/>
                    <w:jc w:val="center"/>
                    <w:rPr>
                      <w:color w:val="FF0000"/>
                      <w:sz w:val="21"/>
                      <w:szCs w:val="21"/>
                    </w:rPr>
                  </w:pPr>
                </w:p>
              </w:tc>
              <w:tc>
                <w:tcPr>
                  <w:tcW w:w="2410" w:type="dxa"/>
                  <w:shd w:val="clear" w:color="auto" w:fill="auto"/>
                </w:tcPr>
                <w:p>
                  <w:pPr>
                    <w:pStyle w:val="2"/>
                    <w:spacing w:before="0" w:after="0" w:line="240" w:lineRule="auto"/>
                    <w:ind w:right="0"/>
                    <w:jc w:val="center"/>
                    <w:rPr>
                      <w:color w:val="FF0000"/>
                      <w:sz w:val="21"/>
                      <w:szCs w:val="21"/>
                    </w:rPr>
                  </w:pPr>
                  <w:r>
                    <w:rPr>
                      <w:rFonts w:hint="eastAsia"/>
                      <w:color w:val="FF0000"/>
                      <w:sz w:val="21"/>
                      <w:szCs w:val="21"/>
                    </w:rPr>
                    <w:t>连续干馏裂解生产线</w:t>
                  </w:r>
                  <w:r>
                    <w:rPr>
                      <w:color w:val="FF0000"/>
                      <w:sz w:val="21"/>
                      <w:szCs w:val="21"/>
                    </w:rPr>
                    <w:t>2</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0/1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6</w:t>
                  </w:r>
                  <w:r>
                    <w:rPr>
                      <w:color w:val="FF0000"/>
                      <w:sz w:val="21"/>
                      <w:szCs w:val="21"/>
                    </w:rPr>
                    <w:t>6.3</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6</w:t>
                  </w:r>
                  <w:r>
                    <w:rPr>
                      <w:color w:val="FF0000"/>
                      <w:sz w:val="21"/>
                      <w:szCs w:val="21"/>
                    </w:rPr>
                    <w:t>3.2</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9</w:t>
                  </w:r>
                </w:p>
              </w:tc>
              <w:tc>
                <w:tcPr>
                  <w:tcW w:w="1134" w:type="dxa"/>
                  <w:vMerge w:val="continue"/>
                  <w:shd w:val="clear" w:color="auto" w:fill="auto"/>
                  <w:vAlign w:val="center"/>
                </w:tcPr>
                <w:p>
                  <w:pPr>
                    <w:pStyle w:val="2"/>
                    <w:spacing w:before="0" w:after="0" w:line="240" w:lineRule="auto"/>
                    <w:ind w:right="0"/>
                    <w:jc w:val="center"/>
                    <w:rPr>
                      <w:color w:val="FF0000"/>
                      <w:sz w:val="21"/>
                      <w:szCs w:val="21"/>
                    </w:rPr>
                  </w:pPr>
                </w:p>
              </w:tc>
              <w:tc>
                <w:tcPr>
                  <w:tcW w:w="2410"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连续干馏裂解生产线</w:t>
                  </w:r>
                  <w:r>
                    <w:rPr>
                      <w:color w:val="FF0000"/>
                      <w:sz w:val="21"/>
                      <w:szCs w:val="21"/>
                    </w:rPr>
                    <w:t>3</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0/1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6</w:t>
                  </w:r>
                  <w:r>
                    <w:rPr>
                      <w:color w:val="FF0000"/>
                      <w:sz w:val="21"/>
                      <w:szCs w:val="21"/>
                    </w:rPr>
                    <w:t>2.4</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9.4</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1</w:t>
                  </w:r>
                  <w:r>
                    <w:rPr>
                      <w:color w:val="FF0000"/>
                      <w:sz w:val="21"/>
                      <w:szCs w:val="21"/>
                    </w:rPr>
                    <w:t>0</w:t>
                  </w:r>
                </w:p>
              </w:tc>
              <w:tc>
                <w:tcPr>
                  <w:tcW w:w="1134" w:type="dxa"/>
                  <w:vMerge w:val="continue"/>
                  <w:shd w:val="clear" w:color="auto" w:fill="auto"/>
                  <w:vAlign w:val="center"/>
                </w:tcPr>
                <w:p>
                  <w:pPr>
                    <w:pStyle w:val="2"/>
                    <w:spacing w:before="0" w:after="0" w:line="240" w:lineRule="auto"/>
                    <w:ind w:right="0"/>
                    <w:jc w:val="center"/>
                    <w:rPr>
                      <w:color w:val="FF0000"/>
                      <w:sz w:val="21"/>
                      <w:szCs w:val="21"/>
                    </w:rPr>
                  </w:pPr>
                </w:p>
              </w:tc>
              <w:tc>
                <w:tcPr>
                  <w:tcW w:w="2410" w:type="dxa"/>
                  <w:shd w:val="clear" w:color="auto" w:fill="auto"/>
                </w:tcPr>
                <w:p>
                  <w:pPr>
                    <w:pStyle w:val="2"/>
                    <w:spacing w:before="0" w:after="0" w:line="240" w:lineRule="auto"/>
                    <w:ind w:right="0"/>
                    <w:jc w:val="center"/>
                    <w:rPr>
                      <w:color w:val="FF0000"/>
                      <w:sz w:val="21"/>
                      <w:szCs w:val="21"/>
                    </w:rPr>
                  </w:pPr>
                  <w:r>
                    <w:rPr>
                      <w:rFonts w:hint="eastAsia"/>
                      <w:color w:val="FF0000"/>
                      <w:sz w:val="21"/>
                      <w:szCs w:val="21"/>
                    </w:rPr>
                    <w:t>连续干馏裂解生产线</w:t>
                  </w:r>
                  <w:r>
                    <w:rPr>
                      <w:color w:val="FF0000"/>
                      <w:sz w:val="21"/>
                      <w:szCs w:val="21"/>
                    </w:rPr>
                    <w:t>4</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0/1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5</w:t>
                  </w:r>
                  <w:r>
                    <w:rPr>
                      <w:color w:val="FF0000"/>
                      <w:sz w:val="21"/>
                      <w:szCs w:val="21"/>
                    </w:rPr>
                    <w:t>7.5</w:t>
                  </w:r>
                </w:p>
              </w:tc>
              <w:tc>
                <w:tcPr>
                  <w:tcW w:w="709" w:type="dxa"/>
                  <w:shd w:val="clear" w:color="auto" w:fill="auto"/>
                  <w:vAlign w:val="center"/>
                </w:tcPr>
                <w:p>
                  <w:pPr>
                    <w:pStyle w:val="2"/>
                    <w:spacing w:before="0" w:after="0" w:line="240" w:lineRule="auto"/>
                    <w:ind w:right="0"/>
                    <w:jc w:val="center"/>
                    <w:rPr>
                      <w:color w:val="FF0000"/>
                      <w:sz w:val="21"/>
                      <w:szCs w:val="21"/>
                    </w:rPr>
                  </w:pPr>
                  <w:r>
                    <w:rPr>
                      <w:color w:val="FF0000"/>
                      <w:sz w:val="21"/>
                      <w:szCs w:val="21"/>
                    </w:rPr>
                    <w:t>35.6</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1</w:t>
                  </w:r>
                  <w:r>
                    <w:rPr>
                      <w:color w:val="FF0000"/>
                      <w:sz w:val="21"/>
                      <w:szCs w:val="21"/>
                    </w:rPr>
                    <w:t>1</w:t>
                  </w:r>
                </w:p>
              </w:tc>
              <w:tc>
                <w:tcPr>
                  <w:tcW w:w="1134" w:type="dxa"/>
                  <w:vMerge w:val="continue"/>
                  <w:shd w:val="clear" w:color="auto" w:fill="auto"/>
                  <w:vAlign w:val="center"/>
                </w:tcPr>
                <w:p>
                  <w:pPr>
                    <w:pStyle w:val="2"/>
                    <w:spacing w:before="0" w:after="0" w:line="240" w:lineRule="auto"/>
                    <w:ind w:right="0"/>
                    <w:jc w:val="center"/>
                    <w:rPr>
                      <w:color w:val="FF0000"/>
                      <w:sz w:val="21"/>
                      <w:szCs w:val="21"/>
                    </w:rPr>
                  </w:pPr>
                </w:p>
              </w:tc>
              <w:tc>
                <w:tcPr>
                  <w:tcW w:w="2410"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连续干馏裂解生产线</w:t>
                  </w:r>
                  <w:r>
                    <w:rPr>
                      <w:color w:val="FF0000"/>
                      <w:sz w:val="21"/>
                      <w:szCs w:val="21"/>
                    </w:rPr>
                    <w:t>5</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0/1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2.8</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1</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1</w:t>
                  </w:r>
                  <w:r>
                    <w:rPr>
                      <w:color w:val="FF0000"/>
                      <w:sz w:val="21"/>
                      <w:szCs w:val="21"/>
                    </w:rPr>
                    <w:t>2</w:t>
                  </w:r>
                </w:p>
              </w:tc>
              <w:tc>
                <w:tcPr>
                  <w:tcW w:w="1134" w:type="dxa"/>
                  <w:vMerge w:val="continue"/>
                  <w:shd w:val="clear" w:color="auto" w:fill="auto"/>
                  <w:vAlign w:val="center"/>
                </w:tcPr>
                <w:p>
                  <w:pPr>
                    <w:pStyle w:val="2"/>
                    <w:spacing w:before="0" w:after="0" w:line="240" w:lineRule="auto"/>
                    <w:ind w:right="0"/>
                    <w:jc w:val="center"/>
                    <w:rPr>
                      <w:color w:val="FF0000"/>
                      <w:sz w:val="21"/>
                      <w:szCs w:val="21"/>
                    </w:rPr>
                  </w:pPr>
                </w:p>
              </w:tc>
              <w:tc>
                <w:tcPr>
                  <w:tcW w:w="2410" w:type="dxa"/>
                  <w:shd w:val="clear" w:color="auto" w:fill="auto"/>
                </w:tcPr>
                <w:p>
                  <w:pPr>
                    <w:pStyle w:val="2"/>
                    <w:spacing w:before="0" w:after="0" w:line="240" w:lineRule="auto"/>
                    <w:ind w:right="0"/>
                    <w:jc w:val="center"/>
                    <w:rPr>
                      <w:color w:val="FF0000"/>
                      <w:sz w:val="21"/>
                      <w:szCs w:val="21"/>
                    </w:rPr>
                  </w:pPr>
                  <w:r>
                    <w:rPr>
                      <w:rFonts w:hint="eastAsia"/>
                      <w:color w:val="FF0000"/>
                      <w:sz w:val="21"/>
                      <w:szCs w:val="21"/>
                    </w:rPr>
                    <w:t>连续干馏裂解生产线</w:t>
                  </w:r>
                  <w:r>
                    <w:rPr>
                      <w:color w:val="FF0000"/>
                      <w:sz w:val="21"/>
                      <w:szCs w:val="21"/>
                    </w:rPr>
                    <w:t>6</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0/1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color w:val="FF0000"/>
                      <w:sz w:val="21"/>
                      <w:szCs w:val="21"/>
                    </w:rPr>
                    <w:t>38.7</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11.7</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1</w:t>
                  </w:r>
                  <w:r>
                    <w:rPr>
                      <w:color w:val="FF0000"/>
                      <w:sz w:val="21"/>
                      <w:szCs w:val="21"/>
                    </w:rPr>
                    <w:t>3</w:t>
                  </w:r>
                </w:p>
              </w:tc>
              <w:tc>
                <w:tcPr>
                  <w:tcW w:w="1134" w:type="dxa"/>
                  <w:vMerge w:val="restart"/>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炭黑加工车间</w:t>
                  </w:r>
                </w:p>
              </w:tc>
              <w:tc>
                <w:tcPr>
                  <w:tcW w:w="2410"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磨粉机1</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5/1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95.7</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94.4</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1</w:t>
                  </w:r>
                  <w:r>
                    <w:rPr>
                      <w:color w:val="FF0000"/>
                      <w:sz w:val="21"/>
                      <w:szCs w:val="21"/>
                    </w:rPr>
                    <w:t>4</w:t>
                  </w:r>
                </w:p>
              </w:tc>
              <w:tc>
                <w:tcPr>
                  <w:tcW w:w="1134" w:type="dxa"/>
                  <w:vMerge w:val="continue"/>
                  <w:shd w:val="clear" w:color="auto" w:fill="auto"/>
                  <w:vAlign w:val="center"/>
                </w:tcPr>
                <w:p>
                  <w:pPr>
                    <w:pStyle w:val="2"/>
                    <w:spacing w:before="0" w:after="0" w:line="240" w:lineRule="auto"/>
                    <w:ind w:right="0"/>
                    <w:jc w:val="center"/>
                    <w:rPr>
                      <w:color w:val="FF0000"/>
                      <w:sz w:val="21"/>
                      <w:szCs w:val="21"/>
                    </w:rPr>
                  </w:pPr>
                </w:p>
              </w:tc>
              <w:tc>
                <w:tcPr>
                  <w:tcW w:w="2410"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磨粉机</w:t>
                  </w:r>
                  <w:r>
                    <w:rPr>
                      <w:color w:val="FF0000"/>
                      <w:sz w:val="21"/>
                      <w:szCs w:val="21"/>
                    </w:rPr>
                    <w:t>2</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5/1</w:t>
                  </w:r>
                </w:p>
              </w:tc>
              <w:tc>
                <w:tcPr>
                  <w:tcW w:w="1276" w:type="dxa"/>
                  <w:shd w:val="clear" w:color="auto" w:fill="auto"/>
                </w:tcPr>
                <w:p>
                  <w:pPr>
                    <w:spacing w:line="240" w:lineRule="auto"/>
                    <w:jc w:val="center"/>
                    <w:rPr>
                      <w:color w:val="FF0000"/>
                    </w:rPr>
                  </w:pPr>
                  <w:r>
                    <w:rPr>
                      <w:rFonts w:hint="eastAsia"/>
                      <w:color w:val="FF0000"/>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96.5</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94.4</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1</w:t>
                  </w:r>
                  <w:r>
                    <w:rPr>
                      <w:color w:val="FF0000"/>
                      <w:sz w:val="21"/>
                      <w:szCs w:val="21"/>
                    </w:rPr>
                    <w:t>5</w:t>
                  </w:r>
                </w:p>
              </w:tc>
              <w:tc>
                <w:tcPr>
                  <w:tcW w:w="1134" w:type="dxa"/>
                  <w:vMerge w:val="continue"/>
                  <w:shd w:val="clear" w:color="auto" w:fill="auto"/>
                  <w:vAlign w:val="center"/>
                </w:tcPr>
                <w:p>
                  <w:pPr>
                    <w:pStyle w:val="2"/>
                    <w:spacing w:before="0" w:after="0" w:line="240" w:lineRule="auto"/>
                    <w:ind w:right="0"/>
                    <w:jc w:val="center"/>
                    <w:rPr>
                      <w:color w:val="FF0000"/>
                      <w:sz w:val="21"/>
                      <w:szCs w:val="21"/>
                    </w:rPr>
                  </w:pPr>
                </w:p>
              </w:tc>
              <w:tc>
                <w:tcPr>
                  <w:tcW w:w="2410"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风机</w:t>
                  </w:r>
                  <w:r>
                    <w:rPr>
                      <w:color w:val="FF0000"/>
                      <w:sz w:val="21"/>
                      <w:szCs w:val="21"/>
                    </w:rPr>
                    <w:t>3</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5/1</w:t>
                  </w:r>
                </w:p>
              </w:tc>
              <w:tc>
                <w:tcPr>
                  <w:tcW w:w="1276" w:type="dxa"/>
                  <w:shd w:val="clear" w:color="auto" w:fill="auto"/>
                </w:tcPr>
                <w:p>
                  <w:pPr>
                    <w:spacing w:line="240" w:lineRule="auto"/>
                    <w:jc w:val="center"/>
                    <w:rPr>
                      <w:color w:val="FF0000"/>
                    </w:rPr>
                  </w:pPr>
                  <w:r>
                    <w:rPr>
                      <w:rFonts w:hint="eastAsia"/>
                      <w:color w:val="FF0000"/>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84.2</w:t>
                  </w:r>
                </w:p>
              </w:tc>
              <w:tc>
                <w:tcPr>
                  <w:tcW w:w="709" w:type="dxa"/>
                  <w:shd w:val="clear" w:color="auto" w:fill="auto"/>
                  <w:vAlign w:val="center"/>
                </w:tcPr>
                <w:p>
                  <w:pPr>
                    <w:pStyle w:val="2"/>
                    <w:spacing w:before="0" w:after="0" w:line="240" w:lineRule="auto"/>
                    <w:ind w:right="0"/>
                    <w:jc w:val="center"/>
                    <w:rPr>
                      <w:color w:val="FF0000"/>
                      <w:spacing w:val="-20"/>
                      <w:sz w:val="21"/>
                      <w:szCs w:val="21"/>
                    </w:rPr>
                  </w:pPr>
                  <w:r>
                    <w:rPr>
                      <w:rFonts w:hint="eastAsia"/>
                      <w:color w:val="FF0000"/>
                      <w:spacing w:val="-20"/>
                      <w:sz w:val="21"/>
                      <w:szCs w:val="21"/>
                    </w:rPr>
                    <w:t>-</w:t>
                  </w:r>
                  <w:r>
                    <w:rPr>
                      <w:color w:val="FF0000"/>
                      <w:spacing w:val="-20"/>
                      <w:sz w:val="21"/>
                      <w:szCs w:val="21"/>
                    </w:rPr>
                    <w:t>101.4</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03" w:type="dxa"/>
                  <w:gridSpan w:val="8"/>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室外声源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1</w:t>
                  </w:r>
                  <w:r>
                    <w:rPr>
                      <w:color w:val="FF0000"/>
                      <w:sz w:val="21"/>
                      <w:szCs w:val="21"/>
                    </w:rPr>
                    <w:t>6</w:t>
                  </w:r>
                </w:p>
              </w:tc>
              <w:tc>
                <w:tcPr>
                  <w:tcW w:w="3544" w:type="dxa"/>
                  <w:gridSpan w:val="2"/>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风机</w:t>
                  </w:r>
                  <w:r>
                    <w:rPr>
                      <w:color w:val="FF0000"/>
                      <w:sz w:val="21"/>
                      <w:szCs w:val="21"/>
                    </w:rPr>
                    <w:t>4</w:t>
                  </w:r>
                  <w:r>
                    <w:rPr>
                      <w:rFonts w:hint="eastAsia"/>
                      <w:color w:val="FF0000"/>
                      <w:sz w:val="21"/>
                      <w:szCs w:val="21"/>
                    </w:rPr>
                    <w:t>（裂解车间外）</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5/1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5</w:t>
                  </w:r>
                  <w:r>
                    <w:rPr>
                      <w:color w:val="FF0000"/>
                      <w:sz w:val="21"/>
                      <w:szCs w:val="21"/>
                    </w:rPr>
                    <w:t>5.1</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2</w:t>
                  </w:r>
                  <w:r>
                    <w:rPr>
                      <w:color w:val="FF0000"/>
                      <w:sz w:val="21"/>
                      <w:szCs w:val="21"/>
                    </w:rPr>
                    <w:t>9.9</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1</w:t>
                  </w:r>
                  <w:r>
                    <w:rPr>
                      <w:color w:val="FF0000"/>
                      <w:sz w:val="21"/>
                      <w:szCs w:val="21"/>
                    </w:rPr>
                    <w:t>7</w:t>
                  </w:r>
                </w:p>
              </w:tc>
              <w:tc>
                <w:tcPr>
                  <w:tcW w:w="3544" w:type="dxa"/>
                  <w:gridSpan w:val="2"/>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循环冷却塔</w:t>
                  </w:r>
                </w:p>
              </w:tc>
              <w:tc>
                <w:tcPr>
                  <w:tcW w:w="1417"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8</w:t>
                  </w:r>
                  <w:r>
                    <w:rPr>
                      <w:color w:val="FF0000"/>
                      <w:sz w:val="21"/>
                      <w:szCs w:val="21"/>
                    </w:rPr>
                    <w:t>5/1</w:t>
                  </w:r>
                </w:p>
              </w:tc>
              <w:tc>
                <w:tcPr>
                  <w:tcW w:w="1276"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基础减振</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3</w:t>
                  </w:r>
                  <w:r>
                    <w:rPr>
                      <w:color w:val="FF0000"/>
                      <w:sz w:val="21"/>
                      <w:szCs w:val="21"/>
                    </w:rPr>
                    <w:t>.1</w:t>
                  </w:r>
                </w:p>
              </w:tc>
              <w:tc>
                <w:tcPr>
                  <w:tcW w:w="709"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w:t>
                  </w:r>
                  <w:r>
                    <w:rPr>
                      <w:color w:val="FF0000"/>
                      <w:sz w:val="21"/>
                      <w:szCs w:val="21"/>
                    </w:rPr>
                    <w:t>77.2</w:t>
                  </w:r>
                </w:p>
              </w:tc>
              <w:tc>
                <w:tcPr>
                  <w:tcW w:w="575" w:type="dxa"/>
                  <w:shd w:val="clear" w:color="auto" w:fill="auto"/>
                  <w:vAlign w:val="center"/>
                </w:tcPr>
                <w:p>
                  <w:pPr>
                    <w:pStyle w:val="2"/>
                    <w:spacing w:before="0" w:after="0" w:line="240" w:lineRule="auto"/>
                    <w:ind w:right="0"/>
                    <w:jc w:val="center"/>
                    <w:rPr>
                      <w:color w:val="FF0000"/>
                      <w:sz w:val="21"/>
                      <w:szCs w:val="21"/>
                    </w:rPr>
                  </w:pPr>
                  <w:r>
                    <w:rPr>
                      <w:rFonts w:hint="eastAsia"/>
                      <w:color w:val="FF0000"/>
                      <w:sz w:val="21"/>
                      <w:szCs w:val="21"/>
                    </w:rPr>
                    <w:t>4</w:t>
                  </w:r>
                  <w:r>
                    <w:rPr>
                      <w:color w:val="FF0000"/>
                      <w:sz w:val="21"/>
                      <w:szCs w:val="21"/>
                    </w:rPr>
                    <w:t>26</w:t>
                  </w:r>
                </w:p>
              </w:tc>
            </w:tr>
          </w:tbl>
          <w:p>
            <w:pPr>
              <w:ind w:firstLine="482" w:firstLineChars="200"/>
              <w:textAlignment w:val="baseline"/>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噪声防治措施</w:t>
            </w:r>
          </w:p>
          <w:p>
            <w:pPr>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拟采取的治理措施有：</w:t>
            </w:r>
          </w:p>
          <w:p>
            <w:pPr>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（1）高噪声设备均室内设置，利用墙体隔声减少噪声对外环境的影响。</w:t>
            </w:r>
          </w:p>
          <w:p>
            <w:pPr>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（2）选型上使用国内先进的低噪声设备，安装时采取基础减振、减振垫等措施。</w:t>
            </w:r>
          </w:p>
          <w:p>
            <w:pPr>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（3）在设备、管道设计中，注意防振，以减轻振动噪声，并应注意改善气体输送时流畅状况，以减少空气动力噪声</w:t>
            </w:r>
            <w:r>
              <w:rPr>
                <w:color w:val="000000" w:themeColor="text1"/>
                <w:sz w:val="24"/>
                <w14:textFill>
                  <w14:solidFill>
                    <w14:schemeClr w14:val="tx1"/>
                  </w14:solidFill>
                </w14:textFill>
              </w:rPr>
              <w:t>。</w:t>
            </w:r>
          </w:p>
          <w:p>
            <w:pPr>
              <w:pStyle w:val="72"/>
              <w:ind w:firstLine="482"/>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3、厂界达标情况分析</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（1）预测思路</w:t>
            </w:r>
          </w:p>
          <w:p>
            <w:pPr>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为了分析本项目产噪设备对周围声环境的影响，本次评价将项目厂界作为评价点，预测本项目实施后噪声源对四周厂界的声级贡献值，说明项目噪声源对厂界声环境的影响。</w:t>
            </w:r>
          </w:p>
          <w:p>
            <w:pPr>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预测模式</w:t>
            </w:r>
          </w:p>
          <w:p>
            <w:pPr>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本评价采用《环境影响评价技术导则声环境》（HJ2.4-20</w:t>
            </w:r>
            <w:r>
              <w:rPr>
                <w:rFonts w:hint="eastAsia"/>
                <w:color w:val="000000" w:themeColor="text1"/>
                <w:sz w:val="24"/>
                <w14:textFill>
                  <w14:solidFill>
                    <w14:schemeClr w14:val="tx1"/>
                  </w14:solidFill>
                </w14:textFill>
              </w:rPr>
              <w:t>21</w:t>
            </w:r>
            <w:r>
              <w:rPr>
                <w:color w:val="000000" w:themeColor="text1"/>
                <w:sz w:val="24"/>
                <w14:textFill>
                  <w14:solidFill>
                    <w14:schemeClr w14:val="tx1"/>
                  </w14:solidFill>
                </w14:textFill>
              </w:rPr>
              <w:t>）噪声预测模型模式。</w:t>
            </w:r>
          </w:p>
          <w:p>
            <w:pPr>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①室内声源等效室外声源声功率级计算方法:</w:t>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声源位于室内，室内声源可采用等效室外声源声功率级法进行计算。设靠近开口处（或窗户）室内、室外某倍频带的声压级分别为L</w:t>
            </w:r>
            <w:r>
              <w:rPr>
                <w:color w:val="000000" w:themeColor="text1"/>
                <w:sz w:val="24"/>
                <w:vertAlign w:val="subscript"/>
                <w14:textFill>
                  <w14:solidFill>
                    <w14:schemeClr w14:val="tx1"/>
                  </w14:solidFill>
                </w14:textFill>
              </w:rPr>
              <w:t>p1</w:t>
            </w:r>
            <w:r>
              <w:rPr>
                <w:color w:val="000000" w:themeColor="text1"/>
                <w:sz w:val="24"/>
                <w14:textFill>
                  <w14:solidFill>
                    <w14:schemeClr w14:val="tx1"/>
                  </w14:solidFill>
                </w14:textFill>
              </w:rPr>
              <w:t>和L</w:t>
            </w:r>
            <w:r>
              <w:rPr>
                <w:color w:val="000000" w:themeColor="text1"/>
                <w:sz w:val="24"/>
                <w:vertAlign w:val="subscript"/>
                <w14:textFill>
                  <w14:solidFill>
                    <w14:schemeClr w14:val="tx1"/>
                  </w14:solidFill>
                </w14:textFill>
              </w:rPr>
              <w:t>p2</w:t>
            </w:r>
            <w:r>
              <w:rPr>
                <w:color w:val="000000" w:themeColor="text1"/>
                <w:sz w:val="24"/>
                <w14:textFill>
                  <w14:solidFill>
                    <w14:schemeClr w14:val="tx1"/>
                  </w14:solidFill>
                </w14:textFill>
              </w:rPr>
              <w:t>。若声源所在室内声场为近似扩散声场，则室外的倍频带声压级可按式近似求出：</w:t>
            </w:r>
          </w:p>
          <w:p>
            <w:pPr>
              <w:ind w:firstLine="4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object>
                <v:shape id="_x0000_i1040" o:spt="75" type="#_x0000_t75" style="height:17.5pt;width:96.9pt;" o:ole="t" filled="f" o:preferrelative="t" stroked="f" coordsize="21600,21600">
                  <v:path/>
                  <v:fill on="f" focussize="0,0"/>
                  <v:stroke on="f" joinstyle="miter"/>
                  <v:imagedata r:id="rId50" o:title=""/>
                  <o:lock v:ext="edit" aspectratio="t"/>
                  <w10:wrap type="none"/>
                  <w10:anchorlock/>
                </v:shape>
                <o:OLEObject Type="Embed" ProgID="Equation.3" ShapeID="_x0000_i1040" DrawAspect="Content" ObjectID="_1468075740" r:id="rId49">
                  <o:LockedField>false</o:LockedField>
                </o:OLEObject>
              </w:object>
            </w:r>
          </w:p>
          <w:p>
            <w:pPr>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式中：TL——隔墙（或窗户）倍频带的隔声量，dB。</w:t>
            </w:r>
          </w:p>
          <w:p>
            <w:pPr>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然后按下式计算出所有室内声源在围护结构处产生的i倍频带叠加声压级：</w:t>
            </w:r>
          </w:p>
          <w:p>
            <w:pPr>
              <w:ind w:firstLine="4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object>
                <v:shape id="_x0000_i1041" o:spt="75" type="#_x0000_t75" style="height:35.65pt;width:135.95pt;" o:ole="t" filled="f" o:preferrelative="t" stroked="f" coordsize="21600,21600">
                  <v:path/>
                  <v:fill on="f" focussize="0,0"/>
                  <v:stroke on="f" joinstyle="miter"/>
                  <v:imagedata r:id="rId52" o:title=""/>
                  <o:lock v:ext="edit" aspectratio="t"/>
                  <w10:wrap type="none"/>
                  <w10:anchorlock/>
                </v:shape>
                <o:OLEObject Type="Embed" ProgID="Equation.3" ShapeID="_x0000_i1041" DrawAspect="Content" ObjectID="_1468075741" r:id="rId51">
                  <o:LockedField>false</o:LockedField>
                </o:OLEObject>
              </w:object>
            </w:r>
          </w:p>
          <w:p>
            <w:pPr>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式中：Lpli（T）——靠近围护结构处室内N个声源i倍频带的叠加声压级，dB； </w:t>
            </w:r>
          </w:p>
          <w:p>
            <w:pPr>
              <w:ind w:firstLine="1159" w:firstLineChars="483"/>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Lplij——室内j声源i倍频带的声压级，dB； </w:t>
            </w:r>
          </w:p>
          <w:p>
            <w:pPr>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N——室内声源总数。</w:t>
            </w:r>
          </w:p>
          <w:p>
            <w:pPr>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在室内近似为扩散声场时，按下式计算出靠近室外围护结构处的声压级：</w:t>
            </w:r>
          </w:p>
          <w:p>
            <w:pPr>
              <w:ind w:firstLine="4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object>
                <v:shape id="_x0000_i1042" o:spt="75" type="#_x0000_t75" style="height:17.5pt;width:150.75pt;" o:ole="t" filled="f" o:preferrelative="t" stroked="f" coordsize="21600,21600">
                  <v:path/>
                  <v:fill on="f" focussize="0,0"/>
                  <v:stroke on="f" joinstyle="miter"/>
                  <v:imagedata r:id="rId54" o:title=""/>
                  <o:lock v:ext="edit" aspectratio="t"/>
                  <w10:wrap type="none"/>
                  <w10:anchorlock/>
                </v:shape>
                <o:OLEObject Type="Embed" ProgID="Equation.3" ShapeID="_x0000_i1042" DrawAspect="Content" ObjectID="_1468075742" r:id="rId53">
                  <o:LockedField>false</o:LockedField>
                </o:OLEObject>
              </w:object>
            </w:r>
          </w:p>
          <w:p>
            <w:pPr>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式中：L</w:t>
            </w:r>
            <w:r>
              <w:rPr>
                <w:color w:val="000000" w:themeColor="text1"/>
                <w:sz w:val="24"/>
                <w:vertAlign w:val="subscript"/>
                <w14:textFill>
                  <w14:solidFill>
                    <w14:schemeClr w14:val="tx1"/>
                  </w14:solidFill>
                </w14:textFill>
              </w:rPr>
              <w:t>p2i</w:t>
            </w:r>
            <w:r>
              <w:rPr>
                <w:color w:val="000000" w:themeColor="text1"/>
                <w:sz w:val="24"/>
                <w14:textFill>
                  <w14:solidFill>
                    <w14:schemeClr w14:val="tx1"/>
                  </w14:solidFill>
                </w14:textFill>
              </w:rPr>
              <w:t>（T——靠近围护结构处室外N个声源i倍频带的叠加声压级，dB；</w:t>
            </w:r>
          </w:p>
          <w:p>
            <w:pPr>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TLi——围护结构i倍频带的隔声量，dB。</w:t>
            </w:r>
          </w:p>
          <w:p>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项目噪声源与各声屏障关系见表4</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22</w:t>
            </w:r>
            <w:r>
              <w:rPr>
                <w:rFonts w:hint="eastAsia"/>
                <w:color w:val="000000" w:themeColor="text1"/>
                <w:sz w:val="24"/>
                <w14:textFill>
                  <w14:solidFill>
                    <w14:schemeClr w14:val="tx1"/>
                  </w14:solidFill>
                </w14:textFill>
              </w:rPr>
              <w:t>。</w:t>
            </w:r>
          </w:p>
          <w:p>
            <w:pPr>
              <w:autoSpaceDE w:val="0"/>
              <w:autoSpaceDN w:val="0"/>
              <w:adjustRightInd w:val="0"/>
              <w:spacing w:line="240" w:lineRule="auto"/>
              <w:jc w:val="center"/>
              <w:textAlignment w:val="baseline"/>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w:t>
            </w:r>
            <w:r>
              <w:rPr>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 xml:space="preserve">22  </w:t>
            </w:r>
            <w:r>
              <w:rPr>
                <w:rFonts w:hint="eastAsia"/>
                <w:b/>
                <w:bCs/>
                <w:color w:val="000000" w:themeColor="text1"/>
                <w:sz w:val="24"/>
                <w14:textFill>
                  <w14:solidFill>
                    <w14:schemeClr w14:val="tx1"/>
                  </w14:solidFill>
                </w14:textFill>
              </w:rPr>
              <w:t>项目噪声源与声屏障关系表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624"/>
              <w:gridCol w:w="1624"/>
              <w:gridCol w:w="1137"/>
              <w:gridCol w:w="1626"/>
              <w:gridCol w:w="1786"/>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5" w:type="pct"/>
                  <w:vMerge w:val="restart"/>
                  <w:vAlign w:val="center"/>
                </w:tcPr>
                <w:p>
                  <w:pPr>
                    <w:spacing w:line="240" w:lineRule="auto"/>
                    <w:jc w:val="center"/>
                    <w:rPr>
                      <w:b/>
                      <w:color w:val="FF0000"/>
                      <w:sz w:val="18"/>
                      <w:szCs w:val="18"/>
                    </w:rPr>
                  </w:pPr>
                  <w:r>
                    <w:rPr>
                      <w:b/>
                      <w:color w:val="FF0000"/>
                      <w:sz w:val="18"/>
                      <w:szCs w:val="18"/>
                    </w:rPr>
                    <w:t>声源名称</w:t>
                  </w:r>
                </w:p>
              </w:tc>
              <w:tc>
                <w:tcPr>
                  <w:tcW w:w="854" w:type="pct"/>
                  <w:vMerge w:val="restart"/>
                  <w:vAlign w:val="center"/>
                </w:tcPr>
                <w:p>
                  <w:pPr>
                    <w:spacing w:line="240" w:lineRule="auto"/>
                    <w:jc w:val="center"/>
                    <w:rPr>
                      <w:color w:val="FF0000"/>
                      <w:sz w:val="18"/>
                      <w:szCs w:val="18"/>
                    </w:rPr>
                  </w:pPr>
                  <w:r>
                    <w:rPr>
                      <w:b/>
                      <w:color w:val="FF0000"/>
                      <w:sz w:val="18"/>
                      <w:szCs w:val="18"/>
                    </w:rPr>
                    <w:t>距室内边界距离/m</w:t>
                  </w:r>
                </w:p>
              </w:tc>
              <w:tc>
                <w:tcPr>
                  <w:tcW w:w="854" w:type="pct"/>
                  <w:vMerge w:val="restart"/>
                  <w:vAlign w:val="center"/>
                </w:tcPr>
                <w:p>
                  <w:pPr>
                    <w:spacing w:line="240" w:lineRule="auto"/>
                    <w:jc w:val="center"/>
                    <w:rPr>
                      <w:color w:val="FF0000"/>
                      <w:sz w:val="18"/>
                      <w:szCs w:val="18"/>
                    </w:rPr>
                  </w:pPr>
                  <w:r>
                    <w:rPr>
                      <w:b/>
                      <w:color w:val="FF0000"/>
                      <w:sz w:val="18"/>
                      <w:szCs w:val="18"/>
                    </w:rPr>
                    <w:t>室内边界声级/dB(A)</w:t>
                  </w:r>
                </w:p>
              </w:tc>
              <w:tc>
                <w:tcPr>
                  <w:tcW w:w="598" w:type="pct"/>
                  <w:vMerge w:val="restart"/>
                  <w:vAlign w:val="center"/>
                </w:tcPr>
                <w:p>
                  <w:pPr>
                    <w:spacing w:line="240" w:lineRule="auto"/>
                    <w:jc w:val="center"/>
                    <w:rPr>
                      <w:color w:val="FF0000"/>
                      <w:sz w:val="18"/>
                      <w:szCs w:val="18"/>
                    </w:rPr>
                  </w:pPr>
                  <w:r>
                    <w:rPr>
                      <w:b/>
                      <w:color w:val="FF0000"/>
                      <w:sz w:val="18"/>
                      <w:szCs w:val="18"/>
                    </w:rPr>
                    <w:t>运行时段</w:t>
                  </w:r>
                </w:p>
              </w:tc>
              <w:tc>
                <w:tcPr>
                  <w:tcW w:w="855" w:type="pct"/>
                  <w:vMerge w:val="restart"/>
                  <w:vAlign w:val="center"/>
                </w:tcPr>
                <w:p>
                  <w:pPr>
                    <w:spacing w:line="240" w:lineRule="auto"/>
                    <w:jc w:val="center"/>
                    <w:rPr>
                      <w:color w:val="FF0000"/>
                      <w:sz w:val="18"/>
                      <w:szCs w:val="18"/>
                    </w:rPr>
                  </w:pPr>
                  <w:r>
                    <w:rPr>
                      <w:b/>
                      <w:color w:val="FF0000"/>
                      <w:sz w:val="18"/>
                      <w:szCs w:val="18"/>
                    </w:rPr>
                    <w:t>建筑物插入损失 / dB(A)</w:t>
                  </w:r>
                </w:p>
              </w:tc>
              <w:tc>
                <w:tcPr>
                  <w:tcW w:w="1414" w:type="pct"/>
                  <w:gridSpan w:val="2"/>
                  <w:vAlign w:val="center"/>
                </w:tcPr>
                <w:p>
                  <w:pPr>
                    <w:spacing w:line="240" w:lineRule="auto"/>
                    <w:jc w:val="center"/>
                    <w:rPr>
                      <w:color w:val="FF0000"/>
                      <w:sz w:val="18"/>
                      <w:szCs w:val="18"/>
                    </w:rPr>
                  </w:pPr>
                  <w:r>
                    <w:rPr>
                      <w:b/>
                      <w:color w:val="FF0000"/>
                      <w:sz w:val="18"/>
                      <w:szCs w:val="18"/>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5" w:type="pct"/>
                  <w:vMerge w:val="continue"/>
                  <w:shd w:val="clear" w:color="auto" w:fill="FFFFFF"/>
                  <w:vAlign w:val="center"/>
                </w:tcPr>
                <w:p>
                  <w:pPr>
                    <w:spacing w:line="240" w:lineRule="auto"/>
                    <w:jc w:val="center"/>
                    <w:rPr>
                      <w:color w:val="FF0000"/>
                      <w:sz w:val="18"/>
                      <w:szCs w:val="18"/>
                    </w:rPr>
                  </w:pPr>
                </w:p>
              </w:tc>
              <w:tc>
                <w:tcPr>
                  <w:tcW w:w="854" w:type="pct"/>
                  <w:vMerge w:val="continue"/>
                  <w:shd w:val="clear" w:color="auto" w:fill="FFFFFF"/>
                  <w:vAlign w:val="center"/>
                </w:tcPr>
                <w:p>
                  <w:pPr>
                    <w:spacing w:line="240" w:lineRule="auto"/>
                    <w:jc w:val="center"/>
                    <w:rPr>
                      <w:color w:val="FF0000"/>
                      <w:sz w:val="18"/>
                      <w:szCs w:val="18"/>
                    </w:rPr>
                  </w:pPr>
                </w:p>
              </w:tc>
              <w:tc>
                <w:tcPr>
                  <w:tcW w:w="854" w:type="pct"/>
                  <w:vMerge w:val="continue"/>
                  <w:shd w:val="clear" w:color="auto" w:fill="FFFFFF"/>
                  <w:vAlign w:val="center"/>
                </w:tcPr>
                <w:p>
                  <w:pPr>
                    <w:spacing w:line="240" w:lineRule="auto"/>
                    <w:jc w:val="center"/>
                    <w:rPr>
                      <w:color w:val="FF0000"/>
                      <w:sz w:val="18"/>
                      <w:szCs w:val="18"/>
                    </w:rPr>
                  </w:pPr>
                </w:p>
              </w:tc>
              <w:tc>
                <w:tcPr>
                  <w:tcW w:w="598" w:type="pct"/>
                  <w:vMerge w:val="continue"/>
                  <w:shd w:val="clear" w:color="auto" w:fill="FFFFFF"/>
                  <w:vAlign w:val="center"/>
                </w:tcPr>
                <w:p>
                  <w:pPr>
                    <w:spacing w:line="240" w:lineRule="auto"/>
                    <w:jc w:val="center"/>
                    <w:rPr>
                      <w:color w:val="FF0000"/>
                      <w:sz w:val="18"/>
                      <w:szCs w:val="18"/>
                    </w:rPr>
                  </w:pPr>
                </w:p>
              </w:tc>
              <w:tc>
                <w:tcPr>
                  <w:tcW w:w="855" w:type="pct"/>
                  <w:vMerge w:val="continue"/>
                  <w:shd w:val="clear" w:color="auto" w:fill="FFFFFF"/>
                  <w:vAlign w:val="center"/>
                </w:tcPr>
                <w:p>
                  <w:pPr>
                    <w:spacing w:line="240" w:lineRule="auto"/>
                    <w:jc w:val="center"/>
                    <w:rPr>
                      <w:color w:val="FF0000"/>
                      <w:sz w:val="18"/>
                      <w:szCs w:val="18"/>
                    </w:rPr>
                  </w:pPr>
                </w:p>
              </w:tc>
              <w:tc>
                <w:tcPr>
                  <w:tcW w:w="939" w:type="pct"/>
                  <w:shd w:val="clear" w:color="auto" w:fill="FFFFFF"/>
                  <w:vAlign w:val="center"/>
                </w:tcPr>
                <w:p>
                  <w:pPr>
                    <w:spacing w:line="240" w:lineRule="auto"/>
                    <w:jc w:val="center"/>
                    <w:rPr>
                      <w:b/>
                      <w:color w:val="FF0000"/>
                      <w:sz w:val="18"/>
                      <w:szCs w:val="18"/>
                    </w:rPr>
                  </w:pPr>
                  <w:r>
                    <w:rPr>
                      <w:b/>
                      <w:color w:val="FF0000"/>
                      <w:sz w:val="18"/>
                      <w:szCs w:val="18"/>
                    </w:rPr>
                    <w:t>声压级/dB(A)</w:t>
                  </w:r>
                </w:p>
              </w:tc>
              <w:tc>
                <w:tcPr>
                  <w:tcW w:w="475" w:type="pct"/>
                  <w:shd w:val="clear" w:color="auto" w:fill="FFFFFF"/>
                  <w:vAlign w:val="center"/>
                </w:tcPr>
                <w:p>
                  <w:pPr>
                    <w:spacing w:line="240" w:lineRule="auto"/>
                    <w:jc w:val="center"/>
                    <w:rPr>
                      <w:b/>
                      <w:color w:val="FF0000"/>
                      <w:sz w:val="18"/>
                      <w:szCs w:val="18"/>
                    </w:rPr>
                  </w:pPr>
                  <w:r>
                    <w:rPr>
                      <w:b/>
                      <w:color w:val="FF0000"/>
                      <w:sz w:val="18"/>
                      <w:szCs w:val="18"/>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rFonts w:hint="eastAsia"/>
                      <w:color w:val="FF0000"/>
                      <w:sz w:val="18"/>
                      <w:szCs w:val="18"/>
                    </w:rPr>
                    <w:t>破碎机1</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声屏障-1：34.5</w:t>
                  </w:r>
                </w:p>
                <w:p>
                  <w:pPr>
                    <w:spacing w:line="240" w:lineRule="auto"/>
                    <w:jc w:val="center"/>
                    <w:rPr>
                      <w:color w:val="FF0000"/>
                      <w:sz w:val="18"/>
                      <w:szCs w:val="18"/>
                    </w:rPr>
                  </w:pPr>
                  <w:r>
                    <w:rPr>
                      <w:color w:val="FF0000"/>
                      <w:sz w:val="18"/>
                      <w:szCs w:val="18"/>
                    </w:rPr>
                    <w:t>声屏障-2：41.8</w:t>
                  </w:r>
                </w:p>
                <w:p>
                  <w:pPr>
                    <w:spacing w:line="240" w:lineRule="auto"/>
                    <w:jc w:val="center"/>
                    <w:rPr>
                      <w:color w:val="FF0000"/>
                      <w:sz w:val="18"/>
                      <w:szCs w:val="18"/>
                    </w:rPr>
                  </w:pPr>
                  <w:r>
                    <w:rPr>
                      <w:color w:val="FF0000"/>
                      <w:sz w:val="18"/>
                      <w:szCs w:val="18"/>
                    </w:rPr>
                    <w:t>声屏障-3：32.9</w:t>
                  </w:r>
                </w:p>
                <w:p>
                  <w:pPr>
                    <w:spacing w:line="240" w:lineRule="auto"/>
                    <w:jc w:val="center"/>
                    <w:rPr>
                      <w:color w:val="FF0000"/>
                      <w:sz w:val="18"/>
                      <w:szCs w:val="18"/>
                    </w:rPr>
                  </w:pPr>
                  <w:r>
                    <w:rPr>
                      <w:color w:val="FF0000"/>
                      <w:sz w:val="18"/>
                      <w:szCs w:val="18"/>
                    </w:rPr>
                    <w:t>声屏障-4：13.2</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声屏障-1：76.0</w:t>
                  </w:r>
                </w:p>
                <w:p>
                  <w:pPr>
                    <w:spacing w:line="240" w:lineRule="auto"/>
                    <w:jc w:val="center"/>
                    <w:rPr>
                      <w:color w:val="FF0000"/>
                      <w:sz w:val="18"/>
                      <w:szCs w:val="18"/>
                    </w:rPr>
                  </w:pPr>
                  <w:r>
                    <w:rPr>
                      <w:color w:val="FF0000"/>
                      <w:sz w:val="18"/>
                      <w:szCs w:val="18"/>
                    </w:rPr>
                    <w:t>声屏障-2：76.0</w:t>
                  </w:r>
                </w:p>
                <w:p>
                  <w:pPr>
                    <w:spacing w:line="240" w:lineRule="auto"/>
                    <w:jc w:val="center"/>
                    <w:rPr>
                      <w:color w:val="FF0000"/>
                      <w:sz w:val="18"/>
                      <w:szCs w:val="18"/>
                    </w:rPr>
                  </w:pPr>
                  <w:r>
                    <w:rPr>
                      <w:color w:val="FF0000"/>
                      <w:sz w:val="18"/>
                      <w:szCs w:val="18"/>
                    </w:rPr>
                    <w:t>声屏障-3：76.0</w:t>
                  </w:r>
                </w:p>
                <w:p>
                  <w:pPr>
                    <w:spacing w:line="240" w:lineRule="auto"/>
                    <w:jc w:val="center"/>
                    <w:rPr>
                      <w:color w:val="FF0000"/>
                      <w:sz w:val="18"/>
                      <w:szCs w:val="18"/>
                    </w:rPr>
                  </w:pPr>
                  <w:r>
                    <w:rPr>
                      <w:color w:val="FF0000"/>
                      <w:sz w:val="18"/>
                      <w:szCs w:val="18"/>
                    </w:rPr>
                    <w:t>声屏障-4：76.0</w:t>
                  </w:r>
                </w:p>
              </w:tc>
              <w:tc>
                <w:tcPr>
                  <w:tcW w:w="598" w:type="pct"/>
                  <w:shd w:val="clear" w:color="auto" w:fill="FFFFFF"/>
                  <w:vAlign w:val="center"/>
                </w:tcPr>
                <w:p>
                  <w:pPr>
                    <w:spacing w:line="240" w:lineRule="auto"/>
                    <w:jc w:val="center"/>
                    <w:rPr>
                      <w:color w:val="FF0000"/>
                      <w:sz w:val="18"/>
                      <w:szCs w:val="18"/>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声屏障-1：35.0</w:t>
                  </w:r>
                </w:p>
                <w:p>
                  <w:pPr>
                    <w:spacing w:line="240" w:lineRule="auto"/>
                    <w:jc w:val="center"/>
                    <w:rPr>
                      <w:color w:val="FF0000"/>
                      <w:sz w:val="18"/>
                      <w:szCs w:val="18"/>
                    </w:rPr>
                  </w:pPr>
                  <w:r>
                    <w:rPr>
                      <w:color w:val="FF0000"/>
                      <w:sz w:val="18"/>
                      <w:szCs w:val="18"/>
                    </w:rPr>
                    <w:t>声屏障-2：35.0</w:t>
                  </w:r>
                </w:p>
                <w:p>
                  <w:pPr>
                    <w:spacing w:line="240" w:lineRule="auto"/>
                    <w:jc w:val="center"/>
                    <w:rPr>
                      <w:color w:val="FF0000"/>
                      <w:sz w:val="18"/>
                      <w:szCs w:val="18"/>
                    </w:rPr>
                  </w:pPr>
                  <w:r>
                    <w:rPr>
                      <w:color w:val="FF0000"/>
                      <w:sz w:val="18"/>
                      <w:szCs w:val="18"/>
                    </w:rPr>
                    <w:t>声屏障-3：35.0</w:t>
                  </w:r>
                </w:p>
                <w:p>
                  <w:pPr>
                    <w:spacing w:line="240" w:lineRule="auto"/>
                    <w:jc w:val="center"/>
                    <w:rPr>
                      <w:color w:val="FF0000"/>
                      <w:sz w:val="18"/>
                      <w:szCs w:val="18"/>
                    </w:rPr>
                  </w:pPr>
                  <w:r>
                    <w:rPr>
                      <w:color w:val="FF0000"/>
                      <w:sz w:val="18"/>
                      <w:szCs w:val="18"/>
                    </w:rPr>
                    <w:t>声屏障-4：35.0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rFonts w:hint="eastAsia"/>
                      <w:color w:val="FF0000"/>
                      <w:sz w:val="18"/>
                      <w:szCs w:val="18"/>
                    </w:rPr>
                    <w:t>破胶机2</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声屏障-1：32.5</w:t>
                  </w:r>
                </w:p>
                <w:p>
                  <w:pPr>
                    <w:spacing w:line="240" w:lineRule="auto"/>
                    <w:jc w:val="center"/>
                    <w:rPr>
                      <w:color w:val="FF0000"/>
                      <w:sz w:val="18"/>
                      <w:szCs w:val="18"/>
                    </w:rPr>
                  </w:pPr>
                  <w:r>
                    <w:rPr>
                      <w:color w:val="FF0000"/>
                      <w:sz w:val="18"/>
                      <w:szCs w:val="18"/>
                    </w:rPr>
                    <w:t>声屏障-2：41.8</w:t>
                  </w:r>
                </w:p>
                <w:p>
                  <w:pPr>
                    <w:spacing w:line="240" w:lineRule="auto"/>
                    <w:jc w:val="center"/>
                    <w:rPr>
                      <w:color w:val="FF0000"/>
                      <w:sz w:val="18"/>
                      <w:szCs w:val="18"/>
                    </w:rPr>
                  </w:pPr>
                  <w:r>
                    <w:rPr>
                      <w:color w:val="FF0000"/>
                      <w:sz w:val="18"/>
                      <w:szCs w:val="18"/>
                    </w:rPr>
                    <w:t>声屏障-3：34.9</w:t>
                  </w:r>
                </w:p>
                <w:p>
                  <w:pPr>
                    <w:spacing w:line="240" w:lineRule="auto"/>
                    <w:jc w:val="center"/>
                    <w:rPr>
                      <w:color w:val="FF0000"/>
                      <w:sz w:val="18"/>
                      <w:szCs w:val="18"/>
                    </w:rPr>
                  </w:pPr>
                  <w:r>
                    <w:rPr>
                      <w:color w:val="FF0000"/>
                      <w:sz w:val="18"/>
                      <w:szCs w:val="18"/>
                    </w:rPr>
                    <w:t>声屏障-4：13.2</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声屏障-1：76.0</w:t>
                  </w:r>
                </w:p>
                <w:p>
                  <w:pPr>
                    <w:spacing w:line="240" w:lineRule="auto"/>
                    <w:jc w:val="center"/>
                    <w:rPr>
                      <w:color w:val="FF0000"/>
                      <w:sz w:val="18"/>
                      <w:szCs w:val="18"/>
                    </w:rPr>
                  </w:pPr>
                  <w:r>
                    <w:rPr>
                      <w:color w:val="FF0000"/>
                      <w:sz w:val="18"/>
                      <w:szCs w:val="18"/>
                    </w:rPr>
                    <w:t>声屏障-2：76.0</w:t>
                  </w:r>
                </w:p>
                <w:p>
                  <w:pPr>
                    <w:spacing w:line="240" w:lineRule="auto"/>
                    <w:jc w:val="center"/>
                    <w:rPr>
                      <w:color w:val="FF0000"/>
                      <w:sz w:val="18"/>
                      <w:szCs w:val="18"/>
                    </w:rPr>
                  </w:pPr>
                  <w:r>
                    <w:rPr>
                      <w:color w:val="FF0000"/>
                      <w:sz w:val="18"/>
                      <w:szCs w:val="18"/>
                    </w:rPr>
                    <w:t>声屏障-3：76.0</w:t>
                  </w:r>
                </w:p>
                <w:p>
                  <w:pPr>
                    <w:spacing w:line="240" w:lineRule="auto"/>
                    <w:jc w:val="center"/>
                    <w:rPr>
                      <w:color w:val="FF0000"/>
                      <w:sz w:val="18"/>
                      <w:szCs w:val="18"/>
                    </w:rPr>
                  </w:pPr>
                  <w:r>
                    <w:rPr>
                      <w:color w:val="FF0000"/>
                      <w:sz w:val="18"/>
                      <w:szCs w:val="18"/>
                    </w:rPr>
                    <w:t>声屏障-4：76.0</w:t>
                  </w:r>
                </w:p>
              </w:tc>
              <w:tc>
                <w:tcPr>
                  <w:tcW w:w="598" w:type="pct"/>
                  <w:shd w:val="clear" w:color="auto" w:fill="FFFFFF"/>
                  <w:vAlign w:val="center"/>
                </w:tcPr>
                <w:p>
                  <w:pPr>
                    <w:spacing w:line="240" w:lineRule="auto"/>
                    <w:jc w:val="center"/>
                    <w:rPr>
                      <w:color w:val="FF0000"/>
                      <w:sz w:val="18"/>
                      <w:szCs w:val="18"/>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声屏障-1：35.0</w:t>
                  </w:r>
                </w:p>
                <w:p>
                  <w:pPr>
                    <w:spacing w:line="240" w:lineRule="auto"/>
                    <w:jc w:val="center"/>
                    <w:rPr>
                      <w:color w:val="FF0000"/>
                      <w:sz w:val="18"/>
                      <w:szCs w:val="18"/>
                    </w:rPr>
                  </w:pPr>
                  <w:r>
                    <w:rPr>
                      <w:color w:val="FF0000"/>
                      <w:sz w:val="18"/>
                      <w:szCs w:val="18"/>
                    </w:rPr>
                    <w:t>声屏障-2：35.0</w:t>
                  </w:r>
                </w:p>
                <w:p>
                  <w:pPr>
                    <w:spacing w:line="240" w:lineRule="auto"/>
                    <w:jc w:val="center"/>
                    <w:rPr>
                      <w:color w:val="FF0000"/>
                      <w:sz w:val="18"/>
                      <w:szCs w:val="18"/>
                    </w:rPr>
                  </w:pPr>
                  <w:r>
                    <w:rPr>
                      <w:color w:val="FF0000"/>
                      <w:sz w:val="18"/>
                      <w:szCs w:val="18"/>
                    </w:rPr>
                    <w:t>声屏障-3：35.0</w:t>
                  </w:r>
                </w:p>
                <w:p>
                  <w:pPr>
                    <w:spacing w:line="240" w:lineRule="auto"/>
                    <w:jc w:val="center"/>
                    <w:rPr>
                      <w:color w:val="FF0000"/>
                      <w:sz w:val="18"/>
                      <w:szCs w:val="18"/>
                    </w:rPr>
                  </w:pPr>
                  <w:r>
                    <w:rPr>
                      <w:color w:val="FF0000"/>
                      <w:sz w:val="18"/>
                      <w:szCs w:val="18"/>
                    </w:rPr>
                    <w:t>声屏障-4：35.0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rFonts w:hint="eastAsia"/>
                      <w:color w:val="FF0000"/>
                      <w:sz w:val="18"/>
                      <w:szCs w:val="18"/>
                    </w:rPr>
                    <w:t>破碎机</w:t>
                  </w:r>
                  <w:r>
                    <w:rPr>
                      <w:color w:val="FF0000"/>
                      <w:sz w:val="18"/>
                      <w:szCs w:val="18"/>
                    </w:rPr>
                    <w:t>2</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声屏障-1：32.2</w:t>
                  </w:r>
                </w:p>
                <w:p>
                  <w:pPr>
                    <w:spacing w:line="240" w:lineRule="auto"/>
                    <w:jc w:val="center"/>
                    <w:rPr>
                      <w:color w:val="FF0000"/>
                      <w:sz w:val="18"/>
                      <w:szCs w:val="18"/>
                    </w:rPr>
                  </w:pPr>
                  <w:r>
                    <w:rPr>
                      <w:color w:val="FF0000"/>
                      <w:sz w:val="18"/>
                      <w:szCs w:val="18"/>
                    </w:rPr>
                    <w:t>声屏障-2：17.6</w:t>
                  </w:r>
                </w:p>
                <w:p>
                  <w:pPr>
                    <w:spacing w:line="240" w:lineRule="auto"/>
                    <w:jc w:val="center"/>
                    <w:rPr>
                      <w:color w:val="FF0000"/>
                      <w:sz w:val="18"/>
                      <w:szCs w:val="18"/>
                    </w:rPr>
                  </w:pPr>
                  <w:r>
                    <w:rPr>
                      <w:color w:val="FF0000"/>
                      <w:sz w:val="18"/>
                      <w:szCs w:val="18"/>
                    </w:rPr>
                    <w:t>声屏障-3：35.9</w:t>
                  </w:r>
                </w:p>
                <w:p>
                  <w:pPr>
                    <w:spacing w:line="240" w:lineRule="auto"/>
                    <w:jc w:val="center"/>
                    <w:rPr>
                      <w:color w:val="FF0000"/>
                      <w:sz w:val="18"/>
                      <w:szCs w:val="18"/>
                    </w:rPr>
                  </w:pPr>
                  <w:r>
                    <w:rPr>
                      <w:color w:val="FF0000"/>
                      <w:sz w:val="18"/>
                      <w:szCs w:val="18"/>
                    </w:rPr>
                    <w:t>声屏障-4：37.5</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声屏障-1：76.0</w:t>
                  </w:r>
                </w:p>
                <w:p>
                  <w:pPr>
                    <w:spacing w:line="240" w:lineRule="auto"/>
                    <w:jc w:val="center"/>
                    <w:rPr>
                      <w:color w:val="FF0000"/>
                      <w:sz w:val="18"/>
                      <w:szCs w:val="18"/>
                    </w:rPr>
                  </w:pPr>
                  <w:r>
                    <w:rPr>
                      <w:color w:val="FF0000"/>
                      <w:sz w:val="18"/>
                      <w:szCs w:val="18"/>
                    </w:rPr>
                    <w:t>声屏障-2：76.0</w:t>
                  </w:r>
                </w:p>
                <w:p>
                  <w:pPr>
                    <w:spacing w:line="240" w:lineRule="auto"/>
                    <w:jc w:val="center"/>
                    <w:rPr>
                      <w:color w:val="FF0000"/>
                      <w:sz w:val="18"/>
                      <w:szCs w:val="18"/>
                    </w:rPr>
                  </w:pPr>
                  <w:r>
                    <w:rPr>
                      <w:color w:val="FF0000"/>
                      <w:sz w:val="18"/>
                      <w:szCs w:val="18"/>
                    </w:rPr>
                    <w:t>声屏障-3：76.0</w:t>
                  </w:r>
                </w:p>
                <w:p>
                  <w:pPr>
                    <w:spacing w:line="240" w:lineRule="auto"/>
                    <w:jc w:val="center"/>
                    <w:rPr>
                      <w:color w:val="FF0000"/>
                      <w:sz w:val="18"/>
                      <w:szCs w:val="18"/>
                    </w:rPr>
                  </w:pPr>
                  <w:r>
                    <w:rPr>
                      <w:color w:val="FF0000"/>
                      <w:sz w:val="18"/>
                      <w:szCs w:val="18"/>
                    </w:rPr>
                    <w:t>声屏障-4：76.0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声屏障-1：35.0</w:t>
                  </w:r>
                </w:p>
                <w:p>
                  <w:pPr>
                    <w:spacing w:line="240" w:lineRule="auto"/>
                    <w:jc w:val="center"/>
                    <w:rPr>
                      <w:color w:val="FF0000"/>
                      <w:sz w:val="18"/>
                      <w:szCs w:val="18"/>
                    </w:rPr>
                  </w:pPr>
                  <w:r>
                    <w:rPr>
                      <w:color w:val="FF0000"/>
                      <w:sz w:val="18"/>
                      <w:szCs w:val="18"/>
                    </w:rPr>
                    <w:t>声屏障-2：35.0</w:t>
                  </w:r>
                </w:p>
                <w:p>
                  <w:pPr>
                    <w:spacing w:line="240" w:lineRule="auto"/>
                    <w:jc w:val="center"/>
                    <w:rPr>
                      <w:color w:val="FF0000"/>
                      <w:sz w:val="18"/>
                      <w:szCs w:val="18"/>
                    </w:rPr>
                  </w:pPr>
                  <w:r>
                    <w:rPr>
                      <w:color w:val="FF0000"/>
                      <w:sz w:val="18"/>
                      <w:szCs w:val="18"/>
                    </w:rPr>
                    <w:t>声屏障-3：35.0</w:t>
                  </w:r>
                </w:p>
                <w:p>
                  <w:pPr>
                    <w:spacing w:line="240" w:lineRule="auto"/>
                    <w:jc w:val="center"/>
                    <w:rPr>
                      <w:color w:val="FF0000"/>
                      <w:sz w:val="18"/>
                      <w:szCs w:val="18"/>
                    </w:rPr>
                  </w:pPr>
                  <w:r>
                    <w:rPr>
                      <w:color w:val="FF0000"/>
                      <w:sz w:val="18"/>
                      <w:szCs w:val="18"/>
                    </w:rPr>
                    <w:t>声屏障-4：35.0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rFonts w:hint="eastAsia"/>
                      <w:color w:val="FF0000"/>
                      <w:sz w:val="18"/>
                      <w:szCs w:val="18"/>
                    </w:rPr>
                    <w:t>破胶机2</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声屏障-1：35.2</w:t>
                  </w:r>
                </w:p>
                <w:p>
                  <w:pPr>
                    <w:spacing w:line="240" w:lineRule="auto"/>
                    <w:jc w:val="center"/>
                    <w:rPr>
                      <w:color w:val="FF0000"/>
                      <w:sz w:val="18"/>
                      <w:szCs w:val="18"/>
                    </w:rPr>
                  </w:pPr>
                  <w:r>
                    <w:rPr>
                      <w:color w:val="FF0000"/>
                      <w:sz w:val="18"/>
                      <w:szCs w:val="18"/>
                    </w:rPr>
                    <w:t>声屏障-2：17.6</w:t>
                  </w:r>
                </w:p>
                <w:p>
                  <w:pPr>
                    <w:spacing w:line="240" w:lineRule="auto"/>
                    <w:jc w:val="center"/>
                    <w:rPr>
                      <w:color w:val="FF0000"/>
                      <w:sz w:val="18"/>
                      <w:szCs w:val="18"/>
                    </w:rPr>
                  </w:pPr>
                  <w:r>
                    <w:rPr>
                      <w:color w:val="FF0000"/>
                      <w:sz w:val="18"/>
                      <w:szCs w:val="18"/>
                    </w:rPr>
                    <w:t>声屏障-3：32.9</w:t>
                  </w:r>
                </w:p>
                <w:p>
                  <w:pPr>
                    <w:spacing w:line="240" w:lineRule="auto"/>
                    <w:jc w:val="center"/>
                    <w:rPr>
                      <w:color w:val="FF0000"/>
                      <w:sz w:val="18"/>
                      <w:szCs w:val="18"/>
                    </w:rPr>
                  </w:pPr>
                  <w:r>
                    <w:rPr>
                      <w:color w:val="FF0000"/>
                      <w:sz w:val="18"/>
                      <w:szCs w:val="18"/>
                    </w:rPr>
                    <w:t>声屏障-4：37.5</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声屏障-1：76.0</w:t>
                  </w:r>
                </w:p>
                <w:p>
                  <w:pPr>
                    <w:spacing w:line="240" w:lineRule="auto"/>
                    <w:jc w:val="center"/>
                    <w:rPr>
                      <w:color w:val="FF0000"/>
                      <w:sz w:val="18"/>
                      <w:szCs w:val="18"/>
                    </w:rPr>
                  </w:pPr>
                  <w:r>
                    <w:rPr>
                      <w:color w:val="FF0000"/>
                      <w:sz w:val="18"/>
                      <w:szCs w:val="18"/>
                    </w:rPr>
                    <w:t>声屏障-2：76.0</w:t>
                  </w:r>
                </w:p>
                <w:p>
                  <w:pPr>
                    <w:spacing w:line="240" w:lineRule="auto"/>
                    <w:jc w:val="center"/>
                    <w:rPr>
                      <w:color w:val="FF0000"/>
                      <w:sz w:val="18"/>
                      <w:szCs w:val="18"/>
                    </w:rPr>
                  </w:pPr>
                  <w:r>
                    <w:rPr>
                      <w:color w:val="FF0000"/>
                      <w:sz w:val="18"/>
                      <w:szCs w:val="18"/>
                    </w:rPr>
                    <w:t>声屏障-3：76.0</w:t>
                  </w:r>
                </w:p>
                <w:p>
                  <w:pPr>
                    <w:spacing w:line="240" w:lineRule="auto"/>
                    <w:jc w:val="center"/>
                    <w:rPr>
                      <w:color w:val="FF0000"/>
                      <w:sz w:val="18"/>
                      <w:szCs w:val="18"/>
                    </w:rPr>
                  </w:pPr>
                  <w:r>
                    <w:rPr>
                      <w:color w:val="FF0000"/>
                      <w:sz w:val="18"/>
                      <w:szCs w:val="18"/>
                    </w:rPr>
                    <w:t>声屏障-4：76.0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声屏障-1：35.0</w:t>
                  </w:r>
                </w:p>
                <w:p>
                  <w:pPr>
                    <w:spacing w:line="240" w:lineRule="auto"/>
                    <w:jc w:val="center"/>
                    <w:rPr>
                      <w:color w:val="FF0000"/>
                      <w:sz w:val="18"/>
                      <w:szCs w:val="18"/>
                    </w:rPr>
                  </w:pPr>
                  <w:r>
                    <w:rPr>
                      <w:color w:val="FF0000"/>
                      <w:sz w:val="18"/>
                      <w:szCs w:val="18"/>
                    </w:rPr>
                    <w:t>声屏障-2：35.0</w:t>
                  </w:r>
                </w:p>
                <w:p>
                  <w:pPr>
                    <w:spacing w:line="240" w:lineRule="auto"/>
                    <w:jc w:val="center"/>
                    <w:rPr>
                      <w:color w:val="FF0000"/>
                      <w:sz w:val="18"/>
                      <w:szCs w:val="18"/>
                    </w:rPr>
                  </w:pPr>
                  <w:r>
                    <w:rPr>
                      <w:color w:val="FF0000"/>
                      <w:sz w:val="18"/>
                      <w:szCs w:val="18"/>
                    </w:rPr>
                    <w:t>声屏障-3：35.0</w:t>
                  </w:r>
                </w:p>
                <w:p>
                  <w:pPr>
                    <w:spacing w:line="240" w:lineRule="auto"/>
                    <w:jc w:val="center"/>
                    <w:rPr>
                      <w:color w:val="FF0000"/>
                      <w:sz w:val="18"/>
                      <w:szCs w:val="18"/>
                    </w:rPr>
                  </w:pPr>
                  <w:r>
                    <w:rPr>
                      <w:color w:val="FF0000"/>
                      <w:sz w:val="18"/>
                      <w:szCs w:val="18"/>
                    </w:rPr>
                    <w:t>声屏障-4：35.0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rFonts w:hint="eastAsia"/>
                      <w:color w:val="FF0000"/>
                      <w:sz w:val="18"/>
                      <w:szCs w:val="18"/>
                    </w:rPr>
                    <w:t>破碎机3</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声屏障-1：20.4</w:t>
                  </w:r>
                </w:p>
                <w:p>
                  <w:pPr>
                    <w:spacing w:line="240" w:lineRule="auto"/>
                    <w:jc w:val="center"/>
                    <w:rPr>
                      <w:color w:val="FF0000"/>
                      <w:sz w:val="18"/>
                      <w:szCs w:val="18"/>
                    </w:rPr>
                  </w:pPr>
                  <w:r>
                    <w:rPr>
                      <w:color w:val="FF0000"/>
                      <w:sz w:val="18"/>
                      <w:szCs w:val="18"/>
                    </w:rPr>
                    <w:t>声屏障-2：41.8</w:t>
                  </w:r>
                </w:p>
                <w:p>
                  <w:pPr>
                    <w:spacing w:line="240" w:lineRule="auto"/>
                    <w:jc w:val="center"/>
                    <w:rPr>
                      <w:color w:val="FF0000"/>
                      <w:sz w:val="18"/>
                      <w:szCs w:val="18"/>
                    </w:rPr>
                  </w:pPr>
                  <w:r>
                    <w:rPr>
                      <w:color w:val="FF0000"/>
                      <w:sz w:val="18"/>
                      <w:szCs w:val="18"/>
                    </w:rPr>
                    <w:t>声屏障-3：54.0</w:t>
                  </w:r>
                </w:p>
                <w:p>
                  <w:pPr>
                    <w:spacing w:line="240" w:lineRule="auto"/>
                    <w:jc w:val="center"/>
                    <w:rPr>
                      <w:color w:val="FF0000"/>
                      <w:sz w:val="18"/>
                      <w:szCs w:val="18"/>
                    </w:rPr>
                  </w:pPr>
                  <w:r>
                    <w:rPr>
                      <w:color w:val="FF0000"/>
                      <w:sz w:val="18"/>
                      <w:szCs w:val="18"/>
                    </w:rPr>
                    <w:t>声屏障-4：14.6</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声屏障-1：76.0</w:t>
                  </w:r>
                </w:p>
                <w:p>
                  <w:pPr>
                    <w:spacing w:line="240" w:lineRule="auto"/>
                    <w:jc w:val="center"/>
                    <w:rPr>
                      <w:color w:val="FF0000"/>
                      <w:sz w:val="18"/>
                      <w:szCs w:val="18"/>
                    </w:rPr>
                  </w:pPr>
                  <w:r>
                    <w:rPr>
                      <w:color w:val="FF0000"/>
                      <w:sz w:val="18"/>
                      <w:szCs w:val="18"/>
                    </w:rPr>
                    <w:t>声屏障-2：76.0</w:t>
                  </w:r>
                </w:p>
                <w:p>
                  <w:pPr>
                    <w:spacing w:line="240" w:lineRule="auto"/>
                    <w:jc w:val="center"/>
                    <w:rPr>
                      <w:color w:val="FF0000"/>
                      <w:sz w:val="18"/>
                      <w:szCs w:val="18"/>
                    </w:rPr>
                  </w:pPr>
                  <w:r>
                    <w:rPr>
                      <w:color w:val="FF0000"/>
                      <w:sz w:val="18"/>
                      <w:szCs w:val="18"/>
                    </w:rPr>
                    <w:t>声屏障-3：76.0</w:t>
                  </w:r>
                </w:p>
                <w:p>
                  <w:pPr>
                    <w:spacing w:line="240" w:lineRule="auto"/>
                    <w:jc w:val="center"/>
                    <w:rPr>
                      <w:color w:val="FF0000"/>
                      <w:sz w:val="18"/>
                      <w:szCs w:val="18"/>
                    </w:rPr>
                  </w:pPr>
                  <w:r>
                    <w:rPr>
                      <w:color w:val="FF0000"/>
                      <w:sz w:val="18"/>
                      <w:szCs w:val="18"/>
                    </w:rPr>
                    <w:t>声屏障-4：76.0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声屏障-1：35.0</w:t>
                  </w:r>
                </w:p>
                <w:p>
                  <w:pPr>
                    <w:spacing w:line="240" w:lineRule="auto"/>
                    <w:jc w:val="center"/>
                    <w:rPr>
                      <w:color w:val="FF0000"/>
                      <w:sz w:val="18"/>
                      <w:szCs w:val="18"/>
                    </w:rPr>
                  </w:pPr>
                  <w:r>
                    <w:rPr>
                      <w:color w:val="FF0000"/>
                      <w:sz w:val="18"/>
                      <w:szCs w:val="18"/>
                    </w:rPr>
                    <w:t>声屏障-2：35.0</w:t>
                  </w:r>
                </w:p>
                <w:p>
                  <w:pPr>
                    <w:spacing w:line="240" w:lineRule="auto"/>
                    <w:jc w:val="center"/>
                    <w:rPr>
                      <w:color w:val="FF0000"/>
                      <w:sz w:val="18"/>
                      <w:szCs w:val="18"/>
                    </w:rPr>
                  </w:pPr>
                  <w:r>
                    <w:rPr>
                      <w:color w:val="FF0000"/>
                      <w:sz w:val="18"/>
                      <w:szCs w:val="18"/>
                    </w:rPr>
                    <w:t>声屏障-3：35.0</w:t>
                  </w:r>
                </w:p>
                <w:p>
                  <w:pPr>
                    <w:spacing w:line="240" w:lineRule="auto"/>
                    <w:jc w:val="center"/>
                    <w:rPr>
                      <w:color w:val="FF0000"/>
                      <w:sz w:val="18"/>
                      <w:szCs w:val="18"/>
                    </w:rPr>
                  </w:pPr>
                  <w:r>
                    <w:rPr>
                      <w:color w:val="FF0000"/>
                      <w:sz w:val="18"/>
                      <w:szCs w:val="18"/>
                    </w:rPr>
                    <w:t>声屏障-4：35.0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rFonts w:hint="eastAsia"/>
                      <w:color w:val="FF0000"/>
                      <w:sz w:val="18"/>
                      <w:szCs w:val="18"/>
                    </w:rPr>
                    <w:t>破胶机3</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声屏障-1：17.4</w:t>
                  </w:r>
                </w:p>
                <w:p>
                  <w:pPr>
                    <w:spacing w:line="240" w:lineRule="auto"/>
                    <w:jc w:val="center"/>
                    <w:rPr>
                      <w:color w:val="FF0000"/>
                      <w:sz w:val="18"/>
                      <w:szCs w:val="18"/>
                    </w:rPr>
                  </w:pPr>
                  <w:r>
                    <w:rPr>
                      <w:color w:val="FF0000"/>
                      <w:sz w:val="18"/>
                      <w:szCs w:val="18"/>
                    </w:rPr>
                    <w:t>声屏障-2：41.8</w:t>
                  </w:r>
                </w:p>
                <w:p>
                  <w:pPr>
                    <w:spacing w:line="240" w:lineRule="auto"/>
                    <w:jc w:val="center"/>
                    <w:rPr>
                      <w:color w:val="FF0000"/>
                      <w:sz w:val="18"/>
                      <w:szCs w:val="18"/>
                    </w:rPr>
                  </w:pPr>
                  <w:r>
                    <w:rPr>
                      <w:color w:val="FF0000"/>
                      <w:sz w:val="18"/>
                      <w:szCs w:val="18"/>
                    </w:rPr>
                    <w:t>声屏障-3：57.0</w:t>
                  </w:r>
                </w:p>
                <w:p>
                  <w:pPr>
                    <w:spacing w:line="240" w:lineRule="auto"/>
                    <w:jc w:val="center"/>
                    <w:rPr>
                      <w:color w:val="FF0000"/>
                      <w:sz w:val="18"/>
                      <w:szCs w:val="18"/>
                    </w:rPr>
                  </w:pPr>
                  <w:r>
                    <w:rPr>
                      <w:color w:val="FF0000"/>
                      <w:sz w:val="18"/>
                      <w:szCs w:val="18"/>
                    </w:rPr>
                    <w:t>声屏障-4：14.6</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声屏障-1：76.0</w:t>
                  </w:r>
                </w:p>
                <w:p>
                  <w:pPr>
                    <w:spacing w:line="240" w:lineRule="auto"/>
                    <w:jc w:val="center"/>
                    <w:rPr>
                      <w:color w:val="FF0000"/>
                      <w:sz w:val="18"/>
                      <w:szCs w:val="18"/>
                    </w:rPr>
                  </w:pPr>
                  <w:r>
                    <w:rPr>
                      <w:color w:val="FF0000"/>
                      <w:sz w:val="18"/>
                      <w:szCs w:val="18"/>
                    </w:rPr>
                    <w:t>声屏障-2：76.0</w:t>
                  </w:r>
                </w:p>
                <w:p>
                  <w:pPr>
                    <w:spacing w:line="240" w:lineRule="auto"/>
                    <w:jc w:val="center"/>
                    <w:rPr>
                      <w:color w:val="FF0000"/>
                      <w:sz w:val="18"/>
                      <w:szCs w:val="18"/>
                    </w:rPr>
                  </w:pPr>
                  <w:r>
                    <w:rPr>
                      <w:color w:val="FF0000"/>
                      <w:sz w:val="18"/>
                      <w:szCs w:val="18"/>
                    </w:rPr>
                    <w:t>声屏障-3：76.0</w:t>
                  </w:r>
                </w:p>
                <w:p>
                  <w:pPr>
                    <w:spacing w:line="240" w:lineRule="auto"/>
                    <w:jc w:val="center"/>
                    <w:rPr>
                      <w:color w:val="FF0000"/>
                      <w:sz w:val="18"/>
                      <w:szCs w:val="18"/>
                    </w:rPr>
                  </w:pPr>
                  <w:r>
                    <w:rPr>
                      <w:color w:val="FF0000"/>
                      <w:sz w:val="18"/>
                      <w:szCs w:val="18"/>
                    </w:rPr>
                    <w:t>声屏障-4：76.0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声屏障-1：35.0</w:t>
                  </w:r>
                </w:p>
                <w:p>
                  <w:pPr>
                    <w:spacing w:line="240" w:lineRule="auto"/>
                    <w:jc w:val="center"/>
                    <w:rPr>
                      <w:color w:val="FF0000"/>
                      <w:sz w:val="18"/>
                      <w:szCs w:val="18"/>
                    </w:rPr>
                  </w:pPr>
                  <w:r>
                    <w:rPr>
                      <w:color w:val="FF0000"/>
                      <w:sz w:val="18"/>
                      <w:szCs w:val="18"/>
                    </w:rPr>
                    <w:t>声屏障-2：35.0</w:t>
                  </w:r>
                </w:p>
                <w:p>
                  <w:pPr>
                    <w:spacing w:line="240" w:lineRule="auto"/>
                    <w:jc w:val="center"/>
                    <w:rPr>
                      <w:color w:val="FF0000"/>
                      <w:sz w:val="18"/>
                      <w:szCs w:val="18"/>
                    </w:rPr>
                  </w:pPr>
                  <w:r>
                    <w:rPr>
                      <w:color w:val="FF0000"/>
                      <w:sz w:val="18"/>
                      <w:szCs w:val="18"/>
                    </w:rPr>
                    <w:t>声屏障-3：35.0</w:t>
                  </w:r>
                </w:p>
                <w:p>
                  <w:pPr>
                    <w:spacing w:line="240" w:lineRule="auto"/>
                    <w:jc w:val="center"/>
                    <w:rPr>
                      <w:color w:val="FF0000"/>
                      <w:sz w:val="18"/>
                      <w:szCs w:val="18"/>
                    </w:rPr>
                  </w:pPr>
                  <w:r>
                    <w:rPr>
                      <w:color w:val="FF0000"/>
                      <w:sz w:val="18"/>
                      <w:szCs w:val="18"/>
                    </w:rPr>
                    <w:t>声屏障-4：35.0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rFonts w:hint="eastAsia"/>
                      <w:color w:val="FF0000"/>
                      <w:sz w:val="18"/>
                      <w:szCs w:val="18"/>
                    </w:rPr>
                    <w:t>破碎机</w:t>
                  </w:r>
                  <w:r>
                    <w:rPr>
                      <w:color w:val="FF0000"/>
                      <w:sz w:val="18"/>
                      <w:szCs w:val="18"/>
                    </w:rPr>
                    <w:t>4</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声屏障-1：18.5</w:t>
                  </w:r>
                </w:p>
                <w:p>
                  <w:pPr>
                    <w:spacing w:line="240" w:lineRule="auto"/>
                    <w:jc w:val="center"/>
                    <w:rPr>
                      <w:color w:val="FF0000"/>
                      <w:sz w:val="18"/>
                      <w:szCs w:val="18"/>
                    </w:rPr>
                  </w:pPr>
                  <w:r>
                    <w:rPr>
                      <w:color w:val="FF0000"/>
                      <w:sz w:val="18"/>
                      <w:szCs w:val="18"/>
                    </w:rPr>
                    <w:t>声屏障-2：16.0</w:t>
                  </w:r>
                </w:p>
                <w:p>
                  <w:pPr>
                    <w:spacing w:line="240" w:lineRule="auto"/>
                    <w:jc w:val="center"/>
                    <w:rPr>
                      <w:color w:val="FF0000"/>
                      <w:sz w:val="18"/>
                      <w:szCs w:val="18"/>
                    </w:rPr>
                  </w:pPr>
                  <w:r>
                    <w:rPr>
                      <w:color w:val="FF0000"/>
                      <w:sz w:val="18"/>
                      <w:szCs w:val="18"/>
                    </w:rPr>
                    <w:t>声屏障-3：57.3</w:t>
                  </w:r>
                </w:p>
                <w:p>
                  <w:pPr>
                    <w:spacing w:line="240" w:lineRule="auto"/>
                    <w:jc w:val="center"/>
                    <w:rPr>
                      <w:color w:val="FF0000"/>
                      <w:sz w:val="18"/>
                      <w:szCs w:val="18"/>
                    </w:rPr>
                  </w:pPr>
                  <w:r>
                    <w:rPr>
                      <w:color w:val="FF0000"/>
                      <w:sz w:val="18"/>
                      <w:szCs w:val="18"/>
                    </w:rPr>
                    <w:t>声屏障-4：40.1</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声屏障-1：76.0</w:t>
                  </w:r>
                </w:p>
                <w:p>
                  <w:pPr>
                    <w:spacing w:line="240" w:lineRule="auto"/>
                    <w:jc w:val="center"/>
                    <w:rPr>
                      <w:color w:val="FF0000"/>
                      <w:sz w:val="18"/>
                      <w:szCs w:val="18"/>
                    </w:rPr>
                  </w:pPr>
                  <w:r>
                    <w:rPr>
                      <w:color w:val="FF0000"/>
                      <w:sz w:val="18"/>
                      <w:szCs w:val="18"/>
                    </w:rPr>
                    <w:t>声屏障-2：76.0</w:t>
                  </w:r>
                </w:p>
                <w:p>
                  <w:pPr>
                    <w:spacing w:line="240" w:lineRule="auto"/>
                    <w:jc w:val="center"/>
                    <w:rPr>
                      <w:color w:val="FF0000"/>
                      <w:sz w:val="18"/>
                      <w:szCs w:val="18"/>
                    </w:rPr>
                  </w:pPr>
                  <w:r>
                    <w:rPr>
                      <w:color w:val="FF0000"/>
                      <w:sz w:val="18"/>
                      <w:szCs w:val="18"/>
                    </w:rPr>
                    <w:t>声屏障-3：76.0</w:t>
                  </w:r>
                </w:p>
                <w:p>
                  <w:pPr>
                    <w:spacing w:line="240" w:lineRule="auto"/>
                    <w:jc w:val="center"/>
                    <w:rPr>
                      <w:color w:val="FF0000"/>
                      <w:sz w:val="18"/>
                      <w:szCs w:val="18"/>
                    </w:rPr>
                  </w:pPr>
                  <w:r>
                    <w:rPr>
                      <w:color w:val="FF0000"/>
                      <w:sz w:val="18"/>
                      <w:szCs w:val="18"/>
                    </w:rPr>
                    <w:t>声屏障-4：76.0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声屏障-1：35.0</w:t>
                  </w:r>
                </w:p>
                <w:p>
                  <w:pPr>
                    <w:spacing w:line="240" w:lineRule="auto"/>
                    <w:jc w:val="center"/>
                    <w:rPr>
                      <w:color w:val="FF0000"/>
                      <w:sz w:val="18"/>
                      <w:szCs w:val="18"/>
                    </w:rPr>
                  </w:pPr>
                  <w:r>
                    <w:rPr>
                      <w:color w:val="FF0000"/>
                      <w:sz w:val="18"/>
                      <w:szCs w:val="18"/>
                    </w:rPr>
                    <w:t>声屏障-2：35.0</w:t>
                  </w:r>
                </w:p>
                <w:p>
                  <w:pPr>
                    <w:spacing w:line="240" w:lineRule="auto"/>
                    <w:jc w:val="center"/>
                    <w:rPr>
                      <w:color w:val="FF0000"/>
                      <w:sz w:val="18"/>
                      <w:szCs w:val="18"/>
                    </w:rPr>
                  </w:pPr>
                  <w:r>
                    <w:rPr>
                      <w:color w:val="FF0000"/>
                      <w:sz w:val="18"/>
                      <w:szCs w:val="18"/>
                    </w:rPr>
                    <w:t>声屏障-3：35.0</w:t>
                  </w:r>
                </w:p>
                <w:p>
                  <w:pPr>
                    <w:spacing w:line="240" w:lineRule="auto"/>
                    <w:jc w:val="center"/>
                    <w:rPr>
                      <w:color w:val="FF0000"/>
                      <w:sz w:val="18"/>
                      <w:szCs w:val="18"/>
                    </w:rPr>
                  </w:pPr>
                  <w:r>
                    <w:rPr>
                      <w:color w:val="FF0000"/>
                      <w:sz w:val="18"/>
                      <w:szCs w:val="18"/>
                    </w:rPr>
                    <w:t>声屏障-4：35.0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rFonts w:hint="eastAsia"/>
                      <w:color w:val="FF0000"/>
                      <w:sz w:val="18"/>
                      <w:szCs w:val="18"/>
                    </w:rPr>
                    <w:t>破胶机4</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声屏障-1：20.5</w:t>
                  </w:r>
                </w:p>
                <w:p>
                  <w:pPr>
                    <w:spacing w:line="240" w:lineRule="auto"/>
                    <w:jc w:val="center"/>
                    <w:rPr>
                      <w:color w:val="FF0000"/>
                      <w:sz w:val="18"/>
                      <w:szCs w:val="18"/>
                    </w:rPr>
                  </w:pPr>
                  <w:r>
                    <w:rPr>
                      <w:color w:val="FF0000"/>
                      <w:sz w:val="18"/>
                      <w:szCs w:val="18"/>
                    </w:rPr>
                    <w:t>声屏障-2：16.0</w:t>
                  </w:r>
                </w:p>
                <w:p>
                  <w:pPr>
                    <w:spacing w:line="240" w:lineRule="auto"/>
                    <w:jc w:val="center"/>
                    <w:rPr>
                      <w:color w:val="FF0000"/>
                      <w:sz w:val="18"/>
                      <w:szCs w:val="18"/>
                    </w:rPr>
                  </w:pPr>
                  <w:r>
                    <w:rPr>
                      <w:color w:val="FF0000"/>
                      <w:sz w:val="18"/>
                      <w:szCs w:val="18"/>
                    </w:rPr>
                    <w:t>声屏障-3：55.3</w:t>
                  </w:r>
                </w:p>
                <w:p>
                  <w:pPr>
                    <w:spacing w:line="240" w:lineRule="auto"/>
                    <w:jc w:val="center"/>
                    <w:rPr>
                      <w:color w:val="FF0000"/>
                      <w:sz w:val="18"/>
                      <w:szCs w:val="18"/>
                    </w:rPr>
                  </w:pPr>
                  <w:r>
                    <w:rPr>
                      <w:color w:val="FF0000"/>
                      <w:sz w:val="18"/>
                      <w:szCs w:val="18"/>
                    </w:rPr>
                    <w:t>声屏障-4：40.1</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声屏障-1：76.0</w:t>
                  </w:r>
                </w:p>
                <w:p>
                  <w:pPr>
                    <w:spacing w:line="240" w:lineRule="auto"/>
                    <w:jc w:val="center"/>
                    <w:rPr>
                      <w:color w:val="FF0000"/>
                      <w:sz w:val="18"/>
                      <w:szCs w:val="18"/>
                    </w:rPr>
                  </w:pPr>
                  <w:r>
                    <w:rPr>
                      <w:color w:val="FF0000"/>
                      <w:sz w:val="18"/>
                      <w:szCs w:val="18"/>
                    </w:rPr>
                    <w:t>声屏障-2：76.0</w:t>
                  </w:r>
                </w:p>
                <w:p>
                  <w:pPr>
                    <w:spacing w:line="240" w:lineRule="auto"/>
                    <w:jc w:val="center"/>
                    <w:rPr>
                      <w:color w:val="FF0000"/>
                      <w:sz w:val="18"/>
                      <w:szCs w:val="18"/>
                    </w:rPr>
                  </w:pPr>
                  <w:r>
                    <w:rPr>
                      <w:color w:val="FF0000"/>
                      <w:sz w:val="18"/>
                      <w:szCs w:val="18"/>
                    </w:rPr>
                    <w:t>声屏障-3：76.0</w:t>
                  </w:r>
                </w:p>
                <w:p>
                  <w:pPr>
                    <w:spacing w:line="240" w:lineRule="auto"/>
                    <w:jc w:val="center"/>
                    <w:rPr>
                      <w:color w:val="FF0000"/>
                      <w:sz w:val="18"/>
                      <w:szCs w:val="18"/>
                    </w:rPr>
                  </w:pPr>
                  <w:r>
                    <w:rPr>
                      <w:color w:val="FF0000"/>
                      <w:sz w:val="18"/>
                      <w:szCs w:val="18"/>
                    </w:rPr>
                    <w:t>声屏障-4：76.0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声屏障-1：35.0</w:t>
                  </w:r>
                </w:p>
                <w:p>
                  <w:pPr>
                    <w:spacing w:line="240" w:lineRule="auto"/>
                    <w:jc w:val="center"/>
                    <w:rPr>
                      <w:color w:val="FF0000"/>
                      <w:sz w:val="18"/>
                      <w:szCs w:val="18"/>
                    </w:rPr>
                  </w:pPr>
                  <w:r>
                    <w:rPr>
                      <w:color w:val="FF0000"/>
                      <w:sz w:val="18"/>
                      <w:szCs w:val="18"/>
                    </w:rPr>
                    <w:t>声屏障-2：35.0</w:t>
                  </w:r>
                </w:p>
                <w:p>
                  <w:pPr>
                    <w:spacing w:line="240" w:lineRule="auto"/>
                    <w:jc w:val="center"/>
                    <w:rPr>
                      <w:color w:val="FF0000"/>
                      <w:sz w:val="18"/>
                      <w:szCs w:val="18"/>
                    </w:rPr>
                  </w:pPr>
                  <w:r>
                    <w:rPr>
                      <w:color w:val="FF0000"/>
                      <w:sz w:val="18"/>
                      <w:szCs w:val="18"/>
                    </w:rPr>
                    <w:t>声屏障-3：35.0</w:t>
                  </w:r>
                </w:p>
                <w:p>
                  <w:pPr>
                    <w:spacing w:line="240" w:lineRule="auto"/>
                    <w:jc w:val="center"/>
                    <w:rPr>
                      <w:color w:val="FF0000"/>
                      <w:sz w:val="18"/>
                      <w:szCs w:val="18"/>
                    </w:rPr>
                  </w:pPr>
                  <w:r>
                    <w:rPr>
                      <w:color w:val="FF0000"/>
                      <w:sz w:val="18"/>
                      <w:szCs w:val="18"/>
                    </w:rPr>
                    <w:t>声屏障-4：35.0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color w:val="FF0000"/>
                      <w:sz w:val="18"/>
                      <w:szCs w:val="18"/>
                    </w:rPr>
                    <w:t>连续干馏裂解生产线1</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声屏障-1：11.7</w:t>
                  </w:r>
                </w:p>
                <w:p>
                  <w:pPr>
                    <w:spacing w:line="240" w:lineRule="auto"/>
                    <w:jc w:val="center"/>
                    <w:rPr>
                      <w:color w:val="FF0000"/>
                      <w:sz w:val="18"/>
                      <w:szCs w:val="18"/>
                    </w:rPr>
                  </w:pPr>
                  <w:r>
                    <w:rPr>
                      <w:color w:val="FF0000"/>
                      <w:sz w:val="18"/>
                      <w:szCs w:val="18"/>
                    </w:rPr>
                    <w:t>声屏障-2：28.1</w:t>
                  </w:r>
                </w:p>
                <w:p>
                  <w:pPr>
                    <w:spacing w:line="240" w:lineRule="auto"/>
                    <w:jc w:val="center"/>
                    <w:rPr>
                      <w:color w:val="FF0000"/>
                      <w:sz w:val="18"/>
                      <w:szCs w:val="18"/>
                    </w:rPr>
                  </w:pPr>
                  <w:r>
                    <w:rPr>
                      <w:color w:val="FF0000"/>
                      <w:sz w:val="18"/>
                      <w:szCs w:val="18"/>
                    </w:rPr>
                    <w:t>声屏障-3：54.8</w:t>
                  </w:r>
                </w:p>
                <w:p>
                  <w:pPr>
                    <w:spacing w:line="240" w:lineRule="auto"/>
                    <w:jc w:val="center"/>
                    <w:rPr>
                      <w:color w:val="FF0000"/>
                      <w:sz w:val="18"/>
                      <w:szCs w:val="18"/>
                    </w:rPr>
                  </w:pPr>
                  <w:r>
                    <w:rPr>
                      <w:color w:val="FF0000"/>
                      <w:sz w:val="18"/>
                      <w:szCs w:val="18"/>
                    </w:rPr>
                    <w:t>声屏障-4：24.6</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声屏障-1：71.0</w:t>
                  </w:r>
                </w:p>
                <w:p>
                  <w:pPr>
                    <w:spacing w:line="240" w:lineRule="auto"/>
                    <w:jc w:val="center"/>
                    <w:rPr>
                      <w:color w:val="FF0000"/>
                      <w:sz w:val="18"/>
                      <w:szCs w:val="18"/>
                    </w:rPr>
                  </w:pPr>
                  <w:r>
                    <w:rPr>
                      <w:color w:val="FF0000"/>
                      <w:sz w:val="18"/>
                      <w:szCs w:val="18"/>
                    </w:rPr>
                    <w:t>声屏障-2：71.0</w:t>
                  </w:r>
                </w:p>
                <w:p>
                  <w:pPr>
                    <w:spacing w:line="240" w:lineRule="auto"/>
                    <w:jc w:val="center"/>
                    <w:rPr>
                      <w:color w:val="FF0000"/>
                      <w:sz w:val="18"/>
                      <w:szCs w:val="18"/>
                    </w:rPr>
                  </w:pPr>
                  <w:r>
                    <w:rPr>
                      <w:color w:val="FF0000"/>
                      <w:sz w:val="18"/>
                      <w:szCs w:val="18"/>
                    </w:rPr>
                    <w:t>声屏障-3：71.0</w:t>
                  </w:r>
                </w:p>
                <w:p>
                  <w:pPr>
                    <w:spacing w:line="240" w:lineRule="auto"/>
                    <w:jc w:val="center"/>
                    <w:rPr>
                      <w:color w:val="FF0000"/>
                      <w:sz w:val="18"/>
                      <w:szCs w:val="18"/>
                    </w:rPr>
                  </w:pPr>
                  <w:r>
                    <w:rPr>
                      <w:color w:val="FF0000"/>
                      <w:sz w:val="18"/>
                      <w:szCs w:val="18"/>
                    </w:rPr>
                    <w:t>声屏障-4：71.0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声屏障-1：30.0</w:t>
                  </w:r>
                </w:p>
                <w:p>
                  <w:pPr>
                    <w:spacing w:line="240" w:lineRule="auto"/>
                    <w:jc w:val="center"/>
                    <w:rPr>
                      <w:color w:val="FF0000"/>
                      <w:sz w:val="18"/>
                      <w:szCs w:val="18"/>
                    </w:rPr>
                  </w:pPr>
                  <w:r>
                    <w:rPr>
                      <w:color w:val="FF0000"/>
                      <w:sz w:val="18"/>
                      <w:szCs w:val="18"/>
                    </w:rPr>
                    <w:t>声屏障-2：30.0</w:t>
                  </w:r>
                </w:p>
                <w:p>
                  <w:pPr>
                    <w:spacing w:line="240" w:lineRule="auto"/>
                    <w:jc w:val="center"/>
                    <w:rPr>
                      <w:color w:val="FF0000"/>
                      <w:sz w:val="18"/>
                      <w:szCs w:val="18"/>
                    </w:rPr>
                  </w:pPr>
                  <w:r>
                    <w:rPr>
                      <w:color w:val="FF0000"/>
                      <w:sz w:val="18"/>
                      <w:szCs w:val="18"/>
                    </w:rPr>
                    <w:t>声屏障-3：30.0</w:t>
                  </w:r>
                </w:p>
                <w:p>
                  <w:pPr>
                    <w:spacing w:line="240" w:lineRule="auto"/>
                    <w:jc w:val="center"/>
                    <w:rPr>
                      <w:color w:val="FF0000"/>
                      <w:sz w:val="18"/>
                      <w:szCs w:val="18"/>
                    </w:rPr>
                  </w:pPr>
                  <w:r>
                    <w:rPr>
                      <w:color w:val="FF0000"/>
                      <w:sz w:val="18"/>
                      <w:szCs w:val="18"/>
                    </w:rPr>
                    <w:t>声屏障-4：30.0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color w:val="FF0000"/>
                      <w:sz w:val="18"/>
                      <w:szCs w:val="18"/>
                    </w:rPr>
                    <w:t>连续干馏裂解生产线2</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声屏障-1：24.0</w:t>
                  </w:r>
                </w:p>
                <w:p>
                  <w:pPr>
                    <w:spacing w:line="240" w:lineRule="auto"/>
                    <w:jc w:val="center"/>
                    <w:rPr>
                      <w:color w:val="FF0000"/>
                      <w:sz w:val="18"/>
                      <w:szCs w:val="18"/>
                    </w:rPr>
                  </w:pPr>
                  <w:r>
                    <w:rPr>
                      <w:color w:val="FF0000"/>
                      <w:sz w:val="18"/>
                      <w:szCs w:val="18"/>
                    </w:rPr>
                    <w:t>声屏障-2：27.6</w:t>
                  </w:r>
                </w:p>
                <w:p>
                  <w:pPr>
                    <w:spacing w:line="240" w:lineRule="auto"/>
                    <w:jc w:val="center"/>
                    <w:rPr>
                      <w:color w:val="FF0000"/>
                      <w:sz w:val="18"/>
                      <w:szCs w:val="18"/>
                    </w:rPr>
                  </w:pPr>
                  <w:r>
                    <w:rPr>
                      <w:color w:val="FF0000"/>
                      <w:sz w:val="18"/>
                      <w:szCs w:val="18"/>
                    </w:rPr>
                    <w:t>声屏障-3：42.5</w:t>
                  </w:r>
                </w:p>
                <w:p>
                  <w:pPr>
                    <w:spacing w:line="240" w:lineRule="auto"/>
                    <w:jc w:val="center"/>
                    <w:rPr>
                      <w:color w:val="FF0000"/>
                      <w:sz w:val="18"/>
                      <w:szCs w:val="18"/>
                    </w:rPr>
                  </w:pPr>
                  <w:r>
                    <w:rPr>
                      <w:color w:val="FF0000"/>
                      <w:sz w:val="18"/>
                      <w:szCs w:val="18"/>
                    </w:rPr>
                    <w:t>声屏障-4：25.9</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声屏障-1：71.0</w:t>
                  </w:r>
                </w:p>
                <w:p>
                  <w:pPr>
                    <w:spacing w:line="240" w:lineRule="auto"/>
                    <w:jc w:val="center"/>
                    <w:rPr>
                      <w:color w:val="FF0000"/>
                      <w:sz w:val="18"/>
                      <w:szCs w:val="18"/>
                    </w:rPr>
                  </w:pPr>
                  <w:r>
                    <w:rPr>
                      <w:color w:val="FF0000"/>
                      <w:sz w:val="18"/>
                      <w:szCs w:val="18"/>
                    </w:rPr>
                    <w:t>声屏障-2：71.0</w:t>
                  </w:r>
                </w:p>
                <w:p>
                  <w:pPr>
                    <w:spacing w:line="240" w:lineRule="auto"/>
                    <w:jc w:val="center"/>
                    <w:rPr>
                      <w:color w:val="FF0000"/>
                      <w:sz w:val="18"/>
                      <w:szCs w:val="18"/>
                    </w:rPr>
                  </w:pPr>
                  <w:r>
                    <w:rPr>
                      <w:color w:val="FF0000"/>
                      <w:sz w:val="18"/>
                      <w:szCs w:val="18"/>
                    </w:rPr>
                    <w:t>声屏障-3：71.0</w:t>
                  </w:r>
                </w:p>
                <w:p>
                  <w:pPr>
                    <w:spacing w:line="240" w:lineRule="auto"/>
                    <w:jc w:val="center"/>
                    <w:rPr>
                      <w:color w:val="FF0000"/>
                      <w:sz w:val="18"/>
                      <w:szCs w:val="18"/>
                    </w:rPr>
                  </w:pPr>
                  <w:r>
                    <w:rPr>
                      <w:color w:val="FF0000"/>
                      <w:sz w:val="18"/>
                      <w:szCs w:val="18"/>
                    </w:rPr>
                    <w:t>声屏障-4：71.0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声屏障-1：30.0</w:t>
                  </w:r>
                </w:p>
                <w:p>
                  <w:pPr>
                    <w:spacing w:line="240" w:lineRule="auto"/>
                    <w:jc w:val="center"/>
                    <w:rPr>
                      <w:color w:val="FF0000"/>
                      <w:sz w:val="18"/>
                      <w:szCs w:val="18"/>
                    </w:rPr>
                  </w:pPr>
                  <w:r>
                    <w:rPr>
                      <w:color w:val="FF0000"/>
                      <w:sz w:val="18"/>
                      <w:szCs w:val="18"/>
                    </w:rPr>
                    <w:t>声屏障-2：30.0</w:t>
                  </w:r>
                </w:p>
                <w:p>
                  <w:pPr>
                    <w:spacing w:line="240" w:lineRule="auto"/>
                    <w:jc w:val="center"/>
                    <w:rPr>
                      <w:color w:val="FF0000"/>
                      <w:sz w:val="18"/>
                      <w:szCs w:val="18"/>
                    </w:rPr>
                  </w:pPr>
                  <w:r>
                    <w:rPr>
                      <w:color w:val="FF0000"/>
                      <w:sz w:val="18"/>
                      <w:szCs w:val="18"/>
                    </w:rPr>
                    <w:t>声屏障-3：30.0</w:t>
                  </w:r>
                </w:p>
                <w:p>
                  <w:pPr>
                    <w:spacing w:line="240" w:lineRule="auto"/>
                    <w:jc w:val="center"/>
                    <w:rPr>
                      <w:color w:val="FF0000"/>
                      <w:sz w:val="18"/>
                      <w:szCs w:val="18"/>
                    </w:rPr>
                  </w:pPr>
                  <w:r>
                    <w:rPr>
                      <w:color w:val="FF0000"/>
                      <w:sz w:val="18"/>
                      <w:szCs w:val="18"/>
                    </w:rPr>
                    <w:t>声屏障-4：30.0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color w:val="FF0000"/>
                      <w:sz w:val="18"/>
                      <w:szCs w:val="18"/>
                    </w:rPr>
                    <w:t>连续干馏裂解生产线3</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声屏障-1：38.3</w:t>
                  </w:r>
                </w:p>
                <w:p>
                  <w:pPr>
                    <w:spacing w:line="240" w:lineRule="auto"/>
                    <w:jc w:val="center"/>
                    <w:rPr>
                      <w:color w:val="FF0000"/>
                      <w:sz w:val="18"/>
                      <w:szCs w:val="18"/>
                    </w:rPr>
                  </w:pPr>
                  <w:r>
                    <w:rPr>
                      <w:color w:val="FF0000"/>
                      <w:sz w:val="18"/>
                      <w:szCs w:val="18"/>
                    </w:rPr>
                    <w:t>声屏障-2：26.5</w:t>
                  </w:r>
                </w:p>
                <w:p>
                  <w:pPr>
                    <w:spacing w:line="240" w:lineRule="auto"/>
                    <w:jc w:val="center"/>
                    <w:rPr>
                      <w:color w:val="FF0000"/>
                      <w:sz w:val="18"/>
                      <w:szCs w:val="18"/>
                    </w:rPr>
                  </w:pPr>
                  <w:r>
                    <w:rPr>
                      <w:color w:val="FF0000"/>
                      <w:sz w:val="18"/>
                      <w:szCs w:val="18"/>
                    </w:rPr>
                    <w:t>声屏障-3：28.3</w:t>
                  </w:r>
                </w:p>
                <w:p>
                  <w:pPr>
                    <w:spacing w:line="240" w:lineRule="auto"/>
                    <w:jc w:val="center"/>
                    <w:rPr>
                      <w:color w:val="FF0000"/>
                      <w:sz w:val="18"/>
                      <w:szCs w:val="18"/>
                    </w:rPr>
                  </w:pPr>
                  <w:r>
                    <w:rPr>
                      <w:color w:val="FF0000"/>
                      <w:sz w:val="18"/>
                      <w:szCs w:val="18"/>
                    </w:rPr>
                    <w:t>声屏障-4：28.1</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声屏障-1：71.0</w:t>
                  </w:r>
                </w:p>
                <w:p>
                  <w:pPr>
                    <w:spacing w:line="240" w:lineRule="auto"/>
                    <w:jc w:val="center"/>
                    <w:rPr>
                      <w:color w:val="FF0000"/>
                      <w:sz w:val="18"/>
                      <w:szCs w:val="18"/>
                    </w:rPr>
                  </w:pPr>
                  <w:r>
                    <w:rPr>
                      <w:color w:val="FF0000"/>
                      <w:sz w:val="18"/>
                      <w:szCs w:val="18"/>
                    </w:rPr>
                    <w:t>声屏障-2：71.0</w:t>
                  </w:r>
                </w:p>
                <w:p>
                  <w:pPr>
                    <w:spacing w:line="240" w:lineRule="auto"/>
                    <w:jc w:val="center"/>
                    <w:rPr>
                      <w:color w:val="FF0000"/>
                      <w:sz w:val="18"/>
                      <w:szCs w:val="18"/>
                    </w:rPr>
                  </w:pPr>
                  <w:r>
                    <w:rPr>
                      <w:color w:val="FF0000"/>
                      <w:sz w:val="18"/>
                      <w:szCs w:val="18"/>
                    </w:rPr>
                    <w:t>声屏障-3：71.0</w:t>
                  </w:r>
                </w:p>
                <w:p>
                  <w:pPr>
                    <w:spacing w:line="240" w:lineRule="auto"/>
                    <w:jc w:val="center"/>
                    <w:rPr>
                      <w:color w:val="FF0000"/>
                      <w:sz w:val="18"/>
                      <w:szCs w:val="18"/>
                    </w:rPr>
                  </w:pPr>
                  <w:r>
                    <w:rPr>
                      <w:color w:val="FF0000"/>
                      <w:sz w:val="18"/>
                      <w:szCs w:val="18"/>
                    </w:rPr>
                    <w:t>声屏障-4：71.0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声屏障-1：30.0</w:t>
                  </w:r>
                </w:p>
                <w:p>
                  <w:pPr>
                    <w:spacing w:line="240" w:lineRule="auto"/>
                    <w:jc w:val="center"/>
                    <w:rPr>
                      <w:color w:val="FF0000"/>
                      <w:sz w:val="18"/>
                      <w:szCs w:val="18"/>
                    </w:rPr>
                  </w:pPr>
                  <w:r>
                    <w:rPr>
                      <w:color w:val="FF0000"/>
                      <w:sz w:val="18"/>
                      <w:szCs w:val="18"/>
                    </w:rPr>
                    <w:t>声屏障-2：30.0</w:t>
                  </w:r>
                </w:p>
                <w:p>
                  <w:pPr>
                    <w:spacing w:line="240" w:lineRule="auto"/>
                    <w:jc w:val="center"/>
                    <w:rPr>
                      <w:color w:val="FF0000"/>
                      <w:sz w:val="18"/>
                      <w:szCs w:val="18"/>
                    </w:rPr>
                  </w:pPr>
                  <w:r>
                    <w:rPr>
                      <w:color w:val="FF0000"/>
                      <w:sz w:val="18"/>
                      <w:szCs w:val="18"/>
                    </w:rPr>
                    <w:t>声屏障-3：30.0</w:t>
                  </w:r>
                </w:p>
                <w:p>
                  <w:pPr>
                    <w:spacing w:line="240" w:lineRule="auto"/>
                    <w:jc w:val="center"/>
                    <w:rPr>
                      <w:color w:val="FF0000"/>
                      <w:sz w:val="18"/>
                      <w:szCs w:val="18"/>
                    </w:rPr>
                  </w:pPr>
                  <w:r>
                    <w:rPr>
                      <w:color w:val="FF0000"/>
                      <w:sz w:val="18"/>
                      <w:szCs w:val="18"/>
                    </w:rPr>
                    <w:t>声屏障-4：30.0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color w:val="FF0000"/>
                      <w:sz w:val="18"/>
                      <w:szCs w:val="18"/>
                    </w:rPr>
                    <w:t>连续干馏裂解生产线4</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声屏障-1：53.0</w:t>
                  </w:r>
                </w:p>
                <w:p>
                  <w:pPr>
                    <w:spacing w:line="240" w:lineRule="auto"/>
                    <w:jc w:val="center"/>
                    <w:rPr>
                      <w:color w:val="FF0000"/>
                      <w:sz w:val="18"/>
                      <w:szCs w:val="18"/>
                    </w:rPr>
                  </w:pPr>
                  <w:r>
                    <w:rPr>
                      <w:color w:val="FF0000"/>
                      <w:sz w:val="18"/>
                      <w:szCs w:val="18"/>
                    </w:rPr>
                    <w:t>声屏障-2：26.3</w:t>
                  </w:r>
                </w:p>
                <w:p>
                  <w:pPr>
                    <w:spacing w:line="240" w:lineRule="auto"/>
                    <w:jc w:val="center"/>
                    <w:rPr>
                      <w:color w:val="FF0000"/>
                      <w:sz w:val="18"/>
                      <w:szCs w:val="18"/>
                    </w:rPr>
                  </w:pPr>
                  <w:r>
                    <w:rPr>
                      <w:color w:val="FF0000"/>
                      <w:sz w:val="18"/>
                      <w:szCs w:val="18"/>
                    </w:rPr>
                    <w:t>声屏障-3：13.7</w:t>
                  </w:r>
                </w:p>
                <w:p>
                  <w:pPr>
                    <w:spacing w:line="240" w:lineRule="auto"/>
                    <w:jc w:val="center"/>
                    <w:rPr>
                      <w:color w:val="FF0000"/>
                      <w:sz w:val="18"/>
                      <w:szCs w:val="18"/>
                    </w:rPr>
                  </w:pPr>
                  <w:r>
                    <w:rPr>
                      <w:color w:val="FF0000"/>
                      <w:sz w:val="18"/>
                      <w:szCs w:val="18"/>
                    </w:rPr>
                    <w:t>声屏障-4：29.5</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声屏障-1：71.0</w:t>
                  </w:r>
                </w:p>
                <w:p>
                  <w:pPr>
                    <w:spacing w:line="240" w:lineRule="auto"/>
                    <w:jc w:val="center"/>
                    <w:rPr>
                      <w:color w:val="FF0000"/>
                      <w:sz w:val="18"/>
                      <w:szCs w:val="18"/>
                    </w:rPr>
                  </w:pPr>
                  <w:r>
                    <w:rPr>
                      <w:color w:val="FF0000"/>
                      <w:sz w:val="18"/>
                      <w:szCs w:val="18"/>
                    </w:rPr>
                    <w:t>声屏障-2：71.0</w:t>
                  </w:r>
                </w:p>
                <w:p>
                  <w:pPr>
                    <w:spacing w:line="240" w:lineRule="auto"/>
                    <w:jc w:val="center"/>
                    <w:rPr>
                      <w:color w:val="FF0000"/>
                      <w:sz w:val="18"/>
                      <w:szCs w:val="18"/>
                    </w:rPr>
                  </w:pPr>
                  <w:r>
                    <w:rPr>
                      <w:color w:val="FF0000"/>
                      <w:sz w:val="18"/>
                      <w:szCs w:val="18"/>
                    </w:rPr>
                    <w:t>声屏障-3：71.0</w:t>
                  </w:r>
                </w:p>
                <w:p>
                  <w:pPr>
                    <w:spacing w:line="240" w:lineRule="auto"/>
                    <w:jc w:val="center"/>
                    <w:rPr>
                      <w:color w:val="FF0000"/>
                      <w:sz w:val="18"/>
                      <w:szCs w:val="18"/>
                    </w:rPr>
                  </w:pPr>
                  <w:r>
                    <w:rPr>
                      <w:color w:val="FF0000"/>
                      <w:sz w:val="18"/>
                      <w:szCs w:val="18"/>
                    </w:rPr>
                    <w:t>声屏障-4：71.0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声屏障-1：30.0</w:t>
                  </w:r>
                </w:p>
                <w:p>
                  <w:pPr>
                    <w:spacing w:line="240" w:lineRule="auto"/>
                    <w:jc w:val="center"/>
                    <w:rPr>
                      <w:color w:val="FF0000"/>
                      <w:sz w:val="18"/>
                      <w:szCs w:val="18"/>
                    </w:rPr>
                  </w:pPr>
                  <w:r>
                    <w:rPr>
                      <w:color w:val="FF0000"/>
                      <w:sz w:val="18"/>
                      <w:szCs w:val="18"/>
                    </w:rPr>
                    <w:t>声屏障-2：30.0</w:t>
                  </w:r>
                </w:p>
                <w:p>
                  <w:pPr>
                    <w:spacing w:line="240" w:lineRule="auto"/>
                    <w:jc w:val="center"/>
                    <w:rPr>
                      <w:color w:val="FF0000"/>
                      <w:sz w:val="18"/>
                      <w:szCs w:val="18"/>
                    </w:rPr>
                  </w:pPr>
                  <w:r>
                    <w:rPr>
                      <w:color w:val="FF0000"/>
                      <w:sz w:val="18"/>
                      <w:szCs w:val="18"/>
                    </w:rPr>
                    <w:t>声屏障-3：30.0</w:t>
                  </w:r>
                </w:p>
                <w:p>
                  <w:pPr>
                    <w:spacing w:line="240" w:lineRule="auto"/>
                    <w:jc w:val="center"/>
                    <w:rPr>
                      <w:color w:val="FF0000"/>
                      <w:sz w:val="18"/>
                      <w:szCs w:val="18"/>
                    </w:rPr>
                  </w:pPr>
                  <w:r>
                    <w:rPr>
                      <w:color w:val="FF0000"/>
                      <w:sz w:val="18"/>
                      <w:szCs w:val="18"/>
                    </w:rPr>
                    <w:t>声屏障-4：30.0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color w:val="FF0000"/>
                      <w:sz w:val="18"/>
                      <w:szCs w:val="18"/>
                    </w:rPr>
                    <w:t>连续干馏裂解生产线5</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声屏障-1：11.7</w:t>
                  </w:r>
                </w:p>
                <w:p>
                  <w:pPr>
                    <w:spacing w:line="240" w:lineRule="auto"/>
                    <w:jc w:val="center"/>
                    <w:rPr>
                      <w:color w:val="FF0000"/>
                      <w:sz w:val="18"/>
                      <w:szCs w:val="18"/>
                    </w:rPr>
                  </w:pPr>
                  <w:r>
                    <w:rPr>
                      <w:color w:val="FF0000"/>
                      <w:sz w:val="18"/>
                      <w:szCs w:val="18"/>
                    </w:rPr>
                    <w:t>声屏障-2：28.6</w:t>
                  </w:r>
                </w:p>
                <w:p>
                  <w:pPr>
                    <w:spacing w:line="240" w:lineRule="auto"/>
                    <w:jc w:val="center"/>
                    <w:rPr>
                      <w:color w:val="FF0000"/>
                      <w:sz w:val="18"/>
                      <w:szCs w:val="18"/>
                    </w:rPr>
                  </w:pPr>
                  <w:r>
                    <w:rPr>
                      <w:color w:val="FF0000"/>
                      <w:sz w:val="18"/>
                      <w:szCs w:val="18"/>
                    </w:rPr>
                    <w:t>声屏障-3：64.6</w:t>
                  </w:r>
                </w:p>
                <w:p>
                  <w:pPr>
                    <w:spacing w:line="240" w:lineRule="auto"/>
                    <w:jc w:val="center"/>
                    <w:rPr>
                      <w:color w:val="FF0000"/>
                      <w:sz w:val="18"/>
                      <w:szCs w:val="18"/>
                    </w:rPr>
                  </w:pPr>
                  <w:r>
                    <w:rPr>
                      <w:color w:val="FF0000"/>
                      <w:sz w:val="18"/>
                      <w:szCs w:val="18"/>
                    </w:rPr>
                    <w:t>声屏障-4：27.8</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声屏障-1：71.0</w:t>
                  </w:r>
                </w:p>
                <w:p>
                  <w:pPr>
                    <w:spacing w:line="240" w:lineRule="auto"/>
                    <w:jc w:val="center"/>
                    <w:rPr>
                      <w:color w:val="FF0000"/>
                      <w:sz w:val="18"/>
                      <w:szCs w:val="18"/>
                    </w:rPr>
                  </w:pPr>
                  <w:r>
                    <w:rPr>
                      <w:color w:val="FF0000"/>
                      <w:sz w:val="18"/>
                      <w:szCs w:val="18"/>
                    </w:rPr>
                    <w:t>声屏障-2：71.0</w:t>
                  </w:r>
                </w:p>
                <w:p>
                  <w:pPr>
                    <w:spacing w:line="240" w:lineRule="auto"/>
                    <w:jc w:val="center"/>
                    <w:rPr>
                      <w:color w:val="FF0000"/>
                      <w:sz w:val="18"/>
                      <w:szCs w:val="18"/>
                    </w:rPr>
                  </w:pPr>
                  <w:r>
                    <w:rPr>
                      <w:color w:val="FF0000"/>
                      <w:sz w:val="18"/>
                      <w:szCs w:val="18"/>
                    </w:rPr>
                    <w:t>声屏障-3：71.0</w:t>
                  </w:r>
                </w:p>
                <w:p>
                  <w:pPr>
                    <w:spacing w:line="240" w:lineRule="auto"/>
                    <w:jc w:val="center"/>
                    <w:rPr>
                      <w:color w:val="FF0000"/>
                      <w:sz w:val="18"/>
                      <w:szCs w:val="18"/>
                    </w:rPr>
                  </w:pPr>
                  <w:r>
                    <w:rPr>
                      <w:color w:val="FF0000"/>
                      <w:sz w:val="18"/>
                      <w:szCs w:val="18"/>
                    </w:rPr>
                    <w:t>声屏障-4：71.0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声屏障-1：30.0</w:t>
                  </w:r>
                </w:p>
                <w:p>
                  <w:pPr>
                    <w:spacing w:line="240" w:lineRule="auto"/>
                    <w:jc w:val="center"/>
                    <w:rPr>
                      <w:color w:val="FF0000"/>
                      <w:sz w:val="18"/>
                      <w:szCs w:val="18"/>
                    </w:rPr>
                  </w:pPr>
                  <w:r>
                    <w:rPr>
                      <w:color w:val="FF0000"/>
                      <w:sz w:val="18"/>
                      <w:szCs w:val="18"/>
                    </w:rPr>
                    <w:t>声屏障-2：30.0</w:t>
                  </w:r>
                </w:p>
                <w:p>
                  <w:pPr>
                    <w:spacing w:line="240" w:lineRule="auto"/>
                    <w:jc w:val="center"/>
                    <w:rPr>
                      <w:color w:val="FF0000"/>
                      <w:sz w:val="18"/>
                      <w:szCs w:val="18"/>
                    </w:rPr>
                  </w:pPr>
                  <w:r>
                    <w:rPr>
                      <w:color w:val="FF0000"/>
                      <w:sz w:val="18"/>
                      <w:szCs w:val="18"/>
                    </w:rPr>
                    <w:t>声屏障-3：30.0</w:t>
                  </w:r>
                </w:p>
                <w:p>
                  <w:pPr>
                    <w:spacing w:line="240" w:lineRule="auto"/>
                    <w:jc w:val="center"/>
                    <w:rPr>
                      <w:color w:val="FF0000"/>
                      <w:sz w:val="18"/>
                      <w:szCs w:val="18"/>
                    </w:rPr>
                  </w:pPr>
                  <w:r>
                    <w:rPr>
                      <w:color w:val="FF0000"/>
                      <w:sz w:val="18"/>
                      <w:szCs w:val="18"/>
                    </w:rPr>
                    <w:t>声屏障-4：30.0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color w:val="FF0000"/>
                      <w:sz w:val="18"/>
                      <w:szCs w:val="18"/>
                    </w:rPr>
                    <w:t>连续干馏裂解生产线6</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声屏障-1：23.2</w:t>
                  </w:r>
                </w:p>
                <w:p>
                  <w:pPr>
                    <w:spacing w:line="240" w:lineRule="auto"/>
                    <w:jc w:val="center"/>
                    <w:rPr>
                      <w:color w:val="FF0000"/>
                      <w:sz w:val="18"/>
                      <w:szCs w:val="18"/>
                    </w:rPr>
                  </w:pPr>
                  <w:r>
                    <w:rPr>
                      <w:color w:val="FF0000"/>
                      <w:sz w:val="18"/>
                      <w:szCs w:val="18"/>
                    </w:rPr>
                    <w:t>声屏障-2：28.5</w:t>
                  </w:r>
                </w:p>
                <w:p>
                  <w:pPr>
                    <w:spacing w:line="240" w:lineRule="auto"/>
                    <w:jc w:val="center"/>
                    <w:rPr>
                      <w:color w:val="FF0000"/>
                      <w:sz w:val="18"/>
                      <w:szCs w:val="18"/>
                    </w:rPr>
                  </w:pPr>
                  <w:r>
                    <w:rPr>
                      <w:color w:val="FF0000"/>
                      <w:sz w:val="18"/>
                      <w:szCs w:val="18"/>
                    </w:rPr>
                    <w:t>声屏障-3：53.1</w:t>
                  </w:r>
                </w:p>
                <w:p>
                  <w:pPr>
                    <w:spacing w:line="240" w:lineRule="auto"/>
                    <w:jc w:val="center"/>
                    <w:rPr>
                      <w:color w:val="FF0000"/>
                      <w:sz w:val="18"/>
                      <w:szCs w:val="18"/>
                    </w:rPr>
                  </w:pPr>
                  <w:r>
                    <w:rPr>
                      <w:color w:val="FF0000"/>
                      <w:sz w:val="18"/>
                      <w:szCs w:val="18"/>
                    </w:rPr>
                    <w:t>声屏障-4：28.1</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声屏障-1：71.0</w:t>
                  </w:r>
                </w:p>
                <w:p>
                  <w:pPr>
                    <w:spacing w:line="240" w:lineRule="auto"/>
                    <w:jc w:val="center"/>
                    <w:rPr>
                      <w:color w:val="FF0000"/>
                      <w:sz w:val="18"/>
                      <w:szCs w:val="18"/>
                    </w:rPr>
                  </w:pPr>
                  <w:r>
                    <w:rPr>
                      <w:color w:val="FF0000"/>
                      <w:sz w:val="18"/>
                      <w:szCs w:val="18"/>
                    </w:rPr>
                    <w:t>声屏障-2：71.0</w:t>
                  </w:r>
                </w:p>
                <w:p>
                  <w:pPr>
                    <w:spacing w:line="240" w:lineRule="auto"/>
                    <w:jc w:val="center"/>
                    <w:rPr>
                      <w:color w:val="FF0000"/>
                      <w:sz w:val="18"/>
                      <w:szCs w:val="18"/>
                    </w:rPr>
                  </w:pPr>
                  <w:r>
                    <w:rPr>
                      <w:color w:val="FF0000"/>
                      <w:sz w:val="18"/>
                      <w:szCs w:val="18"/>
                    </w:rPr>
                    <w:t>声屏障-3：71.0</w:t>
                  </w:r>
                </w:p>
                <w:p>
                  <w:pPr>
                    <w:spacing w:line="240" w:lineRule="auto"/>
                    <w:jc w:val="center"/>
                    <w:rPr>
                      <w:color w:val="FF0000"/>
                      <w:sz w:val="18"/>
                      <w:szCs w:val="18"/>
                    </w:rPr>
                  </w:pPr>
                  <w:r>
                    <w:rPr>
                      <w:color w:val="FF0000"/>
                      <w:sz w:val="18"/>
                      <w:szCs w:val="18"/>
                    </w:rPr>
                    <w:t>声屏障-4：71.0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声屏障-1：30.0</w:t>
                  </w:r>
                </w:p>
                <w:p>
                  <w:pPr>
                    <w:spacing w:line="240" w:lineRule="auto"/>
                    <w:jc w:val="center"/>
                    <w:rPr>
                      <w:color w:val="FF0000"/>
                      <w:sz w:val="18"/>
                      <w:szCs w:val="18"/>
                    </w:rPr>
                  </w:pPr>
                  <w:r>
                    <w:rPr>
                      <w:color w:val="FF0000"/>
                      <w:sz w:val="18"/>
                      <w:szCs w:val="18"/>
                    </w:rPr>
                    <w:t>声屏障-2：30.0</w:t>
                  </w:r>
                </w:p>
                <w:p>
                  <w:pPr>
                    <w:spacing w:line="240" w:lineRule="auto"/>
                    <w:jc w:val="center"/>
                    <w:rPr>
                      <w:color w:val="FF0000"/>
                      <w:sz w:val="18"/>
                      <w:szCs w:val="18"/>
                    </w:rPr>
                  </w:pPr>
                  <w:r>
                    <w:rPr>
                      <w:color w:val="FF0000"/>
                      <w:sz w:val="18"/>
                      <w:szCs w:val="18"/>
                    </w:rPr>
                    <w:t>声屏障-3：30.0</w:t>
                  </w:r>
                </w:p>
                <w:p>
                  <w:pPr>
                    <w:spacing w:line="240" w:lineRule="auto"/>
                    <w:jc w:val="center"/>
                    <w:rPr>
                      <w:color w:val="FF0000"/>
                      <w:sz w:val="18"/>
                      <w:szCs w:val="18"/>
                    </w:rPr>
                  </w:pPr>
                  <w:r>
                    <w:rPr>
                      <w:color w:val="FF0000"/>
                      <w:sz w:val="18"/>
                      <w:szCs w:val="18"/>
                    </w:rPr>
                    <w:t>声屏障-4：30.0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color w:val="FF0000"/>
                      <w:sz w:val="18"/>
                      <w:szCs w:val="18"/>
                    </w:rPr>
                    <w:t>风机1</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声屏障-1：55.5</w:t>
                  </w:r>
                </w:p>
                <w:p>
                  <w:pPr>
                    <w:spacing w:line="240" w:lineRule="auto"/>
                    <w:jc w:val="center"/>
                    <w:rPr>
                      <w:color w:val="FF0000"/>
                      <w:sz w:val="18"/>
                      <w:szCs w:val="18"/>
                    </w:rPr>
                  </w:pPr>
                  <w:r>
                    <w:rPr>
                      <w:color w:val="FF0000"/>
                      <w:sz w:val="18"/>
                      <w:szCs w:val="18"/>
                    </w:rPr>
                    <w:t>声屏障-2：34.6</w:t>
                  </w:r>
                </w:p>
                <w:p>
                  <w:pPr>
                    <w:spacing w:line="240" w:lineRule="auto"/>
                    <w:jc w:val="center"/>
                    <w:rPr>
                      <w:color w:val="FF0000"/>
                      <w:sz w:val="18"/>
                      <w:szCs w:val="18"/>
                    </w:rPr>
                  </w:pPr>
                  <w:r>
                    <w:rPr>
                      <w:color w:val="FF0000"/>
                      <w:sz w:val="18"/>
                      <w:szCs w:val="18"/>
                    </w:rPr>
                    <w:t>声屏障-3：12.0</w:t>
                  </w:r>
                </w:p>
                <w:p>
                  <w:pPr>
                    <w:spacing w:line="240" w:lineRule="auto"/>
                    <w:jc w:val="center"/>
                    <w:rPr>
                      <w:color w:val="FF0000"/>
                      <w:sz w:val="18"/>
                      <w:szCs w:val="18"/>
                    </w:rPr>
                  </w:pPr>
                  <w:r>
                    <w:rPr>
                      <w:color w:val="FF0000"/>
                      <w:sz w:val="18"/>
                      <w:szCs w:val="18"/>
                    </w:rPr>
                    <w:t>声屏障-4：20.5</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声屏障-1：76.0</w:t>
                  </w:r>
                </w:p>
                <w:p>
                  <w:pPr>
                    <w:spacing w:line="240" w:lineRule="auto"/>
                    <w:jc w:val="center"/>
                    <w:rPr>
                      <w:color w:val="FF0000"/>
                      <w:sz w:val="18"/>
                      <w:szCs w:val="18"/>
                    </w:rPr>
                  </w:pPr>
                  <w:r>
                    <w:rPr>
                      <w:color w:val="FF0000"/>
                      <w:sz w:val="18"/>
                      <w:szCs w:val="18"/>
                    </w:rPr>
                    <w:t>声屏障-2：76.0</w:t>
                  </w:r>
                </w:p>
                <w:p>
                  <w:pPr>
                    <w:spacing w:line="240" w:lineRule="auto"/>
                    <w:jc w:val="center"/>
                    <w:rPr>
                      <w:color w:val="FF0000"/>
                      <w:sz w:val="18"/>
                      <w:szCs w:val="18"/>
                    </w:rPr>
                  </w:pPr>
                  <w:r>
                    <w:rPr>
                      <w:color w:val="FF0000"/>
                      <w:sz w:val="18"/>
                      <w:szCs w:val="18"/>
                    </w:rPr>
                    <w:t>声屏障-3：76.0</w:t>
                  </w:r>
                </w:p>
                <w:p>
                  <w:pPr>
                    <w:spacing w:line="240" w:lineRule="auto"/>
                    <w:jc w:val="center"/>
                    <w:rPr>
                      <w:color w:val="FF0000"/>
                      <w:sz w:val="18"/>
                      <w:szCs w:val="18"/>
                    </w:rPr>
                  </w:pPr>
                  <w:r>
                    <w:rPr>
                      <w:color w:val="FF0000"/>
                      <w:sz w:val="18"/>
                      <w:szCs w:val="18"/>
                    </w:rPr>
                    <w:t>声屏障-4：76.0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声屏障-1：35.0</w:t>
                  </w:r>
                </w:p>
                <w:p>
                  <w:pPr>
                    <w:spacing w:line="240" w:lineRule="auto"/>
                    <w:jc w:val="center"/>
                    <w:rPr>
                      <w:color w:val="FF0000"/>
                      <w:sz w:val="18"/>
                      <w:szCs w:val="18"/>
                    </w:rPr>
                  </w:pPr>
                  <w:r>
                    <w:rPr>
                      <w:color w:val="FF0000"/>
                      <w:sz w:val="18"/>
                      <w:szCs w:val="18"/>
                    </w:rPr>
                    <w:t>声屏障-2：35.0</w:t>
                  </w:r>
                </w:p>
                <w:p>
                  <w:pPr>
                    <w:spacing w:line="240" w:lineRule="auto"/>
                    <w:jc w:val="center"/>
                    <w:rPr>
                      <w:color w:val="FF0000"/>
                      <w:sz w:val="18"/>
                      <w:szCs w:val="18"/>
                    </w:rPr>
                  </w:pPr>
                  <w:r>
                    <w:rPr>
                      <w:color w:val="FF0000"/>
                      <w:sz w:val="18"/>
                      <w:szCs w:val="18"/>
                    </w:rPr>
                    <w:t>声屏障-3：35.0</w:t>
                  </w:r>
                </w:p>
                <w:p>
                  <w:pPr>
                    <w:spacing w:line="240" w:lineRule="auto"/>
                    <w:jc w:val="center"/>
                    <w:rPr>
                      <w:color w:val="FF0000"/>
                      <w:sz w:val="18"/>
                      <w:szCs w:val="18"/>
                    </w:rPr>
                  </w:pPr>
                  <w:r>
                    <w:rPr>
                      <w:color w:val="FF0000"/>
                      <w:sz w:val="18"/>
                      <w:szCs w:val="18"/>
                    </w:rPr>
                    <w:t>声屏障-4：35.0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color w:val="FF0000"/>
                      <w:sz w:val="18"/>
                      <w:szCs w:val="18"/>
                    </w:rPr>
                    <w:t>风机2</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声屏障-1：64.2</w:t>
                  </w:r>
                </w:p>
                <w:p>
                  <w:pPr>
                    <w:spacing w:line="240" w:lineRule="auto"/>
                    <w:jc w:val="center"/>
                    <w:rPr>
                      <w:color w:val="FF0000"/>
                      <w:sz w:val="18"/>
                      <w:szCs w:val="18"/>
                    </w:rPr>
                  </w:pPr>
                  <w:r>
                    <w:rPr>
                      <w:color w:val="FF0000"/>
                      <w:sz w:val="18"/>
                      <w:szCs w:val="18"/>
                    </w:rPr>
                    <w:t>声屏障-2：32.9</w:t>
                  </w:r>
                </w:p>
                <w:p>
                  <w:pPr>
                    <w:spacing w:line="240" w:lineRule="auto"/>
                    <w:jc w:val="center"/>
                    <w:rPr>
                      <w:color w:val="FF0000"/>
                      <w:sz w:val="18"/>
                      <w:szCs w:val="18"/>
                    </w:rPr>
                  </w:pPr>
                  <w:r>
                    <w:rPr>
                      <w:color w:val="FF0000"/>
                      <w:sz w:val="18"/>
                      <w:szCs w:val="18"/>
                    </w:rPr>
                    <w:t>声屏障-3：10.8</w:t>
                  </w:r>
                </w:p>
                <w:p>
                  <w:pPr>
                    <w:spacing w:line="240" w:lineRule="auto"/>
                    <w:jc w:val="center"/>
                    <w:rPr>
                      <w:color w:val="FF0000"/>
                      <w:sz w:val="18"/>
                      <w:szCs w:val="18"/>
                    </w:rPr>
                  </w:pPr>
                  <w:r>
                    <w:rPr>
                      <w:color w:val="FF0000"/>
                      <w:sz w:val="18"/>
                      <w:szCs w:val="18"/>
                    </w:rPr>
                    <w:t>声屏障-4：26.5</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声屏障-1：76.0</w:t>
                  </w:r>
                </w:p>
                <w:p>
                  <w:pPr>
                    <w:spacing w:line="240" w:lineRule="auto"/>
                    <w:jc w:val="center"/>
                    <w:rPr>
                      <w:color w:val="FF0000"/>
                      <w:sz w:val="18"/>
                      <w:szCs w:val="18"/>
                    </w:rPr>
                  </w:pPr>
                  <w:r>
                    <w:rPr>
                      <w:color w:val="FF0000"/>
                      <w:sz w:val="18"/>
                      <w:szCs w:val="18"/>
                    </w:rPr>
                    <w:t>声屏障-2：76.0</w:t>
                  </w:r>
                </w:p>
                <w:p>
                  <w:pPr>
                    <w:spacing w:line="240" w:lineRule="auto"/>
                    <w:jc w:val="center"/>
                    <w:rPr>
                      <w:color w:val="FF0000"/>
                      <w:sz w:val="18"/>
                      <w:szCs w:val="18"/>
                    </w:rPr>
                  </w:pPr>
                  <w:r>
                    <w:rPr>
                      <w:color w:val="FF0000"/>
                      <w:sz w:val="18"/>
                      <w:szCs w:val="18"/>
                    </w:rPr>
                    <w:t>声屏障-3：76.0</w:t>
                  </w:r>
                </w:p>
                <w:p>
                  <w:pPr>
                    <w:spacing w:line="240" w:lineRule="auto"/>
                    <w:jc w:val="center"/>
                    <w:rPr>
                      <w:color w:val="FF0000"/>
                      <w:sz w:val="18"/>
                      <w:szCs w:val="18"/>
                    </w:rPr>
                  </w:pPr>
                  <w:r>
                    <w:rPr>
                      <w:color w:val="FF0000"/>
                      <w:sz w:val="18"/>
                      <w:szCs w:val="18"/>
                    </w:rPr>
                    <w:t>声屏障-4：76.0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声屏障-1：35.0</w:t>
                  </w:r>
                </w:p>
                <w:p>
                  <w:pPr>
                    <w:spacing w:line="240" w:lineRule="auto"/>
                    <w:jc w:val="center"/>
                    <w:rPr>
                      <w:color w:val="FF0000"/>
                      <w:sz w:val="18"/>
                      <w:szCs w:val="18"/>
                    </w:rPr>
                  </w:pPr>
                  <w:r>
                    <w:rPr>
                      <w:color w:val="FF0000"/>
                      <w:sz w:val="18"/>
                      <w:szCs w:val="18"/>
                    </w:rPr>
                    <w:t>声屏障-2：35.0</w:t>
                  </w:r>
                </w:p>
                <w:p>
                  <w:pPr>
                    <w:spacing w:line="240" w:lineRule="auto"/>
                    <w:jc w:val="center"/>
                    <w:rPr>
                      <w:color w:val="FF0000"/>
                      <w:sz w:val="18"/>
                      <w:szCs w:val="18"/>
                    </w:rPr>
                  </w:pPr>
                  <w:r>
                    <w:rPr>
                      <w:color w:val="FF0000"/>
                      <w:sz w:val="18"/>
                      <w:szCs w:val="18"/>
                    </w:rPr>
                    <w:t>声屏障-3：35.0</w:t>
                  </w:r>
                </w:p>
                <w:p>
                  <w:pPr>
                    <w:spacing w:line="240" w:lineRule="auto"/>
                    <w:jc w:val="center"/>
                    <w:rPr>
                      <w:color w:val="FF0000"/>
                      <w:sz w:val="18"/>
                      <w:szCs w:val="18"/>
                    </w:rPr>
                  </w:pPr>
                  <w:r>
                    <w:rPr>
                      <w:color w:val="FF0000"/>
                      <w:sz w:val="18"/>
                      <w:szCs w:val="18"/>
                    </w:rPr>
                    <w:t>声屏障-4：35.0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rFonts w:hint="eastAsia"/>
                      <w:color w:val="FF0000"/>
                      <w:sz w:val="18"/>
                      <w:szCs w:val="18"/>
                    </w:rPr>
                    <w:t>磨粉机1</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声屏障-1：17.1</w:t>
                  </w:r>
                </w:p>
                <w:p>
                  <w:pPr>
                    <w:spacing w:line="240" w:lineRule="auto"/>
                    <w:jc w:val="center"/>
                    <w:rPr>
                      <w:color w:val="FF0000"/>
                      <w:sz w:val="18"/>
                      <w:szCs w:val="18"/>
                    </w:rPr>
                  </w:pPr>
                  <w:r>
                    <w:rPr>
                      <w:color w:val="FF0000"/>
                      <w:sz w:val="18"/>
                      <w:szCs w:val="18"/>
                    </w:rPr>
                    <w:t>声屏障-2：45.2</w:t>
                  </w:r>
                </w:p>
                <w:p>
                  <w:pPr>
                    <w:spacing w:line="240" w:lineRule="auto"/>
                    <w:jc w:val="center"/>
                    <w:rPr>
                      <w:color w:val="FF0000"/>
                      <w:sz w:val="18"/>
                      <w:szCs w:val="18"/>
                    </w:rPr>
                  </w:pPr>
                  <w:r>
                    <w:rPr>
                      <w:color w:val="FF0000"/>
                      <w:sz w:val="18"/>
                      <w:szCs w:val="18"/>
                    </w:rPr>
                    <w:t>声屏障-3：7.2</w:t>
                  </w:r>
                </w:p>
                <w:p>
                  <w:pPr>
                    <w:spacing w:line="240" w:lineRule="auto"/>
                    <w:jc w:val="center"/>
                    <w:rPr>
                      <w:color w:val="FF0000"/>
                      <w:sz w:val="18"/>
                      <w:szCs w:val="18"/>
                    </w:rPr>
                  </w:pPr>
                  <w:r>
                    <w:rPr>
                      <w:color w:val="FF0000"/>
                      <w:sz w:val="18"/>
                      <w:szCs w:val="18"/>
                    </w:rPr>
                    <w:t>声屏障-4：12.1</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声屏障-1：76.0</w:t>
                  </w:r>
                </w:p>
                <w:p>
                  <w:pPr>
                    <w:spacing w:line="240" w:lineRule="auto"/>
                    <w:jc w:val="center"/>
                    <w:rPr>
                      <w:color w:val="FF0000"/>
                      <w:sz w:val="18"/>
                      <w:szCs w:val="18"/>
                    </w:rPr>
                  </w:pPr>
                  <w:r>
                    <w:rPr>
                      <w:color w:val="FF0000"/>
                      <w:sz w:val="18"/>
                      <w:szCs w:val="18"/>
                    </w:rPr>
                    <w:t>声屏障-2：76.0</w:t>
                  </w:r>
                </w:p>
                <w:p>
                  <w:pPr>
                    <w:spacing w:line="240" w:lineRule="auto"/>
                    <w:jc w:val="center"/>
                    <w:rPr>
                      <w:color w:val="FF0000"/>
                      <w:sz w:val="18"/>
                      <w:szCs w:val="18"/>
                    </w:rPr>
                  </w:pPr>
                  <w:r>
                    <w:rPr>
                      <w:color w:val="FF0000"/>
                      <w:sz w:val="18"/>
                      <w:szCs w:val="18"/>
                    </w:rPr>
                    <w:t>声屏障-3：76.0</w:t>
                  </w:r>
                </w:p>
                <w:p>
                  <w:pPr>
                    <w:spacing w:line="240" w:lineRule="auto"/>
                    <w:jc w:val="center"/>
                    <w:rPr>
                      <w:color w:val="FF0000"/>
                      <w:sz w:val="18"/>
                      <w:szCs w:val="18"/>
                    </w:rPr>
                  </w:pPr>
                  <w:r>
                    <w:rPr>
                      <w:color w:val="FF0000"/>
                      <w:sz w:val="18"/>
                      <w:szCs w:val="18"/>
                    </w:rPr>
                    <w:t>声屏障-4：76.0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声屏障-1：35.0</w:t>
                  </w:r>
                </w:p>
                <w:p>
                  <w:pPr>
                    <w:spacing w:line="240" w:lineRule="auto"/>
                    <w:jc w:val="center"/>
                    <w:rPr>
                      <w:color w:val="FF0000"/>
                      <w:sz w:val="18"/>
                      <w:szCs w:val="18"/>
                    </w:rPr>
                  </w:pPr>
                  <w:r>
                    <w:rPr>
                      <w:color w:val="FF0000"/>
                      <w:sz w:val="18"/>
                      <w:szCs w:val="18"/>
                    </w:rPr>
                    <w:t>声屏障-2：35.0</w:t>
                  </w:r>
                </w:p>
                <w:p>
                  <w:pPr>
                    <w:spacing w:line="240" w:lineRule="auto"/>
                    <w:jc w:val="center"/>
                    <w:rPr>
                      <w:color w:val="FF0000"/>
                      <w:sz w:val="18"/>
                      <w:szCs w:val="18"/>
                    </w:rPr>
                  </w:pPr>
                  <w:r>
                    <w:rPr>
                      <w:color w:val="FF0000"/>
                      <w:sz w:val="18"/>
                      <w:szCs w:val="18"/>
                    </w:rPr>
                    <w:t>声屏障-3：35.0</w:t>
                  </w:r>
                </w:p>
                <w:p>
                  <w:pPr>
                    <w:spacing w:line="240" w:lineRule="auto"/>
                    <w:jc w:val="center"/>
                    <w:rPr>
                      <w:color w:val="FF0000"/>
                      <w:sz w:val="18"/>
                      <w:szCs w:val="18"/>
                    </w:rPr>
                  </w:pPr>
                  <w:r>
                    <w:rPr>
                      <w:color w:val="FF0000"/>
                      <w:sz w:val="18"/>
                      <w:szCs w:val="18"/>
                    </w:rPr>
                    <w:t>声屏障-4：35.0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rFonts w:hint="eastAsia"/>
                      <w:color w:val="FF0000"/>
                      <w:sz w:val="18"/>
                      <w:szCs w:val="18"/>
                    </w:rPr>
                    <w:t>磨粉机2</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声屏障-1：17.1</w:t>
                  </w:r>
                </w:p>
                <w:p>
                  <w:pPr>
                    <w:spacing w:line="240" w:lineRule="auto"/>
                    <w:jc w:val="center"/>
                    <w:rPr>
                      <w:color w:val="FF0000"/>
                      <w:sz w:val="18"/>
                      <w:szCs w:val="18"/>
                    </w:rPr>
                  </w:pPr>
                  <w:r>
                    <w:rPr>
                      <w:color w:val="FF0000"/>
                      <w:sz w:val="18"/>
                      <w:szCs w:val="18"/>
                    </w:rPr>
                    <w:t>声屏障-2：46.0</w:t>
                  </w:r>
                </w:p>
                <w:p>
                  <w:pPr>
                    <w:spacing w:line="240" w:lineRule="auto"/>
                    <w:jc w:val="center"/>
                    <w:rPr>
                      <w:color w:val="FF0000"/>
                      <w:sz w:val="18"/>
                      <w:szCs w:val="18"/>
                    </w:rPr>
                  </w:pPr>
                  <w:r>
                    <w:rPr>
                      <w:color w:val="FF0000"/>
                      <w:sz w:val="18"/>
                      <w:szCs w:val="18"/>
                    </w:rPr>
                    <w:t>声屏障-3：7.2</w:t>
                  </w:r>
                </w:p>
                <w:p>
                  <w:pPr>
                    <w:spacing w:line="240" w:lineRule="auto"/>
                    <w:jc w:val="center"/>
                    <w:rPr>
                      <w:color w:val="FF0000"/>
                      <w:sz w:val="18"/>
                      <w:szCs w:val="18"/>
                    </w:rPr>
                  </w:pPr>
                  <w:r>
                    <w:rPr>
                      <w:color w:val="FF0000"/>
                      <w:sz w:val="18"/>
                      <w:szCs w:val="18"/>
                    </w:rPr>
                    <w:t>声屏障-4：12.1</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声屏障-1：76.0</w:t>
                  </w:r>
                </w:p>
                <w:p>
                  <w:pPr>
                    <w:spacing w:line="240" w:lineRule="auto"/>
                    <w:jc w:val="center"/>
                    <w:rPr>
                      <w:color w:val="FF0000"/>
                      <w:sz w:val="18"/>
                      <w:szCs w:val="18"/>
                    </w:rPr>
                  </w:pPr>
                  <w:r>
                    <w:rPr>
                      <w:color w:val="FF0000"/>
                      <w:sz w:val="18"/>
                      <w:szCs w:val="18"/>
                    </w:rPr>
                    <w:t>声屏障-2：76.0</w:t>
                  </w:r>
                </w:p>
                <w:p>
                  <w:pPr>
                    <w:spacing w:line="240" w:lineRule="auto"/>
                    <w:jc w:val="center"/>
                    <w:rPr>
                      <w:color w:val="FF0000"/>
                      <w:sz w:val="18"/>
                      <w:szCs w:val="18"/>
                    </w:rPr>
                  </w:pPr>
                  <w:r>
                    <w:rPr>
                      <w:color w:val="FF0000"/>
                      <w:sz w:val="18"/>
                      <w:szCs w:val="18"/>
                    </w:rPr>
                    <w:t>声屏障-3：76.0</w:t>
                  </w:r>
                </w:p>
                <w:p>
                  <w:pPr>
                    <w:spacing w:line="240" w:lineRule="auto"/>
                    <w:jc w:val="center"/>
                    <w:rPr>
                      <w:color w:val="FF0000"/>
                      <w:sz w:val="18"/>
                      <w:szCs w:val="18"/>
                    </w:rPr>
                  </w:pPr>
                  <w:r>
                    <w:rPr>
                      <w:color w:val="FF0000"/>
                      <w:sz w:val="18"/>
                      <w:szCs w:val="18"/>
                    </w:rPr>
                    <w:t>声屏障-4：76.0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声屏障-1：35.0</w:t>
                  </w:r>
                </w:p>
                <w:p>
                  <w:pPr>
                    <w:spacing w:line="240" w:lineRule="auto"/>
                    <w:jc w:val="center"/>
                    <w:rPr>
                      <w:color w:val="FF0000"/>
                      <w:sz w:val="18"/>
                      <w:szCs w:val="18"/>
                    </w:rPr>
                  </w:pPr>
                  <w:r>
                    <w:rPr>
                      <w:color w:val="FF0000"/>
                      <w:sz w:val="18"/>
                      <w:szCs w:val="18"/>
                    </w:rPr>
                    <w:t>声屏障-2：35.0</w:t>
                  </w:r>
                </w:p>
                <w:p>
                  <w:pPr>
                    <w:spacing w:line="240" w:lineRule="auto"/>
                    <w:jc w:val="center"/>
                    <w:rPr>
                      <w:color w:val="FF0000"/>
                      <w:sz w:val="18"/>
                      <w:szCs w:val="18"/>
                    </w:rPr>
                  </w:pPr>
                  <w:r>
                    <w:rPr>
                      <w:color w:val="FF0000"/>
                      <w:sz w:val="18"/>
                      <w:szCs w:val="18"/>
                    </w:rPr>
                    <w:t>声屏障-3：35.0</w:t>
                  </w:r>
                </w:p>
                <w:p>
                  <w:pPr>
                    <w:spacing w:line="240" w:lineRule="auto"/>
                    <w:jc w:val="center"/>
                    <w:rPr>
                      <w:color w:val="FF0000"/>
                      <w:sz w:val="18"/>
                      <w:szCs w:val="18"/>
                    </w:rPr>
                  </w:pPr>
                  <w:r>
                    <w:rPr>
                      <w:color w:val="FF0000"/>
                      <w:sz w:val="18"/>
                      <w:szCs w:val="18"/>
                    </w:rPr>
                    <w:t>声屏障-4：35.0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25" w:type="pct"/>
                  <w:shd w:val="clear" w:color="auto" w:fill="FFFFFF"/>
                  <w:vAlign w:val="center"/>
                </w:tcPr>
                <w:p>
                  <w:pPr>
                    <w:spacing w:line="240" w:lineRule="auto"/>
                    <w:jc w:val="center"/>
                    <w:rPr>
                      <w:color w:val="FF0000"/>
                      <w:sz w:val="18"/>
                      <w:szCs w:val="18"/>
                    </w:rPr>
                  </w:pPr>
                  <w:r>
                    <w:rPr>
                      <w:color w:val="FF0000"/>
                      <w:sz w:val="18"/>
                      <w:szCs w:val="18"/>
                    </w:rPr>
                    <w:t>风机3</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声屏障-1：66.3</w:t>
                  </w:r>
                </w:p>
                <w:p>
                  <w:pPr>
                    <w:spacing w:line="240" w:lineRule="auto"/>
                    <w:jc w:val="center"/>
                    <w:rPr>
                      <w:color w:val="FF0000"/>
                      <w:sz w:val="18"/>
                      <w:szCs w:val="18"/>
                    </w:rPr>
                  </w:pPr>
                  <w:r>
                    <w:rPr>
                      <w:color w:val="FF0000"/>
                      <w:sz w:val="18"/>
                      <w:szCs w:val="18"/>
                    </w:rPr>
                    <w:t>声屏障-2：13.0</w:t>
                  </w:r>
                </w:p>
                <w:p>
                  <w:pPr>
                    <w:spacing w:line="240" w:lineRule="auto"/>
                    <w:jc w:val="center"/>
                    <w:rPr>
                      <w:color w:val="FF0000"/>
                      <w:sz w:val="18"/>
                      <w:szCs w:val="18"/>
                    </w:rPr>
                  </w:pPr>
                  <w:r>
                    <w:rPr>
                      <w:color w:val="FF0000"/>
                      <w:sz w:val="18"/>
                      <w:szCs w:val="18"/>
                    </w:rPr>
                    <w:t>声屏障-3：10.1</w:t>
                  </w:r>
                </w:p>
                <w:p>
                  <w:pPr>
                    <w:spacing w:line="240" w:lineRule="auto"/>
                    <w:jc w:val="center"/>
                    <w:rPr>
                      <w:color w:val="FF0000"/>
                      <w:sz w:val="18"/>
                      <w:szCs w:val="18"/>
                    </w:rPr>
                  </w:pPr>
                  <w:r>
                    <w:rPr>
                      <w:color w:val="FF0000"/>
                      <w:sz w:val="18"/>
                      <w:szCs w:val="18"/>
                    </w:rPr>
                    <w:t>声屏障-4：43.6</w:t>
                  </w:r>
                </w:p>
              </w:tc>
              <w:tc>
                <w:tcPr>
                  <w:tcW w:w="854" w:type="pct"/>
                  <w:shd w:val="clear" w:color="auto" w:fill="FFFFFF"/>
                  <w:vAlign w:val="center"/>
                </w:tcPr>
                <w:p>
                  <w:pPr>
                    <w:spacing w:line="240" w:lineRule="auto"/>
                    <w:jc w:val="center"/>
                    <w:rPr>
                      <w:color w:val="FF0000"/>
                      <w:sz w:val="18"/>
                      <w:szCs w:val="18"/>
                    </w:rPr>
                  </w:pPr>
                  <w:r>
                    <w:rPr>
                      <w:color w:val="FF0000"/>
                      <w:sz w:val="18"/>
                      <w:szCs w:val="18"/>
                    </w:rPr>
                    <w:t>声屏障-1：76.0</w:t>
                  </w:r>
                </w:p>
                <w:p>
                  <w:pPr>
                    <w:spacing w:line="240" w:lineRule="auto"/>
                    <w:jc w:val="center"/>
                    <w:rPr>
                      <w:color w:val="FF0000"/>
                      <w:sz w:val="18"/>
                      <w:szCs w:val="18"/>
                    </w:rPr>
                  </w:pPr>
                  <w:r>
                    <w:rPr>
                      <w:color w:val="FF0000"/>
                      <w:sz w:val="18"/>
                      <w:szCs w:val="18"/>
                    </w:rPr>
                    <w:t>声屏障-2：76.0</w:t>
                  </w:r>
                </w:p>
                <w:p>
                  <w:pPr>
                    <w:spacing w:line="240" w:lineRule="auto"/>
                    <w:jc w:val="center"/>
                    <w:rPr>
                      <w:color w:val="FF0000"/>
                      <w:sz w:val="18"/>
                      <w:szCs w:val="18"/>
                    </w:rPr>
                  </w:pPr>
                  <w:r>
                    <w:rPr>
                      <w:color w:val="FF0000"/>
                      <w:sz w:val="18"/>
                      <w:szCs w:val="18"/>
                    </w:rPr>
                    <w:t>声屏障-3：76.0</w:t>
                  </w:r>
                </w:p>
                <w:p>
                  <w:pPr>
                    <w:spacing w:line="240" w:lineRule="auto"/>
                    <w:jc w:val="center"/>
                    <w:rPr>
                      <w:color w:val="FF0000"/>
                      <w:sz w:val="18"/>
                      <w:szCs w:val="18"/>
                    </w:rPr>
                  </w:pPr>
                  <w:r>
                    <w:rPr>
                      <w:color w:val="FF0000"/>
                      <w:sz w:val="18"/>
                      <w:szCs w:val="18"/>
                    </w:rPr>
                    <w:t>声屏障-4：76.0</w:t>
                  </w:r>
                </w:p>
              </w:tc>
              <w:tc>
                <w:tcPr>
                  <w:tcW w:w="598" w:type="pct"/>
                  <w:shd w:val="clear" w:color="auto" w:fill="FFFFFF"/>
                  <w:vAlign w:val="center"/>
                </w:tcPr>
                <w:p>
                  <w:pPr>
                    <w:spacing w:line="240" w:lineRule="auto"/>
                    <w:jc w:val="center"/>
                    <w:rPr>
                      <w:color w:val="FF0000"/>
                    </w:rPr>
                  </w:pPr>
                  <w:r>
                    <w:rPr>
                      <w:rFonts w:hint="eastAsia"/>
                      <w:color w:val="FF0000"/>
                      <w:sz w:val="18"/>
                      <w:szCs w:val="18"/>
                    </w:rPr>
                    <w:t>2</w:t>
                  </w:r>
                  <w:r>
                    <w:rPr>
                      <w:color w:val="FF0000"/>
                      <w:sz w:val="18"/>
                      <w:szCs w:val="18"/>
                    </w:rPr>
                    <w:t>4</w:t>
                  </w:r>
                  <w:r>
                    <w:rPr>
                      <w:rFonts w:hint="eastAsia"/>
                      <w:color w:val="FF0000"/>
                      <w:sz w:val="18"/>
                      <w:szCs w:val="18"/>
                    </w:rPr>
                    <w:t>h连续</w:t>
                  </w:r>
                </w:p>
              </w:tc>
              <w:tc>
                <w:tcPr>
                  <w:tcW w:w="855" w:type="pct"/>
                  <w:shd w:val="clear" w:color="auto" w:fill="FFFFFF"/>
                  <w:vAlign w:val="center"/>
                </w:tcPr>
                <w:p>
                  <w:pPr>
                    <w:spacing w:line="240" w:lineRule="auto"/>
                    <w:jc w:val="center"/>
                    <w:rPr>
                      <w:color w:val="FF0000"/>
                      <w:sz w:val="18"/>
                      <w:szCs w:val="18"/>
                    </w:rPr>
                  </w:pPr>
                  <w:r>
                    <w:rPr>
                      <w:color w:val="FF0000"/>
                      <w:sz w:val="18"/>
                      <w:szCs w:val="18"/>
                    </w:rPr>
                    <w:t>声屏障-1：41.0</w:t>
                  </w:r>
                </w:p>
                <w:p>
                  <w:pPr>
                    <w:spacing w:line="240" w:lineRule="auto"/>
                    <w:jc w:val="center"/>
                    <w:rPr>
                      <w:color w:val="FF0000"/>
                      <w:sz w:val="18"/>
                      <w:szCs w:val="18"/>
                    </w:rPr>
                  </w:pPr>
                  <w:r>
                    <w:rPr>
                      <w:color w:val="FF0000"/>
                      <w:sz w:val="18"/>
                      <w:szCs w:val="18"/>
                    </w:rPr>
                    <w:t>声屏障-2：41.0</w:t>
                  </w:r>
                </w:p>
                <w:p>
                  <w:pPr>
                    <w:spacing w:line="240" w:lineRule="auto"/>
                    <w:jc w:val="center"/>
                    <w:rPr>
                      <w:color w:val="FF0000"/>
                      <w:sz w:val="18"/>
                      <w:szCs w:val="18"/>
                    </w:rPr>
                  </w:pPr>
                  <w:r>
                    <w:rPr>
                      <w:color w:val="FF0000"/>
                      <w:sz w:val="18"/>
                      <w:szCs w:val="18"/>
                    </w:rPr>
                    <w:t>声屏障-3：41.0</w:t>
                  </w:r>
                </w:p>
                <w:p>
                  <w:pPr>
                    <w:spacing w:line="240" w:lineRule="auto"/>
                    <w:jc w:val="center"/>
                    <w:rPr>
                      <w:color w:val="FF0000"/>
                      <w:sz w:val="18"/>
                      <w:szCs w:val="18"/>
                    </w:rPr>
                  </w:pPr>
                  <w:r>
                    <w:rPr>
                      <w:color w:val="FF0000"/>
                      <w:sz w:val="18"/>
                      <w:szCs w:val="18"/>
                    </w:rPr>
                    <w:t>声屏障-4：41.0</w:t>
                  </w:r>
                </w:p>
              </w:tc>
              <w:tc>
                <w:tcPr>
                  <w:tcW w:w="939" w:type="pct"/>
                  <w:shd w:val="clear" w:color="auto" w:fill="FFFFFF"/>
                  <w:vAlign w:val="center"/>
                </w:tcPr>
                <w:p>
                  <w:pPr>
                    <w:spacing w:line="240" w:lineRule="auto"/>
                    <w:jc w:val="center"/>
                    <w:rPr>
                      <w:color w:val="FF0000"/>
                      <w:sz w:val="18"/>
                      <w:szCs w:val="18"/>
                    </w:rPr>
                  </w:pPr>
                  <w:r>
                    <w:rPr>
                      <w:color w:val="FF0000"/>
                      <w:sz w:val="18"/>
                      <w:szCs w:val="18"/>
                    </w:rPr>
                    <w:t>声屏障-1：35.0</w:t>
                  </w:r>
                </w:p>
                <w:p>
                  <w:pPr>
                    <w:spacing w:line="240" w:lineRule="auto"/>
                    <w:jc w:val="center"/>
                    <w:rPr>
                      <w:color w:val="FF0000"/>
                      <w:sz w:val="18"/>
                      <w:szCs w:val="18"/>
                    </w:rPr>
                  </w:pPr>
                  <w:r>
                    <w:rPr>
                      <w:color w:val="FF0000"/>
                      <w:sz w:val="18"/>
                      <w:szCs w:val="18"/>
                    </w:rPr>
                    <w:t>声屏障-2：35.0</w:t>
                  </w:r>
                </w:p>
                <w:p>
                  <w:pPr>
                    <w:spacing w:line="240" w:lineRule="auto"/>
                    <w:jc w:val="center"/>
                    <w:rPr>
                      <w:color w:val="FF0000"/>
                      <w:sz w:val="18"/>
                      <w:szCs w:val="18"/>
                    </w:rPr>
                  </w:pPr>
                  <w:r>
                    <w:rPr>
                      <w:color w:val="FF0000"/>
                      <w:sz w:val="18"/>
                      <w:szCs w:val="18"/>
                    </w:rPr>
                    <w:t>声屏障-3：35.0</w:t>
                  </w:r>
                </w:p>
                <w:p>
                  <w:pPr>
                    <w:spacing w:line="240" w:lineRule="auto"/>
                    <w:jc w:val="center"/>
                    <w:rPr>
                      <w:color w:val="FF0000"/>
                      <w:sz w:val="18"/>
                      <w:szCs w:val="18"/>
                    </w:rPr>
                  </w:pPr>
                  <w:r>
                    <w:rPr>
                      <w:color w:val="FF0000"/>
                      <w:sz w:val="18"/>
                      <w:szCs w:val="18"/>
                    </w:rPr>
                    <w:t>声屏障-4：35.0</w:t>
                  </w:r>
                </w:p>
              </w:tc>
              <w:tc>
                <w:tcPr>
                  <w:tcW w:w="475" w:type="pct"/>
                  <w:shd w:val="clear" w:color="auto" w:fill="FFFFFF"/>
                  <w:vAlign w:val="center"/>
                </w:tcPr>
                <w:p>
                  <w:pPr>
                    <w:spacing w:line="240" w:lineRule="auto"/>
                    <w:jc w:val="center"/>
                    <w:rPr>
                      <w:color w:val="FF0000"/>
                      <w:sz w:val="18"/>
                      <w:szCs w:val="18"/>
                    </w:rPr>
                  </w:pPr>
                  <w:r>
                    <w:rPr>
                      <w:color w:val="FF0000"/>
                      <w:sz w:val="18"/>
                      <w:szCs w:val="18"/>
                    </w:rPr>
                    <w:t>1</w:t>
                  </w:r>
                </w:p>
              </w:tc>
            </w:tr>
          </w:tbl>
          <w:p>
            <w:pPr>
              <w:ind w:firstLine="420" w:firstLineChars="200"/>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注：声屏障-</w:t>
            </w:r>
            <w:r>
              <w:rPr>
                <w:bCs/>
                <w:color w:val="000000" w:themeColor="text1"/>
                <w:szCs w:val="21"/>
                <w14:textFill>
                  <w14:solidFill>
                    <w14:schemeClr w14:val="tx1"/>
                  </w14:solidFill>
                </w14:textFill>
              </w:rPr>
              <w:t>1</w:t>
            </w:r>
            <w:r>
              <w:rPr>
                <w:rFonts w:hint="eastAsia"/>
                <w:bCs/>
                <w:color w:val="000000" w:themeColor="text1"/>
                <w:szCs w:val="21"/>
                <w14:textFill>
                  <w14:solidFill>
                    <w14:schemeClr w14:val="tx1"/>
                  </w14:solidFill>
                </w14:textFill>
              </w:rPr>
              <w:t>、声屏障-</w:t>
            </w:r>
            <w:r>
              <w:rPr>
                <w:bCs/>
                <w:color w:val="000000" w:themeColor="text1"/>
                <w:szCs w:val="21"/>
                <w14:textFill>
                  <w14:solidFill>
                    <w14:schemeClr w14:val="tx1"/>
                  </w14:solidFill>
                </w14:textFill>
              </w:rPr>
              <w:t>2</w:t>
            </w:r>
            <w:r>
              <w:rPr>
                <w:rFonts w:hint="eastAsia"/>
                <w:bCs/>
                <w:color w:val="000000" w:themeColor="text1"/>
                <w:szCs w:val="21"/>
                <w14:textFill>
                  <w14:solidFill>
                    <w14:schemeClr w14:val="tx1"/>
                  </w14:solidFill>
                </w14:textFill>
              </w:rPr>
              <w:t>、声屏障-</w:t>
            </w:r>
            <w:r>
              <w:rPr>
                <w:bCs/>
                <w:color w:val="000000" w:themeColor="text1"/>
                <w:szCs w:val="21"/>
                <w14:textFill>
                  <w14:solidFill>
                    <w14:schemeClr w14:val="tx1"/>
                  </w14:solidFill>
                </w14:textFill>
              </w:rPr>
              <w:t>3</w:t>
            </w:r>
            <w:r>
              <w:rPr>
                <w:rFonts w:hint="eastAsia"/>
                <w:bCs/>
                <w:color w:val="000000" w:themeColor="text1"/>
                <w:szCs w:val="21"/>
                <w14:textFill>
                  <w14:solidFill>
                    <w14:schemeClr w14:val="tx1"/>
                  </w14:solidFill>
                </w14:textFill>
              </w:rPr>
              <w:t>、声屏障-</w:t>
            </w:r>
            <w:r>
              <w:rPr>
                <w:bCs/>
                <w:color w:val="000000" w:themeColor="text1"/>
                <w:szCs w:val="21"/>
                <w14:textFill>
                  <w14:solidFill>
                    <w14:schemeClr w14:val="tx1"/>
                  </w14:solidFill>
                </w14:textFill>
              </w:rPr>
              <w:t>4</w:t>
            </w:r>
            <w:r>
              <w:rPr>
                <w:rFonts w:hint="eastAsia"/>
                <w:bCs/>
                <w:color w:val="000000" w:themeColor="text1"/>
                <w:szCs w:val="21"/>
                <w14:textFill>
                  <w14:solidFill>
                    <w14:schemeClr w14:val="tx1"/>
                  </w14:solidFill>
                </w14:textFill>
              </w:rPr>
              <w:t>分别代表车间北侧、东侧、南侧、西侧墙体。车间墙体为钢混结构，声屏障类型为车间墙体，平均吸声系数0</w:t>
            </w:r>
            <w:r>
              <w:rPr>
                <w:bCs/>
                <w:color w:val="000000" w:themeColor="text1"/>
                <w:szCs w:val="21"/>
                <w14:textFill>
                  <w14:solidFill>
                    <w14:schemeClr w14:val="tx1"/>
                  </w14:solidFill>
                </w14:textFill>
              </w:rPr>
              <w:t>.06</w:t>
            </w:r>
            <w:r>
              <w:rPr>
                <w:rFonts w:hint="eastAsia"/>
                <w:bCs/>
                <w:color w:val="000000" w:themeColor="text1"/>
                <w:szCs w:val="21"/>
                <w14:textFill>
                  <w14:solidFill>
                    <w14:schemeClr w14:val="tx1"/>
                  </w14:solidFill>
                </w14:textFill>
              </w:rPr>
              <w:t>，平均隔声损失3</w:t>
            </w:r>
            <w:r>
              <w:rPr>
                <w:bCs/>
                <w:color w:val="000000" w:themeColor="text1"/>
                <w:szCs w:val="21"/>
                <w14:textFill>
                  <w14:solidFill>
                    <w14:schemeClr w14:val="tx1"/>
                  </w14:solidFill>
                </w14:textFill>
              </w:rPr>
              <w:t>5</w:t>
            </w:r>
            <w:r>
              <w:rPr>
                <w:rFonts w:hint="eastAsia"/>
                <w:bCs/>
                <w:color w:val="000000" w:themeColor="text1"/>
                <w:szCs w:val="21"/>
                <w14:textFill>
                  <w14:solidFill>
                    <w14:schemeClr w14:val="tx1"/>
                  </w14:solidFill>
                </w14:textFill>
              </w:rPr>
              <w:t>d</w:t>
            </w:r>
            <w:r>
              <w:rPr>
                <w:bCs/>
                <w:color w:val="000000" w:themeColor="text1"/>
                <w:szCs w:val="21"/>
                <w14:textFill>
                  <w14:solidFill>
                    <w14:schemeClr w14:val="tx1"/>
                  </w14:solidFill>
                </w14:textFill>
              </w:rPr>
              <w:t>B</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A</w:t>
            </w:r>
            <w:r>
              <w:rPr>
                <w:rFonts w:hint="eastAsia"/>
                <w:bCs/>
                <w:color w:val="000000" w:themeColor="text1"/>
                <w:szCs w:val="21"/>
                <w14:textFill>
                  <w14:solidFill>
                    <w14:schemeClr w14:val="tx1"/>
                  </w14:solidFill>
                </w14:textFill>
              </w:rPr>
              <w:t>）。</w:t>
            </w:r>
          </w:p>
          <w:p>
            <w:pPr>
              <w:ind w:firstLine="480" w:firstLineChars="200"/>
              <w:textAlignment w:val="baseline"/>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②</w:t>
            </w:r>
            <w:r>
              <w:rPr>
                <w:bCs/>
                <w:color w:val="000000" w:themeColor="text1"/>
                <w:sz w:val="24"/>
                <w14:textFill>
                  <w14:solidFill>
                    <w14:schemeClr w14:val="tx1"/>
                  </w14:solidFill>
                </w14:textFill>
              </w:rPr>
              <w:t>户外传播衰减计算：</w:t>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按下式将室外声源的声压级和透过面积换算成等效的室外声源，计算出中心位置位于透声面积（S）处的等效声源的倍频带声功率级。</w:t>
            </w:r>
          </w:p>
          <w:p>
            <w:pPr>
              <w:ind w:firstLine="480" w:firstLineChars="2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object>
                <v:shape id="_x0000_i1043" o:spt="75" type="#_x0000_t75" style="height:18.15pt;width:98.9pt;" o:ole="t" filled="f" o:preferrelative="t" stroked="f" coordsize="21600,21600">
                  <v:path/>
                  <v:fill on="f" focussize="0,0"/>
                  <v:stroke on="f" joinstyle="miter"/>
                  <v:imagedata r:id="rId56" o:title=""/>
                  <o:lock v:ext="edit" aspectratio="t"/>
                  <w10:wrap type="none"/>
                  <w10:anchorlock/>
                </v:shape>
                <o:OLEObject Type="Embed" ProgID="Equation.3" ShapeID="_x0000_i1043" DrawAspect="Content" ObjectID="_1468075743" r:id="rId55">
                  <o:LockedField>false</o:LockedField>
                </o:OLEObject>
              </w:object>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然后按室外声源预测方法计算预测点处的A声级。</w:t>
            </w:r>
          </w:p>
          <w:p>
            <w:pPr>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户外声传播衰减包括几何发散（Adiv）、大气吸收（Aatm）、地面效应（Agr）、屏障屏蔽（Abar）、其它多方面效应（Amisc）引起的衰减。距声源点r处的A声级按下式计算：</w:t>
            </w:r>
          </w:p>
          <w:p>
            <w:pPr>
              <w:spacing w:line="240" w:lineRule="auto"/>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3375025" cy="273685"/>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375025" cy="273685"/>
                          </a:xfrm>
                          <a:prstGeom prst="rect">
                            <a:avLst/>
                          </a:prstGeom>
                          <a:noFill/>
                          <a:ln>
                            <a:noFill/>
                          </a:ln>
                        </pic:spPr>
                      </pic:pic>
                    </a:graphicData>
                  </a:graphic>
                </wp:inline>
              </w:drawing>
            </w:r>
          </w:p>
          <w:p>
            <w:pPr>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影响预测的复合声压采用噪声叠加公式：</w:t>
            </w:r>
          </w:p>
          <w:p>
            <w:pPr>
              <w:ind w:firstLine="480" w:firstLineChars="200"/>
              <w:jc w:val="left"/>
              <w:rPr>
                <w:color w:val="000000" w:themeColor="text1"/>
                <w:sz w:val="24"/>
                <w14:textFill>
                  <w14:solidFill>
                    <w14:schemeClr w14:val="tx1"/>
                  </w14:solidFill>
                </w14:textFill>
              </w:rPr>
            </w:pPr>
            <w:r>
              <w:rPr>
                <w:rFonts w:eastAsia="等线"/>
                <w:color w:val="000000" w:themeColor="text1"/>
                <w:sz w:val="24"/>
                <w:szCs w:val="22"/>
                <w14:textFill>
                  <w14:solidFill>
                    <w14:schemeClr w14:val="tx1"/>
                  </w14:solidFill>
                </w14:textFill>
              </w:rPr>
              <w:drawing>
                <wp:anchor distT="0" distB="0" distL="114300" distR="114300" simplePos="0" relativeHeight="251659264" behindDoc="0" locked="0" layoutInCell="1" allowOverlap="1">
                  <wp:simplePos x="0" y="0"/>
                  <wp:positionH relativeFrom="column">
                    <wp:posOffset>1642110</wp:posOffset>
                  </wp:positionH>
                  <wp:positionV relativeFrom="paragraph">
                    <wp:posOffset>83820</wp:posOffset>
                  </wp:positionV>
                  <wp:extent cx="1397000" cy="327660"/>
                  <wp:effectExtent l="0" t="0" r="0" b="0"/>
                  <wp:wrapTopAndBottom/>
                  <wp:docPr id="4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397000" cy="327660"/>
                          </a:xfrm>
                          <a:prstGeom prst="rect">
                            <a:avLst/>
                          </a:prstGeom>
                          <a:noFill/>
                          <a:ln>
                            <a:noFill/>
                          </a:ln>
                        </pic:spPr>
                      </pic:pic>
                    </a:graphicData>
                  </a:graphic>
                </wp:anchor>
              </w:drawing>
            </w:r>
            <w:r>
              <w:rPr>
                <w:rFonts w:hint="eastAsia"/>
                <w:color w:val="000000" w:themeColor="text1"/>
                <w:sz w:val="24"/>
                <w14:textFill>
                  <w14:solidFill>
                    <w14:schemeClr w14:val="tx1"/>
                  </w14:solidFill>
                </w14:textFill>
              </w:rPr>
              <w:t>式中：</w:t>
            </w:r>
            <w:r>
              <w:rPr>
                <w:color w:val="000000" w:themeColor="text1"/>
                <w:sz w:val="24"/>
                <w14:textFill>
                  <w14:solidFill>
                    <w14:schemeClr w14:val="tx1"/>
                  </w14:solidFill>
                </w14:textFill>
              </w:rPr>
              <w:t>L——</w:t>
            </w:r>
            <w:r>
              <w:rPr>
                <w:rFonts w:hint="eastAsia"/>
                <w:color w:val="000000" w:themeColor="text1"/>
                <w:sz w:val="24"/>
                <w14:textFill>
                  <w14:solidFill>
                    <w14:schemeClr w14:val="tx1"/>
                  </w14:solidFill>
                </w14:textFill>
              </w:rPr>
              <w:t>某点噪声总叠加值，</w:t>
            </w:r>
            <w:r>
              <w:rPr>
                <w:color w:val="000000" w:themeColor="text1"/>
                <w:sz w:val="24"/>
                <w14:textFill>
                  <w14:solidFill>
                    <w14:schemeClr w14:val="tx1"/>
                  </w14:solidFill>
                </w14:textFill>
              </w:rPr>
              <w:t>dB(A)</w:t>
            </w:r>
            <w:r>
              <w:rPr>
                <w:rFonts w:hint="eastAsia"/>
                <w:color w:val="000000" w:themeColor="text1"/>
                <w:sz w:val="24"/>
                <w14:textFill>
                  <w14:solidFill>
                    <w14:schemeClr w14:val="tx1"/>
                  </w14:solidFill>
                </w14:textFill>
              </w:rPr>
              <w:t>；</w:t>
            </w:r>
          </w:p>
          <w:p>
            <w:pPr>
              <w:ind w:firstLine="1200" w:firstLineChars="5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Li——</w:t>
            </w:r>
            <w:r>
              <w:rPr>
                <w:rFonts w:hint="eastAsia"/>
                <w:color w:val="000000" w:themeColor="text1"/>
                <w:sz w:val="24"/>
                <w14:textFill>
                  <w14:solidFill>
                    <w14:schemeClr w14:val="tx1"/>
                  </w14:solidFill>
                </w14:textFill>
              </w:rPr>
              <w:t>第</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声源的噪声值，</w:t>
            </w:r>
            <w:r>
              <w:rPr>
                <w:color w:val="000000" w:themeColor="text1"/>
                <w:sz w:val="24"/>
                <w14:textFill>
                  <w14:solidFill>
                    <w14:schemeClr w14:val="tx1"/>
                  </w14:solidFill>
                </w14:textFill>
              </w:rPr>
              <w:t>dB(A)</w:t>
            </w:r>
            <w:r>
              <w:rPr>
                <w:rFonts w:hint="eastAsia"/>
                <w:color w:val="000000" w:themeColor="text1"/>
                <w:sz w:val="24"/>
                <w14:textFill>
                  <w14:solidFill>
                    <w14:schemeClr w14:val="tx1"/>
                  </w14:solidFill>
                </w14:textFill>
              </w:rPr>
              <w:t>；</w:t>
            </w:r>
          </w:p>
          <w:p>
            <w:pPr>
              <w:pStyle w:val="2"/>
              <w:spacing w:before="0" w:after="0" w:line="360" w:lineRule="auto"/>
              <w:ind w:right="0"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n——</w:t>
            </w:r>
            <w:r>
              <w:rPr>
                <w:rFonts w:hint="eastAsia"/>
                <w:color w:val="000000" w:themeColor="text1"/>
                <w:sz w:val="24"/>
                <w:szCs w:val="24"/>
                <w14:textFill>
                  <w14:solidFill>
                    <w14:schemeClr w14:val="tx1"/>
                  </w14:solidFill>
                </w14:textFill>
              </w:rPr>
              <w:t>声源个数。</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预测结果</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噪声影响预测结果见表</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23。</w:t>
            </w:r>
          </w:p>
          <w:p>
            <w:pPr>
              <w:adjustRightInd w:val="0"/>
              <w:snapToGrid w:val="0"/>
              <w:spacing w:line="240" w:lineRule="auto"/>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表4.2-23  厂界噪声预测结果与达标分析表</w:t>
            </w:r>
            <w:bookmarkStart w:id="11" w:name="PT_7"/>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3"/>
              <w:gridCol w:w="803"/>
              <w:gridCol w:w="803"/>
              <w:gridCol w:w="993"/>
              <w:gridCol w:w="1417"/>
              <w:gridCol w:w="141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1" w:type="dxa"/>
                  <w:vMerge w:val="restart"/>
                  <w:vAlign w:val="center"/>
                </w:tcPr>
                <w:p>
                  <w:pPr>
                    <w:spacing w:line="240" w:lineRule="auto"/>
                    <w:jc w:val="center"/>
                    <w:rPr>
                      <w:color w:val="FF0000"/>
                      <w:szCs w:val="21"/>
                    </w:rPr>
                  </w:pPr>
                  <w:r>
                    <w:rPr>
                      <w:b/>
                      <w:color w:val="FF0000"/>
                      <w:szCs w:val="21"/>
                    </w:rPr>
                    <w:t>预测方位</w:t>
                  </w:r>
                </w:p>
              </w:tc>
              <w:tc>
                <w:tcPr>
                  <w:tcW w:w="2409" w:type="dxa"/>
                  <w:gridSpan w:val="3"/>
                  <w:vAlign w:val="center"/>
                </w:tcPr>
                <w:p>
                  <w:pPr>
                    <w:spacing w:line="240" w:lineRule="auto"/>
                    <w:jc w:val="center"/>
                    <w:rPr>
                      <w:color w:val="FF0000"/>
                      <w:szCs w:val="21"/>
                    </w:rPr>
                  </w:pPr>
                  <w:r>
                    <w:rPr>
                      <w:b/>
                      <w:color w:val="FF0000"/>
                      <w:szCs w:val="21"/>
                    </w:rPr>
                    <w:t>空间相对位置/m</w:t>
                  </w:r>
                </w:p>
              </w:tc>
              <w:tc>
                <w:tcPr>
                  <w:tcW w:w="993" w:type="dxa"/>
                  <w:vMerge w:val="restart"/>
                  <w:vAlign w:val="center"/>
                </w:tcPr>
                <w:p>
                  <w:pPr>
                    <w:spacing w:line="240" w:lineRule="auto"/>
                    <w:jc w:val="center"/>
                    <w:rPr>
                      <w:color w:val="FF0000"/>
                      <w:szCs w:val="21"/>
                    </w:rPr>
                  </w:pPr>
                  <w:r>
                    <w:rPr>
                      <w:b/>
                      <w:color w:val="FF0000"/>
                      <w:szCs w:val="21"/>
                    </w:rPr>
                    <w:t>时段</w:t>
                  </w:r>
                </w:p>
              </w:tc>
              <w:tc>
                <w:tcPr>
                  <w:tcW w:w="1417" w:type="dxa"/>
                  <w:vMerge w:val="restart"/>
                  <w:vAlign w:val="center"/>
                </w:tcPr>
                <w:p>
                  <w:pPr>
                    <w:spacing w:line="240" w:lineRule="auto"/>
                    <w:jc w:val="center"/>
                    <w:rPr>
                      <w:color w:val="FF0000"/>
                      <w:szCs w:val="21"/>
                    </w:rPr>
                  </w:pPr>
                  <w:r>
                    <w:rPr>
                      <w:b/>
                      <w:color w:val="FF0000"/>
                      <w:szCs w:val="21"/>
                    </w:rPr>
                    <w:t>预测值（dB(A)）</w:t>
                  </w:r>
                </w:p>
              </w:tc>
              <w:tc>
                <w:tcPr>
                  <w:tcW w:w="1418" w:type="dxa"/>
                  <w:vMerge w:val="restart"/>
                  <w:vAlign w:val="center"/>
                </w:tcPr>
                <w:p>
                  <w:pPr>
                    <w:spacing w:line="240" w:lineRule="auto"/>
                    <w:jc w:val="center"/>
                    <w:rPr>
                      <w:color w:val="FF0000"/>
                      <w:szCs w:val="21"/>
                    </w:rPr>
                  </w:pPr>
                  <w:r>
                    <w:rPr>
                      <w:b/>
                      <w:color w:val="FF0000"/>
                      <w:szCs w:val="21"/>
                    </w:rPr>
                    <w:t>标准限值（dB(A)）</w:t>
                  </w:r>
                </w:p>
              </w:tc>
              <w:tc>
                <w:tcPr>
                  <w:tcW w:w="1188" w:type="dxa"/>
                  <w:vMerge w:val="restart"/>
                  <w:vAlign w:val="center"/>
                </w:tcPr>
                <w:p>
                  <w:pPr>
                    <w:spacing w:line="240" w:lineRule="auto"/>
                    <w:jc w:val="center"/>
                    <w:rPr>
                      <w:color w:val="FF0000"/>
                      <w:szCs w:val="21"/>
                    </w:rPr>
                  </w:pPr>
                  <w:r>
                    <w:rPr>
                      <w:b/>
                      <w:color w:val="FF000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1" w:type="dxa"/>
                  <w:vMerge w:val="continue"/>
                  <w:shd w:val="clear" w:color="auto" w:fill="FFFFFF"/>
                  <w:vAlign w:val="center"/>
                </w:tcPr>
                <w:p>
                  <w:pPr>
                    <w:spacing w:line="240" w:lineRule="auto"/>
                    <w:jc w:val="center"/>
                    <w:rPr>
                      <w:color w:val="FF0000"/>
                      <w:szCs w:val="21"/>
                    </w:rPr>
                  </w:pPr>
                </w:p>
              </w:tc>
              <w:tc>
                <w:tcPr>
                  <w:tcW w:w="803" w:type="dxa"/>
                  <w:shd w:val="clear" w:color="auto" w:fill="FFFFFF"/>
                  <w:vAlign w:val="center"/>
                </w:tcPr>
                <w:p>
                  <w:pPr>
                    <w:spacing w:line="240" w:lineRule="auto"/>
                    <w:jc w:val="center"/>
                    <w:rPr>
                      <w:color w:val="FF0000"/>
                      <w:szCs w:val="21"/>
                    </w:rPr>
                  </w:pPr>
                  <w:r>
                    <w:rPr>
                      <w:color w:val="FF0000"/>
                      <w:szCs w:val="21"/>
                    </w:rPr>
                    <w:t>X</w:t>
                  </w:r>
                </w:p>
              </w:tc>
              <w:tc>
                <w:tcPr>
                  <w:tcW w:w="803" w:type="dxa"/>
                  <w:shd w:val="clear" w:color="auto" w:fill="FFFFFF"/>
                  <w:vAlign w:val="center"/>
                </w:tcPr>
                <w:p>
                  <w:pPr>
                    <w:spacing w:line="240" w:lineRule="auto"/>
                    <w:jc w:val="center"/>
                    <w:rPr>
                      <w:color w:val="FF0000"/>
                      <w:szCs w:val="21"/>
                    </w:rPr>
                  </w:pPr>
                  <w:r>
                    <w:rPr>
                      <w:color w:val="FF0000"/>
                      <w:szCs w:val="21"/>
                    </w:rPr>
                    <w:t>Y</w:t>
                  </w:r>
                </w:p>
              </w:tc>
              <w:tc>
                <w:tcPr>
                  <w:tcW w:w="803" w:type="dxa"/>
                  <w:shd w:val="clear" w:color="auto" w:fill="FFFFFF"/>
                  <w:vAlign w:val="center"/>
                </w:tcPr>
                <w:p>
                  <w:pPr>
                    <w:spacing w:line="240" w:lineRule="auto"/>
                    <w:jc w:val="center"/>
                    <w:rPr>
                      <w:color w:val="FF0000"/>
                      <w:szCs w:val="21"/>
                    </w:rPr>
                  </w:pPr>
                  <w:r>
                    <w:rPr>
                      <w:color w:val="FF0000"/>
                      <w:szCs w:val="21"/>
                    </w:rPr>
                    <w:t>Z</w:t>
                  </w:r>
                </w:p>
              </w:tc>
              <w:tc>
                <w:tcPr>
                  <w:tcW w:w="993" w:type="dxa"/>
                  <w:vMerge w:val="continue"/>
                  <w:shd w:val="clear" w:color="auto" w:fill="FFFFFF"/>
                  <w:vAlign w:val="center"/>
                </w:tcPr>
                <w:p>
                  <w:pPr>
                    <w:spacing w:line="240" w:lineRule="auto"/>
                    <w:jc w:val="center"/>
                    <w:rPr>
                      <w:color w:val="FF0000"/>
                      <w:szCs w:val="21"/>
                    </w:rPr>
                  </w:pPr>
                </w:p>
              </w:tc>
              <w:tc>
                <w:tcPr>
                  <w:tcW w:w="1417" w:type="dxa"/>
                  <w:vMerge w:val="continue"/>
                  <w:shd w:val="clear" w:color="auto" w:fill="FFFFFF"/>
                  <w:vAlign w:val="center"/>
                </w:tcPr>
                <w:p>
                  <w:pPr>
                    <w:spacing w:line="240" w:lineRule="auto"/>
                    <w:jc w:val="center"/>
                    <w:rPr>
                      <w:color w:val="FF0000"/>
                      <w:szCs w:val="21"/>
                    </w:rPr>
                  </w:pPr>
                </w:p>
              </w:tc>
              <w:tc>
                <w:tcPr>
                  <w:tcW w:w="1418" w:type="dxa"/>
                  <w:vMerge w:val="continue"/>
                  <w:shd w:val="clear" w:color="auto" w:fill="FFFFFF"/>
                  <w:vAlign w:val="center"/>
                </w:tcPr>
                <w:p>
                  <w:pPr>
                    <w:spacing w:line="240" w:lineRule="auto"/>
                    <w:jc w:val="center"/>
                    <w:rPr>
                      <w:color w:val="FF0000"/>
                      <w:szCs w:val="21"/>
                    </w:rPr>
                  </w:pPr>
                </w:p>
                <w:bookmarkEnd w:id="11"/>
              </w:tc>
              <w:tc>
                <w:tcPr>
                  <w:tcW w:w="1188" w:type="dxa"/>
                  <w:vMerge w:val="continue"/>
                  <w:shd w:val="clear" w:color="auto" w:fill="FFFFFF"/>
                  <w:vAlign w:val="center"/>
                </w:tcPr>
                <w:p>
                  <w:pPr>
                    <w:spacing w:line="240" w:lineRule="auto"/>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1101" w:type="dxa"/>
                  <w:vMerge w:val="restart"/>
                  <w:shd w:val="clear" w:color="auto" w:fill="FFFFFF"/>
                  <w:vAlign w:val="center"/>
                </w:tcPr>
                <w:p>
                  <w:pPr>
                    <w:spacing w:line="240" w:lineRule="auto"/>
                    <w:jc w:val="center"/>
                    <w:rPr>
                      <w:color w:val="FF0000"/>
                      <w:szCs w:val="21"/>
                    </w:rPr>
                  </w:pPr>
                  <w:r>
                    <w:rPr>
                      <w:color w:val="FF0000"/>
                      <w:szCs w:val="21"/>
                    </w:rPr>
                    <w:t>东侧</w:t>
                  </w:r>
                </w:p>
              </w:tc>
              <w:tc>
                <w:tcPr>
                  <w:tcW w:w="803" w:type="dxa"/>
                  <w:shd w:val="clear" w:color="auto" w:fill="FFFFFF"/>
                  <w:vAlign w:val="center"/>
                </w:tcPr>
                <w:p>
                  <w:pPr>
                    <w:spacing w:line="240" w:lineRule="auto"/>
                    <w:jc w:val="center"/>
                    <w:rPr>
                      <w:color w:val="FF0000"/>
                      <w:szCs w:val="21"/>
                    </w:rPr>
                  </w:pPr>
                  <w:r>
                    <w:rPr>
                      <w:rFonts w:hint="eastAsia"/>
                      <w:color w:val="FF0000"/>
                      <w:szCs w:val="21"/>
                    </w:rPr>
                    <w:t>8</w:t>
                  </w:r>
                  <w:r>
                    <w:rPr>
                      <w:color w:val="FF0000"/>
                      <w:szCs w:val="21"/>
                    </w:rPr>
                    <w:t>1.9</w:t>
                  </w:r>
                </w:p>
              </w:tc>
              <w:tc>
                <w:tcPr>
                  <w:tcW w:w="803" w:type="dxa"/>
                  <w:shd w:val="clear" w:color="auto" w:fill="FFFFFF"/>
                  <w:vAlign w:val="center"/>
                </w:tcPr>
                <w:p>
                  <w:pPr>
                    <w:spacing w:line="240" w:lineRule="auto"/>
                    <w:jc w:val="center"/>
                    <w:rPr>
                      <w:color w:val="FF0000"/>
                      <w:szCs w:val="21"/>
                    </w:rPr>
                  </w:pPr>
                  <w:r>
                    <w:rPr>
                      <w:rFonts w:hint="eastAsia"/>
                      <w:color w:val="FF0000"/>
                      <w:szCs w:val="21"/>
                    </w:rPr>
                    <w:t>-</w:t>
                  </w:r>
                  <w:r>
                    <w:rPr>
                      <w:color w:val="FF0000"/>
                      <w:szCs w:val="21"/>
                    </w:rPr>
                    <w:t>24.4</w:t>
                  </w:r>
                </w:p>
              </w:tc>
              <w:tc>
                <w:tcPr>
                  <w:tcW w:w="803" w:type="dxa"/>
                  <w:shd w:val="clear" w:color="auto" w:fill="FFFFFF"/>
                  <w:vAlign w:val="center"/>
                </w:tcPr>
                <w:p>
                  <w:pPr>
                    <w:spacing w:line="240" w:lineRule="auto"/>
                    <w:jc w:val="center"/>
                    <w:rPr>
                      <w:color w:val="FF0000"/>
                      <w:szCs w:val="21"/>
                    </w:rPr>
                  </w:pPr>
                  <w:r>
                    <w:rPr>
                      <w:rFonts w:hint="eastAsia"/>
                      <w:color w:val="FF0000"/>
                      <w:szCs w:val="21"/>
                    </w:rPr>
                    <w:t>4</w:t>
                  </w:r>
                  <w:r>
                    <w:rPr>
                      <w:color w:val="FF0000"/>
                      <w:szCs w:val="21"/>
                    </w:rPr>
                    <w:t>26</w:t>
                  </w:r>
                </w:p>
              </w:tc>
              <w:tc>
                <w:tcPr>
                  <w:tcW w:w="993" w:type="dxa"/>
                  <w:shd w:val="clear" w:color="auto" w:fill="FFFFFF"/>
                  <w:vAlign w:val="center"/>
                </w:tcPr>
                <w:p>
                  <w:pPr>
                    <w:spacing w:line="240" w:lineRule="auto"/>
                    <w:jc w:val="center"/>
                    <w:rPr>
                      <w:color w:val="FF0000"/>
                      <w:szCs w:val="21"/>
                    </w:rPr>
                  </w:pPr>
                  <w:r>
                    <w:rPr>
                      <w:color w:val="FF0000"/>
                      <w:szCs w:val="21"/>
                    </w:rPr>
                    <w:t>昼间</w:t>
                  </w:r>
                </w:p>
              </w:tc>
              <w:tc>
                <w:tcPr>
                  <w:tcW w:w="1417" w:type="dxa"/>
                  <w:shd w:val="clear" w:color="auto" w:fill="FFFFFF"/>
                  <w:vAlign w:val="center"/>
                </w:tcPr>
                <w:p>
                  <w:pPr>
                    <w:spacing w:line="240" w:lineRule="auto"/>
                    <w:jc w:val="center"/>
                    <w:rPr>
                      <w:color w:val="FF0000"/>
                      <w:szCs w:val="21"/>
                    </w:rPr>
                  </w:pPr>
                  <w:r>
                    <w:rPr>
                      <w:rFonts w:hint="eastAsia"/>
                      <w:color w:val="FF0000"/>
                      <w:szCs w:val="21"/>
                    </w:rPr>
                    <w:t>4</w:t>
                  </w:r>
                  <w:r>
                    <w:rPr>
                      <w:color w:val="FF0000"/>
                      <w:szCs w:val="21"/>
                    </w:rPr>
                    <w:t>8.1</w:t>
                  </w:r>
                </w:p>
              </w:tc>
              <w:tc>
                <w:tcPr>
                  <w:tcW w:w="1418" w:type="dxa"/>
                  <w:shd w:val="clear" w:color="auto" w:fill="FFFFFF"/>
                  <w:vAlign w:val="center"/>
                </w:tcPr>
                <w:p>
                  <w:pPr>
                    <w:spacing w:line="240" w:lineRule="auto"/>
                    <w:jc w:val="center"/>
                    <w:rPr>
                      <w:color w:val="FF0000"/>
                      <w:szCs w:val="21"/>
                    </w:rPr>
                  </w:pPr>
                  <w:r>
                    <w:rPr>
                      <w:color w:val="FF0000"/>
                      <w:szCs w:val="21"/>
                    </w:rPr>
                    <w:t>65</w:t>
                  </w:r>
                </w:p>
              </w:tc>
              <w:tc>
                <w:tcPr>
                  <w:tcW w:w="1188" w:type="dxa"/>
                  <w:shd w:val="clear" w:color="auto" w:fill="FFFFFF"/>
                  <w:vAlign w:val="center"/>
                </w:tcPr>
                <w:p>
                  <w:pPr>
                    <w:spacing w:line="240" w:lineRule="auto"/>
                    <w:jc w:val="center"/>
                    <w:rPr>
                      <w:color w:val="FF0000"/>
                      <w:szCs w:val="21"/>
                    </w:rPr>
                  </w:pPr>
                  <w:r>
                    <w:rPr>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1101" w:type="dxa"/>
                  <w:vMerge w:val="continue"/>
                  <w:shd w:val="clear" w:color="auto" w:fill="FFFFFF"/>
                  <w:vAlign w:val="center"/>
                </w:tcPr>
                <w:p>
                  <w:pPr>
                    <w:spacing w:line="240" w:lineRule="auto"/>
                    <w:jc w:val="center"/>
                    <w:rPr>
                      <w:color w:val="FF0000"/>
                      <w:szCs w:val="21"/>
                    </w:rPr>
                  </w:pPr>
                </w:p>
              </w:tc>
              <w:tc>
                <w:tcPr>
                  <w:tcW w:w="803" w:type="dxa"/>
                  <w:shd w:val="clear" w:color="auto" w:fill="FFFFFF"/>
                  <w:vAlign w:val="center"/>
                </w:tcPr>
                <w:p>
                  <w:pPr>
                    <w:spacing w:line="240" w:lineRule="auto"/>
                    <w:jc w:val="center"/>
                    <w:rPr>
                      <w:color w:val="FF0000"/>
                      <w:szCs w:val="21"/>
                    </w:rPr>
                  </w:pPr>
                  <w:r>
                    <w:rPr>
                      <w:rFonts w:hint="eastAsia"/>
                      <w:color w:val="FF0000"/>
                      <w:szCs w:val="21"/>
                    </w:rPr>
                    <w:t>8</w:t>
                  </w:r>
                  <w:r>
                    <w:rPr>
                      <w:color w:val="FF0000"/>
                      <w:szCs w:val="21"/>
                    </w:rPr>
                    <w:t>1.9</w:t>
                  </w:r>
                </w:p>
              </w:tc>
              <w:tc>
                <w:tcPr>
                  <w:tcW w:w="803" w:type="dxa"/>
                  <w:shd w:val="clear" w:color="auto" w:fill="FFFFFF"/>
                  <w:vAlign w:val="center"/>
                </w:tcPr>
                <w:p>
                  <w:pPr>
                    <w:spacing w:line="240" w:lineRule="auto"/>
                    <w:jc w:val="center"/>
                    <w:rPr>
                      <w:color w:val="FF0000"/>
                      <w:szCs w:val="21"/>
                    </w:rPr>
                  </w:pPr>
                  <w:r>
                    <w:rPr>
                      <w:rFonts w:hint="eastAsia"/>
                      <w:color w:val="FF0000"/>
                      <w:szCs w:val="21"/>
                    </w:rPr>
                    <w:t>-</w:t>
                  </w:r>
                  <w:r>
                    <w:rPr>
                      <w:color w:val="FF0000"/>
                      <w:szCs w:val="21"/>
                    </w:rPr>
                    <w:t>24.4</w:t>
                  </w:r>
                </w:p>
              </w:tc>
              <w:tc>
                <w:tcPr>
                  <w:tcW w:w="803" w:type="dxa"/>
                  <w:shd w:val="clear" w:color="auto" w:fill="FFFFFF"/>
                  <w:vAlign w:val="center"/>
                </w:tcPr>
                <w:p>
                  <w:pPr>
                    <w:spacing w:line="240" w:lineRule="auto"/>
                    <w:jc w:val="center"/>
                    <w:rPr>
                      <w:color w:val="FF0000"/>
                      <w:szCs w:val="21"/>
                    </w:rPr>
                  </w:pPr>
                  <w:r>
                    <w:rPr>
                      <w:rFonts w:hint="eastAsia"/>
                      <w:color w:val="FF0000"/>
                      <w:szCs w:val="21"/>
                    </w:rPr>
                    <w:t>4</w:t>
                  </w:r>
                  <w:r>
                    <w:rPr>
                      <w:color w:val="FF0000"/>
                      <w:szCs w:val="21"/>
                    </w:rPr>
                    <w:t>26</w:t>
                  </w:r>
                </w:p>
              </w:tc>
              <w:tc>
                <w:tcPr>
                  <w:tcW w:w="993" w:type="dxa"/>
                  <w:shd w:val="clear" w:color="auto" w:fill="FFFFFF"/>
                  <w:vAlign w:val="center"/>
                </w:tcPr>
                <w:p>
                  <w:pPr>
                    <w:spacing w:line="240" w:lineRule="auto"/>
                    <w:jc w:val="center"/>
                    <w:rPr>
                      <w:color w:val="FF0000"/>
                      <w:szCs w:val="21"/>
                    </w:rPr>
                  </w:pPr>
                  <w:r>
                    <w:rPr>
                      <w:color w:val="FF0000"/>
                      <w:szCs w:val="21"/>
                    </w:rPr>
                    <w:t>夜间</w:t>
                  </w:r>
                </w:p>
              </w:tc>
              <w:tc>
                <w:tcPr>
                  <w:tcW w:w="1417" w:type="dxa"/>
                  <w:shd w:val="clear" w:color="auto" w:fill="FFFFFF"/>
                  <w:vAlign w:val="center"/>
                </w:tcPr>
                <w:p>
                  <w:pPr>
                    <w:spacing w:line="240" w:lineRule="auto"/>
                    <w:jc w:val="center"/>
                    <w:rPr>
                      <w:color w:val="FF0000"/>
                      <w:szCs w:val="21"/>
                    </w:rPr>
                  </w:pPr>
                  <w:r>
                    <w:rPr>
                      <w:rFonts w:hint="eastAsia"/>
                      <w:color w:val="FF0000"/>
                      <w:szCs w:val="21"/>
                    </w:rPr>
                    <w:t>4</w:t>
                  </w:r>
                  <w:r>
                    <w:rPr>
                      <w:color w:val="FF0000"/>
                      <w:szCs w:val="21"/>
                    </w:rPr>
                    <w:t>8.1</w:t>
                  </w:r>
                </w:p>
              </w:tc>
              <w:tc>
                <w:tcPr>
                  <w:tcW w:w="1418" w:type="dxa"/>
                  <w:shd w:val="clear" w:color="auto" w:fill="FFFFFF"/>
                  <w:vAlign w:val="center"/>
                </w:tcPr>
                <w:p>
                  <w:pPr>
                    <w:spacing w:line="240" w:lineRule="auto"/>
                    <w:jc w:val="center"/>
                    <w:rPr>
                      <w:color w:val="FF0000"/>
                      <w:szCs w:val="21"/>
                    </w:rPr>
                  </w:pPr>
                  <w:r>
                    <w:rPr>
                      <w:color w:val="FF0000"/>
                      <w:szCs w:val="21"/>
                    </w:rPr>
                    <w:t>55</w:t>
                  </w:r>
                </w:p>
              </w:tc>
              <w:tc>
                <w:tcPr>
                  <w:tcW w:w="1188" w:type="dxa"/>
                  <w:shd w:val="clear" w:color="auto" w:fill="FFFFFF"/>
                  <w:vAlign w:val="center"/>
                </w:tcPr>
                <w:p>
                  <w:pPr>
                    <w:spacing w:line="240" w:lineRule="auto"/>
                    <w:jc w:val="center"/>
                    <w:rPr>
                      <w:color w:val="FF0000"/>
                      <w:szCs w:val="21"/>
                    </w:rPr>
                  </w:pPr>
                  <w:r>
                    <w:rPr>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1101" w:type="dxa"/>
                  <w:vMerge w:val="restart"/>
                  <w:shd w:val="clear" w:color="auto" w:fill="FFFFFF"/>
                  <w:vAlign w:val="center"/>
                </w:tcPr>
                <w:p>
                  <w:pPr>
                    <w:spacing w:line="240" w:lineRule="auto"/>
                    <w:jc w:val="center"/>
                    <w:rPr>
                      <w:color w:val="FF0000"/>
                      <w:szCs w:val="21"/>
                    </w:rPr>
                  </w:pPr>
                  <w:r>
                    <w:rPr>
                      <w:color w:val="FF0000"/>
                      <w:szCs w:val="21"/>
                    </w:rPr>
                    <w:t>南侧</w:t>
                  </w:r>
                </w:p>
              </w:tc>
              <w:tc>
                <w:tcPr>
                  <w:tcW w:w="803" w:type="dxa"/>
                  <w:shd w:val="clear" w:color="auto" w:fill="FFFFFF"/>
                  <w:vAlign w:val="center"/>
                </w:tcPr>
                <w:p>
                  <w:pPr>
                    <w:spacing w:line="240" w:lineRule="auto"/>
                    <w:jc w:val="center"/>
                    <w:rPr>
                      <w:color w:val="FF0000"/>
                      <w:szCs w:val="21"/>
                    </w:rPr>
                  </w:pPr>
                  <w:r>
                    <w:rPr>
                      <w:rFonts w:hint="eastAsia"/>
                      <w:color w:val="FF0000"/>
                      <w:szCs w:val="21"/>
                    </w:rPr>
                    <w:t>-</w:t>
                  </w:r>
                  <w:r>
                    <w:rPr>
                      <w:color w:val="FF0000"/>
                      <w:szCs w:val="21"/>
                    </w:rPr>
                    <w:t>51.6</w:t>
                  </w:r>
                </w:p>
              </w:tc>
              <w:tc>
                <w:tcPr>
                  <w:tcW w:w="803" w:type="dxa"/>
                  <w:shd w:val="clear" w:color="auto" w:fill="FFFFFF"/>
                  <w:vAlign w:val="center"/>
                </w:tcPr>
                <w:p>
                  <w:pPr>
                    <w:spacing w:line="240" w:lineRule="auto"/>
                    <w:jc w:val="center"/>
                    <w:rPr>
                      <w:color w:val="FF0000"/>
                      <w:szCs w:val="21"/>
                    </w:rPr>
                  </w:pPr>
                  <w:r>
                    <w:rPr>
                      <w:rFonts w:hint="eastAsia"/>
                      <w:color w:val="FF0000"/>
                      <w:szCs w:val="21"/>
                    </w:rPr>
                    <w:t>-</w:t>
                  </w:r>
                  <w:r>
                    <w:rPr>
                      <w:color w:val="FF0000"/>
                      <w:szCs w:val="21"/>
                    </w:rPr>
                    <w:t>126.9</w:t>
                  </w:r>
                </w:p>
              </w:tc>
              <w:tc>
                <w:tcPr>
                  <w:tcW w:w="803" w:type="dxa"/>
                  <w:shd w:val="clear" w:color="auto" w:fill="FFFFFF"/>
                  <w:vAlign w:val="center"/>
                </w:tcPr>
                <w:p>
                  <w:pPr>
                    <w:spacing w:line="240" w:lineRule="auto"/>
                    <w:jc w:val="center"/>
                    <w:rPr>
                      <w:color w:val="FF0000"/>
                      <w:szCs w:val="21"/>
                    </w:rPr>
                  </w:pPr>
                  <w:r>
                    <w:rPr>
                      <w:rFonts w:hint="eastAsia"/>
                      <w:color w:val="FF0000"/>
                      <w:szCs w:val="21"/>
                    </w:rPr>
                    <w:t>4</w:t>
                  </w:r>
                  <w:r>
                    <w:rPr>
                      <w:color w:val="FF0000"/>
                      <w:szCs w:val="21"/>
                    </w:rPr>
                    <w:t>26</w:t>
                  </w:r>
                </w:p>
              </w:tc>
              <w:tc>
                <w:tcPr>
                  <w:tcW w:w="993" w:type="dxa"/>
                  <w:shd w:val="clear" w:color="auto" w:fill="FFFFFF"/>
                  <w:vAlign w:val="center"/>
                </w:tcPr>
                <w:p>
                  <w:pPr>
                    <w:spacing w:line="240" w:lineRule="auto"/>
                    <w:jc w:val="center"/>
                    <w:rPr>
                      <w:color w:val="FF0000"/>
                      <w:szCs w:val="21"/>
                    </w:rPr>
                  </w:pPr>
                  <w:r>
                    <w:rPr>
                      <w:color w:val="FF0000"/>
                      <w:szCs w:val="21"/>
                    </w:rPr>
                    <w:t>昼间</w:t>
                  </w:r>
                </w:p>
              </w:tc>
              <w:tc>
                <w:tcPr>
                  <w:tcW w:w="1417" w:type="dxa"/>
                  <w:shd w:val="clear" w:color="auto" w:fill="FFFFFF"/>
                  <w:vAlign w:val="center"/>
                </w:tcPr>
                <w:p>
                  <w:pPr>
                    <w:spacing w:line="240" w:lineRule="auto"/>
                    <w:jc w:val="center"/>
                    <w:rPr>
                      <w:color w:val="FF0000"/>
                      <w:szCs w:val="21"/>
                    </w:rPr>
                  </w:pPr>
                  <w:r>
                    <w:rPr>
                      <w:rFonts w:hint="eastAsia"/>
                      <w:color w:val="FF0000"/>
                      <w:szCs w:val="21"/>
                    </w:rPr>
                    <w:t>4</w:t>
                  </w:r>
                  <w:r>
                    <w:rPr>
                      <w:color w:val="FF0000"/>
                      <w:szCs w:val="21"/>
                    </w:rPr>
                    <w:t>7.6</w:t>
                  </w:r>
                </w:p>
              </w:tc>
              <w:tc>
                <w:tcPr>
                  <w:tcW w:w="1418" w:type="dxa"/>
                  <w:shd w:val="clear" w:color="auto" w:fill="FFFFFF"/>
                  <w:vAlign w:val="center"/>
                </w:tcPr>
                <w:p>
                  <w:pPr>
                    <w:spacing w:line="240" w:lineRule="auto"/>
                    <w:jc w:val="center"/>
                    <w:rPr>
                      <w:color w:val="FF0000"/>
                      <w:szCs w:val="21"/>
                    </w:rPr>
                  </w:pPr>
                  <w:r>
                    <w:rPr>
                      <w:color w:val="FF0000"/>
                      <w:szCs w:val="21"/>
                    </w:rPr>
                    <w:t>65</w:t>
                  </w:r>
                </w:p>
              </w:tc>
              <w:tc>
                <w:tcPr>
                  <w:tcW w:w="1188" w:type="dxa"/>
                  <w:shd w:val="clear" w:color="auto" w:fill="FFFFFF"/>
                  <w:vAlign w:val="center"/>
                </w:tcPr>
                <w:p>
                  <w:pPr>
                    <w:spacing w:line="240" w:lineRule="auto"/>
                    <w:jc w:val="center"/>
                    <w:rPr>
                      <w:color w:val="FF0000"/>
                      <w:szCs w:val="21"/>
                    </w:rPr>
                  </w:pPr>
                  <w:r>
                    <w:rPr>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1101" w:type="dxa"/>
                  <w:vMerge w:val="continue"/>
                  <w:shd w:val="clear" w:color="auto" w:fill="FFFFFF"/>
                  <w:vAlign w:val="center"/>
                </w:tcPr>
                <w:p>
                  <w:pPr>
                    <w:spacing w:line="240" w:lineRule="auto"/>
                    <w:jc w:val="center"/>
                    <w:rPr>
                      <w:color w:val="FF0000"/>
                      <w:szCs w:val="21"/>
                    </w:rPr>
                  </w:pPr>
                </w:p>
              </w:tc>
              <w:tc>
                <w:tcPr>
                  <w:tcW w:w="803" w:type="dxa"/>
                  <w:shd w:val="clear" w:color="auto" w:fill="FFFFFF"/>
                  <w:vAlign w:val="center"/>
                </w:tcPr>
                <w:p>
                  <w:pPr>
                    <w:spacing w:line="240" w:lineRule="auto"/>
                    <w:jc w:val="center"/>
                    <w:rPr>
                      <w:color w:val="FF0000"/>
                      <w:szCs w:val="21"/>
                    </w:rPr>
                  </w:pPr>
                  <w:r>
                    <w:rPr>
                      <w:rFonts w:hint="eastAsia"/>
                      <w:color w:val="FF0000"/>
                      <w:szCs w:val="21"/>
                    </w:rPr>
                    <w:t>-</w:t>
                  </w:r>
                  <w:r>
                    <w:rPr>
                      <w:color w:val="FF0000"/>
                      <w:szCs w:val="21"/>
                    </w:rPr>
                    <w:t>51.6</w:t>
                  </w:r>
                </w:p>
              </w:tc>
              <w:tc>
                <w:tcPr>
                  <w:tcW w:w="803" w:type="dxa"/>
                  <w:shd w:val="clear" w:color="auto" w:fill="FFFFFF"/>
                  <w:vAlign w:val="center"/>
                </w:tcPr>
                <w:p>
                  <w:pPr>
                    <w:spacing w:line="240" w:lineRule="auto"/>
                    <w:jc w:val="center"/>
                    <w:rPr>
                      <w:color w:val="FF0000"/>
                      <w:szCs w:val="21"/>
                    </w:rPr>
                  </w:pPr>
                  <w:r>
                    <w:rPr>
                      <w:rFonts w:hint="eastAsia"/>
                      <w:color w:val="FF0000"/>
                      <w:szCs w:val="21"/>
                    </w:rPr>
                    <w:t>-</w:t>
                  </w:r>
                  <w:r>
                    <w:rPr>
                      <w:color w:val="FF0000"/>
                      <w:szCs w:val="21"/>
                    </w:rPr>
                    <w:t>126.9</w:t>
                  </w:r>
                </w:p>
              </w:tc>
              <w:tc>
                <w:tcPr>
                  <w:tcW w:w="803" w:type="dxa"/>
                  <w:shd w:val="clear" w:color="auto" w:fill="FFFFFF"/>
                  <w:vAlign w:val="center"/>
                </w:tcPr>
                <w:p>
                  <w:pPr>
                    <w:spacing w:line="240" w:lineRule="auto"/>
                    <w:jc w:val="center"/>
                    <w:rPr>
                      <w:color w:val="FF0000"/>
                      <w:szCs w:val="21"/>
                    </w:rPr>
                  </w:pPr>
                  <w:r>
                    <w:rPr>
                      <w:rFonts w:hint="eastAsia"/>
                      <w:color w:val="FF0000"/>
                      <w:szCs w:val="21"/>
                    </w:rPr>
                    <w:t>4</w:t>
                  </w:r>
                  <w:r>
                    <w:rPr>
                      <w:color w:val="FF0000"/>
                      <w:szCs w:val="21"/>
                    </w:rPr>
                    <w:t>26</w:t>
                  </w:r>
                </w:p>
              </w:tc>
              <w:tc>
                <w:tcPr>
                  <w:tcW w:w="993" w:type="dxa"/>
                  <w:shd w:val="clear" w:color="auto" w:fill="FFFFFF"/>
                  <w:vAlign w:val="center"/>
                </w:tcPr>
                <w:p>
                  <w:pPr>
                    <w:spacing w:line="240" w:lineRule="auto"/>
                    <w:jc w:val="center"/>
                    <w:rPr>
                      <w:color w:val="FF0000"/>
                      <w:szCs w:val="21"/>
                    </w:rPr>
                  </w:pPr>
                  <w:r>
                    <w:rPr>
                      <w:color w:val="FF0000"/>
                      <w:szCs w:val="21"/>
                    </w:rPr>
                    <w:t>夜间</w:t>
                  </w:r>
                </w:p>
              </w:tc>
              <w:tc>
                <w:tcPr>
                  <w:tcW w:w="1417" w:type="dxa"/>
                  <w:shd w:val="clear" w:color="auto" w:fill="FFFFFF"/>
                  <w:vAlign w:val="center"/>
                </w:tcPr>
                <w:p>
                  <w:pPr>
                    <w:spacing w:line="240" w:lineRule="auto"/>
                    <w:jc w:val="center"/>
                    <w:rPr>
                      <w:color w:val="FF0000"/>
                      <w:szCs w:val="21"/>
                    </w:rPr>
                  </w:pPr>
                  <w:r>
                    <w:rPr>
                      <w:rFonts w:hint="eastAsia"/>
                      <w:color w:val="FF0000"/>
                      <w:szCs w:val="21"/>
                    </w:rPr>
                    <w:t>4</w:t>
                  </w:r>
                  <w:r>
                    <w:rPr>
                      <w:color w:val="FF0000"/>
                      <w:szCs w:val="21"/>
                    </w:rPr>
                    <w:t>7.6</w:t>
                  </w:r>
                </w:p>
              </w:tc>
              <w:tc>
                <w:tcPr>
                  <w:tcW w:w="1418" w:type="dxa"/>
                  <w:shd w:val="clear" w:color="auto" w:fill="FFFFFF"/>
                  <w:vAlign w:val="center"/>
                </w:tcPr>
                <w:p>
                  <w:pPr>
                    <w:spacing w:line="240" w:lineRule="auto"/>
                    <w:jc w:val="center"/>
                    <w:rPr>
                      <w:color w:val="FF0000"/>
                      <w:szCs w:val="21"/>
                    </w:rPr>
                  </w:pPr>
                  <w:r>
                    <w:rPr>
                      <w:color w:val="FF0000"/>
                      <w:szCs w:val="21"/>
                    </w:rPr>
                    <w:t>55</w:t>
                  </w:r>
                </w:p>
              </w:tc>
              <w:tc>
                <w:tcPr>
                  <w:tcW w:w="1188" w:type="dxa"/>
                  <w:shd w:val="clear" w:color="auto" w:fill="FFFFFF"/>
                  <w:vAlign w:val="center"/>
                </w:tcPr>
                <w:p>
                  <w:pPr>
                    <w:spacing w:line="240" w:lineRule="auto"/>
                    <w:jc w:val="center"/>
                    <w:rPr>
                      <w:color w:val="FF0000"/>
                      <w:szCs w:val="21"/>
                    </w:rPr>
                  </w:pPr>
                  <w:r>
                    <w:rPr>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1101" w:type="dxa"/>
                  <w:vMerge w:val="restart"/>
                  <w:shd w:val="clear" w:color="auto" w:fill="FFFFFF"/>
                  <w:vAlign w:val="center"/>
                </w:tcPr>
                <w:p>
                  <w:pPr>
                    <w:spacing w:line="240" w:lineRule="auto"/>
                    <w:jc w:val="center"/>
                    <w:rPr>
                      <w:color w:val="FF0000"/>
                      <w:szCs w:val="21"/>
                    </w:rPr>
                  </w:pPr>
                  <w:r>
                    <w:rPr>
                      <w:color w:val="FF0000"/>
                      <w:szCs w:val="21"/>
                    </w:rPr>
                    <w:t>西侧</w:t>
                  </w:r>
                </w:p>
              </w:tc>
              <w:tc>
                <w:tcPr>
                  <w:tcW w:w="803" w:type="dxa"/>
                  <w:shd w:val="clear" w:color="auto" w:fill="FFFFFF"/>
                  <w:vAlign w:val="center"/>
                </w:tcPr>
                <w:p>
                  <w:pPr>
                    <w:spacing w:line="240" w:lineRule="auto"/>
                    <w:jc w:val="center"/>
                    <w:rPr>
                      <w:color w:val="FF0000"/>
                      <w:szCs w:val="21"/>
                    </w:rPr>
                  </w:pPr>
                  <w:r>
                    <w:rPr>
                      <w:rFonts w:hint="eastAsia"/>
                      <w:color w:val="FF0000"/>
                      <w:szCs w:val="21"/>
                    </w:rPr>
                    <w:t>-</w:t>
                  </w:r>
                  <w:r>
                    <w:rPr>
                      <w:color w:val="FF0000"/>
                      <w:szCs w:val="21"/>
                    </w:rPr>
                    <w:t>78.3</w:t>
                  </w:r>
                </w:p>
              </w:tc>
              <w:tc>
                <w:tcPr>
                  <w:tcW w:w="803" w:type="dxa"/>
                  <w:shd w:val="clear" w:color="auto" w:fill="FFFFFF"/>
                  <w:vAlign w:val="center"/>
                </w:tcPr>
                <w:p>
                  <w:pPr>
                    <w:spacing w:line="240" w:lineRule="auto"/>
                    <w:jc w:val="center"/>
                    <w:rPr>
                      <w:color w:val="FF0000"/>
                      <w:szCs w:val="21"/>
                    </w:rPr>
                  </w:pPr>
                  <w:r>
                    <w:rPr>
                      <w:rFonts w:hint="eastAsia"/>
                      <w:color w:val="FF0000"/>
                      <w:szCs w:val="21"/>
                    </w:rPr>
                    <w:t>2</w:t>
                  </w:r>
                  <w:r>
                    <w:rPr>
                      <w:color w:val="FF0000"/>
                      <w:szCs w:val="21"/>
                    </w:rPr>
                    <w:t>9.4</w:t>
                  </w:r>
                </w:p>
              </w:tc>
              <w:tc>
                <w:tcPr>
                  <w:tcW w:w="803" w:type="dxa"/>
                  <w:shd w:val="clear" w:color="auto" w:fill="FFFFFF"/>
                  <w:vAlign w:val="center"/>
                </w:tcPr>
                <w:p>
                  <w:pPr>
                    <w:spacing w:line="240" w:lineRule="auto"/>
                    <w:jc w:val="center"/>
                    <w:rPr>
                      <w:color w:val="FF0000"/>
                      <w:szCs w:val="21"/>
                    </w:rPr>
                  </w:pPr>
                  <w:r>
                    <w:rPr>
                      <w:rFonts w:hint="eastAsia"/>
                      <w:color w:val="FF0000"/>
                      <w:szCs w:val="21"/>
                    </w:rPr>
                    <w:t>4</w:t>
                  </w:r>
                  <w:r>
                    <w:rPr>
                      <w:color w:val="FF0000"/>
                      <w:szCs w:val="21"/>
                    </w:rPr>
                    <w:t>26</w:t>
                  </w:r>
                </w:p>
              </w:tc>
              <w:tc>
                <w:tcPr>
                  <w:tcW w:w="993" w:type="dxa"/>
                  <w:shd w:val="clear" w:color="auto" w:fill="FFFFFF"/>
                  <w:vAlign w:val="center"/>
                </w:tcPr>
                <w:p>
                  <w:pPr>
                    <w:spacing w:line="240" w:lineRule="auto"/>
                    <w:jc w:val="center"/>
                    <w:rPr>
                      <w:color w:val="FF0000"/>
                      <w:szCs w:val="21"/>
                    </w:rPr>
                  </w:pPr>
                  <w:r>
                    <w:rPr>
                      <w:color w:val="FF0000"/>
                      <w:szCs w:val="21"/>
                    </w:rPr>
                    <w:t>昼间</w:t>
                  </w:r>
                </w:p>
              </w:tc>
              <w:tc>
                <w:tcPr>
                  <w:tcW w:w="1417" w:type="dxa"/>
                  <w:shd w:val="clear" w:color="auto" w:fill="FFFFFF"/>
                  <w:vAlign w:val="center"/>
                </w:tcPr>
                <w:p>
                  <w:pPr>
                    <w:spacing w:line="240" w:lineRule="auto"/>
                    <w:jc w:val="center"/>
                    <w:rPr>
                      <w:color w:val="FF0000"/>
                      <w:szCs w:val="21"/>
                    </w:rPr>
                  </w:pPr>
                  <w:r>
                    <w:rPr>
                      <w:rFonts w:hint="eastAsia"/>
                      <w:color w:val="FF0000"/>
                      <w:szCs w:val="21"/>
                    </w:rPr>
                    <w:t>5</w:t>
                  </w:r>
                  <w:r>
                    <w:rPr>
                      <w:color w:val="FF0000"/>
                      <w:szCs w:val="21"/>
                    </w:rPr>
                    <w:t>1.3</w:t>
                  </w:r>
                </w:p>
              </w:tc>
              <w:tc>
                <w:tcPr>
                  <w:tcW w:w="1418" w:type="dxa"/>
                  <w:shd w:val="clear" w:color="auto" w:fill="FFFFFF"/>
                  <w:vAlign w:val="center"/>
                </w:tcPr>
                <w:p>
                  <w:pPr>
                    <w:spacing w:line="240" w:lineRule="auto"/>
                    <w:jc w:val="center"/>
                    <w:rPr>
                      <w:color w:val="FF0000"/>
                      <w:szCs w:val="21"/>
                    </w:rPr>
                  </w:pPr>
                  <w:r>
                    <w:rPr>
                      <w:color w:val="FF0000"/>
                      <w:szCs w:val="21"/>
                    </w:rPr>
                    <w:t>65</w:t>
                  </w:r>
                </w:p>
              </w:tc>
              <w:tc>
                <w:tcPr>
                  <w:tcW w:w="1188" w:type="dxa"/>
                  <w:shd w:val="clear" w:color="auto" w:fill="FFFFFF"/>
                  <w:vAlign w:val="center"/>
                </w:tcPr>
                <w:p>
                  <w:pPr>
                    <w:spacing w:line="240" w:lineRule="auto"/>
                    <w:jc w:val="center"/>
                    <w:rPr>
                      <w:color w:val="FF0000"/>
                      <w:szCs w:val="21"/>
                    </w:rPr>
                  </w:pPr>
                  <w:r>
                    <w:rPr>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1101" w:type="dxa"/>
                  <w:vMerge w:val="continue"/>
                  <w:shd w:val="clear" w:color="auto" w:fill="FFFFFF"/>
                  <w:vAlign w:val="center"/>
                </w:tcPr>
                <w:p>
                  <w:pPr>
                    <w:spacing w:line="240" w:lineRule="auto"/>
                    <w:jc w:val="center"/>
                    <w:rPr>
                      <w:color w:val="FF0000"/>
                      <w:szCs w:val="21"/>
                    </w:rPr>
                  </w:pPr>
                </w:p>
              </w:tc>
              <w:tc>
                <w:tcPr>
                  <w:tcW w:w="803" w:type="dxa"/>
                  <w:shd w:val="clear" w:color="auto" w:fill="FFFFFF"/>
                  <w:vAlign w:val="center"/>
                </w:tcPr>
                <w:p>
                  <w:pPr>
                    <w:spacing w:line="240" w:lineRule="auto"/>
                    <w:jc w:val="center"/>
                    <w:rPr>
                      <w:color w:val="FF0000"/>
                      <w:szCs w:val="21"/>
                    </w:rPr>
                  </w:pPr>
                  <w:r>
                    <w:rPr>
                      <w:rFonts w:hint="eastAsia"/>
                      <w:color w:val="FF0000"/>
                      <w:szCs w:val="21"/>
                    </w:rPr>
                    <w:t>-</w:t>
                  </w:r>
                  <w:r>
                    <w:rPr>
                      <w:color w:val="FF0000"/>
                      <w:szCs w:val="21"/>
                    </w:rPr>
                    <w:t>78.3</w:t>
                  </w:r>
                </w:p>
              </w:tc>
              <w:tc>
                <w:tcPr>
                  <w:tcW w:w="803" w:type="dxa"/>
                  <w:shd w:val="clear" w:color="auto" w:fill="FFFFFF"/>
                  <w:vAlign w:val="center"/>
                </w:tcPr>
                <w:p>
                  <w:pPr>
                    <w:spacing w:line="240" w:lineRule="auto"/>
                    <w:jc w:val="center"/>
                    <w:rPr>
                      <w:color w:val="FF0000"/>
                      <w:szCs w:val="21"/>
                    </w:rPr>
                  </w:pPr>
                  <w:r>
                    <w:rPr>
                      <w:rFonts w:hint="eastAsia"/>
                      <w:color w:val="FF0000"/>
                      <w:szCs w:val="21"/>
                    </w:rPr>
                    <w:t>2</w:t>
                  </w:r>
                  <w:r>
                    <w:rPr>
                      <w:color w:val="FF0000"/>
                      <w:szCs w:val="21"/>
                    </w:rPr>
                    <w:t>9.4</w:t>
                  </w:r>
                </w:p>
              </w:tc>
              <w:tc>
                <w:tcPr>
                  <w:tcW w:w="803" w:type="dxa"/>
                  <w:shd w:val="clear" w:color="auto" w:fill="FFFFFF"/>
                  <w:vAlign w:val="center"/>
                </w:tcPr>
                <w:p>
                  <w:pPr>
                    <w:spacing w:line="240" w:lineRule="auto"/>
                    <w:jc w:val="center"/>
                    <w:rPr>
                      <w:color w:val="FF0000"/>
                      <w:szCs w:val="21"/>
                    </w:rPr>
                  </w:pPr>
                  <w:r>
                    <w:rPr>
                      <w:color w:val="FF0000"/>
                      <w:szCs w:val="21"/>
                    </w:rPr>
                    <w:t>426</w:t>
                  </w:r>
                </w:p>
              </w:tc>
              <w:tc>
                <w:tcPr>
                  <w:tcW w:w="993" w:type="dxa"/>
                  <w:shd w:val="clear" w:color="auto" w:fill="FFFFFF"/>
                  <w:vAlign w:val="center"/>
                </w:tcPr>
                <w:p>
                  <w:pPr>
                    <w:spacing w:line="240" w:lineRule="auto"/>
                    <w:jc w:val="center"/>
                    <w:rPr>
                      <w:color w:val="FF0000"/>
                      <w:szCs w:val="21"/>
                    </w:rPr>
                  </w:pPr>
                  <w:r>
                    <w:rPr>
                      <w:color w:val="FF0000"/>
                      <w:szCs w:val="21"/>
                    </w:rPr>
                    <w:t>夜间</w:t>
                  </w:r>
                </w:p>
              </w:tc>
              <w:tc>
                <w:tcPr>
                  <w:tcW w:w="1417" w:type="dxa"/>
                  <w:shd w:val="clear" w:color="auto" w:fill="FFFFFF"/>
                  <w:vAlign w:val="center"/>
                </w:tcPr>
                <w:p>
                  <w:pPr>
                    <w:spacing w:line="240" w:lineRule="auto"/>
                    <w:jc w:val="center"/>
                    <w:rPr>
                      <w:color w:val="FF0000"/>
                      <w:szCs w:val="21"/>
                    </w:rPr>
                  </w:pPr>
                  <w:r>
                    <w:rPr>
                      <w:rFonts w:hint="eastAsia"/>
                      <w:color w:val="FF0000"/>
                      <w:szCs w:val="21"/>
                    </w:rPr>
                    <w:t>5</w:t>
                  </w:r>
                  <w:r>
                    <w:rPr>
                      <w:color w:val="FF0000"/>
                      <w:szCs w:val="21"/>
                    </w:rPr>
                    <w:t>1.3</w:t>
                  </w:r>
                </w:p>
              </w:tc>
              <w:tc>
                <w:tcPr>
                  <w:tcW w:w="1418" w:type="dxa"/>
                  <w:shd w:val="clear" w:color="auto" w:fill="FFFFFF"/>
                  <w:vAlign w:val="center"/>
                </w:tcPr>
                <w:p>
                  <w:pPr>
                    <w:spacing w:line="240" w:lineRule="auto"/>
                    <w:jc w:val="center"/>
                    <w:rPr>
                      <w:color w:val="FF0000"/>
                      <w:szCs w:val="21"/>
                    </w:rPr>
                  </w:pPr>
                  <w:r>
                    <w:rPr>
                      <w:color w:val="FF0000"/>
                      <w:szCs w:val="21"/>
                    </w:rPr>
                    <w:t>55</w:t>
                  </w:r>
                </w:p>
              </w:tc>
              <w:tc>
                <w:tcPr>
                  <w:tcW w:w="1188" w:type="dxa"/>
                  <w:shd w:val="clear" w:color="auto" w:fill="FFFFFF"/>
                  <w:vAlign w:val="center"/>
                </w:tcPr>
                <w:p>
                  <w:pPr>
                    <w:spacing w:line="240" w:lineRule="auto"/>
                    <w:jc w:val="center"/>
                    <w:rPr>
                      <w:color w:val="FF0000"/>
                      <w:szCs w:val="21"/>
                    </w:rPr>
                  </w:pPr>
                  <w:r>
                    <w:rPr>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1101" w:type="dxa"/>
                  <w:vMerge w:val="restart"/>
                  <w:shd w:val="clear" w:color="auto" w:fill="FFFFFF"/>
                  <w:vAlign w:val="center"/>
                </w:tcPr>
                <w:p>
                  <w:pPr>
                    <w:spacing w:line="240" w:lineRule="auto"/>
                    <w:jc w:val="center"/>
                    <w:rPr>
                      <w:color w:val="FF0000"/>
                      <w:szCs w:val="21"/>
                    </w:rPr>
                  </w:pPr>
                  <w:r>
                    <w:rPr>
                      <w:color w:val="FF0000"/>
                      <w:szCs w:val="21"/>
                    </w:rPr>
                    <w:t>北侧</w:t>
                  </w:r>
                </w:p>
              </w:tc>
              <w:tc>
                <w:tcPr>
                  <w:tcW w:w="803" w:type="dxa"/>
                  <w:shd w:val="clear" w:color="auto" w:fill="FFFFFF"/>
                  <w:vAlign w:val="center"/>
                </w:tcPr>
                <w:p>
                  <w:pPr>
                    <w:spacing w:line="240" w:lineRule="auto"/>
                    <w:jc w:val="center"/>
                    <w:rPr>
                      <w:color w:val="FF0000"/>
                      <w:szCs w:val="21"/>
                    </w:rPr>
                  </w:pPr>
                  <w:r>
                    <w:rPr>
                      <w:color w:val="FF0000"/>
                      <w:szCs w:val="21"/>
                    </w:rPr>
                    <w:t>51</w:t>
                  </w:r>
                </w:p>
              </w:tc>
              <w:tc>
                <w:tcPr>
                  <w:tcW w:w="803" w:type="dxa"/>
                  <w:shd w:val="clear" w:color="auto" w:fill="FFFFFF"/>
                  <w:vAlign w:val="center"/>
                </w:tcPr>
                <w:p>
                  <w:pPr>
                    <w:spacing w:line="240" w:lineRule="auto"/>
                    <w:jc w:val="center"/>
                    <w:rPr>
                      <w:color w:val="FF0000"/>
                      <w:szCs w:val="21"/>
                    </w:rPr>
                  </w:pPr>
                  <w:r>
                    <w:rPr>
                      <w:rFonts w:hint="eastAsia"/>
                      <w:color w:val="FF0000"/>
                      <w:szCs w:val="21"/>
                    </w:rPr>
                    <w:t>1</w:t>
                  </w:r>
                  <w:r>
                    <w:rPr>
                      <w:color w:val="FF0000"/>
                      <w:szCs w:val="21"/>
                    </w:rPr>
                    <w:t>28</w:t>
                  </w:r>
                </w:p>
              </w:tc>
              <w:tc>
                <w:tcPr>
                  <w:tcW w:w="803" w:type="dxa"/>
                  <w:shd w:val="clear" w:color="auto" w:fill="FFFFFF"/>
                  <w:vAlign w:val="center"/>
                </w:tcPr>
                <w:p>
                  <w:pPr>
                    <w:spacing w:line="240" w:lineRule="auto"/>
                    <w:jc w:val="center"/>
                    <w:rPr>
                      <w:color w:val="FF0000"/>
                      <w:szCs w:val="21"/>
                    </w:rPr>
                  </w:pPr>
                  <w:r>
                    <w:rPr>
                      <w:rFonts w:hint="eastAsia"/>
                      <w:color w:val="FF0000"/>
                      <w:szCs w:val="21"/>
                    </w:rPr>
                    <w:t>4</w:t>
                  </w:r>
                  <w:r>
                    <w:rPr>
                      <w:color w:val="FF0000"/>
                      <w:szCs w:val="21"/>
                    </w:rPr>
                    <w:t>26</w:t>
                  </w:r>
                </w:p>
              </w:tc>
              <w:tc>
                <w:tcPr>
                  <w:tcW w:w="993" w:type="dxa"/>
                  <w:shd w:val="clear" w:color="auto" w:fill="FFFFFF"/>
                  <w:vAlign w:val="center"/>
                </w:tcPr>
                <w:p>
                  <w:pPr>
                    <w:spacing w:line="240" w:lineRule="auto"/>
                    <w:jc w:val="center"/>
                    <w:rPr>
                      <w:color w:val="FF0000"/>
                      <w:szCs w:val="21"/>
                    </w:rPr>
                  </w:pPr>
                  <w:r>
                    <w:rPr>
                      <w:color w:val="FF0000"/>
                      <w:szCs w:val="21"/>
                    </w:rPr>
                    <w:t>昼间</w:t>
                  </w:r>
                </w:p>
              </w:tc>
              <w:tc>
                <w:tcPr>
                  <w:tcW w:w="1417" w:type="dxa"/>
                  <w:shd w:val="clear" w:color="auto" w:fill="FFFFFF"/>
                  <w:vAlign w:val="center"/>
                </w:tcPr>
                <w:p>
                  <w:pPr>
                    <w:spacing w:line="240" w:lineRule="auto"/>
                    <w:jc w:val="center"/>
                    <w:rPr>
                      <w:color w:val="FF0000"/>
                      <w:szCs w:val="21"/>
                    </w:rPr>
                  </w:pPr>
                  <w:r>
                    <w:rPr>
                      <w:rFonts w:hint="eastAsia"/>
                      <w:color w:val="FF0000"/>
                      <w:szCs w:val="21"/>
                    </w:rPr>
                    <w:t>4</w:t>
                  </w:r>
                  <w:r>
                    <w:rPr>
                      <w:color w:val="FF0000"/>
                      <w:szCs w:val="21"/>
                    </w:rPr>
                    <w:t>4.8</w:t>
                  </w:r>
                </w:p>
              </w:tc>
              <w:tc>
                <w:tcPr>
                  <w:tcW w:w="1418" w:type="dxa"/>
                  <w:shd w:val="clear" w:color="auto" w:fill="FFFFFF"/>
                  <w:vAlign w:val="center"/>
                </w:tcPr>
                <w:p>
                  <w:pPr>
                    <w:spacing w:line="240" w:lineRule="auto"/>
                    <w:jc w:val="center"/>
                    <w:rPr>
                      <w:color w:val="FF0000"/>
                      <w:szCs w:val="21"/>
                    </w:rPr>
                  </w:pPr>
                  <w:r>
                    <w:rPr>
                      <w:color w:val="FF0000"/>
                      <w:szCs w:val="21"/>
                    </w:rPr>
                    <w:t>65</w:t>
                  </w:r>
                </w:p>
              </w:tc>
              <w:tc>
                <w:tcPr>
                  <w:tcW w:w="1188" w:type="dxa"/>
                  <w:shd w:val="clear" w:color="auto" w:fill="FFFFFF"/>
                  <w:vAlign w:val="center"/>
                </w:tcPr>
                <w:p>
                  <w:pPr>
                    <w:spacing w:line="240" w:lineRule="auto"/>
                    <w:jc w:val="center"/>
                    <w:rPr>
                      <w:color w:val="FF0000"/>
                      <w:szCs w:val="21"/>
                    </w:rPr>
                  </w:pPr>
                  <w:r>
                    <w:rPr>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1101" w:type="dxa"/>
                  <w:vMerge w:val="continue"/>
                  <w:shd w:val="clear" w:color="auto" w:fill="FFFFFF"/>
                  <w:vAlign w:val="center"/>
                </w:tcPr>
                <w:p>
                  <w:pPr>
                    <w:spacing w:line="240" w:lineRule="auto"/>
                    <w:jc w:val="center"/>
                    <w:rPr>
                      <w:color w:val="FF0000"/>
                      <w:szCs w:val="21"/>
                    </w:rPr>
                  </w:pPr>
                </w:p>
              </w:tc>
              <w:tc>
                <w:tcPr>
                  <w:tcW w:w="803" w:type="dxa"/>
                  <w:shd w:val="clear" w:color="auto" w:fill="FFFFFF"/>
                  <w:vAlign w:val="center"/>
                </w:tcPr>
                <w:p>
                  <w:pPr>
                    <w:spacing w:line="240" w:lineRule="auto"/>
                    <w:jc w:val="center"/>
                    <w:rPr>
                      <w:color w:val="FF0000"/>
                      <w:szCs w:val="21"/>
                    </w:rPr>
                  </w:pPr>
                  <w:r>
                    <w:rPr>
                      <w:rFonts w:hint="eastAsia"/>
                      <w:color w:val="FF0000"/>
                      <w:szCs w:val="21"/>
                    </w:rPr>
                    <w:t>5</w:t>
                  </w:r>
                  <w:r>
                    <w:rPr>
                      <w:color w:val="FF0000"/>
                      <w:szCs w:val="21"/>
                    </w:rPr>
                    <w:t>1</w:t>
                  </w:r>
                </w:p>
              </w:tc>
              <w:tc>
                <w:tcPr>
                  <w:tcW w:w="803" w:type="dxa"/>
                  <w:shd w:val="clear" w:color="auto" w:fill="FFFFFF"/>
                  <w:vAlign w:val="center"/>
                </w:tcPr>
                <w:p>
                  <w:pPr>
                    <w:spacing w:line="240" w:lineRule="auto"/>
                    <w:jc w:val="center"/>
                    <w:rPr>
                      <w:color w:val="FF0000"/>
                      <w:szCs w:val="21"/>
                    </w:rPr>
                  </w:pPr>
                  <w:r>
                    <w:rPr>
                      <w:rFonts w:hint="eastAsia"/>
                      <w:color w:val="FF0000"/>
                      <w:szCs w:val="21"/>
                    </w:rPr>
                    <w:t>1</w:t>
                  </w:r>
                  <w:r>
                    <w:rPr>
                      <w:color w:val="FF0000"/>
                      <w:szCs w:val="21"/>
                    </w:rPr>
                    <w:t>28</w:t>
                  </w:r>
                </w:p>
              </w:tc>
              <w:tc>
                <w:tcPr>
                  <w:tcW w:w="803" w:type="dxa"/>
                  <w:shd w:val="clear" w:color="auto" w:fill="FFFFFF"/>
                  <w:vAlign w:val="center"/>
                </w:tcPr>
                <w:p>
                  <w:pPr>
                    <w:spacing w:line="240" w:lineRule="auto"/>
                    <w:jc w:val="center"/>
                    <w:rPr>
                      <w:color w:val="FF0000"/>
                      <w:szCs w:val="21"/>
                    </w:rPr>
                  </w:pPr>
                  <w:r>
                    <w:rPr>
                      <w:rFonts w:hint="eastAsia"/>
                      <w:color w:val="FF0000"/>
                      <w:szCs w:val="21"/>
                    </w:rPr>
                    <w:t>4</w:t>
                  </w:r>
                  <w:r>
                    <w:rPr>
                      <w:color w:val="FF0000"/>
                      <w:szCs w:val="21"/>
                    </w:rPr>
                    <w:t>26</w:t>
                  </w:r>
                </w:p>
              </w:tc>
              <w:tc>
                <w:tcPr>
                  <w:tcW w:w="993" w:type="dxa"/>
                  <w:shd w:val="clear" w:color="auto" w:fill="FFFFFF"/>
                  <w:vAlign w:val="center"/>
                </w:tcPr>
                <w:p>
                  <w:pPr>
                    <w:spacing w:line="240" w:lineRule="auto"/>
                    <w:jc w:val="center"/>
                    <w:rPr>
                      <w:color w:val="FF0000"/>
                      <w:szCs w:val="21"/>
                    </w:rPr>
                  </w:pPr>
                  <w:r>
                    <w:rPr>
                      <w:color w:val="FF0000"/>
                      <w:szCs w:val="21"/>
                    </w:rPr>
                    <w:t>夜间</w:t>
                  </w:r>
                </w:p>
              </w:tc>
              <w:tc>
                <w:tcPr>
                  <w:tcW w:w="1417" w:type="dxa"/>
                  <w:shd w:val="clear" w:color="auto" w:fill="FFFFFF"/>
                  <w:vAlign w:val="center"/>
                </w:tcPr>
                <w:p>
                  <w:pPr>
                    <w:spacing w:line="240" w:lineRule="auto"/>
                    <w:jc w:val="center"/>
                    <w:rPr>
                      <w:color w:val="FF0000"/>
                      <w:szCs w:val="21"/>
                    </w:rPr>
                  </w:pPr>
                  <w:r>
                    <w:rPr>
                      <w:rFonts w:hint="eastAsia"/>
                      <w:color w:val="FF0000"/>
                      <w:szCs w:val="21"/>
                    </w:rPr>
                    <w:t>4</w:t>
                  </w:r>
                  <w:r>
                    <w:rPr>
                      <w:color w:val="FF0000"/>
                      <w:szCs w:val="21"/>
                    </w:rPr>
                    <w:t>4.8</w:t>
                  </w:r>
                </w:p>
              </w:tc>
              <w:tc>
                <w:tcPr>
                  <w:tcW w:w="1418" w:type="dxa"/>
                  <w:shd w:val="clear" w:color="auto" w:fill="FFFFFF"/>
                  <w:vAlign w:val="center"/>
                </w:tcPr>
                <w:p>
                  <w:pPr>
                    <w:spacing w:line="240" w:lineRule="auto"/>
                    <w:jc w:val="center"/>
                    <w:rPr>
                      <w:color w:val="FF0000"/>
                      <w:szCs w:val="21"/>
                    </w:rPr>
                  </w:pPr>
                  <w:r>
                    <w:rPr>
                      <w:color w:val="FF0000"/>
                      <w:szCs w:val="21"/>
                    </w:rPr>
                    <w:t>55</w:t>
                  </w:r>
                </w:p>
              </w:tc>
              <w:tc>
                <w:tcPr>
                  <w:tcW w:w="1188" w:type="dxa"/>
                  <w:shd w:val="clear" w:color="auto" w:fill="FFFFFF"/>
                  <w:vAlign w:val="center"/>
                </w:tcPr>
                <w:p>
                  <w:pPr>
                    <w:spacing w:line="240" w:lineRule="auto"/>
                    <w:jc w:val="center"/>
                    <w:rPr>
                      <w:color w:val="FF0000"/>
                      <w:szCs w:val="21"/>
                    </w:rPr>
                  </w:pPr>
                  <w:r>
                    <w:rPr>
                      <w:color w:val="FF0000"/>
                      <w:szCs w:val="21"/>
                    </w:rPr>
                    <w:t>达标</w:t>
                  </w:r>
                </w:p>
              </w:tc>
            </w:tr>
          </w:tbl>
          <w:p>
            <w:pPr>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从</w:t>
            </w:r>
            <w:r>
              <w:rPr>
                <w:rFonts w:hint="eastAsia"/>
                <w:color w:val="000000" w:themeColor="text1"/>
                <w:sz w:val="24"/>
                <w14:textFill>
                  <w14:solidFill>
                    <w14:schemeClr w14:val="tx1"/>
                  </w14:solidFill>
                </w14:textFill>
              </w:rPr>
              <w:t>上表预测结果</w:t>
            </w:r>
            <w:r>
              <w:rPr>
                <w:color w:val="000000" w:themeColor="text1"/>
                <w:sz w:val="24"/>
                <w14:textFill>
                  <w14:solidFill>
                    <w14:schemeClr w14:val="tx1"/>
                  </w14:solidFill>
                </w14:textFill>
              </w:rPr>
              <w:t>可知，</w:t>
            </w:r>
            <w:r>
              <w:rPr>
                <w:rFonts w:hint="eastAsia"/>
                <w:color w:val="000000" w:themeColor="text1"/>
                <w:sz w:val="24"/>
                <w14:textFill>
                  <w14:solidFill>
                    <w14:schemeClr w14:val="tx1"/>
                  </w14:solidFill>
                </w14:textFill>
              </w:rPr>
              <w:t>项目厂界噪声昼间、夜间均</w:t>
            </w:r>
            <w:r>
              <w:rPr>
                <w:color w:val="000000" w:themeColor="text1"/>
                <w:sz w:val="24"/>
                <w14:textFill>
                  <w14:solidFill>
                    <w14:schemeClr w14:val="tx1"/>
                  </w14:solidFill>
                </w14:textFill>
              </w:rPr>
              <w:t>满足《工业企业厂界环境噪声排放标准》（GB12348-2008）</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类标准</w:t>
            </w:r>
            <w:r>
              <w:rPr>
                <w:rFonts w:hint="eastAsia"/>
                <w:color w:val="000000" w:themeColor="text1"/>
                <w:sz w:val="24"/>
                <w14:textFill>
                  <w14:solidFill>
                    <w14:schemeClr w14:val="tx1"/>
                  </w14:solidFill>
                </w14:textFill>
              </w:rPr>
              <w:t>要求。</w:t>
            </w:r>
          </w:p>
          <w:p>
            <w:pPr>
              <w:ind w:firstLine="482" w:firstLineChars="200"/>
              <w:jc w:val="left"/>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4</w:t>
            </w:r>
            <w:r>
              <w:rPr>
                <w:rFonts w:hint="eastAsia"/>
                <w:b/>
                <w:color w:val="000000" w:themeColor="text1"/>
                <w:kern w:val="0"/>
                <w:sz w:val="24"/>
                <w14:textFill>
                  <w14:solidFill>
                    <w14:schemeClr w14:val="tx1"/>
                  </w14:solidFill>
                </w14:textFill>
              </w:rPr>
              <w:t>、</w:t>
            </w:r>
            <w:r>
              <w:rPr>
                <w:b/>
                <w:color w:val="000000" w:themeColor="text1"/>
                <w:kern w:val="0"/>
                <w:sz w:val="24"/>
                <w14:textFill>
                  <w14:solidFill>
                    <w14:schemeClr w14:val="tx1"/>
                  </w14:solidFill>
                </w14:textFill>
              </w:rPr>
              <w:t>声环境影响分析</w:t>
            </w:r>
          </w:p>
          <w:p>
            <w:pPr>
              <w:pStyle w:val="72"/>
              <w:ind w:firstLine="480"/>
              <w:rPr>
                <w:rFonts w:cs="Times New Roman"/>
                <w:b/>
                <w:color w:val="000000" w:themeColor="text1"/>
                <w14:textFill>
                  <w14:solidFill>
                    <w14:schemeClr w14:val="tx1"/>
                  </w14:solidFill>
                </w14:textFill>
              </w:rPr>
            </w:pPr>
            <w:r>
              <w:rPr>
                <w:color w:val="000000" w:themeColor="text1"/>
                <w:kern w:val="0"/>
                <w14:textFill>
                  <w14:solidFill>
                    <w14:schemeClr w14:val="tx1"/>
                  </w14:solidFill>
                </w14:textFill>
              </w:rPr>
              <w:t>项目采取的主要噪声控制措施是采取隔振、隔声和建筑布局等措施。</w:t>
            </w:r>
            <w:r>
              <w:rPr>
                <w:rFonts w:hint="eastAsia"/>
                <w:color w:val="000000" w:themeColor="text1"/>
                <w:kern w:val="0"/>
                <w14:textFill>
                  <w14:solidFill>
                    <w14:schemeClr w14:val="tx1"/>
                  </w14:solidFill>
                </w14:textFill>
              </w:rPr>
              <w:t>根据预测结果可知</w:t>
            </w:r>
            <w:r>
              <w:rPr>
                <w:bCs/>
                <w:color w:val="000000" w:themeColor="text1"/>
                <w:kern w:val="0"/>
                <w14:textFill>
                  <w14:solidFill>
                    <w14:schemeClr w14:val="tx1"/>
                  </w14:solidFill>
                </w14:textFill>
              </w:rPr>
              <w:t>厂界噪声</w:t>
            </w:r>
            <w:r>
              <w:rPr>
                <w:rFonts w:hint="eastAsia"/>
                <w:bCs/>
                <w:color w:val="000000" w:themeColor="text1"/>
                <w:kern w:val="0"/>
                <w14:textFill>
                  <w14:solidFill>
                    <w14:schemeClr w14:val="tx1"/>
                  </w14:solidFill>
                </w14:textFill>
              </w:rPr>
              <w:t>昼间、夜间均</w:t>
            </w:r>
            <w:r>
              <w:rPr>
                <w:bCs/>
                <w:color w:val="000000" w:themeColor="text1"/>
                <w:kern w:val="0"/>
                <w14:textFill>
                  <w14:solidFill>
                    <w14:schemeClr w14:val="tx1"/>
                  </w14:solidFill>
                </w14:textFill>
              </w:rPr>
              <w:t>能够满足《工业企业厂界环境噪声排放标准》（GB12348-2008）3类排放标准要求。</w:t>
            </w:r>
          </w:p>
          <w:p>
            <w:pPr>
              <w:pStyle w:val="72"/>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5</w:t>
            </w:r>
            <w:r>
              <w:rPr>
                <w:rFonts w:hint="eastAsia" w:cs="Times New Roman"/>
                <w:b/>
                <w:color w:val="000000" w:themeColor="text1"/>
                <w14:textFill>
                  <w14:solidFill>
                    <w14:schemeClr w14:val="tx1"/>
                  </w14:solidFill>
                </w14:textFill>
              </w:rPr>
              <w:t>、</w:t>
            </w:r>
            <w:r>
              <w:rPr>
                <w:rFonts w:cs="Times New Roman"/>
                <w:b/>
                <w:color w:val="000000" w:themeColor="text1"/>
                <w14:textFill>
                  <w14:solidFill>
                    <w14:schemeClr w14:val="tx1"/>
                  </w14:solidFill>
                </w14:textFill>
              </w:rPr>
              <w:t>运营期噪声监测计划</w:t>
            </w:r>
          </w:p>
          <w:p>
            <w:pPr>
              <w:pStyle w:val="72"/>
              <w:ind w:firstLine="480"/>
              <w:rPr>
                <w:rFonts w:cs="Times New Roman"/>
                <w:b/>
                <w:color w:val="000000" w:themeColor="text1"/>
                <w14:textFill>
                  <w14:solidFill>
                    <w14:schemeClr w14:val="tx1"/>
                  </w14:solidFill>
                </w14:textFill>
              </w:rPr>
            </w:pPr>
            <w:r>
              <w:rPr>
                <w:rFonts w:hint="eastAsia"/>
                <w:color w:val="000000" w:themeColor="text1"/>
                <w:szCs w:val="24"/>
                <w14:textFill>
                  <w14:solidFill>
                    <w14:schemeClr w14:val="tx1"/>
                  </w14:solidFill>
                </w14:textFill>
              </w:rPr>
              <w:t>根据</w:t>
            </w:r>
            <w:r>
              <w:rPr>
                <w:rFonts w:hint="eastAsia"/>
                <w:color w:val="000000" w:themeColor="text1"/>
                <w14:textFill>
                  <w14:solidFill>
                    <w14:schemeClr w14:val="tx1"/>
                  </w14:solidFill>
                </w14:textFill>
              </w:rPr>
              <w:t>《排污单位自行监测技术指南 总则》（HJ819-2017）</w:t>
            </w:r>
            <w:r>
              <w:rPr>
                <w:color w:val="000000" w:themeColor="text1"/>
                <w14:textFill>
                  <w14:solidFill>
                    <w14:schemeClr w14:val="tx1"/>
                  </w14:solidFill>
                </w14:textFill>
              </w:rPr>
              <w:t>，</w:t>
            </w:r>
            <w:r>
              <w:rPr>
                <w:rFonts w:cs="Times New Roman"/>
                <w:color w:val="000000" w:themeColor="text1"/>
                <w14:textFill>
                  <w14:solidFill>
                    <w14:schemeClr w14:val="tx1"/>
                  </w14:solidFill>
                </w14:textFill>
              </w:rPr>
              <w:t>项目噪声监测计划见表4.2-</w:t>
            </w: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4。</w:t>
            </w:r>
          </w:p>
          <w:p>
            <w:pPr>
              <w:autoSpaceDE w:val="0"/>
              <w:autoSpaceDN w:val="0"/>
              <w:adjustRightInd w:val="0"/>
              <w:spacing w:line="240" w:lineRule="auto"/>
              <w:jc w:val="center"/>
              <w:textAlignment w:val="baseline"/>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表4.2-</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4</w:t>
            </w:r>
            <w:r>
              <w:rPr>
                <w:rFonts w:hint="eastAsia"/>
                <w:b/>
                <w:bCs/>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声</w:t>
            </w:r>
            <w:r>
              <w:rPr>
                <w:b/>
                <w:bCs/>
                <w:color w:val="000000" w:themeColor="text1"/>
                <w:sz w:val="24"/>
                <w14:textFill>
                  <w14:solidFill>
                    <w14:schemeClr w14:val="tx1"/>
                  </w14:solidFill>
                </w14:textFill>
              </w:rPr>
              <w:t>环境监测计划一览表</w:t>
            </w:r>
          </w:p>
          <w:tbl>
            <w:tblPr>
              <w:tblStyle w:val="36"/>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091"/>
              <w:gridCol w:w="1187"/>
              <w:gridCol w:w="1425"/>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101" w:type="dxa"/>
                  <w:vAlign w:val="center"/>
                </w:tcPr>
                <w:p>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类别</w:t>
                  </w:r>
                </w:p>
              </w:tc>
              <w:tc>
                <w:tcPr>
                  <w:tcW w:w="2091" w:type="dxa"/>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监测因子</w:t>
                  </w:r>
                </w:p>
              </w:tc>
              <w:tc>
                <w:tcPr>
                  <w:tcW w:w="1187" w:type="dxa"/>
                  <w:vAlign w:val="center"/>
                </w:tcPr>
                <w:p>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监测点位</w:t>
                  </w:r>
                </w:p>
              </w:tc>
              <w:tc>
                <w:tcPr>
                  <w:tcW w:w="1425" w:type="dxa"/>
                  <w:vAlign w:val="center"/>
                </w:tcPr>
                <w:p>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监测频率</w:t>
                  </w:r>
                </w:p>
              </w:tc>
              <w:tc>
                <w:tcPr>
                  <w:tcW w:w="2794" w:type="dxa"/>
                  <w:vAlign w:val="center"/>
                </w:tcPr>
                <w:p>
                  <w:p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01"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2091" w:type="dxa"/>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昼间</w:t>
                  </w:r>
                  <w:r>
                    <w:rPr>
                      <w:rFonts w:hint="eastAsia"/>
                      <w:color w:val="000000" w:themeColor="text1"/>
                      <w14:textFill>
                        <w14:solidFill>
                          <w14:schemeClr w14:val="tx1"/>
                        </w14:solidFill>
                      </w14:textFill>
                    </w:rPr>
                    <w:t>、夜间</w:t>
                  </w:r>
                  <w:r>
                    <w:rPr>
                      <w:color w:val="000000" w:themeColor="text1"/>
                      <w14:textFill>
                        <w14:solidFill>
                          <w14:schemeClr w14:val="tx1"/>
                        </w14:solidFill>
                      </w14:textFill>
                    </w:rPr>
                    <w:t>等效A声级</w:t>
                  </w:r>
                </w:p>
              </w:tc>
              <w:tc>
                <w:tcPr>
                  <w:tcW w:w="1187"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厂界</w:t>
                  </w:r>
                </w:p>
              </w:tc>
              <w:tc>
                <w:tcPr>
                  <w:tcW w:w="1425" w:type="dxa"/>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1次/</w:t>
                  </w:r>
                  <w:r>
                    <w:rPr>
                      <w:rFonts w:hint="eastAsia"/>
                      <w:color w:val="000000" w:themeColor="text1"/>
                      <w14:textFill>
                        <w14:solidFill>
                          <w14:schemeClr w14:val="tx1"/>
                        </w14:solidFill>
                      </w14:textFill>
                    </w:rPr>
                    <w:t>季度</w:t>
                  </w:r>
                </w:p>
              </w:tc>
              <w:tc>
                <w:tcPr>
                  <w:tcW w:w="2794" w:type="dxa"/>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《排污单位自行监测技术指南 总则》（HJ819-2017）</w:t>
                  </w:r>
                </w:p>
              </w:tc>
            </w:tr>
          </w:tbl>
          <w:p>
            <w:pPr>
              <w:pStyle w:val="72"/>
              <w:ind w:firstLine="0" w:firstLineChars="0"/>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4.2.4</w:t>
            </w:r>
            <w:r>
              <w:rPr>
                <w:rFonts w:cs="Times New Roman"/>
                <w:b/>
                <w:color w:val="000000" w:themeColor="text1"/>
                <w:szCs w:val="24"/>
                <w14:textFill>
                  <w14:solidFill>
                    <w14:schemeClr w14:val="tx1"/>
                  </w14:solidFill>
                </w14:textFill>
              </w:rPr>
              <w:t>固体废物</w:t>
            </w:r>
          </w:p>
          <w:p>
            <w:pPr>
              <w:adjustRightInd w:val="0"/>
              <w:snapToGrid w:val="0"/>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固体废物</w:t>
            </w:r>
            <w:r>
              <w:rPr>
                <w:rFonts w:hint="eastAsia"/>
                <w:b/>
                <w:color w:val="000000" w:themeColor="text1"/>
                <w:sz w:val="24"/>
                <w14:textFill>
                  <w14:solidFill>
                    <w14:schemeClr w14:val="tx1"/>
                  </w14:solidFill>
                </w14:textFill>
              </w:rPr>
              <w:t>产量及处置措施</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项目固体废物主要为一般工业固体废物、危险废物和生活垃圾</w:t>
            </w:r>
            <w:r>
              <w:rPr>
                <w:rFonts w:hint="eastAsia"/>
                <w:color w:val="000000" w:themeColor="text1"/>
                <w:sz w:val="24"/>
                <w14:textFill>
                  <w14:solidFill>
                    <w14:schemeClr w14:val="tx1"/>
                  </w14:solidFill>
                </w14:textFill>
              </w:rPr>
              <w:t>、餐厨垃圾</w:t>
            </w:r>
            <w:r>
              <w:rPr>
                <w:color w:val="000000" w:themeColor="text1"/>
                <w:sz w:val="24"/>
                <w14:textFill>
                  <w14:solidFill>
                    <w14:schemeClr w14:val="tx1"/>
                  </w14:solidFill>
                </w14:textFill>
              </w:rPr>
              <w:t>。</w:t>
            </w:r>
          </w:p>
          <w:p>
            <w:pPr>
              <w:pStyle w:val="3"/>
              <w:numPr>
                <w:ilvl w:val="0"/>
                <w:numId w:val="0"/>
              </w:num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生活垃圾</w:t>
            </w:r>
            <w:r>
              <w:rPr>
                <w:rFonts w:hint="eastAsia"/>
                <w:color w:val="000000" w:themeColor="text1"/>
                <w:sz w:val="24"/>
                <w14:textFill>
                  <w14:solidFill>
                    <w14:schemeClr w14:val="tx1"/>
                  </w14:solidFill>
                </w14:textFill>
              </w:rPr>
              <w:t>和餐厨垃圾</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①生活垃圾：项目一期定员</w:t>
            </w:r>
            <w:r>
              <w:rPr>
                <w:color w:val="000000" w:themeColor="text1"/>
                <w:sz w:val="24"/>
                <w14:textFill>
                  <w14:solidFill>
                    <w14:schemeClr w14:val="tx1"/>
                  </w14:solidFill>
                </w14:textFill>
              </w:rPr>
              <w:t>40</w:t>
            </w:r>
            <w:r>
              <w:rPr>
                <w:rFonts w:hint="eastAsia"/>
                <w:color w:val="000000" w:themeColor="text1"/>
                <w:sz w:val="24"/>
                <w14:textFill>
                  <w14:solidFill>
                    <w14:schemeClr w14:val="tx1"/>
                  </w14:solidFill>
                </w14:textFill>
              </w:rPr>
              <w:t>人，二期定员</w:t>
            </w: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人，</w:t>
            </w:r>
            <w:r>
              <w:rPr>
                <w:color w:val="000000" w:themeColor="text1"/>
                <w:sz w:val="24"/>
                <w14:textFill>
                  <w14:solidFill>
                    <w14:schemeClr w14:val="tx1"/>
                  </w14:solidFill>
                </w14:textFill>
              </w:rPr>
              <w:t>年工作300d</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员工生活垃圾按</w:t>
            </w:r>
            <w:r>
              <w:rPr>
                <w:rFonts w:hint="eastAsia"/>
                <w:color w:val="000000" w:themeColor="text1"/>
                <w:sz w:val="24"/>
                <w14:textFill>
                  <w14:solidFill>
                    <w14:schemeClr w14:val="tx1"/>
                  </w14:solidFill>
                </w14:textFill>
              </w:rPr>
              <w:t>0.5</w:t>
            </w:r>
            <w:r>
              <w:rPr>
                <w:color w:val="000000" w:themeColor="text1"/>
                <w:sz w:val="24"/>
                <w14:textFill>
                  <w14:solidFill>
                    <w14:schemeClr w14:val="tx1"/>
                  </w14:solidFill>
                </w14:textFill>
              </w:rPr>
              <w:t>kg/人.d计算。项目</w:t>
            </w:r>
            <w:r>
              <w:rPr>
                <w:rFonts w:hint="eastAsia"/>
                <w:color w:val="000000" w:themeColor="text1"/>
                <w:sz w:val="24"/>
                <w14:textFill>
                  <w14:solidFill>
                    <w14:schemeClr w14:val="tx1"/>
                  </w14:solidFill>
                </w14:textFill>
              </w:rPr>
              <w:t>一期工程</w:t>
            </w:r>
            <w:r>
              <w:rPr>
                <w:color w:val="000000" w:themeColor="text1"/>
                <w:sz w:val="24"/>
                <w14:textFill>
                  <w14:solidFill>
                    <w14:schemeClr w14:val="tx1"/>
                  </w14:solidFill>
                </w14:textFill>
              </w:rPr>
              <w:t>生活垃圾产生量为6t/a</w:t>
            </w:r>
            <w:r>
              <w:rPr>
                <w:rFonts w:hint="eastAsia"/>
                <w:color w:val="000000" w:themeColor="text1"/>
                <w:sz w:val="24"/>
                <w14:textFill>
                  <w14:solidFill>
                    <w14:schemeClr w14:val="tx1"/>
                  </w14:solidFill>
                </w14:textFill>
              </w:rPr>
              <w:t>，二期工程生活垃圾产生量为</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a，总体工程生活垃圾产生量为</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。在厂区设垃圾桶</w:t>
            </w:r>
            <w:r>
              <w:rPr>
                <w:rFonts w:hint="eastAsia"/>
                <w:color w:val="000000" w:themeColor="text1"/>
                <w:sz w:val="24"/>
                <w14:textFill>
                  <w14:solidFill>
                    <w14:schemeClr w14:val="tx1"/>
                  </w14:solidFill>
                </w14:textFill>
              </w:rPr>
              <w:t>和收集箱</w:t>
            </w:r>
            <w:r>
              <w:rPr>
                <w:color w:val="000000" w:themeColor="text1"/>
                <w:sz w:val="24"/>
                <w14:textFill>
                  <w14:solidFill>
                    <w14:schemeClr w14:val="tx1"/>
                  </w14:solidFill>
                </w14:textFill>
              </w:rPr>
              <w:t>，收集后交由环卫部门统一处理。</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②餐厨垃圾：项目一期食堂就餐人员</w:t>
            </w:r>
            <w:r>
              <w:rPr>
                <w:color w:val="000000" w:themeColor="text1"/>
                <w:sz w:val="24"/>
                <w:szCs w:val="24"/>
                <w14:textFill>
                  <w14:solidFill>
                    <w14:schemeClr w14:val="tx1"/>
                  </w14:solidFill>
                </w14:textFill>
              </w:rPr>
              <w:t>40</w:t>
            </w:r>
            <w:r>
              <w:rPr>
                <w:rFonts w:hint="eastAsia"/>
                <w:color w:val="000000" w:themeColor="text1"/>
                <w:sz w:val="24"/>
                <w:szCs w:val="24"/>
                <w14:textFill>
                  <w14:solidFill>
                    <w14:schemeClr w14:val="tx1"/>
                  </w14:solidFill>
                </w14:textFill>
              </w:rPr>
              <w:t>人，二期食堂就餐人员为</w:t>
            </w:r>
            <w:r>
              <w:rPr>
                <w:color w:val="000000" w:themeColor="text1"/>
                <w:sz w:val="24"/>
                <w:szCs w:val="24"/>
                <w14:textFill>
                  <w14:solidFill>
                    <w14:schemeClr w14:val="tx1"/>
                  </w14:solidFill>
                </w14:textFill>
              </w:rPr>
              <w:t>20人，</w:t>
            </w:r>
            <w:r>
              <w:rPr>
                <w:rFonts w:hint="eastAsia"/>
                <w:color w:val="000000" w:themeColor="text1"/>
                <w:sz w:val="24"/>
                <w:szCs w:val="24"/>
                <w14:textFill>
                  <w14:solidFill>
                    <w14:schemeClr w14:val="tx1"/>
                  </w14:solidFill>
                </w14:textFill>
              </w:rPr>
              <w:t>餐厨垃圾</w:t>
            </w:r>
            <w:r>
              <w:rPr>
                <w:color w:val="000000" w:themeColor="text1"/>
                <w:sz w:val="24"/>
                <w:szCs w:val="24"/>
                <w:lang w:bidi="ar"/>
                <w14:textFill>
                  <w14:solidFill>
                    <w14:schemeClr w14:val="tx1"/>
                  </w14:solidFill>
                </w14:textFill>
              </w:rPr>
              <w:t>按0.25kg/人.d计算</w:t>
            </w:r>
            <w:r>
              <w:rPr>
                <w:rFonts w:hint="eastAsia"/>
                <w:color w:val="000000" w:themeColor="text1"/>
                <w:sz w:val="24"/>
                <w:szCs w:val="24"/>
                <w:lang w:bidi="ar"/>
                <w14:textFill>
                  <w14:solidFill>
                    <w14:schemeClr w14:val="tx1"/>
                  </w14:solidFill>
                </w14:textFill>
              </w:rPr>
              <w:t>。</w:t>
            </w:r>
            <w:r>
              <w:rPr>
                <w:color w:val="000000" w:themeColor="text1"/>
                <w:sz w:val="24"/>
                <w:szCs w:val="24"/>
                <w:lang w:bidi="ar"/>
                <w14:textFill>
                  <w14:solidFill>
                    <w14:schemeClr w14:val="tx1"/>
                  </w14:solidFill>
                </w14:textFill>
              </w:rPr>
              <w:t>则</w:t>
            </w:r>
            <w:r>
              <w:rPr>
                <w:rFonts w:hint="eastAsia"/>
                <w:color w:val="000000" w:themeColor="text1"/>
                <w:sz w:val="24"/>
                <w:szCs w:val="24"/>
                <w:lang w:bidi="ar"/>
                <w14:textFill>
                  <w14:solidFill>
                    <w14:schemeClr w14:val="tx1"/>
                  </w14:solidFill>
                </w14:textFill>
              </w:rPr>
              <w:t>一期工程</w:t>
            </w:r>
            <w:r>
              <w:rPr>
                <w:color w:val="000000" w:themeColor="text1"/>
                <w:sz w:val="24"/>
                <w:szCs w:val="24"/>
                <w:lang w:bidi="ar"/>
                <w14:textFill>
                  <w14:solidFill>
                    <w14:schemeClr w14:val="tx1"/>
                  </w14:solidFill>
                </w14:textFill>
              </w:rPr>
              <w:t>餐厨垃圾产生量为3t/a</w:t>
            </w:r>
            <w:r>
              <w:rPr>
                <w:rFonts w:hint="eastAsia"/>
                <w:color w:val="000000" w:themeColor="text1"/>
                <w:sz w:val="24"/>
                <w:szCs w:val="24"/>
                <w:lang w:bidi="ar"/>
                <w14:textFill>
                  <w14:solidFill>
                    <w14:schemeClr w14:val="tx1"/>
                  </w14:solidFill>
                </w14:textFill>
              </w:rPr>
              <w:t>，二期工程餐厨垃圾产生量为</w:t>
            </w:r>
            <w:r>
              <w:rPr>
                <w:color w:val="000000" w:themeColor="text1"/>
                <w:sz w:val="24"/>
                <w:szCs w:val="24"/>
                <w:lang w:bidi="ar"/>
                <w14:textFill>
                  <w14:solidFill>
                    <w14:schemeClr w14:val="tx1"/>
                  </w14:solidFill>
                </w14:textFill>
              </w:rPr>
              <w:t>1.5</w:t>
            </w:r>
            <w:r>
              <w:rPr>
                <w:rFonts w:hint="eastAsia"/>
                <w:color w:val="000000" w:themeColor="text1"/>
                <w:sz w:val="24"/>
                <w:szCs w:val="24"/>
                <w:lang w:bidi="ar"/>
                <w14:textFill>
                  <w14:solidFill>
                    <w14:schemeClr w14:val="tx1"/>
                  </w14:solidFill>
                </w14:textFill>
              </w:rPr>
              <w:t>t</w:t>
            </w:r>
            <w:r>
              <w:rPr>
                <w:color w:val="000000" w:themeColor="text1"/>
                <w:sz w:val="24"/>
                <w:szCs w:val="24"/>
                <w:lang w:bidi="ar"/>
                <w14:textFill>
                  <w14:solidFill>
                    <w14:schemeClr w14:val="tx1"/>
                  </w14:solidFill>
                </w14:textFill>
              </w:rPr>
              <w:t>/</w:t>
            </w:r>
            <w:r>
              <w:rPr>
                <w:rFonts w:hint="eastAsia"/>
                <w:color w:val="000000" w:themeColor="text1"/>
                <w:sz w:val="24"/>
                <w:szCs w:val="24"/>
                <w:lang w:bidi="ar"/>
                <w14:textFill>
                  <w14:solidFill>
                    <w14:schemeClr w14:val="tx1"/>
                  </w14:solidFill>
                </w14:textFill>
              </w:rPr>
              <w:t>a，总体工程餐厨垃圾产生量为</w:t>
            </w:r>
            <w:r>
              <w:rPr>
                <w:color w:val="000000" w:themeColor="text1"/>
                <w:sz w:val="24"/>
                <w:szCs w:val="24"/>
                <w:lang w:bidi="ar"/>
                <w14:textFill>
                  <w14:solidFill>
                    <w14:schemeClr w14:val="tx1"/>
                  </w14:solidFill>
                </w14:textFill>
              </w:rPr>
              <w:t>4.5</w:t>
            </w:r>
            <w:r>
              <w:rPr>
                <w:rFonts w:hint="eastAsia"/>
                <w:color w:val="000000" w:themeColor="text1"/>
                <w:sz w:val="24"/>
                <w:szCs w:val="24"/>
                <w:lang w:bidi="ar"/>
                <w14:textFill>
                  <w14:solidFill>
                    <w14:schemeClr w14:val="tx1"/>
                  </w14:solidFill>
                </w14:textFill>
              </w:rPr>
              <w:t>t</w:t>
            </w:r>
            <w:r>
              <w:rPr>
                <w:color w:val="000000" w:themeColor="text1"/>
                <w:sz w:val="24"/>
                <w:szCs w:val="24"/>
                <w:lang w:bidi="ar"/>
                <w14:textFill>
                  <w14:solidFill>
                    <w14:schemeClr w14:val="tx1"/>
                  </w14:solidFill>
                </w14:textFill>
              </w:rPr>
              <w:t>/</w:t>
            </w:r>
            <w:r>
              <w:rPr>
                <w:rFonts w:hint="eastAsia"/>
                <w:color w:val="000000" w:themeColor="text1"/>
                <w:sz w:val="24"/>
                <w:szCs w:val="24"/>
                <w:lang w:bidi="ar"/>
                <w14:textFill>
                  <w14:solidFill>
                    <w14:schemeClr w14:val="tx1"/>
                  </w14:solidFill>
                </w14:textFill>
              </w:rPr>
              <w:t>a</w:t>
            </w:r>
            <w:r>
              <w:rPr>
                <w:color w:val="000000" w:themeColor="text1"/>
                <w:sz w:val="24"/>
                <w:szCs w:val="24"/>
                <w:lang w:bidi="ar"/>
                <w14:textFill>
                  <w14:solidFill>
                    <w14:schemeClr w14:val="tx1"/>
                  </w14:solidFill>
                </w14:textFill>
              </w:rPr>
              <w:t>。</w:t>
            </w:r>
            <w:r>
              <w:rPr>
                <w:rFonts w:hint="eastAsia"/>
                <w:color w:val="000000" w:themeColor="text1"/>
                <w:sz w:val="24"/>
                <w:szCs w:val="24"/>
                <w:lang w:bidi="ar"/>
                <w14:textFill>
                  <w14:solidFill>
                    <w14:schemeClr w14:val="tx1"/>
                  </w14:solidFill>
                </w14:textFill>
              </w:rPr>
              <w:t>根据《重庆市餐厨垃圾管理办法》和《饮食业环境保护技术规范》（HJ554-2010）中相关规定，餐厨垃圾存放于专门加盖的容器中，交由有餐厨垃圾处置资质单位处置。</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一般工业固体废物</w:t>
            </w:r>
          </w:p>
          <w:p>
            <w:pPr>
              <w:pStyle w:val="72"/>
              <w:ind w:firstLine="48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①轮胎处理除尘器集尘（4</w:t>
            </w:r>
            <w:r>
              <w:rPr>
                <w:rFonts w:cs="Times New Roman"/>
                <w:color w:val="000000" w:themeColor="text1"/>
                <w:szCs w:val="24"/>
                <w14:textFill>
                  <w14:solidFill>
                    <w14:schemeClr w14:val="tx1"/>
                  </w14:solidFill>
                </w14:textFill>
              </w:rPr>
              <w:t>22</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001</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66</w:t>
            </w:r>
            <w:r>
              <w:rPr>
                <w:rFonts w:hint="eastAsia" w:cs="Times New Roman"/>
                <w:color w:val="000000" w:themeColor="text1"/>
                <w:szCs w:val="24"/>
                <w14:textFill>
                  <w14:solidFill>
                    <w14:schemeClr w14:val="tx1"/>
                  </w14:solidFill>
                </w14:textFill>
              </w:rPr>
              <w:t>）：根据物料平衡，项目一期工程轮胎处理除尘器集尘及车间清扫收集尘灰产生量为</w:t>
            </w:r>
            <w:r>
              <w:rPr>
                <w:rFonts w:cs="Times New Roman"/>
                <w:color w:val="000000" w:themeColor="text1"/>
                <w:szCs w:val="24"/>
                <w14:textFill>
                  <w14:solidFill>
                    <w14:schemeClr w14:val="tx1"/>
                  </w14:solidFill>
                </w14:textFill>
              </w:rPr>
              <w:t>5.383</w:t>
            </w:r>
            <w:r>
              <w:rPr>
                <w:rFonts w:hint="eastAsia" w:cs="Times New Roman"/>
                <w:color w:val="000000" w:themeColor="text1"/>
                <w:szCs w:val="24"/>
                <w14:textFill>
                  <w14:solidFill>
                    <w14:schemeClr w14:val="tx1"/>
                  </w14:solidFill>
                </w14:textFill>
              </w:rPr>
              <w:t>t</w:t>
            </w:r>
            <w:r>
              <w:rPr>
                <w:rFonts w:cs="Times New Roman"/>
                <w:color w:val="000000" w:themeColor="text1"/>
                <w:szCs w:val="24"/>
                <w14:textFill>
                  <w14:solidFill>
                    <w14:schemeClr w14:val="tx1"/>
                  </w14:solidFill>
                </w14:textFill>
              </w:rPr>
              <w:t>/</w:t>
            </w:r>
            <w:r>
              <w:rPr>
                <w:rFonts w:hint="eastAsia" w:cs="Times New Roman"/>
                <w:color w:val="000000" w:themeColor="text1"/>
                <w:szCs w:val="24"/>
                <w14:textFill>
                  <w14:solidFill>
                    <w14:schemeClr w14:val="tx1"/>
                  </w14:solidFill>
                </w14:textFill>
              </w:rPr>
              <w:t>a；二期工程轮胎处理除尘器集尘及车间清扫收集尘灰产生量为</w:t>
            </w:r>
            <w:r>
              <w:rPr>
                <w:rFonts w:cs="Times New Roman"/>
                <w:color w:val="000000" w:themeColor="text1"/>
                <w:szCs w:val="24"/>
                <w14:textFill>
                  <w14:solidFill>
                    <w14:schemeClr w14:val="tx1"/>
                  </w14:solidFill>
                </w14:textFill>
              </w:rPr>
              <w:t>10.767</w:t>
            </w:r>
            <w:r>
              <w:rPr>
                <w:rFonts w:hint="eastAsia" w:cs="Times New Roman"/>
                <w:color w:val="000000" w:themeColor="text1"/>
                <w:szCs w:val="24"/>
                <w14:textFill>
                  <w14:solidFill>
                    <w14:schemeClr w14:val="tx1"/>
                  </w14:solidFill>
                </w14:textFill>
              </w:rPr>
              <w:t>t</w:t>
            </w:r>
            <w:r>
              <w:rPr>
                <w:rFonts w:cs="Times New Roman"/>
                <w:color w:val="000000" w:themeColor="text1"/>
                <w:szCs w:val="24"/>
                <w14:textFill>
                  <w14:solidFill>
                    <w14:schemeClr w14:val="tx1"/>
                  </w14:solidFill>
                </w14:textFill>
              </w:rPr>
              <w:t>/</w:t>
            </w:r>
            <w:r>
              <w:rPr>
                <w:rFonts w:hint="eastAsia" w:cs="Times New Roman"/>
                <w:color w:val="000000" w:themeColor="text1"/>
                <w:szCs w:val="24"/>
                <w14:textFill>
                  <w14:solidFill>
                    <w14:schemeClr w14:val="tx1"/>
                  </w14:solidFill>
                </w14:textFill>
              </w:rPr>
              <w:t>a；总体工程轮胎处理除尘器集尘产生量为</w:t>
            </w:r>
            <w:r>
              <w:rPr>
                <w:rFonts w:cs="Times New Roman"/>
                <w:color w:val="000000" w:themeColor="text1"/>
                <w:szCs w:val="24"/>
                <w14:textFill>
                  <w14:solidFill>
                    <w14:schemeClr w14:val="tx1"/>
                  </w14:solidFill>
                </w14:textFill>
              </w:rPr>
              <w:t>16.15</w:t>
            </w:r>
            <w:r>
              <w:rPr>
                <w:rFonts w:hint="eastAsia" w:cs="Times New Roman"/>
                <w:color w:val="000000" w:themeColor="text1"/>
                <w:szCs w:val="24"/>
                <w14:textFill>
                  <w14:solidFill>
                    <w14:schemeClr w14:val="tx1"/>
                  </w14:solidFill>
                </w14:textFill>
              </w:rPr>
              <w:t>t</w:t>
            </w:r>
            <w:r>
              <w:rPr>
                <w:rFonts w:cs="Times New Roman"/>
                <w:color w:val="000000" w:themeColor="text1"/>
                <w:szCs w:val="24"/>
                <w14:textFill>
                  <w14:solidFill>
                    <w14:schemeClr w14:val="tx1"/>
                  </w14:solidFill>
                </w14:textFill>
              </w:rPr>
              <w:t>/</w:t>
            </w:r>
            <w:r>
              <w:rPr>
                <w:rFonts w:hint="eastAsia" w:cs="Times New Roman"/>
                <w:color w:val="000000" w:themeColor="text1"/>
                <w:szCs w:val="24"/>
                <w14:textFill>
                  <w14:solidFill>
                    <w14:schemeClr w14:val="tx1"/>
                  </w14:solidFill>
                </w14:textFill>
              </w:rPr>
              <w:t>a。收集后与胶粉一起进入连续干馏裂解生产线进行热裂解。</w:t>
            </w:r>
          </w:p>
          <w:p>
            <w:pPr>
              <w:pStyle w:val="72"/>
              <w:ind w:firstLine="480"/>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t>②炭黑加工除尘器集尘（4</w:t>
            </w:r>
            <w:r>
              <w:rPr>
                <w:rFonts w:cs="Times New Roman"/>
                <w:color w:val="000000" w:themeColor="text1"/>
                <w:szCs w:val="24"/>
                <w14:textFill>
                  <w14:solidFill>
                    <w14:schemeClr w14:val="tx1"/>
                  </w14:solidFill>
                </w14:textFill>
              </w:rPr>
              <w:t>22</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001</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66</w:t>
            </w:r>
            <w:r>
              <w:rPr>
                <w:rFonts w:hint="eastAsia" w:cs="Times New Roman"/>
                <w:color w:val="000000" w:themeColor="text1"/>
                <w:szCs w:val="24"/>
                <w14:textFill>
                  <w14:solidFill>
                    <w14:schemeClr w14:val="tx1"/>
                  </w14:solidFill>
                </w14:textFill>
              </w:rPr>
              <w:t>）：根据废气治理情况，项目炭黑加工除尘器集尘量为</w:t>
            </w:r>
            <w:r>
              <w:rPr>
                <w:rFonts w:cs="Times New Roman"/>
                <w:color w:val="000000" w:themeColor="text1"/>
                <w:szCs w:val="24"/>
                <w14:textFill>
                  <w14:solidFill>
                    <w14:schemeClr w14:val="tx1"/>
                  </w14:solidFill>
                </w14:textFill>
              </w:rPr>
              <w:t>5.686</w:t>
            </w:r>
            <w:r>
              <w:rPr>
                <w:rFonts w:hint="eastAsia" w:cs="Times New Roman"/>
                <w:color w:val="000000" w:themeColor="text1"/>
                <w:szCs w:val="24"/>
                <w14:textFill>
                  <w14:solidFill>
                    <w14:schemeClr w14:val="tx1"/>
                  </w14:solidFill>
                </w14:textFill>
              </w:rPr>
              <w:t>t</w:t>
            </w:r>
            <w:r>
              <w:rPr>
                <w:rFonts w:cs="Times New Roman"/>
                <w:color w:val="000000" w:themeColor="text1"/>
                <w:szCs w:val="24"/>
                <w14:textFill>
                  <w14:solidFill>
                    <w14:schemeClr w14:val="tx1"/>
                  </w14:solidFill>
                </w14:textFill>
              </w:rPr>
              <w:t>/</w:t>
            </w:r>
            <w:r>
              <w:rPr>
                <w:rFonts w:hint="eastAsia" w:cs="Times New Roman"/>
                <w:color w:val="000000" w:themeColor="text1"/>
                <w:szCs w:val="24"/>
                <w14:textFill>
                  <w14:solidFill>
                    <w14:schemeClr w14:val="tx1"/>
                  </w14:solidFill>
                </w14:textFill>
              </w:rPr>
              <w:t>a（</w:t>
            </w:r>
            <w:r>
              <w:rPr>
                <w:rFonts w:hint="eastAsia"/>
                <w:bCs/>
                <w:color w:val="000000" w:themeColor="text1"/>
                <w:szCs w:val="24"/>
                <w14:textFill>
                  <w14:solidFill>
                    <w14:schemeClr w14:val="tx1"/>
                  </w14:solidFill>
                </w14:textFill>
              </w:rPr>
              <w:t>其中一期工程</w:t>
            </w:r>
            <w:r>
              <w:rPr>
                <w:bCs/>
                <w:color w:val="000000" w:themeColor="text1"/>
                <w:szCs w:val="24"/>
                <w14:textFill>
                  <w14:solidFill>
                    <w14:schemeClr w14:val="tx1"/>
                  </w14:solidFill>
                </w14:textFill>
              </w:rPr>
              <w:t>1.896</w:t>
            </w:r>
            <w:r>
              <w:rPr>
                <w:rFonts w:hint="eastAsia"/>
                <w:bCs/>
                <w:color w:val="000000" w:themeColor="text1"/>
                <w:szCs w:val="24"/>
                <w14:textFill>
                  <w14:solidFill>
                    <w14:schemeClr w14:val="tx1"/>
                  </w14:solidFill>
                </w14:textFill>
              </w:rPr>
              <w:t>t</w:t>
            </w:r>
            <w:r>
              <w:rPr>
                <w:bCs/>
                <w:color w:val="000000" w:themeColor="text1"/>
                <w:szCs w:val="24"/>
                <w14:textFill>
                  <w14:solidFill>
                    <w14:schemeClr w14:val="tx1"/>
                  </w14:solidFill>
                </w14:textFill>
              </w:rPr>
              <w:t>/</w:t>
            </w:r>
            <w:r>
              <w:rPr>
                <w:rFonts w:hint="eastAsia"/>
                <w:bCs/>
                <w:color w:val="000000" w:themeColor="text1"/>
                <w:szCs w:val="24"/>
                <w14:textFill>
                  <w14:solidFill>
                    <w14:schemeClr w14:val="tx1"/>
                  </w14:solidFill>
                </w14:textFill>
              </w:rPr>
              <w:t>a、二期工程</w:t>
            </w:r>
            <w:r>
              <w:rPr>
                <w:bCs/>
                <w:color w:val="000000" w:themeColor="text1"/>
                <w:szCs w:val="24"/>
                <w14:textFill>
                  <w14:solidFill>
                    <w14:schemeClr w14:val="tx1"/>
                  </w14:solidFill>
                </w14:textFill>
              </w:rPr>
              <w:t>3.79</w:t>
            </w:r>
            <w:r>
              <w:rPr>
                <w:rFonts w:hint="eastAsia"/>
                <w:bCs/>
                <w:color w:val="000000" w:themeColor="text1"/>
                <w:szCs w:val="24"/>
                <w14:textFill>
                  <w14:solidFill>
                    <w14:schemeClr w14:val="tx1"/>
                  </w14:solidFill>
                </w14:textFill>
              </w:rPr>
              <w:t>t</w:t>
            </w:r>
            <w:r>
              <w:rPr>
                <w:bCs/>
                <w:color w:val="000000" w:themeColor="text1"/>
                <w:szCs w:val="24"/>
                <w14:textFill>
                  <w14:solidFill>
                    <w14:schemeClr w14:val="tx1"/>
                  </w14:solidFill>
                </w14:textFill>
              </w:rPr>
              <w:t>/</w:t>
            </w:r>
            <w:r>
              <w:rPr>
                <w:rFonts w:hint="eastAsia"/>
                <w:bCs/>
                <w:color w:val="000000" w:themeColor="text1"/>
                <w:szCs w:val="24"/>
                <w14:textFill>
                  <w14:solidFill>
                    <w14:schemeClr w14:val="tx1"/>
                  </w14:solidFill>
                </w14:textFill>
              </w:rPr>
              <w:t>a</w:t>
            </w:r>
            <w:r>
              <w:rPr>
                <w:rFonts w:hint="eastAsia" w:cs="Times New Roman"/>
                <w:color w:val="000000" w:themeColor="text1"/>
                <w:szCs w:val="24"/>
                <w14:textFill>
                  <w14:solidFill>
                    <w14:schemeClr w14:val="tx1"/>
                  </w14:solidFill>
                </w14:textFill>
              </w:rPr>
              <w:t>）。收集的炭黑尘作为炭黑产品外售。</w:t>
            </w:r>
          </w:p>
          <w:p>
            <w:pPr>
              <w:pStyle w:val="72"/>
              <w:ind w:firstLine="480"/>
              <w:rPr>
                <w:rFonts w:cs="Times New Roman"/>
                <w:color w:val="000000" w:themeColor="text1"/>
                <w:szCs w:val="24"/>
                <w:u w:val="single"/>
                <w14:textFill>
                  <w14:solidFill>
                    <w14:schemeClr w14:val="tx1"/>
                  </w14:solidFill>
                </w14:textFill>
              </w:rPr>
            </w:pPr>
            <w:r>
              <w:rPr>
                <w:rFonts w:hint="eastAsia" w:cs="Times New Roman"/>
                <w:color w:val="000000" w:themeColor="text1"/>
                <w:szCs w:val="24"/>
                <w:u w:val="single"/>
                <w14:textFill>
                  <w14:solidFill>
                    <w14:schemeClr w14:val="tx1"/>
                  </w14:solidFill>
                </w14:textFill>
              </w:rPr>
              <w:t>因此，轮胎处理除尘器集尘和炭黑加工除尘器集尘均不作为固体废物管理。本项目一般工业固体废物为裂解废气除尘灰。</w:t>
            </w:r>
          </w:p>
          <w:p>
            <w:pPr>
              <w:pStyle w:val="72"/>
              <w:ind w:firstLine="480"/>
              <w:rPr>
                <w:rFonts w:cs="Times New Roman"/>
                <w:color w:val="FF0000"/>
                <w:szCs w:val="24"/>
              </w:rPr>
            </w:pPr>
            <w:r>
              <w:rPr>
                <w:rFonts w:hint="eastAsia" w:cs="Times New Roman"/>
                <w:color w:val="FF0000"/>
                <w:szCs w:val="24"/>
              </w:rPr>
              <w:t>③裂解废气除尘灰（4</w:t>
            </w:r>
            <w:r>
              <w:rPr>
                <w:rFonts w:cs="Times New Roman"/>
                <w:color w:val="FF0000"/>
                <w:szCs w:val="24"/>
              </w:rPr>
              <w:t>22</w:t>
            </w:r>
            <w:r>
              <w:rPr>
                <w:rFonts w:hint="eastAsia" w:cs="Times New Roman"/>
                <w:color w:val="FF0000"/>
                <w:szCs w:val="24"/>
              </w:rPr>
              <w:t>-</w:t>
            </w:r>
            <w:r>
              <w:rPr>
                <w:rFonts w:cs="Times New Roman"/>
                <w:color w:val="FF0000"/>
                <w:szCs w:val="24"/>
              </w:rPr>
              <w:t>001</w:t>
            </w:r>
            <w:r>
              <w:rPr>
                <w:rFonts w:hint="eastAsia" w:cs="Times New Roman"/>
                <w:color w:val="FF0000"/>
                <w:szCs w:val="24"/>
              </w:rPr>
              <w:t>-</w:t>
            </w:r>
            <w:r>
              <w:rPr>
                <w:rFonts w:cs="Times New Roman"/>
                <w:color w:val="FF0000"/>
                <w:szCs w:val="24"/>
              </w:rPr>
              <w:t>66</w:t>
            </w:r>
            <w:r>
              <w:rPr>
                <w:rFonts w:hint="eastAsia" w:cs="Times New Roman"/>
                <w:color w:val="FF0000"/>
                <w:szCs w:val="24"/>
              </w:rPr>
              <w:t>）：根据废气处理情况，项目裂解废气除尘灰产生量为</w:t>
            </w:r>
            <w:r>
              <w:rPr>
                <w:rFonts w:cs="Times New Roman"/>
                <w:color w:val="FF0000"/>
                <w:szCs w:val="24"/>
              </w:rPr>
              <w:t>5.76</w:t>
            </w:r>
            <w:r>
              <w:rPr>
                <w:rFonts w:hint="eastAsia" w:cs="Times New Roman"/>
                <w:color w:val="FF0000"/>
                <w:szCs w:val="24"/>
              </w:rPr>
              <w:t>t</w:t>
            </w:r>
            <w:r>
              <w:rPr>
                <w:rFonts w:cs="Times New Roman"/>
                <w:color w:val="FF0000"/>
                <w:szCs w:val="24"/>
              </w:rPr>
              <w:t>/</w:t>
            </w:r>
            <w:r>
              <w:rPr>
                <w:rFonts w:hint="eastAsia" w:cs="Times New Roman"/>
                <w:color w:val="FF0000"/>
                <w:szCs w:val="24"/>
              </w:rPr>
              <w:t>a（其中一期工程</w:t>
            </w:r>
            <w:r>
              <w:rPr>
                <w:rFonts w:cs="Times New Roman"/>
                <w:color w:val="FF0000"/>
                <w:szCs w:val="24"/>
              </w:rPr>
              <w:t>1.92</w:t>
            </w:r>
            <w:r>
              <w:rPr>
                <w:rFonts w:hint="eastAsia" w:cs="Times New Roman"/>
                <w:color w:val="FF0000"/>
                <w:szCs w:val="24"/>
              </w:rPr>
              <w:t>t</w:t>
            </w:r>
            <w:r>
              <w:rPr>
                <w:rFonts w:cs="Times New Roman"/>
                <w:color w:val="FF0000"/>
                <w:szCs w:val="24"/>
              </w:rPr>
              <w:t>/</w:t>
            </w:r>
            <w:r>
              <w:rPr>
                <w:rFonts w:hint="eastAsia" w:cs="Times New Roman"/>
                <w:color w:val="FF0000"/>
                <w:szCs w:val="24"/>
              </w:rPr>
              <w:t>a、二期工程</w:t>
            </w:r>
            <w:r>
              <w:rPr>
                <w:rFonts w:cs="Times New Roman"/>
                <w:color w:val="FF0000"/>
                <w:szCs w:val="24"/>
              </w:rPr>
              <w:t>3.84</w:t>
            </w:r>
            <w:r>
              <w:rPr>
                <w:rFonts w:hint="eastAsia" w:cs="Times New Roman"/>
                <w:color w:val="FF0000"/>
                <w:szCs w:val="24"/>
              </w:rPr>
              <w:t>t</w:t>
            </w:r>
            <w:r>
              <w:rPr>
                <w:rFonts w:cs="Times New Roman"/>
                <w:color w:val="FF0000"/>
                <w:szCs w:val="24"/>
              </w:rPr>
              <w:t>/</w:t>
            </w:r>
            <w:r>
              <w:rPr>
                <w:rFonts w:hint="eastAsia" w:cs="Times New Roman"/>
                <w:color w:val="FF0000"/>
                <w:szCs w:val="24"/>
              </w:rPr>
              <w:t>a）。袋装后定期作为建筑材料外售。</w:t>
            </w:r>
          </w:p>
          <w:p>
            <w:pPr>
              <w:pStyle w:val="72"/>
              <w:ind w:firstLine="480"/>
              <w:rPr>
                <w:rFonts w:cs="Times New Roman"/>
                <w:color w:val="FF0000"/>
                <w:szCs w:val="24"/>
              </w:rPr>
            </w:pPr>
            <w:r>
              <w:rPr>
                <w:rFonts w:hint="eastAsia" w:cs="Times New Roman"/>
                <w:color w:val="FF0000"/>
                <w:szCs w:val="24"/>
              </w:rPr>
              <w:t>④生化池污泥（4</w:t>
            </w:r>
            <w:r>
              <w:rPr>
                <w:rFonts w:cs="Times New Roman"/>
                <w:color w:val="FF0000"/>
                <w:szCs w:val="24"/>
              </w:rPr>
              <w:t>22</w:t>
            </w:r>
            <w:r>
              <w:rPr>
                <w:rFonts w:hint="eastAsia" w:cs="Times New Roman"/>
                <w:color w:val="FF0000"/>
                <w:szCs w:val="24"/>
              </w:rPr>
              <w:t>-</w:t>
            </w:r>
            <w:r>
              <w:rPr>
                <w:rFonts w:cs="Times New Roman"/>
                <w:color w:val="FF0000"/>
                <w:szCs w:val="24"/>
              </w:rPr>
              <w:t>001</w:t>
            </w:r>
            <w:r>
              <w:rPr>
                <w:rFonts w:hint="eastAsia" w:cs="Times New Roman"/>
                <w:color w:val="FF0000"/>
                <w:szCs w:val="24"/>
              </w:rPr>
              <w:t>-</w:t>
            </w:r>
            <w:r>
              <w:rPr>
                <w:rFonts w:cs="Times New Roman"/>
                <w:color w:val="FF0000"/>
                <w:szCs w:val="24"/>
              </w:rPr>
              <w:t>61</w:t>
            </w:r>
            <w:r>
              <w:rPr>
                <w:rFonts w:hint="eastAsia" w:cs="Times New Roman"/>
                <w:color w:val="FF0000"/>
                <w:szCs w:val="24"/>
              </w:rPr>
              <w:t>）：项目生化池废水处理量为</w:t>
            </w:r>
            <w:r>
              <w:rPr>
                <w:rFonts w:cs="Times New Roman"/>
                <w:color w:val="FF0000"/>
                <w:szCs w:val="24"/>
              </w:rPr>
              <w:t>12690.03</w:t>
            </w:r>
            <w:r>
              <w:rPr>
                <w:rFonts w:hint="eastAsia" w:cs="Times New Roman"/>
                <w:color w:val="FF0000"/>
                <w:szCs w:val="24"/>
              </w:rPr>
              <w:t>m</w:t>
            </w:r>
            <w:r>
              <w:rPr>
                <w:rFonts w:cs="Times New Roman"/>
                <w:color w:val="FF0000"/>
                <w:szCs w:val="24"/>
                <w:vertAlign w:val="superscript"/>
              </w:rPr>
              <w:t>3</w:t>
            </w:r>
            <w:r>
              <w:rPr>
                <w:rFonts w:cs="Times New Roman"/>
                <w:color w:val="FF0000"/>
                <w:szCs w:val="24"/>
              </w:rPr>
              <w:t>/</w:t>
            </w:r>
            <w:r>
              <w:rPr>
                <w:rFonts w:hint="eastAsia" w:cs="Times New Roman"/>
                <w:color w:val="FF0000"/>
                <w:szCs w:val="24"/>
              </w:rPr>
              <w:t>a，污泥产率按1</w:t>
            </w:r>
            <w:r>
              <w:rPr>
                <w:rFonts w:cs="Times New Roman"/>
                <w:color w:val="FF0000"/>
                <w:szCs w:val="24"/>
              </w:rPr>
              <w:t>.5L-</w:t>
            </w:r>
            <w:r>
              <w:rPr>
                <w:rFonts w:hint="eastAsia" w:cs="Times New Roman"/>
                <w:color w:val="FF0000"/>
                <w:szCs w:val="24"/>
              </w:rPr>
              <w:t>污泥/m</w:t>
            </w:r>
            <w:r>
              <w:rPr>
                <w:rFonts w:cs="Times New Roman"/>
                <w:color w:val="FF0000"/>
                <w:szCs w:val="24"/>
                <w:vertAlign w:val="superscript"/>
              </w:rPr>
              <w:t>3</w:t>
            </w:r>
            <w:r>
              <w:rPr>
                <w:rFonts w:hint="eastAsia" w:cs="Times New Roman"/>
                <w:color w:val="FF0000"/>
                <w:szCs w:val="24"/>
              </w:rPr>
              <w:t>-污水计算，污泥密度按1</w:t>
            </w:r>
            <w:r>
              <w:rPr>
                <w:rFonts w:cs="Times New Roman"/>
                <w:color w:val="FF0000"/>
                <w:szCs w:val="24"/>
              </w:rPr>
              <w:t>.08</w:t>
            </w:r>
            <w:r>
              <w:rPr>
                <w:rFonts w:hint="eastAsia" w:cs="Times New Roman"/>
                <w:color w:val="FF0000"/>
                <w:szCs w:val="24"/>
              </w:rPr>
              <w:t>t</w:t>
            </w:r>
            <w:r>
              <w:rPr>
                <w:rFonts w:cs="Times New Roman"/>
                <w:color w:val="FF0000"/>
                <w:szCs w:val="24"/>
              </w:rPr>
              <w:t>/</w:t>
            </w:r>
            <w:r>
              <w:rPr>
                <w:rFonts w:hint="eastAsia" w:cs="Times New Roman"/>
                <w:color w:val="FF0000"/>
                <w:szCs w:val="24"/>
              </w:rPr>
              <w:t>m</w:t>
            </w:r>
            <w:r>
              <w:rPr>
                <w:rFonts w:cs="Times New Roman"/>
                <w:color w:val="FF0000"/>
                <w:szCs w:val="24"/>
                <w:vertAlign w:val="superscript"/>
              </w:rPr>
              <w:t>3</w:t>
            </w:r>
            <w:r>
              <w:rPr>
                <w:rFonts w:hint="eastAsia" w:cs="Times New Roman"/>
                <w:color w:val="FF0000"/>
                <w:szCs w:val="24"/>
              </w:rPr>
              <w:t>计。则项目污泥产生量为</w:t>
            </w:r>
            <w:r>
              <w:rPr>
                <w:rFonts w:cs="Times New Roman"/>
                <w:color w:val="FF0000"/>
                <w:szCs w:val="24"/>
              </w:rPr>
              <w:t>20.56</w:t>
            </w:r>
            <w:r>
              <w:rPr>
                <w:rFonts w:hint="eastAsia" w:cs="Times New Roman"/>
                <w:color w:val="FF0000"/>
                <w:szCs w:val="24"/>
              </w:rPr>
              <w:t>t</w:t>
            </w:r>
            <w:r>
              <w:rPr>
                <w:rFonts w:cs="Times New Roman"/>
                <w:color w:val="FF0000"/>
                <w:szCs w:val="24"/>
              </w:rPr>
              <w:t>/</w:t>
            </w:r>
            <w:r>
              <w:rPr>
                <w:rFonts w:hint="eastAsia" w:cs="Times New Roman"/>
                <w:color w:val="FF0000"/>
                <w:szCs w:val="24"/>
              </w:rPr>
              <w:t>a（其中一期工程</w:t>
            </w:r>
            <w:r>
              <w:rPr>
                <w:rFonts w:cs="Times New Roman"/>
                <w:color w:val="FF0000"/>
                <w:szCs w:val="24"/>
              </w:rPr>
              <w:t>12.07</w:t>
            </w:r>
            <w:r>
              <w:rPr>
                <w:rFonts w:hint="eastAsia" w:cs="Times New Roman"/>
                <w:color w:val="FF0000"/>
                <w:szCs w:val="24"/>
              </w:rPr>
              <w:t>t</w:t>
            </w:r>
            <w:r>
              <w:rPr>
                <w:rFonts w:cs="Times New Roman"/>
                <w:color w:val="FF0000"/>
                <w:szCs w:val="24"/>
              </w:rPr>
              <w:t>/</w:t>
            </w:r>
            <w:r>
              <w:rPr>
                <w:rFonts w:hint="eastAsia" w:cs="Times New Roman"/>
                <w:color w:val="FF0000"/>
                <w:szCs w:val="24"/>
              </w:rPr>
              <w:t>a、二期工程</w:t>
            </w:r>
            <w:r>
              <w:rPr>
                <w:rFonts w:cs="Times New Roman"/>
                <w:color w:val="FF0000"/>
                <w:szCs w:val="24"/>
              </w:rPr>
              <w:t>8.49</w:t>
            </w:r>
            <w:r>
              <w:rPr>
                <w:rFonts w:hint="eastAsia" w:cs="Times New Roman"/>
                <w:color w:val="FF0000"/>
                <w:szCs w:val="24"/>
              </w:rPr>
              <w:t>t</w:t>
            </w:r>
            <w:r>
              <w:rPr>
                <w:rFonts w:cs="Times New Roman"/>
                <w:color w:val="FF0000"/>
                <w:szCs w:val="24"/>
              </w:rPr>
              <w:t>/</w:t>
            </w:r>
            <w:r>
              <w:rPr>
                <w:rFonts w:hint="eastAsia" w:cs="Times New Roman"/>
                <w:color w:val="FF0000"/>
                <w:szCs w:val="24"/>
              </w:rPr>
              <w:t>a）。项目生化池污泥，委托有资质单位定期清掏，然后交由环卫部门清运处置。</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危险废物</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①含油废渣（H</w:t>
            </w:r>
            <w:r>
              <w:rPr>
                <w:color w:val="000000" w:themeColor="text1"/>
                <w:sz w:val="24"/>
                <w14:textFill>
                  <w14:solidFill>
                    <w14:schemeClr w14:val="tx1"/>
                  </w14:solidFill>
                </w14:textFill>
              </w:rPr>
              <w:t>W08,900-210-08</w:t>
            </w:r>
            <w:r>
              <w:rPr>
                <w:rFonts w:hint="eastAsia"/>
                <w:color w:val="000000" w:themeColor="text1"/>
                <w:sz w:val="24"/>
                <w14:textFill>
                  <w14:solidFill>
                    <w14:schemeClr w14:val="tx1"/>
                  </w14:solidFill>
                </w14:textFill>
              </w:rPr>
              <w:t>）：生产废水处理设施产生的含油废渣，产生量约0</w:t>
            </w:r>
            <w:r>
              <w:rPr>
                <w:color w:val="000000" w:themeColor="text1"/>
                <w:sz w:val="24"/>
                <w14:textFill>
                  <w14:solidFill>
                    <w14:schemeClr w14:val="tx1"/>
                  </w14:solidFill>
                </w14:textFill>
              </w:rPr>
              <w:t>.163</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a。其中一期产生量约0</w:t>
            </w:r>
            <w:r>
              <w:rPr>
                <w:color w:val="000000" w:themeColor="text1"/>
                <w:sz w:val="24"/>
                <w14:textFill>
                  <w14:solidFill>
                    <w14:schemeClr w14:val="tx1"/>
                  </w14:solidFill>
                </w14:textFill>
              </w:rPr>
              <w:t>.054</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a，二期产生量约0</w:t>
            </w:r>
            <w:r>
              <w:rPr>
                <w:color w:val="000000" w:themeColor="text1"/>
                <w:sz w:val="24"/>
                <w14:textFill>
                  <w14:solidFill>
                    <w14:schemeClr w14:val="tx1"/>
                  </w14:solidFill>
                </w14:textFill>
              </w:rPr>
              <w:t>.109</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②清罐油泥（H</w:t>
            </w:r>
            <w:r>
              <w:rPr>
                <w:color w:val="000000" w:themeColor="text1"/>
                <w:sz w:val="24"/>
                <w14:textFill>
                  <w14:solidFill>
                    <w14:schemeClr w14:val="tx1"/>
                  </w14:solidFill>
                </w14:textFill>
              </w:rPr>
              <w:t>W08</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00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221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08</w:t>
            </w:r>
            <w:r>
              <w:rPr>
                <w:rFonts w:hint="eastAsia"/>
                <w:color w:val="000000" w:themeColor="text1"/>
                <w:sz w:val="24"/>
                <w14:textFill>
                  <w14:solidFill>
                    <w14:schemeClr w14:val="tx1"/>
                  </w14:solidFill>
                </w14:textFill>
              </w:rPr>
              <w:t>）：项目设置5个4</w:t>
            </w:r>
            <w:r>
              <w:rPr>
                <w:color w:val="000000" w:themeColor="text1"/>
                <w:sz w:val="24"/>
                <w14:textFill>
                  <w14:solidFill>
                    <w14:schemeClr w14:val="tx1"/>
                  </w14:solidFill>
                </w14:textFill>
              </w:rPr>
              <w:t>00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裂解油储罐，因项目所生产的裂解油含油少量杂质，杂质的沉淀会在罐底产生污泥，所以需对罐底油污进行定期清理。项目一期工程清罐油泥的产生量约</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a，二期工程清罐油泥的产生量约</w:t>
            </w:r>
            <w:r>
              <w:rPr>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a，总体工程清罐油泥产生量1</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③废含油棉纱手套（</w:t>
            </w:r>
            <w:r>
              <w:rPr>
                <w:color w:val="000000" w:themeColor="text1"/>
                <w:sz w:val="24"/>
                <w14:textFill>
                  <w14:solidFill>
                    <w14:schemeClr w14:val="tx1"/>
                  </w14:solidFill>
                </w14:textFill>
              </w:rPr>
              <w:t>900-041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49</w:t>
            </w:r>
            <w:r>
              <w:rPr>
                <w:rFonts w:hint="eastAsia"/>
                <w:color w:val="000000" w:themeColor="text1"/>
                <w:sz w:val="24"/>
                <w14:textFill>
                  <w14:solidFill>
                    <w14:schemeClr w14:val="tx1"/>
                  </w14:solidFill>
                </w14:textFill>
              </w:rPr>
              <w:t>）：设备维修产生的废含油棉纱手套，产生量约0</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a。其中一期产生量约0</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a，二期产生量约0</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p>
          <w:p>
            <w:pPr>
              <w:adjustRightInd w:val="0"/>
              <w:snapToGrid w:val="0"/>
              <w:ind w:firstLine="480" w:firstLineChars="200"/>
              <w:rPr>
                <w:color w:val="FF0000"/>
                <w:sz w:val="24"/>
              </w:rPr>
            </w:pPr>
            <w:r>
              <w:rPr>
                <w:rFonts w:hint="eastAsia"/>
                <w:color w:val="FF0000"/>
                <w:sz w:val="24"/>
              </w:rPr>
              <w:t>④废活性炭（</w:t>
            </w:r>
            <w:r>
              <w:rPr>
                <w:color w:val="FF0000"/>
                <w:sz w:val="24"/>
              </w:rPr>
              <w:t>HW49,900-041-49</w:t>
            </w:r>
            <w:r>
              <w:rPr>
                <w:rFonts w:hint="eastAsia"/>
                <w:color w:val="FF0000"/>
                <w:sz w:val="24"/>
              </w:rPr>
              <w:t>）：经过二次燃烧的尾气中经活性炭吸附的非甲烷总烃约</w:t>
            </w:r>
            <w:r>
              <w:rPr>
                <w:color w:val="FF0000"/>
                <w:sz w:val="24"/>
              </w:rPr>
              <w:t>4.341</w:t>
            </w:r>
            <w:r>
              <w:rPr>
                <w:rFonts w:hint="eastAsia"/>
                <w:color w:val="FF0000"/>
                <w:sz w:val="24"/>
              </w:rPr>
              <w:t>t</w:t>
            </w:r>
            <w:r>
              <w:rPr>
                <w:color w:val="FF0000"/>
                <w:sz w:val="24"/>
              </w:rPr>
              <w:t>/</w:t>
            </w:r>
            <w:r>
              <w:rPr>
                <w:rFonts w:hint="eastAsia"/>
                <w:color w:val="FF0000"/>
                <w:sz w:val="24"/>
              </w:rPr>
              <w:t>a。燃烧废气处理设施活性炭装炭量为</w:t>
            </w:r>
            <w:r>
              <w:rPr>
                <w:color w:val="FF0000"/>
                <w:sz w:val="24"/>
              </w:rPr>
              <w:t>4</w:t>
            </w:r>
            <w:r>
              <w:rPr>
                <w:rFonts w:hint="eastAsia"/>
                <w:color w:val="FF0000"/>
                <w:sz w:val="24"/>
              </w:rPr>
              <w:t>m</w:t>
            </w:r>
            <w:r>
              <w:rPr>
                <w:color w:val="FF0000"/>
                <w:sz w:val="24"/>
                <w:vertAlign w:val="superscript"/>
              </w:rPr>
              <w:t>3</w:t>
            </w:r>
            <w:r>
              <w:rPr>
                <w:rFonts w:hint="eastAsia"/>
                <w:color w:val="FF0000"/>
                <w:sz w:val="24"/>
              </w:rPr>
              <w:t>，更换频次为3个月一次。根据经验计算，活性炭密度为0</w:t>
            </w:r>
            <w:r>
              <w:rPr>
                <w:color w:val="FF0000"/>
                <w:sz w:val="24"/>
              </w:rPr>
              <w:t>.4</w:t>
            </w:r>
            <w:r>
              <w:rPr>
                <w:rFonts w:hint="eastAsia"/>
                <w:color w:val="FF0000"/>
                <w:sz w:val="24"/>
              </w:rPr>
              <w:t>t</w:t>
            </w:r>
            <w:r>
              <w:rPr>
                <w:color w:val="FF0000"/>
                <w:sz w:val="24"/>
              </w:rPr>
              <w:t>/</w:t>
            </w:r>
            <w:r>
              <w:rPr>
                <w:rFonts w:hint="eastAsia"/>
                <w:color w:val="FF0000"/>
                <w:sz w:val="24"/>
              </w:rPr>
              <w:t>m</w:t>
            </w:r>
            <w:r>
              <w:rPr>
                <w:color w:val="FF0000"/>
                <w:sz w:val="24"/>
                <w:vertAlign w:val="superscript"/>
              </w:rPr>
              <w:t>3</w:t>
            </w:r>
            <w:r>
              <w:rPr>
                <w:rFonts w:hint="eastAsia"/>
                <w:color w:val="FF0000"/>
                <w:sz w:val="24"/>
              </w:rPr>
              <w:t>，产生废活性炭量为</w:t>
            </w:r>
            <w:r>
              <w:rPr>
                <w:color w:val="FF0000"/>
                <w:sz w:val="24"/>
              </w:rPr>
              <w:t>20.341</w:t>
            </w:r>
            <w:r>
              <w:rPr>
                <w:rFonts w:hint="eastAsia"/>
                <w:color w:val="FF0000"/>
                <w:sz w:val="24"/>
              </w:rPr>
              <w:t>t</w:t>
            </w:r>
            <w:r>
              <w:rPr>
                <w:color w:val="FF0000"/>
                <w:sz w:val="24"/>
              </w:rPr>
              <w:t>/</w:t>
            </w:r>
            <w:r>
              <w:rPr>
                <w:rFonts w:hint="eastAsia"/>
                <w:color w:val="FF0000"/>
                <w:sz w:val="24"/>
              </w:rPr>
              <w:t>a（其中一期产生量</w:t>
            </w:r>
            <w:r>
              <w:rPr>
                <w:color w:val="FF0000"/>
                <w:sz w:val="24"/>
              </w:rPr>
              <w:t>6.780</w:t>
            </w:r>
            <w:r>
              <w:rPr>
                <w:rFonts w:hint="eastAsia"/>
                <w:color w:val="FF0000"/>
                <w:sz w:val="24"/>
              </w:rPr>
              <w:t>t</w:t>
            </w:r>
            <w:r>
              <w:rPr>
                <w:color w:val="FF0000"/>
                <w:sz w:val="24"/>
              </w:rPr>
              <w:t>/</w:t>
            </w:r>
            <w:r>
              <w:rPr>
                <w:rFonts w:hint="eastAsia"/>
                <w:color w:val="FF0000"/>
                <w:sz w:val="24"/>
              </w:rPr>
              <w:t>a、二期工程产生量</w:t>
            </w:r>
            <w:r>
              <w:rPr>
                <w:color w:val="FF0000"/>
                <w:sz w:val="24"/>
              </w:rPr>
              <w:t>13.561</w:t>
            </w:r>
            <w:r>
              <w:rPr>
                <w:rFonts w:hint="eastAsia"/>
                <w:color w:val="FF0000"/>
                <w:sz w:val="24"/>
              </w:rPr>
              <w:t>t</w:t>
            </w:r>
            <w:r>
              <w:rPr>
                <w:color w:val="FF0000"/>
                <w:sz w:val="24"/>
              </w:rPr>
              <w:t>/</w:t>
            </w:r>
            <w:r>
              <w:rPr>
                <w:rFonts w:hint="eastAsia"/>
                <w:color w:val="FF0000"/>
                <w:sz w:val="24"/>
              </w:rPr>
              <w:t>a）。</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⑤废油桶（</w:t>
            </w:r>
            <w:r>
              <w:rPr>
                <w:color w:val="000000" w:themeColor="text1"/>
                <w:sz w:val="24"/>
                <w14:textFill>
                  <w14:solidFill>
                    <w14:schemeClr w14:val="tx1"/>
                  </w14:solidFill>
                </w14:textFill>
              </w:rPr>
              <w:t>HW49,900-041-49</w:t>
            </w:r>
            <w:r>
              <w:rPr>
                <w:rFonts w:hint="eastAsia"/>
                <w:color w:val="000000" w:themeColor="text1"/>
                <w:sz w:val="24"/>
                <w14:textFill>
                  <w14:solidFill>
                    <w14:schemeClr w14:val="tx1"/>
                  </w14:solidFill>
                </w14:textFill>
              </w:rPr>
              <w:t>）：产生量约2</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个，单个桶0</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kg，则废油桶产生量为0</w:t>
            </w:r>
            <w:r>
              <w:rPr>
                <w:color w:val="000000" w:themeColor="text1"/>
                <w:sz w:val="24"/>
                <w14:textFill>
                  <w14:solidFill>
                    <w14:schemeClr w14:val="tx1"/>
                  </w14:solidFill>
                </w14:textFill>
              </w:rPr>
              <w:t>.01</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a。其中一期产生量约0</w:t>
            </w:r>
            <w:r>
              <w:rPr>
                <w:color w:val="000000" w:themeColor="text1"/>
                <w:sz w:val="24"/>
                <w14:textFill>
                  <w14:solidFill>
                    <w14:schemeClr w14:val="tx1"/>
                  </w14:solidFill>
                </w14:textFill>
              </w:rPr>
              <w:t>.004</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a，二期产生量约0</w:t>
            </w:r>
            <w:r>
              <w:rPr>
                <w:color w:val="000000" w:themeColor="text1"/>
                <w:sz w:val="24"/>
                <w14:textFill>
                  <w14:solidFill>
                    <w14:schemeClr w14:val="tx1"/>
                  </w14:solidFill>
                </w14:textFill>
              </w:rPr>
              <w:t>.006</w:t>
            </w:r>
            <w:r>
              <w:rPr>
                <w:rFonts w:hint="eastAsia"/>
                <w:color w:val="000000" w:themeColor="text1"/>
                <w:sz w:val="24"/>
                <w14:textFill>
                  <w14:solidFill>
                    <w14:schemeClr w14:val="tx1"/>
                  </w14:solidFill>
                </w14:textFill>
              </w:rPr>
              <w:t>t/a。</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废催化剂（HW</w:t>
            </w:r>
            <w:r>
              <w:rPr>
                <w:color w:val="000000" w:themeColor="text1"/>
                <w:sz w:val="24"/>
                <w14:textFill>
                  <w14:solidFill>
                    <w14:schemeClr w14:val="tx1"/>
                  </w14:solidFill>
                </w14:textFill>
              </w:rPr>
              <w:t>50</w:t>
            </w:r>
            <w:r>
              <w:rPr>
                <w:rFonts w:hint="eastAsia"/>
                <w:color w:val="000000" w:themeColor="text1"/>
                <w:sz w:val="24"/>
                <w14:textFill>
                  <w14:solidFill>
                    <w14:schemeClr w14:val="tx1"/>
                  </w14:solidFill>
                </w14:textFill>
              </w:rPr>
              <w:t>,77</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007</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50</w:t>
            </w:r>
            <w:r>
              <w:rPr>
                <w:rFonts w:hint="eastAsia"/>
                <w:color w:val="000000" w:themeColor="text1"/>
                <w:sz w:val="24"/>
                <w14:textFill>
                  <w14:solidFill>
                    <w14:schemeClr w14:val="tx1"/>
                  </w14:solidFill>
                </w14:textFill>
              </w:rPr>
              <w:t>）：烟气脱硝过程产生的废钒钛系催化剂，产生量约0.</w:t>
            </w:r>
            <w:r>
              <w:rPr>
                <w:color w:val="000000" w:themeColor="text1"/>
                <w:sz w:val="24"/>
                <w14:textFill>
                  <w14:solidFill>
                    <w14:schemeClr w14:val="tx1"/>
                  </w14:solidFill>
                </w14:textFill>
              </w:rPr>
              <w:t>01</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a。其中一期产生量约0.</w:t>
            </w:r>
            <w:r>
              <w:rPr>
                <w:color w:val="000000" w:themeColor="text1"/>
                <w:sz w:val="24"/>
                <w14:textFill>
                  <w14:solidFill>
                    <w14:schemeClr w14:val="tx1"/>
                  </w14:solidFill>
                </w14:textFill>
              </w:rPr>
              <w:t>003</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a，二期产生量约0.</w:t>
            </w:r>
            <w:r>
              <w:rPr>
                <w:color w:val="000000" w:themeColor="text1"/>
                <w:sz w:val="24"/>
                <w14:textFill>
                  <w14:solidFill>
                    <w14:schemeClr w14:val="tx1"/>
                  </w14:solidFill>
                </w14:textFill>
              </w:rPr>
              <w:t>007</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a。</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危险废物统一暂存于危废暂存间，定期交有资质单位处置。</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产生的危险废物统计见表4.2-</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5。</w:t>
            </w:r>
          </w:p>
          <w:p>
            <w:pPr>
              <w:autoSpaceDE w:val="0"/>
              <w:autoSpaceDN w:val="0"/>
              <w:adjustRightInd w:val="0"/>
              <w:spacing w:line="240" w:lineRule="auto"/>
              <w:jc w:val="center"/>
              <w:textAlignment w:val="baseline"/>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表4.2-</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5  项目危险废物贮存场所（设施）基本情况表</w:t>
            </w:r>
          </w:p>
          <w:tbl>
            <w:tblPr>
              <w:tblStyle w:val="36"/>
              <w:tblW w:w="8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1001"/>
              <w:gridCol w:w="1087"/>
              <w:gridCol w:w="915"/>
              <w:gridCol w:w="1276"/>
              <w:gridCol w:w="723"/>
              <w:gridCol w:w="733"/>
              <w:gridCol w:w="950"/>
              <w:gridCol w:w="719"/>
              <w:gridCol w:w="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2" w:type="dxa"/>
                  <w:vAlign w:val="center"/>
                </w:tcPr>
                <w:p>
                  <w:pPr>
                    <w:pStyle w:val="102"/>
                    <w:spacing w:line="240" w:lineRule="auto"/>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序号</w:t>
                  </w:r>
                </w:p>
              </w:tc>
              <w:tc>
                <w:tcPr>
                  <w:tcW w:w="1001" w:type="dxa"/>
                  <w:vAlign w:val="center"/>
                </w:tcPr>
                <w:p>
                  <w:pPr>
                    <w:pStyle w:val="102"/>
                    <w:spacing w:line="240" w:lineRule="auto"/>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贮存场所（设施）名称</w:t>
                  </w:r>
                </w:p>
              </w:tc>
              <w:tc>
                <w:tcPr>
                  <w:tcW w:w="1087" w:type="dxa"/>
                  <w:vAlign w:val="center"/>
                </w:tcPr>
                <w:p>
                  <w:pPr>
                    <w:pStyle w:val="102"/>
                    <w:spacing w:line="240" w:lineRule="auto"/>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危险废物名称</w:t>
                  </w:r>
                </w:p>
              </w:tc>
              <w:tc>
                <w:tcPr>
                  <w:tcW w:w="915" w:type="dxa"/>
                  <w:vAlign w:val="center"/>
                </w:tcPr>
                <w:p>
                  <w:pPr>
                    <w:pStyle w:val="102"/>
                    <w:spacing w:line="240" w:lineRule="auto"/>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危险废物类别</w:t>
                  </w:r>
                </w:p>
              </w:tc>
              <w:tc>
                <w:tcPr>
                  <w:tcW w:w="1276" w:type="dxa"/>
                  <w:vAlign w:val="center"/>
                </w:tcPr>
                <w:p>
                  <w:pPr>
                    <w:pStyle w:val="102"/>
                    <w:spacing w:line="240" w:lineRule="auto"/>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危险废物代码</w:t>
                  </w:r>
                </w:p>
              </w:tc>
              <w:tc>
                <w:tcPr>
                  <w:tcW w:w="723" w:type="dxa"/>
                  <w:vAlign w:val="center"/>
                </w:tcPr>
                <w:p>
                  <w:pPr>
                    <w:pStyle w:val="102"/>
                    <w:spacing w:line="240" w:lineRule="auto"/>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位置</w:t>
                  </w:r>
                </w:p>
              </w:tc>
              <w:tc>
                <w:tcPr>
                  <w:tcW w:w="733" w:type="dxa"/>
                  <w:vAlign w:val="center"/>
                </w:tcPr>
                <w:p>
                  <w:pPr>
                    <w:pStyle w:val="102"/>
                    <w:spacing w:line="240" w:lineRule="auto"/>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占地面积</w:t>
                  </w:r>
                </w:p>
              </w:tc>
              <w:tc>
                <w:tcPr>
                  <w:tcW w:w="950" w:type="dxa"/>
                  <w:vAlign w:val="center"/>
                </w:tcPr>
                <w:p>
                  <w:pPr>
                    <w:pStyle w:val="102"/>
                    <w:spacing w:line="240" w:lineRule="auto"/>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贮存</w:t>
                  </w:r>
                </w:p>
                <w:p>
                  <w:pPr>
                    <w:pStyle w:val="102"/>
                    <w:spacing w:line="240" w:lineRule="auto"/>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方式</w:t>
                  </w:r>
                </w:p>
              </w:tc>
              <w:tc>
                <w:tcPr>
                  <w:tcW w:w="719" w:type="dxa"/>
                  <w:vAlign w:val="center"/>
                </w:tcPr>
                <w:p>
                  <w:pPr>
                    <w:pStyle w:val="102"/>
                    <w:spacing w:line="240" w:lineRule="auto"/>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贮存能力</w:t>
                  </w:r>
                </w:p>
              </w:tc>
              <w:tc>
                <w:tcPr>
                  <w:tcW w:w="687" w:type="dxa"/>
                  <w:vAlign w:val="center"/>
                </w:tcPr>
                <w:p>
                  <w:pPr>
                    <w:pStyle w:val="102"/>
                    <w:spacing w:line="240" w:lineRule="auto"/>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2"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1</w:t>
                  </w:r>
                </w:p>
              </w:tc>
              <w:tc>
                <w:tcPr>
                  <w:tcW w:w="1001" w:type="dxa"/>
                  <w:vMerge w:val="restart"/>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危废暂存间</w:t>
                  </w:r>
                </w:p>
              </w:tc>
              <w:tc>
                <w:tcPr>
                  <w:tcW w:w="1087"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含油废渣</w:t>
                  </w:r>
                </w:p>
              </w:tc>
              <w:tc>
                <w:tcPr>
                  <w:tcW w:w="915"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HW08</w:t>
                  </w:r>
                </w:p>
              </w:tc>
              <w:tc>
                <w:tcPr>
                  <w:tcW w:w="1276"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900-</w:t>
                  </w:r>
                  <w:r>
                    <w:rPr>
                      <w:rFonts w:hint="eastAsia" w:ascii="Times New Roman" w:hAnsi="Times New Roman"/>
                      <w:color w:val="000000" w:themeColor="text1"/>
                      <w:sz w:val="21"/>
                      <w14:textFill>
                        <w14:solidFill>
                          <w14:schemeClr w14:val="tx1"/>
                        </w14:solidFill>
                      </w14:textFill>
                    </w:rPr>
                    <w:t>2</w:t>
                  </w:r>
                  <w:r>
                    <w:rPr>
                      <w:rFonts w:ascii="Times New Roman" w:hAnsi="Times New Roman"/>
                      <w:color w:val="000000" w:themeColor="text1"/>
                      <w:sz w:val="21"/>
                      <w14:textFill>
                        <w14:solidFill>
                          <w14:schemeClr w14:val="tx1"/>
                        </w14:solidFill>
                      </w14:textFill>
                    </w:rPr>
                    <w:t>10-</w:t>
                  </w:r>
                  <w:r>
                    <w:rPr>
                      <w:rFonts w:hint="eastAsia" w:ascii="Times New Roman" w:hAnsi="Times New Roman"/>
                      <w:color w:val="000000" w:themeColor="text1"/>
                      <w:sz w:val="21"/>
                      <w14:textFill>
                        <w14:solidFill>
                          <w14:schemeClr w14:val="tx1"/>
                        </w14:solidFill>
                      </w14:textFill>
                    </w:rPr>
                    <w:t>08</w:t>
                  </w:r>
                </w:p>
              </w:tc>
              <w:tc>
                <w:tcPr>
                  <w:tcW w:w="723" w:type="dxa"/>
                  <w:vMerge w:val="restart"/>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裂解车间内西北角</w:t>
                  </w:r>
                </w:p>
              </w:tc>
              <w:tc>
                <w:tcPr>
                  <w:tcW w:w="733" w:type="dxa"/>
                  <w:vMerge w:val="restart"/>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10m</w:t>
                  </w:r>
                  <w:r>
                    <w:rPr>
                      <w:rFonts w:ascii="Times New Roman" w:hAnsi="Times New Roman"/>
                      <w:color w:val="000000" w:themeColor="text1"/>
                      <w:sz w:val="21"/>
                      <w:vertAlign w:val="superscript"/>
                      <w14:textFill>
                        <w14:solidFill>
                          <w14:schemeClr w14:val="tx1"/>
                        </w14:solidFill>
                      </w14:textFill>
                    </w:rPr>
                    <w:t>2</w:t>
                  </w:r>
                </w:p>
              </w:tc>
              <w:tc>
                <w:tcPr>
                  <w:tcW w:w="950"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密封，桶装</w:t>
                  </w:r>
                </w:p>
              </w:tc>
              <w:tc>
                <w:tcPr>
                  <w:tcW w:w="719" w:type="dxa"/>
                  <w:vMerge w:val="restart"/>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3</w:t>
                  </w:r>
                  <w:r>
                    <w:rPr>
                      <w:rFonts w:ascii="Times New Roman" w:hAnsi="Times New Roman"/>
                      <w:color w:val="000000" w:themeColor="text1"/>
                      <w:sz w:val="21"/>
                      <w14:textFill>
                        <w14:solidFill>
                          <w14:schemeClr w14:val="tx1"/>
                        </w14:solidFill>
                      </w14:textFill>
                    </w:rPr>
                    <w:t>0t</w:t>
                  </w:r>
                </w:p>
              </w:tc>
              <w:tc>
                <w:tcPr>
                  <w:tcW w:w="687"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2"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2</w:t>
                  </w:r>
                </w:p>
              </w:tc>
              <w:tc>
                <w:tcPr>
                  <w:tcW w:w="1001"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1087"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清罐油泥</w:t>
                  </w:r>
                </w:p>
              </w:tc>
              <w:tc>
                <w:tcPr>
                  <w:tcW w:w="915"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HW08</w:t>
                  </w:r>
                </w:p>
              </w:tc>
              <w:tc>
                <w:tcPr>
                  <w:tcW w:w="1276"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900-221-08</w:t>
                  </w:r>
                </w:p>
              </w:tc>
              <w:tc>
                <w:tcPr>
                  <w:tcW w:w="723"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733"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950"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密封，桶装</w:t>
                  </w:r>
                </w:p>
              </w:tc>
              <w:tc>
                <w:tcPr>
                  <w:tcW w:w="719"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687"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2"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3</w:t>
                  </w:r>
                </w:p>
              </w:tc>
              <w:tc>
                <w:tcPr>
                  <w:tcW w:w="1001"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1087" w:type="dxa"/>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w:t>
                  </w:r>
                  <w:r>
                    <w:rPr>
                      <w:rFonts w:ascii="Times New Roman" w:hAnsi="Times New Roman"/>
                      <w:color w:val="000000" w:themeColor="text1"/>
                      <w:sz w:val="21"/>
                      <w14:textFill>
                        <w14:solidFill>
                          <w14:schemeClr w14:val="tx1"/>
                        </w14:solidFill>
                      </w14:textFill>
                    </w:rPr>
                    <w:t>含油棉纱手套</w:t>
                  </w:r>
                </w:p>
              </w:tc>
              <w:tc>
                <w:tcPr>
                  <w:tcW w:w="915"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w:t>
                  </w:r>
                </w:p>
              </w:tc>
              <w:tc>
                <w:tcPr>
                  <w:tcW w:w="1276" w:type="dxa"/>
                  <w:vAlign w:val="center"/>
                </w:tcPr>
                <w:p>
                  <w:pPr>
                    <w:topLinePunct/>
                    <w:adjustRightInd w:val="0"/>
                    <w:snapToGrid w:val="0"/>
                    <w:spacing w:line="240" w:lineRule="auto"/>
                    <w:jc w:val="center"/>
                    <w:rPr>
                      <w:color w:val="000000" w:themeColor="text1"/>
                      <w:spacing w:val="8"/>
                      <w:szCs w:val="21"/>
                      <w14:textFill>
                        <w14:solidFill>
                          <w14:schemeClr w14:val="tx1"/>
                        </w14:solidFill>
                      </w14:textFill>
                    </w:rPr>
                  </w:pPr>
                  <w:r>
                    <w:rPr>
                      <w:color w:val="000000" w:themeColor="text1"/>
                      <w14:textFill>
                        <w14:solidFill>
                          <w14:schemeClr w14:val="tx1"/>
                        </w14:solidFill>
                      </w14:textFill>
                    </w:rPr>
                    <w:t>900-</w:t>
                  </w:r>
                  <w:r>
                    <w:rPr>
                      <w:rFonts w:hint="eastAsia"/>
                      <w:color w:val="000000" w:themeColor="text1"/>
                      <w14:textFill>
                        <w14:solidFill>
                          <w14:schemeClr w14:val="tx1"/>
                        </w14:solidFill>
                      </w14:textFill>
                    </w:rPr>
                    <w:t>041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49</w:t>
                  </w:r>
                </w:p>
              </w:tc>
              <w:tc>
                <w:tcPr>
                  <w:tcW w:w="723"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733"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950"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密封，桶装</w:t>
                  </w:r>
                </w:p>
              </w:tc>
              <w:tc>
                <w:tcPr>
                  <w:tcW w:w="719"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687"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2"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4</w:t>
                  </w:r>
                </w:p>
              </w:tc>
              <w:tc>
                <w:tcPr>
                  <w:tcW w:w="1001"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1087" w:type="dxa"/>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废油桶</w:t>
                  </w:r>
                </w:p>
              </w:tc>
              <w:tc>
                <w:tcPr>
                  <w:tcW w:w="915"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HW</w:t>
                  </w:r>
                  <w:r>
                    <w:rPr>
                      <w:rFonts w:ascii="Times New Roman" w:hAnsi="Times New Roman"/>
                      <w:color w:val="000000" w:themeColor="text1"/>
                      <w:sz w:val="21"/>
                      <w14:textFill>
                        <w14:solidFill>
                          <w14:schemeClr w14:val="tx1"/>
                        </w14:solidFill>
                      </w14:textFill>
                    </w:rPr>
                    <w:t>49</w:t>
                  </w:r>
                </w:p>
              </w:tc>
              <w:tc>
                <w:tcPr>
                  <w:tcW w:w="1276"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900-0</w:t>
                  </w:r>
                  <w:r>
                    <w:rPr>
                      <w:rFonts w:ascii="Times New Roman" w:hAnsi="Times New Roman"/>
                      <w:color w:val="000000" w:themeColor="text1"/>
                      <w:sz w:val="21"/>
                      <w14:textFill>
                        <w14:solidFill>
                          <w14:schemeClr w14:val="tx1"/>
                        </w14:solidFill>
                      </w14:textFill>
                    </w:rPr>
                    <w:t>41</w:t>
                  </w:r>
                  <w:r>
                    <w:rPr>
                      <w:rFonts w:hint="eastAsia" w:ascii="Times New Roman" w:hAnsi="Times New Roman"/>
                      <w:color w:val="000000" w:themeColor="text1"/>
                      <w:sz w:val="21"/>
                      <w14:textFill>
                        <w14:solidFill>
                          <w14:schemeClr w14:val="tx1"/>
                        </w14:solidFill>
                      </w14:textFill>
                    </w:rPr>
                    <w:t>-09</w:t>
                  </w:r>
                </w:p>
              </w:tc>
              <w:tc>
                <w:tcPr>
                  <w:tcW w:w="723"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733"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950"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c>
                <w:tcPr>
                  <w:tcW w:w="719"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687"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2"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5</w:t>
                  </w:r>
                </w:p>
              </w:tc>
              <w:tc>
                <w:tcPr>
                  <w:tcW w:w="1001"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1087" w:type="dxa"/>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废活性炭</w:t>
                  </w:r>
                </w:p>
              </w:tc>
              <w:tc>
                <w:tcPr>
                  <w:tcW w:w="915"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HW</w:t>
                  </w:r>
                  <w:r>
                    <w:rPr>
                      <w:rFonts w:ascii="Times New Roman" w:hAnsi="Times New Roman"/>
                      <w:color w:val="000000" w:themeColor="text1"/>
                      <w:sz w:val="21"/>
                      <w14:textFill>
                        <w14:solidFill>
                          <w14:schemeClr w14:val="tx1"/>
                        </w14:solidFill>
                      </w14:textFill>
                    </w:rPr>
                    <w:t>49</w:t>
                  </w:r>
                </w:p>
              </w:tc>
              <w:tc>
                <w:tcPr>
                  <w:tcW w:w="1276"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900-0</w:t>
                  </w:r>
                  <w:r>
                    <w:rPr>
                      <w:rFonts w:ascii="Times New Roman" w:hAnsi="Times New Roman"/>
                      <w:color w:val="000000" w:themeColor="text1"/>
                      <w:sz w:val="21"/>
                      <w14:textFill>
                        <w14:solidFill>
                          <w14:schemeClr w14:val="tx1"/>
                        </w14:solidFill>
                      </w14:textFill>
                    </w:rPr>
                    <w:t>41</w:t>
                  </w:r>
                  <w:r>
                    <w:rPr>
                      <w:rFonts w:hint="eastAsia" w:ascii="Times New Roman" w:hAnsi="Times New Roman"/>
                      <w:color w:val="000000" w:themeColor="text1"/>
                      <w:sz w:val="21"/>
                      <w14:textFill>
                        <w14:solidFill>
                          <w14:schemeClr w14:val="tx1"/>
                        </w14:solidFill>
                      </w14:textFill>
                    </w:rPr>
                    <w:t>-09</w:t>
                  </w:r>
                </w:p>
              </w:tc>
              <w:tc>
                <w:tcPr>
                  <w:tcW w:w="723"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733"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950" w:type="dxa"/>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密封</w:t>
                  </w:r>
                  <w:r>
                    <w:rPr>
                      <w:rFonts w:hint="eastAsia"/>
                      <w:color w:val="000000" w:themeColor="text1"/>
                      <w14:textFill>
                        <w14:solidFill>
                          <w14:schemeClr w14:val="tx1"/>
                        </w14:solidFill>
                      </w14:textFill>
                    </w:rPr>
                    <w:t>袋装</w:t>
                  </w:r>
                </w:p>
              </w:tc>
              <w:tc>
                <w:tcPr>
                  <w:tcW w:w="719"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687"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2"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6</w:t>
                  </w:r>
                </w:p>
              </w:tc>
              <w:tc>
                <w:tcPr>
                  <w:tcW w:w="1001"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1087" w:type="dxa"/>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废催化剂</w:t>
                  </w:r>
                </w:p>
              </w:tc>
              <w:tc>
                <w:tcPr>
                  <w:tcW w:w="915"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HW</w:t>
                  </w:r>
                  <w:r>
                    <w:rPr>
                      <w:rFonts w:ascii="Times New Roman" w:hAnsi="Times New Roman"/>
                      <w:color w:val="000000" w:themeColor="text1"/>
                      <w:sz w:val="21"/>
                      <w14:textFill>
                        <w14:solidFill>
                          <w14:schemeClr w14:val="tx1"/>
                        </w14:solidFill>
                      </w14:textFill>
                    </w:rPr>
                    <w:t>50</w:t>
                  </w:r>
                </w:p>
              </w:tc>
              <w:tc>
                <w:tcPr>
                  <w:tcW w:w="1276"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77</w:t>
                  </w:r>
                  <w:r>
                    <w:rPr>
                      <w:rFonts w:ascii="Times New Roman" w:hAnsi="Times New Roman"/>
                      <w:color w:val="000000" w:themeColor="text1"/>
                      <w:sz w:val="21"/>
                      <w14:textFill>
                        <w14:solidFill>
                          <w14:schemeClr w14:val="tx1"/>
                        </w14:solidFill>
                      </w14:textFill>
                    </w:rPr>
                    <w:t>1-007-50</w:t>
                  </w:r>
                </w:p>
              </w:tc>
              <w:tc>
                <w:tcPr>
                  <w:tcW w:w="723"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733"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950" w:type="dxa"/>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密封</w:t>
                  </w:r>
                  <w:r>
                    <w:rPr>
                      <w:rFonts w:hint="eastAsia"/>
                      <w:color w:val="000000" w:themeColor="text1"/>
                      <w14:textFill>
                        <w14:solidFill>
                          <w14:schemeClr w14:val="tx1"/>
                        </w14:solidFill>
                      </w14:textFill>
                    </w:rPr>
                    <w:t>袋装</w:t>
                  </w:r>
                </w:p>
              </w:tc>
              <w:tc>
                <w:tcPr>
                  <w:tcW w:w="719" w:type="dxa"/>
                  <w:vMerge w:val="continue"/>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687"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半年</w:t>
                  </w:r>
                </w:p>
              </w:tc>
            </w:tr>
          </w:tbl>
          <w:p>
            <w:pPr>
              <w:pStyle w:val="73"/>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bCs/>
                <w:color w:val="000000" w:themeColor="text1"/>
                <w:sz w:val="24"/>
                <w:szCs w:val="24"/>
                <w14:textFill>
                  <w14:solidFill>
                    <w14:schemeClr w14:val="tx1"/>
                  </w14:solidFill>
                </w14:textFill>
              </w:rPr>
              <w:t>4</w:t>
            </w:r>
            <w:r>
              <w:rPr>
                <w:b/>
                <w:bCs/>
                <w:color w:val="000000" w:themeColor="text1"/>
                <w:sz w:val="24"/>
                <w:szCs w:val="24"/>
                <w14:textFill>
                  <w14:solidFill>
                    <w14:schemeClr w14:val="tx1"/>
                  </w14:solidFill>
                </w14:textFill>
              </w:rPr>
              <w:t>.2-</w:t>
            </w:r>
            <w:r>
              <w:rPr>
                <w:rFonts w:hint="eastAsia"/>
                <w:b/>
                <w:bCs/>
                <w:color w:val="000000" w:themeColor="text1"/>
                <w:sz w:val="24"/>
                <w:szCs w:val="24"/>
                <w14:textFill>
                  <w14:solidFill>
                    <w14:schemeClr w14:val="tx1"/>
                  </w14:solidFill>
                </w14:textFill>
              </w:rPr>
              <w:t>2</w:t>
            </w:r>
            <w:r>
              <w:rPr>
                <w:b/>
                <w:bCs/>
                <w:color w:val="000000" w:themeColor="text1"/>
                <w:sz w:val="24"/>
                <w:szCs w:val="24"/>
                <w14:textFill>
                  <w14:solidFill>
                    <w14:schemeClr w14:val="tx1"/>
                  </w14:solidFill>
                </w14:textFill>
              </w:rPr>
              <w:t xml:space="preserve">6  </w:t>
            </w:r>
            <w:r>
              <w:rPr>
                <w:rFonts w:hint="eastAsia"/>
                <w:b/>
                <w:bCs/>
                <w:color w:val="000000" w:themeColor="text1"/>
                <w:sz w:val="24"/>
                <w:szCs w:val="24"/>
                <w14:textFill>
                  <w14:solidFill>
                    <w14:schemeClr w14:val="tx1"/>
                  </w14:solidFill>
                </w14:textFill>
              </w:rPr>
              <w:t>本项目</w:t>
            </w:r>
            <w:r>
              <w:rPr>
                <w:b/>
                <w:bCs/>
                <w:color w:val="000000" w:themeColor="text1"/>
                <w:sz w:val="24"/>
                <w:szCs w:val="24"/>
                <w14:textFill>
                  <w14:solidFill>
                    <w14:schemeClr w14:val="tx1"/>
                  </w14:solidFill>
                </w14:textFill>
              </w:rPr>
              <w:t>生产过程中产生的危险废物汇总表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955"/>
              <w:gridCol w:w="787"/>
              <w:gridCol w:w="858"/>
              <w:gridCol w:w="911"/>
              <w:gridCol w:w="808"/>
              <w:gridCol w:w="510"/>
              <w:gridCol w:w="675"/>
              <w:gridCol w:w="515"/>
              <w:gridCol w:w="525"/>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7" w:type="pct"/>
                  <w:vMerge w:val="restart"/>
                  <w:tcBorders>
                    <w:right w:val="single" w:color="000000" w:sz="6" w:space="0"/>
                  </w:tcBorders>
                  <w:vAlign w:val="center"/>
                </w:tcPr>
                <w:p>
                  <w:pPr>
                    <w:topLinePunct/>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危险废物</w:t>
                  </w:r>
                </w:p>
                <w:p>
                  <w:pPr>
                    <w:topLinePunct/>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名称</w:t>
                  </w:r>
                </w:p>
              </w:tc>
              <w:tc>
                <w:tcPr>
                  <w:tcW w:w="1018" w:type="pct"/>
                  <w:vMerge w:val="restart"/>
                  <w:vAlign w:val="center"/>
                </w:tcPr>
                <w:p>
                  <w:pPr>
                    <w:topLinePunct/>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危废编号</w:t>
                  </w:r>
                </w:p>
              </w:tc>
              <w:tc>
                <w:tcPr>
                  <w:tcW w:w="1344" w:type="pct"/>
                  <w:gridSpan w:val="3"/>
                  <w:vAlign w:val="center"/>
                </w:tcPr>
                <w:p>
                  <w:pPr>
                    <w:topLinePunct/>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产生量</w:t>
                  </w:r>
                </w:p>
                <w:p>
                  <w:pPr>
                    <w:topLinePunct/>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（t/a）</w:t>
                  </w:r>
                </w:p>
              </w:tc>
              <w:tc>
                <w:tcPr>
                  <w:tcW w:w="415" w:type="pct"/>
                  <w:vMerge w:val="restart"/>
                  <w:vAlign w:val="center"/>
                </w:tcPr>
                <w:p>
                  <w:pPr>
                    <w:topLinePunct/>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产生工序及装置</w:t>
                  </w:r>
                </w:p>
              </w:tc>
              <w:tc>
                <w:tcPr>
                  <w:tcW w:w="258" w:type="pct"/>
                  <w:vMerge w:val="restart"/>
                  <w:vAlign w:val="center"/>
                </w:tcPr>
                <w:p>
                  <w:pPr>
                    <w:topLinePunct/>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形态</w:t>
                  </w:r>
                </w:p>
              </w:tc>
              <w:tc>
                <w:tcPr>
                  <w:tcW w:w="345" w:type="pct"/>
                  <w:vMerge w:val="restart"/>
                  <w:vAlign w:val="center"/>
                </w:tcPr>
                <w:p>
                  <w:pPr>
                    <w:topLinePunct/>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主要</w:t>
                  </w:r>
                </w:p>
                <w:p>
                  <w:pPr>
                    <w:topLinePunct/>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成分</w:t>
                  </w:r>
                </w:p>
              </w:tc>
              <w:tc>
                <w:tcPr>
                  <w:tcW w:w="261" w:type="pct"/>
                  <w:vMerge w:val="restart"/>
                  <w:vAlign w:val="center"/>
                </w:tcPr>
                <w:p>
                  <w:pPr>
                    <w:topLinePunct/>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产废周期</w:t>
                  </w:r>
                </w:p>
              </w:tc>
              <w:tc>
                <w:tcPr>
                  <w:tcW w:w="267" w:type="pct"/>
                  <w:vMerge w:val="restart"/>
                  <w:vAlign w:val="center"/>
                </w:tcPr>
                <w:p>
                  <w:pPr>
                    <w:topLinePunct/>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危险</w:t>
                  </w:r>
                </w:p>
                <w:p>
                  <w:pPr>
                    <w:topLinePunct/>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特性</w:t>
                  </w:r>
                </w:p>
              </w:tc>
              <w:tc>
                <w:tcPr>
                  <w:tcW w:w="626" w:type="pct"/>
                  <w:vMerge w:val="restart"/>
                  <w:vAlign w:val="center"/>
                </w:tcPr>
                <w:p>
                  <w:pPr>
                    <w:topLinePunct/>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7" w:type="pct"/>
                  <w:vMerge w:val="continue"/>
                  <w:tcBorders>
                    <w:right w:val="single" w:color="000000" w:sz="6" w:space="0"/>
                  </w:tcBorders>
                  <w:vAlign w:val="center"/>
                </w:tcPr>
                <w:p>
                  <w:pPr>
                    <w:pStyle w:val="102"/>
                    <w:spacing w:line="240" w:lineRule="auto"/>
                    <w:rPr>
                      <w:rFonts w:ascii="Times New Roman" w:hAnsi="Times New Roman"/>
                      <w:color w:val="000000" w:themeColor="text1"/>
                      <w:sz w:val="21"/>
                      <w14:textFill>
                        <w14:solidFill>
                          <w14:schemeClr w14:val="tx1"/>
                        </w14:solidFill>
                      </w14:textFill>
                    </w:rPr>
                  </w:pPr>
                </w:p>
              </w:tc>
              <w:tc>
                <w:tcPr>
                  <w:tcW w:w="1028" w:type="pct"/>
                  <w:vMerge w:val="continue"/>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p>
              </w:tc>
              <w:tc>
                <w:tcPr>
                  <w:tcW w:w="414" w:type="pct"/>
                  <w:vAlign w:val="center"/>
                </w:tcPr>
                <w:p>
                  <w:pPr>
                    <w:pStyle w:val="102"/>
                    <w:snapToGrid/>
                    <w:spacing w:line="240" w:lineRule="auto"/>
                    <w:rPr>
                      <w:rFonts w:ascii="Times New Roman" w:hAnsi="Times New Roman"/>
                      <w:b/>
                      <w:color w:val="000000" w:themeColor="text1"/>
                      <w:kern w:val="0"/>
                      <w:sz w:val="21"/>
                      <w14:textFill>
                        <w14:solidFill>
                          <w14:schemeClr w14:val="tx1"/>
                        </w14:solidFill>
                      </w14:textFill>
                    </w:rPr>
                  </w:pPr>
                  <w:r>
                    <w:rPr>
                      <w:rFonts w:hint="eastAsia" w:ascii="Times New Roman" w:hAnsi="Times New Roman"/>
                      <w:b/>
                      <w:color w:val="000000" w:themeColor="text1"/>
                      <w:kern w:val="0"/>
                      <w:sz w:val="21"/>
                      <w14:textFill>
                        <w14:solidFill>
                          <w14:schemeClr w14:val="tx1"/>
                        </w14:solidFill>
                      </w14:textFill>
                    </w:rPr>
                    <w:t>一期</w:t>
                  </w:r>
                </w:p>
              </w:tc>
              <w:tc>
                <w:tcPr>
                  <w:tcW w:w="425" w:type="pct"/>
                  <w:vAlign w:val="center"/>
                </w:tcPr>
                <w:p>
                  <w:pPr>
                    <w:topLinePunct/>
                    <w:adjustRightInd w:val="0"/>
                    <w:snapToGrid w:val="0"/>
                    <w:spacing w:line="240" w:lineRule="auto"/>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二期</w:t>
                  </w:r>
                </w:p>
              </w:tc>
              <w:tc>
                <w:tcPr>
                  <w:tcW w:w="425" w:type="pct"/>
                  <w:vAlign w:val="center"/>
                </w:tcPr>
                <w:p>
                  <w:pPr>
                    <w:topLinePunct/>
                    <w:adjustRightInd w:val="0"/>
                    <w:snapToGrid w:val="0"/>
                    <w:spacing w:line="240" w:lineRule="auto"/>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总体</w:t>
                  </w:r>
                </w:p>
              </w:tc>
              <w:tc>
                <w:tcPr>
                  <w:tcW w:w="425" w:type="pct"/>
                  <w:vMerge w:val="continue"/>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p>
              </w:tc>
              <w:tc>
                <w:tcPr>
                  <w:tcW w:w="268" w:type="pct"/>
                  <w:vMerge w:val="continue"/>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p>
              </w:tc>
              <w:tc>
                <w:tcPr>
                  <w:tcW w:w="355" w:type="pct"/>
                  <w:vMerge w:val="continue"/>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p>
              </w:tc>
              <w:tc>
                <w:tcPr>
                  <w:tcW w:w="271" w:type="pct"/>
                  <w:vMerge w:val="continue"/>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p>
              </w:tc>
              <w:tc>
                <w:tcPr>
                  <w:tcW w:w="276" w:type="pct"/>
                  <w:vMerge w:val="continue"/>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p>
              </w:tc>
              <w:tc>
                <w:tcPr>
                  <w:tcW w:w="637" w:type="pct"/>
                  <w:vMerge w:val="continue"/>
                  <w:vAlign w:val="center"/>
                </w:tcPr>
                <w:p>
                  <w:pPr>
                    <w:topLinePunct/>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7" w:type="pct"/>
                  <w:tcBorders>
                    <w:right w:val="single" w:color="000000" w:sz="6" w:space="0"/>
                  </w:tcBorders>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含油废渣</w:t>
                  </w:r>
                </w:p>
              </w:tc>
              <w:tc>
                <w:tcPr>
                  <w:tcW w:w="1028"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w:t>
                  </w:r>
                  <w:r>
                    <w:rPr>
                      <w:color w:val="000000" w:themeColor="text1"/>
                      <w:kern w:val="0"/>
                      <w:szCs w:val="21"/>
                      <w14:textFill>
                        <w14:solidFill>
                          <w14:schemeClr w14:val="tx1"/>
                        </w14:solidFill>
                      </w14:textFill>
                    </w:rPr>
                    <w:t>W08,900-210-08</w:t>
                  </w:r>
                </w:p>
              </w:tc>
              <w:tc>
                <w:tcPr>
                  <w:tcW w:w="414" w:type="pct"/>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0.0</w:t>
                  </w:r>
                  <w:r>
                    <w:rPr>
                      <w:rFonts w:ascii="Times New Roman" w:hAnsi="Times New Roman"/>
                      <w:color w:val="000000" w:themeColor="text1"/>
                      <w:kern w:val="0"/>
                      <w:sz w:val="21"/>
                      <w14:textFill>
                        <w14:solidFill>
                          <w14:schemeClr w14:val="tx1"/>
                        </w14:solidFill>
                      </w14:textFill>
                    </w:rPr>
                    <w:t>54</w:t>
                  </w:r>
                </w:p>
              </w:tc>
              <w:tc>
                <w:tcPr>
                  <w:tcW w:w="425"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109</w:t>
                  </w:r>
                </w:p>
              </w:tc>
              <w:tc>
                <w:tcPr>
                  <w:tcW w:w="425" w:type="pct"/>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w:t>
                  </w:r>
                  <w:r>
                    <w:rPr>
                      <w:rFonts w:ascii="Times New Roman" w:hAnsi="Times New Roman"/>
                      <w:color w:val="000000" w:themeColor="text1"/>
                      <w:kern w:val="0"/>
                      <w:sz w:val="21"/>
                      <w14:textFill>
                        <w14:solidFill>
                          <w14:schemeClr w14:val="tx1"/>
                        </w14:solidFill>
                      </w14:textFill>
                    </w:rPr>
                    <w:t>163</w:t>
                  </w:r>
                </w:p>
              </w:tc>
              <w:tc>
                <w:tcPr>
                  <w:tcW w:w="425"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隔油</w:t>
                  </w:r>
                </w:p>
              </w:tc>
              <w:tc>
                <w:tcPr>
                  <w:tcW w:w="268"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液态</w:t>
                  </w:r>
                </w:p>
              </w:tc>
              <w:tc>
                <w:tcPr>
                  <w:tcW w:w="355"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矿物油</w:t>
                  </w:r>
                </w:p>
              </w:tc>
              <w:tc>
                <w:tcPr>
                  <w:tcW w:w="271"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间断</w:t>
                  </w:r>
                </w:p>
              </w:tc>
              <w:tc>
                <w:tcPr>
                  <w:tcW w:w="276"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I</w:t>
                  </w:r>
                </w:p>
              </w:tc>
              <w:tc>
                <w:tcPr>
                  <w:tcW w:w="637" w:type="pct"/>
                  <w:vMerge w:val="restar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分类暂存于危废暂存间，定期</w:t>
                  </w:r>
                  <w:r>
                    <w:rPr>
                      <w:rFonts w:hint="eastAsia"/>
                      <w:color w:val="000000" w:themeColor="text1"/>
                      <w:szCs w:val="21"/>
                      <w14:textFill>
                        <w14:solidFill>
                          <w14:schemeClr w14:val="tx1"/>
                        </w14:solidFill>
                      </w14:textFill>
                    </w:rPr>
                    <w:t>有资质</w:t>
                  </w:r>
                  <w:r>
                    <w:rPr>
                      <w:color w:val="000000" w:themeColor="text1"/>
                      <w:szCs w:val="21"/>
                      <w14:textFill>
                        <w14:solidFill>
                          <w14:schemeClr w14:val="tx1"/>
                        </w14:solidFill>
                      </w14:textFill>
                    </w:rPr>
                    <w:t>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7" w:type="pct"/>
                  <w:tcBorders>
                    <w:right w:val="single" w:color="000000" w:sz="6" w:space="0"/>
                  </w:tcBorders>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清罐油泥</w:t>
                  </w:r>
                </w:p>
              </w:tc>
              <w:tc>
                <w:tcPr>
                  <w:tcW w:w="1018"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w:t>
                  </w:r>
                  <w:r>
                    <w:rPr>
                      <w:color w:val="000000" w:themeColor="text1"/>
                      <w:kern w:val="0"/>
                      <w:szCs w:val="21"/>
                      <w14:textFill>
                        <w14:solidFill>
                          <w14:schemeClr w14:val="tx1"/>
                        </w14:solidFill>
                      </w14:textFill>
                    </w:rPr>
                    <w:t>W08,900-221-08</w:t>
                  </w:r>
                </w:p>
              </w:tc>
              <w:tc>
                <w:tcPr>
                  <w:tcW w:w="414" w:type="pct"/>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4</w:t>
                  </w:r>
                </w:p>
              </w:tc>
              <w:tc>
                <w:tcPr>
                  <w:tcW w:w="451"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c>
                <w:tcPr>
                  <w:tcW w:w="479" w:type="pct"/>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1</w:t>
                  </w:r>
                  <w:r>
                    <w:rPr>
                      <w:rFonts w:ascii="Times New Roman" w:hAnsi="Times New Roman"/>
                      <w:color w:val="000000" w:themeColor="text1"/>
                      <w:kern w:val="0"/>
                      <w:sz w:val="21"/>
                      <w14:textFill>
                        <w14:solidFill>
                          <w14:schemeClr w14:val="tx1"/>
                        </w14:solidFill>
                      </w14:textFill>
                    </w:rPr>
                    <w:t>0</w:t>
                  </w:r>
                </w:p>
              </w:tc>
              <w:tc>
                <w:tcPr>
                  <w:tcW w:w="415"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储油罐</w:t>
                  </w:r>
                </w:p>
              </w:tc>
              <w:tc>
                <w:tcPr>
                  <w:tcW w:w="258"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固态</w:t>
                  </w:r>
                </w:p>
              </w:tc>
              <w:tc>
                <w:tcPr>
                  <w:tcW w:w="345"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矿物油</w:t>
                  </w:r>
                </w:p>
              </w:tc>
              <w:tc>
                <w:tcPr>
                  <w:tcW w:w="261"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间断</w:t>
                  </w:r>
                </w:p>
              </w:tc>
              <w:tc>
                <w:tcPr>
                  <w:tcW w:w="267"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w:t>
                  </w:r>
                  <w:r>
                    <w:rPr>
                      <w:rFonts w:hint="eastAsia"/>
                      <w:color w:val="000000" w:themeColor="text1"/>
                      <w:kern w:val="0"/>
                      <w:szCs w:val="21"/>
                      <w14:textFill>
                        <w14:solidFill>
                          <w14:schemeClr w14:val="tx1"/>
                        </w14:solidFill>
                      </w14:textFill>
                    </w:rPr>
                    <w:t>,I</w:t>
                  </w:r>
                </w:p>
              </w:tc>
              <w:tc>
                <w:tcPr>
                  <w:tcW w:w="626" w:type="pct"/>
                  <w:vMerge w:val="continue"/>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7" w:type="pct"/>
                  <w:tcBorders>
                    <w:right w:val="single" w:color="000000" w:sz="6" w:space="0"/>
                  </w:tcBorders>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w:t>
                  </w:r>
                  <w:r>
                    <w:rPr>
                      <w:rFonts w:ascii="Times New Roman" w:hAnsi="Times New Roman"/>
                      <w:color w:val="000000" w:themeColor="text1"/>
                      <w:sz w:val="21"/>
                      <w14:textFill>
                        <w14:solidFill>
                          <w14:schemeClr w14:val="tx1"/>
                        </w14:solidFill>
                      </w14:textFill>
                    </w:rPr>
                    <w:t>含油棉纱手套</w:t>
                  </w:r>
                </w:p>
              </w:tc>
              <w:tc>
                <w:tcPr>
                  <w:tcW w:w="1018"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900-041-49</w:t>
                  </w:r>
                </w:p>
              </w:tc>
              <w:tc>
                <w:tcPr>
                  <w:tcW w:w="414" w:type="pct"/>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w:t>
                  </w:r>
                  <w:r>
                    <w:rPr>
                      <w:rFonts w:ascii="Times New Roman" w:hAnsi="Times New Roman"/>
                      <w:color w:val="000000" w:themeColor="text1"/>
                      <w:kern w:val="0"/>
                      <w:sz w:val="21"/>
                      <w14:textFill>
                        <w14:solidFill>
                          <w14:schemeClr w14:val="tx1"/>
                        </w14:solidFill>
                      </w14:textFill>
                    </w:rPr>
                    <w:t>.2</w:t>
                  </w:r>
                </w:p>
              </w:tc>
              <w:tc>
                <w:tcPr>
                  <w:tcW w:w="451"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.3</w:t>
                  </w:r>
                </w:p>
              </w:tc>
              <w:tc>
                <w:tcPr>
                  <w:tcW w:w="479" w:type="pct"/>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w:t>
                  </w:r>
                  <w:r>
                    <w:rPr>
                      <w:rFonts w:ascii="Times New Roman" w:hAnsi="Times New Roman"/>
                      <w:color w:val="000000" w:themeColor="text1"/>
                      <w:kern w:val="0"/>
                      <w:sz w:val="21"/>
                      <w14:textFill>
                        <w14:solidFill>
                          <w14:schemeClr w14:val="tx1"/>
                        </w14:solidFill>
                      </w14:textFill>
                    </w:rPr>
                    <w:t>.5</w:t>
                  </w:r>
                </w:p>
              </w:tc>
              <w:tc>
                <w:tcPr>
                  <w:tcW w:w="415"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维护保养</w:t>
                  </w:r>
                </w:p>
              </w:tc>
              <w:tc>
                <w:tcPr>
                  <w:tcW w:w="258"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固态</w:t>
                  </w:r>
                </w:p>
              </w:tc>
              <w:tc>
                <w:tcPr>
                  <w:tcW w:w="345"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矿物油</w:t>
                  </w:r>
                </w:p>
              </w:tc>
              <w:tc>
                <w:tcPr>
                  <w:tcW w:w="261"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间断</w:t>
                  </w:r>
                </w:p>
              </w:tc>
              <w:tc>
                <w:tcPr>
                  <w:tcW w:w="267"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26" w:type="pct"/>
                  <w:vMerge w:val="continue"/>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7" w:type="pct"/>
                  <w:tcBorders>
                    <w:right w:val="single" w:color="000000" w:sz="6" w:space="0"/>
                  </w:tcBorders>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废油桶</w:t>
                  </w:r>
                </w:p>
              </w:tc>
              <w:tc>
                <w:tcPr>
                  <w:tcW w:w="1018" w:type="pct"/>
                  <w:vAlign w:val="center"/>
                </w:tcPr>
                <w:p>
                  <w:pPr>
                    <w:topLinePunct/>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H</w:t>
                  </w:r>
                  <w:r>
                    <w:rPr>
                      <w:color w:val="000000" w:themeColor="text1"/>
                      <w14:textFill>
                        <w14:solidFill>
                          <w14:schemeClr w14:val="tx1"/>
                        </w14:solidFill>
                      </w14:textFill>
                    </w:rPr>
                    <w:t>W49,900-041-49</w:t>
                  </w:r>
                </w:p>
              </w:tc>
              <w:tc>
                <w:tcPr>
                  <w:tcW w:w="414" w:type="pct"/>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w:t>
                  </w:r>
                  <w:r>
                    <w:rPr>
                      <w:rFonts w:ascii="Times New Roman" w:hAnsi="Times New Roman"/>
                      <w:color w:val="000000" w:themeColor="text1"/>
                      <w:kern w:val="0"/>
                      <w:sz w:val="21"/>
                      <w14:textFill>
                        <w14:solidFill>
                          <w14:schemeClr w14:val="tx1"/>
                        </w14:solidFill>
                      </w14:textFill>
                    </w:rPr>
                    <w:t>.004</w:t>
                  </w:r>
                </w:p>
              </w:tc>
              <w:tc>
                <w:tcPr>
                  <w:tcW w:w="451" w:type="pct"/>
                  <w:vAlign w:val="center"/>
                </w:tcPr>
                <w:p>
                  <w:pPr>
                    <w:topLinePunct/>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.006</w:t>
                  </w:r>
                </w:p>
              </w:tc>
              <w:tc>
                <w:tcPr>
                  <w:tcW w:w="479" w:type="pct"/>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ascii="Times New Roman" w:hAnsi="Times New Roman"/>
                      <w:color w:val="000000" w:themeColor="text1"/>
                      <w:kern w:val="0"/>
                      <w:sz w:val="21"/>
                      <w14:textFill>
                        <w14:solidFill>
                          <w14:schemeClr w14:val="tx1"/>
                        </w14:solidFill>
                      </w14:textFill>
                    </w:rPr>
                    <w:t>0.01</w:t>
                  </w:r>
                </w:p>
              </w:tc>
              <w:tc>
                <w:tcPr>
                  <w:tcW w:w="415" w:type="pct"/>
                  <w:vAlign w:val="center"/>
                </w:tcPr>
                <w:p>
                  <w:pPr>
                    <w:topLinePunct/>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维护保养</w:t>
                  </w:r>
                </w:p>
              </w:tc>
              <w:tc>
                <w:tcPr>
                  <w:tcW w:w="258"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固态</w:t>
                  </w:r>
                </w:p>
              </w:tc>
              <w:tc>
                <w:tcPr>
                  <w:tcW w:w="345"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矿物油</w:t>
                  </w:r>
                </w:p>
              </w:tc>
              <w:tc>
                <w:tcPr>
                  <w:tcW w:w="261"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间断</w:t>
                  </w:r>
                </w:p>
              </w:tc>
              <w:tc>
                <w:tcPr>
                  <w:tcW w:w="267"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T</w:t>
                  </w:r>
                  <w:r>
                    <w:rPr>
                      <w:color w:val="000000" w:themeColor="text1"/>
                      <w:kern w:val="0"/>
                      <w:szCs w:val="21"/>
                      <w14:textFill>
                        <w14:solidFill>
                          <w14:schemeClr w14:val="tx1"/>
                        </w14:solidFill>
                      </w14:textFill>
                    </w:rPr>
                    <w:t>,I</w:t>
                  </w:r>
                </w:p>
              </w:tc>
              <w:tc>
                <w:tcPr>
                  <w:tcW w:w="626" w:type="pct"/>
                  <w:vMerge w:val="continue"/>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7" w:type="pct"/>
                  <w:tcBorders>
                    <w:right w:val="single" w:color="000000" w:sz="6" w:space="0"/>
                  </w:tcBorders>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废活性炭</w:t>
                  </w:r>
                </w:p>
              </w:tc>
              <w:tc>
                <w:tcPr>
                  <w:tcW w:w="1018"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H</w:t>
                  </w:r>
                  <w:r>
                    <w:rPr>
                      <w:color w:val="000000" w:themeColor="text1"/>
                      <w14:textFill>
                        <w14:solidFill>
                          <w14:schemeClr w14:val="tx1"/>
                        </w14:solidFill>
                      </w14:textFill>
                    </w:rPr>
                    <w:t>W49,900-041-49</w:t>
                  </w:r>
                </w:p>
              </w:tc>
              <w:tc>
                <w:tcPr>
                  <w:tcW w:w="414" w:type="pct"/>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6.7</w:t>
                  </w:r>
                  <w:r>
                    <w:rPr>
                      <w:rFonts w:ascii="Times New Roman" w:hAnsi="Times New Roman"/>
                      <w:color w:val="000000" w:themeColor="text1"/>
                      <w:kern w:val="0"/>
                      <w:sz w:val="21"/>
                      <w14:textFill>
                        <w14:solidFill>
                          <w14:schemeClr w14:val="tx1"/>
                        </w14:solidFill>
                      </w14:textFill>
                    </w:rPr>
                    <w:t>80</w:t>
                  </w:r>
                </w:p>
              </w:tc>
              <w:tc>
                <w:tcPr>
                  <w:tcW w:w="451"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w:t>
                  </w:r>
                  <w:r>
                    <w:rPr>
                      <w:color w:val="000000" w:themeColor="text1"/>
                      <w:kern w:val="0"/>
                      <w:szCs w:val="21"/>
                      <w14:textFill>
                        <w14:solidFill>
                          <w14:schemeClr w14:val="tx1"/>
                        </w14:solidFill>
                      </w14:textFill>
                    </w:rPr>
                    <w:t>.561</w:t>
                  </w:r>
                </w:p>
              </w:tc>
              <w:tc>
                <w:tcPr>
                  <w:tcW w:w="479" w:type="pct"/>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20.</w:t>
                  </w:r>
                  <w:r>
                    <w:rPr>
                      <w:rFonts w:ascii="Times New Roman" w:hAnsi="Times New Roman"/>
                      <w:color w:val="000000" w:themeColor="text1"/>
                      <w:kern w:val="0"/>
                      <w:sz w:val="21"/>
                      <w14:textFill>
                        <w14:solidFill>
                          <w14:schemeClr w14:val="tx1"/>
                        </w14:solidFill>
                      </w14:textFill>
                    </w:rPr>
                    <w:t>341</w:t>
                  </w:r>
                </w:p>
              </w:tc>
              <w:tc>
                <w:tcPr>
                  <w:tcW w:w="415"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废气处理</w:t>
                  </w:r>
                </w:p>
              </w:tc>
              <w:tc>
                <w:tcPr>
                  <w:tcW w:w="258"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固态</w:t>
                  </w:r>
                </w:p>
              </w:tc>
              <w:tc>
                <w:tcPr>
                  <w:tcW w:w="345"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有机废气</w:t>
                  </w:r>
                </w:p>
              </w:tc>
              <w:tc>
                <w:tcPr>
                  <w:tcW w:w="261"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间断</w:t>
                  </w:r>
                </w:p>
              </w:tc>
              <w:tc>
                <w:tcPr>
                  <w:tcW w:w="267"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w:t>
                  </w:r>
                </w:p>
              </w:tc>
              <w:tc>
                <w:tcPr>
                  <w:tcW w:w="626" w:type="pct"/>
                  <w:vMerge w:val="continue"/>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7" w:type="pct"/>
                  <w:tcBorders>
                    <w:right w:val="single" w:color="000000" w:sz="6" w:space="0"/>
                  </w:tcBorders>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废催化剂</w:t>
                  </w:r>
                </w:p>
              </w:tc>
              <w:tc>
                <w:tcPr>
                  <w:tcW w:w="1018" w:type="pct"/>
                  <w:vAlign w:val="center"/>
                </w:tcPr>
                <w:p>
                  <w:pPr>
                    <w:topLinePunct/>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HW</w:t>
                  </w:r>
                  <w:r>
                    <w:rPr>
                      <w:color w:val="000000" w:themeColor="text1"/>
                      <w14:textFill>
                        <w14:solidFill>
                          <w14:schemeClr w14:val="tx1"/>
                        </w14:solidFill>
                      </w14:textFill>
                    </w:rPr>
                    <w:t>50,771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007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50</w:t>
                  </w:r>
                </w:p>
              </w:tc>
              <w:tc>
                <w:tcPr>
                  <w:tcW w:w="414" w:type="pct"/>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w:t>
                  </w:r>
                  <w:r>
                    <w:rPr>
                      <w:rFonts w:ascii="Times New Roman" w:hAnsi="Times New Roman"/>
                      <w:color w:val="000000" w:themeColor="text1"/>
                      <w:kern w:val="0"/>
                      <w:sz w:val="21"/>
                      <w14:textFill>
                        <w14:solidFill>
                          <w14:schemeClr w14:val="tx1"/>
                        </w14:solidFill>
                      </w14:textFill>
                    </w:rPr>
                    <w:t>003</w:t>
                  </w:r>
                </w:p>
              </w:tc>
              <w:tc>
                <w:tcPr>
                  <w:tcW w:w="451"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007</w:t>
                  </w:r>
                </w:p>
              </w:tc>
              <w:tc>
                <w:tcPr>
                  <w:tcW w:w="479" w:type="pct"/>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w:t>
                  </w:r>
                  <w:r>
                    <w:rPr>
                      <w:rFonts w:ascii="Times New Roman" w:hAnsi="Times New Roman"/>
                      <w:color w:val="000000" w:themeColor="text1"/>
                      <w:kern w:val="0"/>
                      <w:sz w:val="21"/>
                      <w14:textFill>
                        <w14:solidFill>
                          <w14:schemeClr w14:val="tx1"/>
                        </w14:solidFill>
                      </w14:textFill>
                    </w:rPr>
                    <w:t>.01</w:t>
                  </w:r>
                </w:p>
              </w:tc>
              <w:tc>
                <w:tcPr>
                  <w:tcW w:w="415"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废气处理</w:t>
                  </w:r>
                </w:p>
              </w:tc>
              <w:tc>
                <w:tcPr>
                  <w:tcW w:w="258"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固态</w:t>
                  </w:r>
                </w:p>
              </w:tc>
              <w:tc>
                <w:tcPr>
                  <w:tcW w:w="345"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钒钛系金属</w:t>
                  </w:r>
                </w:p>
              </w:tc>
              <w:tc>
                <w:tcPr>
                  <w:tcW w:w="261"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间断</w:t>
                  </w:r>
                </w:p>
              </w:tc>
              <w:tc>
                <w:tcPr>
                  <w:tcW w:w="267" w:type="pct"/>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T</w:t>
                  </w:r>
                </w:p>
              </w:tc>
              <w:tc>
                <w:tcPr>
                  <w:tcW w:w="626" w:type="pct"/>
                  <w:vMerge w:val="continue"/>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p>
              </w:tc>
            </w:tr>
          </w:tbl>
          <w:p>
            <w:pPr>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注：*T为毒性，I为易燃性。</w:t>
            </w:r>
          </w:p>
          <w:p>
            <w:pPr>
              <w:pStyle w:val="73"/>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bCs/>
                <w:color w:val="000000" w:themeColor="text1"/>
                <w:sz w:val="24"/>
                <w:szCs w:val="24"/>
                <w14:textFill>
                  <w14:solidFill>
                    <w14:schemeClr w14:val="tx1"/>
                  </w14:solidFill>
                </w14:textFill>
              </w:rPr>
              <w:t>4</w:t>
            </w:r>
            <w:r>
              <w:rPr>
                <w:b/>
                <w:bCs/>
                <w:color w:val="000000" w:themeColor="text1"/>
                <w:sz w:val="24"/>
                <w:szCs w:val="24"/>
                <w14:textFill>
                  <w14:solidFill>
                    <w14:schemeClr w14:val="tx1"/>
                  </w14:solidFill>
                </w14:textFill>
              </w:rPr>
              <w:t>.2-</w:t>
            </w:r>
            <w:r>
              <w:rPr>
                <w:rFonts w:hint="eastAsia"/>
                <w:b/>
                <w:bCs/>
                <w:color w:val="000000" w:themeColor="text1"/>
                <w:sz w:val="24"/>
                <w:szCs w:val="24"/>
                <w14:textFill>
                  <w14:solidFill>
                    <w14:schemeClr w14:val="tx1"/>
                  </w14:solidFill>
                </w14:textFill>
              </w:rPr>
              <w:t>2</w:t>
            </w:r>
            <w:r>
              <w:rPr>
                <w:b/>
                <w:bCs/>
                <w:color w:val="000000" w:themeColor="text1"/>
                <w:sz w:val="24"/>
                <w:szCs w:val="24"/>
                <w14:textFill>
                  <w14:solidFill>
                    <w14:schemeClr w14:val="tx1"/>
                  </w14:solidFill>
                </w14:textFill>
              </w:rPr>
              <w:t>7</w:t>
            </w:r>
            <w:r>
              <w:rPr>
                <w:rFonts w:hint="eastAsia"/>
                <w:b/>
                <w:bCs/>
                <w:color w:val="000000" w:themeColor="text1"/>
                <w:sz w:val="24"/>
                <w:szCs w:val="24"/>
                <w14:textFill>
                  <w14:solidFill>
                    <w14:schemeClr w14:val="tx1"/>
                  </w14:solidFill>
                </w14:textFill>
              </w:rPr>
              <w:t xml:space="preserve"> </w:t>
            </w:r>
            <w:r>
              <w:rPr>
                <w:b/>
                <w:bCs/>
                <w:color w:val="000000" w:themeColor="text1"/>
                <w:sz w:val="24"/>
                <w:szCs w:val="24"/>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本项目</w:t>
            </w:r>
            <w:r>
              <w:rPr>
                <w:b/>
                <w:bCs/>
                <w:color w:val="000000" w:themeColor="text1"/>
                <w:sz w:val="24"/>
                <w:szCs w:val="24"/>
                <w14:textFill>
                  <w14:solidFill>
                    <w14:schemeClr w14:val="tx1"/>
                  </w14:solidFill>
                </w14:textFill>
              </w:rPr>
              <w:t>固体废物产生情况及</w:t>
            </w:r>
            <w:r>
              <w:rPr>
                <w:rFonts w:hint="eastAsia"/>
                <w:b/>
                <w:bCs/>
                <w:color w:val="000000" w:themeColor="text1"/>
                <w:sz w:val="24"/>
                <w:szCs w:val="24"/>
                <w14:textFill>
                  <w14:solidFill>
                    <w14:schemeClr w14:val="tx1"/>
                  </w14:solidFill>
                </w14:textFill>
              </w:rPr>
              <w:t>处置</w:t>
            </w:r>
            <w:r>
              <w:rPr>
                <w:b/>
                <w:bCs/>
                <w:color w:val="000000" w:themeColor="text1"/>
                <w:sz w:val="24"/>
                <w:szCs w:val="24"/>
                <w14:textFill>
                  <w14:solidFill>
                    <w14:schemeClr w14:val="tx1"/>
                  </w14:solidFill>
                </w14:textFill>
              </w:rPr>
              <w:t>措施</w:t>
            </w:r>
          </w:p>
          <w:tbl>
            <w:tblPr>
              <w:tblStyle w:val="36"/>
              <w:tblW w:w="879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74"/>
              <w:gridCol w:w="1908"/>
              <w:gridCol w:w="1843"/>
              <w:gridCol w:w="754"/>
              <w:gridCol w:w="992"/>
              <w:gridCol w:w="851"/>
              <w:gridCol w:w="17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82" w:type="dxa"/>
                  <w:gridSpan w:val="2"/>
                  <w:vMerge w:val="restart"/>
                  <w:tcBorders>
                    <w:right w:val="single" w:color="auto" w:sz="4" w:space="0"/>
                  </w:tcBorders>
                  <w:vAlign w:val="center"/>
                </w:tcPr>
                <w:p>
                  <w:pPr>
                    <w:pStyle w:val="12"/>
                    <w:snapToGrid/>
                    <w:spacing w:line="240" w:lineRule="auto"/>
                    <w:ind w:firstLine="0"/>
                    <w:jc w:val="center"/>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类别</w:t>
                  </w:r>
                </w:p>
              </w:tc>
              <w:tc>
                <w:tcPr>
                  <w:tcW w:w="1843" w:type="dxa"/>
                  <w:vMerge w:val="restart"/>
                  <w:tcBorders>
                    <w:left w:val="single" w:color="auto" w:sz="4" w:space="0"/>
                  </w:tcBorders>
                  <w:vAlign w:val="center"/>
                </w:tcPr>
                <w:p>
                  <w:pPr>
                    <w:pStyle w:val="12"/>
                    <w:snapToGrid/>
                    <w:spacing w:line="240" w:lineRule="auto"/>
                    <w:ind w:firstLine="0"/>
                    <w:jc w:val="center"/>
                    <w:rPr>
                      <w:rFonts w:ascii="Times New Roman" w:hAnsi="Times New Roman"/>
                      <w:b/>
                      <w:color w:val="000000" w:themeColor="text1"/>
                      <w:sz w:val="21"/>
                      <w14:textFill>
                        <w14:solidFill>
                          <w14:schemeClr w14:val="tx1"/>
                        </w14:solidFill>
                      </w14:textFill>
                    </w:rPr>
                  </w:pPr>
                  <w:r>
                    <w:rPr>
                      <w:rFonts w:hint="eastAsia" w:ascii="Times New Roman" w:hAnsi="Times New Roman"/>
                      <w:b/>
                      <w:color w:val="000000" w:themeColor="text1"/>
                      <w:sz w:val="21"/>
                      <w14:textFill>
                        <w14:solidFill>
                          <w14:schemeClr w14:val="tx1"/>
                        </w14:solidFill>
                      </w14:textFill>
                    </w:rPr>
                    <w:t>代码</w:t>
                  </w:r>
                </w:p>
              </w:tc>
              <w:tc>
                <w:tcPr>
                  <w:tcW w:w="2597" w:type="dxa"/>
                  <w:gridSpan w:val="3"/>
                  <w:tcBorders>
                    <w:left w:val="single" w:color="000000" w:sz="6" w:space="0"/>
                  </w:tcBorders>
                  <w:vAlign w:val="center"/>
                </w:tcPr>
                <w:p>
                  <w:pPr>
                    <w:pStyle w:val="12"/>
                    <w:snapToGrid/>
                    <w:spacing w:line="240" w:lineRule="auto"/>
                    <w:ind w:firstLine="0"/>
                    <w:jc w:val="center"/>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产生量（t/a）</w:t>
                  </w:r>
                </w:p>
              </w:tc>
              <w:tc>
                <w:tcPr>
                  <w:tcW w:w="1770" w:type="dxa"/>
                  <w:vMerge w:val="restart"/>
                  <w:vAlign w:val="center"/>
                </w:tcPr>
                <w:p>
                  <w:pPr>
                    <w:pStyle w:val="12"/>
                    <w:snapToGrid/>
                    <w:spacing w:line="240" w:lineRule="auto"/>
                    <w:ind w:firstLine="0"/>
                    <w:jc w:val="center"/>
                    <w:rPr>
                      <w:rFonts w:ascii="Times New Roman" w:hAnsi="Times New Roman"/>
                      <w:b/>
                      <w:color w:val="000000" w:themeColor="text1"/>
                      <w:sz w:val="21"/>
                      <w14:textFill>
                        <w14:solidFill>
                          <w14:schemeClr w14:val="tx1"/>
                        </w14:solidFill>
                      </w14:textFill>
                    </w:rPr>
                  </w:pPr>
                  <w:r>
                    <w:rPr>
                      <w:rFonts w:ascii="Times New Roman" w:hAnsi="Times New Roman"/>
                      <w:b/>
                      <w:color w:val="000000" w:themeColor="text1"/>
                      <w:sz w:val="21"/>
                      <w14:textFill>
                        <w14:solidFill>
                          <w14:schemeClr w14:val="tx1"/>
                        </w14:solidFill>
                      </w14:textFill>
                    </w:rPr>
                    <w:t>处理/处置措施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82" w:type="dxa"/>
                  <w:gridSpan w:val="2"/>
                  <w:vMerge w:val="continue"/>
                  <w:tcBorders>
                    <w:right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p>
              </w:tc>
              <w:tc>
                <w:tcPr>
                  <w:tcW w:w="1843" w:type="dxa"/>
                  <w:vMerge w:val="continue"/>
                  <w:tcBorders>
                    <w:left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p>
              </w:tc>
              <w:tc>
                <w:tcPr>
                  <w:tcW w:w="754" w:type="dxa"/>
                  <w:tcBorders>
                    <w:left w:val="single" w:color="000000" w:sz="6" w:space="0"/>
                  </w:tcBorders>
                  <w:vAlign w:val="center"/>
                </w:tcPr>
                <w:p>
                  <w:pPr>
                    <w:pStyle w:val="102"/>
                    <w:snapToGrid/>
                    <w:spacing w:line="240" w:lineRule="auto"/>
                    <w:rPr>
                      <w:rFonts w:ascii="Times New Roman" w:hAnsi="Times New Roman"/>
                      <w:b/>
                      <w:color w:val="000000" w:themeColor="text1"/>
                      <w:sz w:val="21"/>
                      <w14:textFill>
                        <w14:solidFill>
                          <w14:schemeClr w14:val="tx1"/>
                        </w14:solidFill>
                      </w14:textFill>
                    </w:rPr>
                  </w:pPr>
                  <w:r>
                    <w:rPr>
                      <w:rFonts w:hint="eastAsia" w:ascii="Times New Roman" w:hAnsi="Times New Roman"/>
                      <w:b/>
                      <w:color w:val="000000" w:themeColor="text1"/>
                      <w:sz w:val="21"/>
                      <w14:textFill>
                        <w14:solidFill>
                          <w14:schemeClr w14:val="tx1"/>
                        </w14:solidFill>
                      </w14:textFill>
                    </w:rPr>
                    <w:t>一期</w:t>
                  </w:r>
                </w:p>
              </w:tc>
              <w:tc>
                <w:tcPr>
                  <w:tcW w:w="992" w:type="dxa"/>
                  <w:vAlign w:val="center"/>
                </w:tcPr>
                <w:p>
                  <w:pPr>
                    <w:pStyle w:val="102"/>
                    <w:snapToGrid/>
                    <w:spacing w:line="240" w:lineRule="auto"/>
                    <w:rPr>
                      <w:rFonts w:ascii="Times New Roman" w:hAnsi="Times New Roman"/>
                      <w:b/>
                      <w:color w:val="000000" w:themeColor="text1"/>
                      <w:sz w:val="21"/>
                      <w14:textFill>
                        <w14:solidFill>
                          <w14:schemeClr w14:val="tx1"/>
                        </w14:solidFill>
                      </w14:textFill>
                    </w:rPr>
                  </w:pPr>
                  <w:r>
                    <w:rPr>
                      <w:rFonts w:hint="eastAsia" w:ascii="Times New Roman" w:hAnsi="Times New Roman"/>
                      <w:b/>
                      <w:color w:val="000000" w:themeColor="text1"/>
                      <w:sz w:val="21"/>
                      <w14:textFill>
                        <w14:solidFill>
                          <w14:schemeClr w14:val="tx1"/>
                        </w14:solidFill>
                      </w14:textFill>
                    </w:rPr>
                    <w:t>二期</w:t>
                  </w:r>
                </w:p>
              </w:tc>
              <w:tc>
                <w:tcPr>
                  <w:tcW w:w="851" w:type="dxa"/>
                  <w:vAlign w:val="center"/>
                </w:tcPr>
                <w:p>
                  <w:pPr>
                    <w:pStyle w:val="102"/>
                    <w:snapToGrid/>
                    <w:spacing w:line="240" w:lineRule="auto"/>
                    <w:rPr>
                      <w:rFonts w:ascii="Times New Roman" w:hAnsi="Times New Roman"/>
                      <w:b/>
                      <w:color w:val="000000" w:themeColor="text1"/>
                      <w:sz w:val="21"/>
                      <w14:textFill>
                        <w14:solidFill>
                          <w14:schemeClr w14:val="tx1"/>
                        </w14:solidFill>
                      </w14:textFill>
                    </w:rPr>
                  </w:pPr>
                  <w:r>
                    <w:rPr>
                      <w:rFonts w:hint="eastAsia" w:ascii="Times New Roman" w:hAnsi="Times New Roman"/>
                      <w:b/>
                      <w:color w:val="000000" w:themeColor="text1"/>
                      <w:sz w:val="21"/>
                      <w14:textFill>
                        <w14:solidFill>
                          <w14:schemeClr w14:val="tx1"/>
                        </w14:solidFill>
                      </w14:textFill>
                    </w:rPr>
                    <w:t>总体</w:t>
                  </w:r>
                </w:p>
              </w:tc>
              <w:tc>
                <w:tcPr>
                  <w:tcW w:w="1770" w:type="dxa"/>
                  <w:vMerge w:val="continue"/>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74" w:type="dxa"/>
                  <w:vMerge w:val="restart"/>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一般工业固废</w:t>
                  </w:r>
                </w:p>
              </w:tc>
              <w:tc>
                <w:tcPr>
                  <w:tcW w:w="1908" w:type="dxa"/>
                  <w:tcBorders>
                    <w:right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裂解废气除尘灰</w:t>
                  </w:r>
                </w:p>
              </w:tc>
              <w:tc>
                <w:tcPr>
                  <w:tcW w:w="1843" w:type="dxa"/>
                  <w:tcBorders>
                    <w:left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4</w:t>
                  </w:r>
                  <w:r>
                    <w:rPr>
                      <w:rFonts w:ascii="Times New Roman" w:hAnsi="Times New Roman"/>
                      <w:color w:val="000000" w:themeColor="text1"/>
                      <w:sz w:val="21"/>
                      <w14:textFill>
                        <w14:solidFill>
                          <w14:schemeClr w14:val="tx1"/>
                        </w14:solidFill>
                      </w14:textFill>
                    </w:rPr>
                    <w:t>22</w:t>
                  </w:r>
                  <w:r>
                    <w:rPr>
                      <w:rFonts w:hint="eastAsia" w:ascii="Times New Roman" w:hAnsi="Times New Roman"/>
                      <w:color w:val="000000" w:themeColor="text1"/>
                      <w:sz w:val="21"/>
                      <w14:textFill>
                        <w14:solidFill>
                          <w14:schemeClr w14:val="tx1"/>
                        </w14:solidFill>
                      </w14:textFill>
                    </w:rPr>
                    <w:t>-</w:t>
                  </w:r>
                  <w:r>
                    <w:rPr>
                      <w:rFonts w:ascii="Times New Roman" w:hAnsi="Times New Roman"/>
                      <w:color w:val="000000" w:themeColor="text1"/>
                      <w:sz w:val="21"/>
                      <w14:textFill>
                        <w14:solidFill>
                          <w14:schemeClr w14:val="tx1"/>
                        </w14:solidFill>
                      </w14:textFill>
                    </w:rPr>
                    <w:t>001</w:t>
                  </w:r>
                  <w:r>
                    <w:rPr>
                      <w:rFonts w:hint="eastAsia" w:ascii="Times New Roman" w:hAnsi="Times New Roman"/>
                      <w:color w:val="000000" w:themeColor="text1"/>
                      <w:sz w:val="21"/>
                      <w14:textFill>
                        <w14:solidFill>
                          <w14:schemeClr w14:val="tx1"/>
                        </w14:solidFill>
                      </w14:textFill>
                    </w:rPr>
                    <w:t>-</w:t>
                  </w:r>
                  <w:r>
                    <w:rPr>
                      <w:rFonts w:ascii="Times New Roman" w:hAnsi="Times New Roman"/>
                      <w:color w:val="000000" w:themeColor="text1"/>
                      <w:sz w:val="21"/>
                      <w14:textFill>
                        <w14:solidFill>
                          <w14:schemeClr w14:val="tx1"/>
                        </w14:solidFill>
                      </w14:textFill>
                    </w:rPr>
                    <w:t>66</w:t>
                  </w:r>
                </w:p>
              </w:tc>
              <w:tc>
                <w:tcPr>
                  <w:tcW w:w="754" w:type="dxa"/>
                  <w:tcBorders>
                    <w:left w:val="single" w:color="000000" w:sz="6"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1.</w:t>
                  </w:r>
                  <w:r>
                    <w:rPr>
                      <w:rFonts w:ascii="Times New Roman" w:hAnsi="Times New Roman"/>
                      <w:color w:val="000000" w:themeColor="text1"/>
                      <w:sz w:val="21"/>
                      <w14:textFill>
                        <w14:solidFill>
                          <w14:schemeClr w14:val="tx1"/>
                        </w14:solidFill>
                      </w14:textFill>
                    </w:rPr>
                    <w:t>92</w:t>
                  </w:r>
                </w:p>
              </w:tc>
              <w:tc>
                <w:tcPr>
                  <w:tcW w:w="992" w:type="dxa"/>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3.8</w:t>
                  </w:r>
                  <w:r>
                    <w:rPr>
                      <w:rFonts w:ascii="Times New Roman" w:hAnsi="Times New Roman"/>
                      <w:color w:val="000000" w:themeColor="text1"/>
                      <w:sz w:val="21"/>
                      <w14:textFill>
                        <w14:solidFill>
                          <w14:schemeClr w14:val="tx1"/>
                        </w14:solidFill>
                      </w14:textFill>
                    </w:rPr>
                    <w:t>4</w:t>
                  </w:r>
                </w:p>
              </w:tc>
              <w:tc>
                <w:tcPr>
                  <w:tcW w:w="851" w:type="dxa"/>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5</w:t>
                  </w:r>
                  <w:r>
                    <w:rPr>
                      <w:rFonts w:ascii="Times New Roman" w:hAnsi="Times New Roman"/>
                      <w:color w:val="000000" w:themeColor="text1"/>
                      <w:sz w:val="21"/>
                      <w14:textFill>
                        <w14:solidFill>
                          <w14:schemeClr w14:val="tx1"/>
                        </w14:solidFill>
                      </w14:textFill>
                    </w:rPr>
                    <w:t>.76</w:t>
                  </w:r>
                </w:p>
              </w:tc>
              <w:tc>
                <w:tcPr>
                  <w:tcW w:w="1770" w:type="dxa"/>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作为建筑材料外售。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74" w:type="dxa"/>
                  <w:vMerge w:val="continue"/>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p>
              </w:tc>
              <w:tc>
                <w:tcPr>
                  <w:tcW w:w="1908" w:type="dxa"/>
                  <w:tcBorders>
                    <w:right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生化池污泥</w:t>
                  </w:r>
                </w:p>
              </w:tc>
              <w:tc>
                <w:tcPr>
                  <w:tcW w:w="1843" w:type="dxa"/>
                  <w:tcBorders>
                    <w:left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4</w:t>
                  </w:r>
                  <w:r>
                    <w:rPr>
                      <w:rFonts w:ascii="Times New Roman" w:hAnsi="Times New Roman"/>
                      <w:color w:val="000000" w:themeColor="text1"/>
                      <w:sz w:val="21"/>
                      <w14:textFill>
                        <w14:solidFill>
                          <w14:schemeClr w14:val="tx1"/>
                        </w14:solidFill>
                      </w14:textFill>
                    </w:rPr>
                    <w:t>22</w:t>
                  </w:r>
                  <w:r>
                    <w:rPr>
                      <w:rFonts w:hint="eastAsia" w:ascii="Times New Roman" w:hAnsi="Times New Roman"/>
                      <w:color w:val="000000" w:themeColor="text1"/>
                      <w:sz w:val="21"/>
                      <w14:textFill>
                        <w14:solidFill>
                          <w14:schemeClr w14:val="tx1"/>
                        </w14:solidFill>
                      </w14:textFill>
                    </w:rPr>
                    <w:t>-</w:t>
                  </w:r>
                  <w:r>
                    <w:rPr>
                      <w:rFonts w:ascii="Times New Roman" w:hAnsi="Times New Roman"/>
                      <w:color w:val="000000" w:themeColor="text1"/>
                      <w:sz w:val="21"/>
                      <w14:textFill>
                        <w14:solidFill>
                          <w14:schemeClr w14:val="tx1"/>
                        </w14:solidFill>
                      </w14:textFill>
                    </w:rPr>
                    <w:t>001</w:t>
                  </w:r>
                  <w:r>
                    <w:rPr>
                      <w:rFonts w:hint="eastAsia" w:ascii="Times New Roman" w:hAnsi="Times New Roman"/>
                      <w:color w:val="000000" w:themeColor="text1"/>
                      <w:sz w:val="21"/>
                      <w14:textFill>
                        <w14:solidFill>
                          <w14:schemeClr w14:val="tx1"/>
                        </w14:solidFill>
                      </w14:textFill>
                    </w:rPr>
                    <w:t>-</w:t>
                  </w:r>
                  <w:r>
                    <w:rPr>
                      <w:rFonts w:ascii="Times New Roman" w:hAnsi="Times New Roman"/>
                      <w:color w:val="000000" w:themeColor="text1"/>
                      <w:sz w:val="21"/>
                      <w14:textFill>
                        <w14:solidFill>
                          <w14:schemeClr w14:val="tx1"/>
                        </w14:solidFill>
                      </w14:textFill>
                    </w:rPr>
                    <w:t>61</w:t>
                  </w:r>
                </w:p>
              </w:tc>
              <w:tc>
                <w:tcPr>
                  <w:tcW w:w="754" w:type="dxa"/>
                  <w:tcBorders>
                    <w:left w:val="single" w:color="000000" w:sz="6"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12</w:t>
                  </w:r>
                  <w:r>
                    <w:rPr>
                      <w:rFonts w:ascii="Times New Roman" w:hAnsi="Times New Roman"/>
                      <w:color w:val="000000" w:themeColor="text1"/>
                      <w:sz w:val="21"/>
                      <w14:textFill>
                        <w14:solidFill>
                          <w14:schemeClr w14:val="tx1"/>
                        </w14:solidFill>
                      </w14:textFill>
                    </w:rPr>
                    <w:t>.07</w:t>
                  </w:r>
                </w:p>
              </w:tc>
              <w:tc>
                <w:tcPr>
                  <w:tcW w:w="992" w:type="dxa"/>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8</w:t>
                  </w:r>
                  <w:r>
                    <w:rPr>
                      <w:rFonts w:ascii="Times New Roman" w:hAnsi="Times New Roman"/>
                      <w:color w:val="000000" w:themeColor="text1"/>
                      <w:sz w:val="21"/>
                      <w14:textFill>
                        <w14:solidFill>
                          <w14:schemeClr w14:val="tx1"/>
                        </w14:solidFill>
                      </w14:textFill>
                    </w:rPr>
                    <w:t>.49</w:t>
                  </w:r>
                </w:p>
              </w:tc>
              <w:tc>
                <w:tcPr>
                  <w:tcW w:w="851" w:type="dxa"/>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2</w:t>
                  </w:r>
                  <w:r>
                    <w:rPr>
                      <w:rFonts w:ascii="Times New Roman" w:hAnsi="Times New Roman"/>
                      <w:color w:val="000000" w:themeColor="text1"/>
                      <w:sz w:val="21"/>
                      <w14:textFill>
                        <w14:solidFill>
                          <w14:schemeClr w14:val="tx1"/>
                        </w14:solidFill>
                      </w14:textFill>
                    </w:rPr>
                    <w:t>0.56</w:t>
                  </w:r>
                </w:p>
              </w:tc>
              <w:tc>
                <w:tcPr>
                  <w:tcW w:w="1770" w:type="dxa"/>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定期清掏，环卫部门清运。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74" w:type="dxa"/>
                  <w:vMerge w:val="continue"/>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p>
              </w:tc>
              <w:tc>
                <w:tcPr>
                  <w:tcW w:w="1908" w:type="dxa"/>
                  <w:tcBorders>
                    <w:right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轮胎处理除尘器集尘</w:t>
                  </w:r>
                </w:p>
              </w:tc>
              <w:tc>
                <w:tcPr>
                  <w:tcW w:w="1843" w:type="dxa"/>
                  <w:tcBorders>
                    <w:left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4</w:t>
                  </w:r>
                  <w:r>
                    <w:rPr>
                      <w:rFonts w:ascii="Times New Roman" w:hAnsi="Times New Roman"/>
                      <w:color w:val="000000" w:themeColor="text1"/>
                      <w:sz w:val="21"/>
                      <w14:textFill>
                        <w14:solidFill>
                          <w14:schemeClr w14:val="tx1"/>
                        </w14:solidFill>
                      </w14:textFill>
                    </w:rPr>
                    <w:t>22</w:t>
                  </w:r>
                  <w:r>
                    <w:rPr>
                      <w:rFonts w:hint="eastAsia" w:ascii="Times New Roman" w:hAnsi="Times New Roman"/>
                      <w:color w:val="000000" w:themeColor="text1"/>
                      <w:sz w:val="21"/>
                      <w14:textFill>
                        <w14:solidFill>
                          <w14:schemeClr w14:val="tx1"/>
                        </w14:solidFill>
                      </w14:textFill>
                    </w:rPr>
                    <w:t>-</w:t>
                  </w:r>
                  <w:r>
                    <w:rPr>
                      <w:rFonts w:ascii="Times New Roman" w:hAnsi="Times New Roman"/>
                      <w:color w:val="000000" w:themeColor="text1"/>
                      <w:sz w:val="21"/>
                      <w14:textFill>
                        <w14:solidFill>
                          <w14:schemeClr w14:val="tx1"/>
                        </w14:solidFill>
                      </w14:textFill>
                    </w:rPr>
                    <w:t>001</w:t>
                  </w:r>
                  <w:r>
                    <w:rPr>
                      <w:rFonts w:hint="eastAsia" w:ascii="Times New Roman" w:hAnsi="Times New Roman"/>
                      <w:color w:val="000000" w:themeColor="text1"/>
                      <w:sz w:val="21"/>
                      <w14:textFill>
                        <w14:solidFill>
                          <w14:schemeClr w14:val="tx1"/>
                        </w14:solidFill>
                      </w14:textFill>
                    </w:rPr>
                    <w:t>-</w:t>
                  </w:r>
                  <w:r>
                    <w:rPr>
                      <w:rFonts w:ascii="Times New Roman" w:hAnsi="Times New Roman"/>
                      <w:color w:val="000000" w:themeColor="text1"/>
                      <w:sz w:val="21"/>
                      <w14:textFill>
                        <w14:solidFill>
                          <w14:schemeClr w14:val="tx1"/>
                        </w14:solidFill>
                      </w14:textFill>
                    </w:rPr>
                    <w:t>66</w:t>
                  </w:r>
                </w:p>
              </w:tc>
              <w:tc>
                <w:tcPr>
                  <w:tcW w:w="754" w:type="dxa"/>
                  <w:tcBorders>
                    <w:left w:val="single" w:color="000000" w:sz="6"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5.</w:t>
                  </w:r>
                  <w:r>
                    <w:rPr>
                      <w:rFonts w:ascii="Times New Roman" w:hAnsi="Times New Roman"/>
                      <w:color w:val="000000" w:themeColor="text1"/>
                      <w:sz w:val="21"/>
                      <w14:textFill>
                        <w14:solidFill>
                          <w14:schemeClr w14:val="tx1"/>
                        </w14:solidFill>
                      </w14:textFill>
                    </w:rPr>
                    <w:t>383</w:t>
                  </w:r>
                </w:p>
              </w:tc>
              <w:tc>
                <w:tcPr>
                  <w:tcW w:w="992" w:type="dxa"/>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10</w:t>
                  </w:r>
                  <w:r>
                    <w:rPr>
                      <w:rFonts w:ascii="Times New Roman" w:hAnsi="Times New Roman"/>
                      <w:color w:val="000000" w:themeColor="text1"/>
                      <w:sz w:val="21"/>
                      <w14:textFill>
                        <w14:solidFill>
                          <w14:schemeClr w14:val="tx1"/>
                        </w14:solidFill>
                      </w14:textFill>
                    </w:rPr>
                    <w:t>.767</w:t>
                  </w:r>
                </w:p>
              </w:tc>
              <w:tc>
                <w:tcPr>
                  <w:tcW w:w="851" w:type="dxa"/>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16</w:t>
                  </w:r>
                  <w:r>
                    <w:rPr>
                      <w:rFonts w:ascii="Times New Roman" w:hAnsi="Times New Roman"/>
                      <w:color w:val="000000" w:themeColor="text1"/>
                      <w:sz w:val="21"/>
                      <w14:textFill>
                        <w14:solidFill>
                          <w14:schemeClr w14:val="tx1"/>
                        </w14:solidFill>
                      </w14:textFill>
                    </w:rPr>
                    <w:t>.15</w:t>
                  </w:r>
                </w:p>
              </w:tc>
              <w:tc>
                <w:tcPr>
                  <w:tcW w:w="1770" w:type="dxa"/>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与胶粉一起进连续干馏裂解生产线进行热裂解。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74" w:type="dxa"/>
                  <w:vMerge w:val="continue"/>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p>
              </w:tc>
              <w:tc>
                <w:tcPr>
                  <w:tcW w:w="1908" w:type="dxa"/>
                  <w:tcBorders>
                    <w:right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炭黑加工除尘器集尘</w:t>
                  </w:r>
                </w:p>
              </w:tc>
              <w:tc>
                <w:tcPr>
                  <w:tcW w:w="1843" w:type="dxa"/>
                  <w:tcBorders>
                    <w:left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4</w:t>
                  </w:r>
                  <w:r>
                    <w:rPr>
                      <w:rFonts w:ascii="Times New Roman" w:hAnsi="Times New Roman"/>
                      <w:color w:val="000000" w:themeColor="text1"/>
                      <w:sz w:val="21"/>
                      <w14:textFill>
                        <w14:solidFill>
                          <w14:schemeClr w14:val="tx1"/>
                        </w14:solidFill>
                      </w14:textFill>
                    </w:rPr>
                    <w:t>22</w:t>
                  </w:r>
                  <w:r>
                    <w:rPr>
                      <w:rFonts w:hint="eastAsia" w:ascii="Times New Roman" w:hAnsi="Times New Roman"/>
                      <w:color w:val="000000" w:themeColor="text1"/>
                      <w:sz w:val="21"/>
                      <w14:textFill>
                        <w14:solidFill>
                          <w14:schemeClr w14:val="tx1"/>
                        </w14:solidFill>
                      </w14:textFill>
                    </w:rPr>
                    <w:t>-</w:t>
                  </w:r>
                  <w:r>
                    <w:rPr>
                      <w:rFonts w:ascii="Times New Roman" w:hAnsi="Times New Roman"/>
                      <w:color w:val="000000" w:themeColor="text1"/>
                      <w:sz w:val="21"/>
                      <w14:textFill>
                        <w14:solidFill>
                          <w14:schemeClr w14:val="tx1"/>
                        </w14:solidFill>
                      </w14:textFill>
                    </w:rPr>
                    <w:t>001</w:t>
                  </w:r>
                  <w:r>
                    <w:rPr>
                      <w:rFonts w:hint="eastAsia" w:ascii="Times New Roman" w:hAnsi="Times New Roman"/>
                      <w:color w:val="000000" w:themeColor="text1"/>
                      <w:sz w:val="21"/>
                      <w14:textFill>
                        <w14:solidFill>
                          <w14:schemeClr w14:val="tx1"/>
                        </w14:solidFill>
                      </w14:textFill>
                    </w:rPr>
                    <w:t>-</w:t>
                  </w:r>
                  <w:r>
                    <w:rPr>
                      <w:rFonts w:ascii="Times New Roman" w:hAnsi="Times New Roman"/>
                      <w:color w:val="000000" w:themeColor="text1"/>
                      <w:sz w:val="21"/>
                      <w14:textFill>
                        <w14:solidFill>
                          <w14:schemeClr w14:val="tx1"/>
                        </w14:solidFill>
                      </w14:textFill>
                    </w:rPr>
                    <w:t>66</w:t>
                  </w:r>
                </w:p>
              </w:tc>
              <w:tc>
                <w:tcPr>
                  <w:tcW w:w="754" w:type="dxa"/>
                  <w:tcBorders>
                    <w:left w:val="single" w:color="000000" w:sz="6"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1.</w:t>
                  </w:r>
                  <w:r>
                    <w:rPr>
                      <w:rFonts w:ascii="Times New Roman" w:hAnsi="Times New Roman"/>
                      <w:color w:val="000000" w:themeColor="text1"/>
                      <w:sz w:val="21"/>
                      <w14:textFill>
                        <w14:solidFill>
                          <w14:schemeClr w14:val="tx1"/>
                        </w14:solidFill>
                      </w14:textFill>
                    </w:rPr>
                    <w:t>896</w:t>
                  </w:r>
                </w:p>
              </w:tc>
              <w:tc>
                <w:tcPr>
                  <w:tcW w:w="992" w:type="dxa"/>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3.79</w:t>
                  </w:r>
                </w:p>
              </w:tc>
              <w:tc>
                <w:tcPr>
                  <w:tcW w:w="851" w:type="dxa"/>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5.</w:t>
                  </w:r>
                  <w:r>
                    <w:rPr>
                      <w:rFonts w:ascii="Times New Roman" w:hAnsi="Times New Roman"/>
                      <w:color w:val="000000" w:themeColor="text1"/>
                      <w:sz w:val="21"/>
                      <w14:textFill>
                        <w14:solidFill>
                          <w14:schemeClr w14:val="tx1"/>
                        </w14:solidFill>
                      </w14:textFill>
                    </w:rPr>
                    <w:t>686</w:t>
                  </w:r>
                </w:p>
              </w:tc>
              <w:tc>
                <w:tcPr>
                  <w:tcW w:w="1770" w:type="dxa"/>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作为炭黑产品外售。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74" w:type="dxa"/>
                  <w:vMerge w:val="restart"/>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生活垃圾</w:t>
                  </w:r>
                </w:p>
              </w:tc>
              <w:tc>
                <w:tcPr>
                  <w:tcW w:w="1908" w:type="dxa"/>
                  <w:tcBorders>
                    <w:bottom w:val="single" w:color="auto" w:sz="4" w:space="0"/>
                    <w:right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生活垃圾</w:t>
                  </w:r>
                </w:p>
              </w:tc>
              <w:tc>
                <w:tcPr>
                  <w:tcW w:w="1843" w:type="dxa"/>
                  <w:tcBorders>
                    <w:left w:val="single" w:color="auto" w:sz="4" w:space="0"/>
                    <w:bottom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w:t>
                  </w:r>
                </w:p>
              </w:tc>
              <w:tc>
                <w:tcPr>
                  <w:tcW w:w="754" w:type="dxa"/>
                  <w:tcBorders>
                    <w:left w:val="single" w:color="000000" w:sz="6" w:space="0"/>
                    <w:bottom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6</w:t>
                  </w:r>
                </w:p>
              </w:tc>
              <w:tc>
                <w:tcPr>
                  <w:tcW w:w="992" w:type="dxa"/>
                  <w:tcBorders>
                    <w:bottom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3</w:t>
                  </w:r>
                </w:p>
              </w:tc>
              <w:tc>
                <w:tcPr>
                  <w:tcW w:w="851" w:type="dxa"/>
                  <w:tcBorders>
                    <w:bottom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9</w:t>
                  </w:r>
                </w:p>
              </w:tc>
              <w:tc>
                <w:tcPr>
                  <w:tcW w:w="1770" w:type="dxa"/>
                  <w:tcBorders>
                    <w:bottom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交环卫部门处置。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74" w:type="dxa"/>
                  <w:vMerge w:val="continue"/>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p>
              </w:tc>
              <w:tc>
                <w:tcPr>
                  <w:tcW w:w="1908" w:type="dxa"/>
                  <w:tcBorders>
                    <w:top w:val="single" w:color="auto" w:sz="4" w:space="0"/>
                    <w:right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餐厨垃圾</w:t>
                  </w:r>
                </w:p>
              </w:tc>
              <w:tc>
                <w:tcPr>
                  <w:tcW w:w="1843" w:type="dxa"/>
                  <w:tcBorders>
                    <w:top w:val="single" w:color="auto" w:sz="4" w:space="0"/>
                    <w:left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w:t>
                  </w:r>
                </w:p>
              </w:tc>
              <w:tc>
                <w:tcPr>
                  <w:tcW w:w="754" w:type="dxa"/>
                  <w:tcBorders>
                    <w:top w:val="single" w:color="auto" w:sz="4" w:space="0"/>
                    <w:left w:val="single" w:color="000000" w:sz="6"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3</w:t>
                  </w:r>
                </w:p>
              </w:tc>
              <w:tc>
                <w:tcPr>
                  <w:tcW w:w="992" w:type="dxa"/>
                  <w:tcBorders>
                    <w:top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1</w:t>
                  </w:r>
                  <w:r>
                    <w:rPr>
                      <w:rFonts w:ascii="Times New Roman" w:hAnsi="Times New Roman"/>
                      <w:color w:val="000000" w:themeColor="text1"/>
                      <w:sz w:val="21"/>
                      <w14:textFill>
                        <w14:solidFill>
                          <w14:schemeClr w14:val="tx1"/>
                        </w14:solidFill>
                      </w14:textFill>
                    </w:rPr>
                    <w:t>.5</w:t>
                  </w:r>
                </w:p>
              </w:tc>
              <w:tc>
                <w:tcPr>
                  <w:tcW w:w="851" w:type="dxa"/>
                  <w:tcBorders>
                    <w:top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4.5</w:t>
                  </w:r>
                </w:p>
              </w:tc>
              <w:tc>
                <w:tcPr>
                  <w:tcW w:w="1770" w:type="dxa"/>
                  <w:tcBorders>
                    <w:top w:val="single" w:color="auto" w:sz="4" w:space="0"/>
                  </w:tcBorders>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交由资质单位处置</w:t>
                  </w:r>
                  <w:r>
                    <w:rPr>
                      <w:rFonts w:ascii="Times New Roman" w:hAnsi="Times New Roman"/>
                      <w:color w:val="000000" w:themeColor="text1"/>
                      <w:sz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74" w:type="dxa"/>
                  <w:vMerge w:val="restart"/>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危险废物</w:t>
                  </w:r>
                </w:p>
              </w:tc>
              <w:tc>
                <w:tcPr>
                  <w:tcW w:w="1908" w:type="dxa"/>
                  <w:tcBorders>
                    <w:right w:val="single" w:color="auto" w:sz="4" w:space="0"/>
                  </w:tcBorders>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含油废渣</w:t>
                  </w:r>
                </w:p>
              </w:tc>
              <w:tc>
                <w:tcPr>
                  <w:tcW w:w="1843" w:type="dxa"/>
                  <w:tcBorders>
                    <w:left w:val="single" w:color="auto" w:sz="4" w:space="0"/>
                  </w:tcBorders>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w:t>
                  </w:r>
                  <w:r>
                    <w:rPr>
                      <w:color w:val="000000" w:themeColor="text1"/>
                      <w:kern w:val="0"/>
                      <w:szCs w:val="21"/>
                      <w14:textFill>
                        <w14:solidFill>
                          <w14:schemeClr w14:val="tx1"/>
                        </w14:solidFill>
                      </w14:textFill>
                    </w:rPr>
                    <w:t>W08,900-210-08</w:t>
                  </w:r>
                </w:p>
              </w:tc>
              <w:tc>
                <w:tcPr>
                  <w:tcW w:w="754" w:type="dxa"/>
                  <w:tcBorders>
                    <w:left w:val="single" w:color="000000" w:sz="6" w:space="0"/>
                  </w:tcBorders>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054</w:t>
                  </w:r>
                </w:p>
              </w:tc>
              <w:tc>
                <w:tcPr>
                  <w:tcW w:w="992"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w:t>
                  </w:r>
                  <w:r>
                    <w:rPr>
                      <w:rFonts w:ascii="Times New Roman" w:hAnsi="Times New Roman"/>
                      <w:color w:val="000000" w:themeColor="text1"/>
                      <w:kern w:val="0"/>
                      <w:sz w:val="21"/>
                      <w14:textFill>
                        <w14:solidFill>
                          <w14:schemeClr w14:val="tx1"/>
                        </w14:solidFill>
                      </w14:textFill>
                    </w:rPr>
                    <w:t>109</w:t>
                  </w:r>
                </w:p>
              </w:tc>
              <w:tc>
                <w:tcPr>
                  <w:tcW w:w="851"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w:t>
                  </w:r>
                  <w:r>
                    <w:rPr>
                      <w:rFonts w:ascii="Times New Roman" w:hAnsi="Times New Roman"/>
                      <w:color w:val="000000" w:themeColor="text1"/>
                      <w:kern w:val="0"/>
                      <w:sz w:val="21"/>
                      <w14:textFill>
                        <w14:solidFill>
                          <w14:schemeClr w14:val="tx1"/>
                        </w14:solidFill>
                      </w14:textFill>
                    </w:rPr>
                    <w:t>163</w:t>
                  </w:r>
                </w:p>
              </w:tc>
              <w:tc>
                <w:tcPr>
                  <w:tcW w:w="1770" w:type="dxa"/>
                  <w:vMerge w:val="restart"/>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定期</w:t>
                  </w:r>
                  <w:r>
                    <w:rPr>
                      <w:rFonts w:hint="eastAsia" w:ascii="Times New Roman" w:hAnsi="Times New Roman"/>
                      <w:color w:val="000000" w:themeColor="text1"/>
                      <w:sz w:val="21"/>
                      <w14:textFill>
                        <w14:solidFill>
                          <w14:schemeClr w14:val="tx1"/>
                        </w14:solidFill>
                      </w14:textFill>
                    </w:rPr>
                    <w:t>交有资质</w:t>
                  </w:r>
                  <w:r>
                    <w:rPr>
                      <w:rFonts w:ascii="Times New Roman" w:hAnsi="Times New Roman"/>
                      <w:color w:val="000000" w:themeColor="text1"/>
                      <w:sz w:val="21"/>
                      <w14:textFill>
                        <w14:solidFill>
                          <w14:schemeClr w14:val="tx1"/>
                        </w14:solidFill>
                      </w14:textFill>
                    </w:rPr>
                    <w:t>单位处置</w:t>
                  </w:r>
                  <w:r>
                    <w:rPr>
                      <w:rFonts w:hint="eastAsia" w:ascii="Times New Roman" w:hAnsi="Times New Roman"/>
                      <w:color w:val="000000" w:themeColor="text1"/>
                      <w:sz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74" w:type="dxa"/>
                  <w:vMerge w:val="continue"/>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p>
              </w:tc>
              <w:tc>
                <w:tcPr>
                  <w:tcW w:w="1908" w:type="dxa"/>
                  <w:tcBorders>
                    <w:right w:val="single" w:color="auto" w:sz="4" w:space="0"/>
                  </w:tcBorders>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清罐油泥</w:t>
                  </w:r>
                </w:p>
              </w:tc>
              <w:tc>
                <w:tcPr>
                  <w:tcW w:w="1843" w:type="dxa"/>
                  <w:tcBorders>
                    <w:left w:val="single" w:color="auto" w:sz="4" w:space="0"/>
                  </w:tcBorders>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w:t>
                  </w:r>
                  <w:r>
                    <w:rPr>
                      <w:color w:val="000000" w:themeColor="text1"/>
                      <w:kern w:val="0"/>
                      <w:szCs w:val="21"/>
                      <w14:textFill>
                        <w14:solidFill>
                          <w14:schemeClr w14:val="tx1"/>
                        </w14:solidFill>
                      </w14:textFill>
                    </w:rPr>
                    <w:t>W08,900-221-08</w:t>
                  </w:r>
                </w:p>
              </w:tc>
              <w:tc>
                <w:tcPr>
                  <w:tcW w:w="754" w:type="dxa"/>
                  <w:tcBorders>
                    <w:left w:val="single" w:color="000000" w:sz="6" w:space="0"/>
                  </w:tcBorders>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c>
                <w:tcPr>
                  <w:tcW w:w="992"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1</w:t>
                  </w:r>
                  <w:r>
                    <w:rPr>
                      <w:rFonts w:ascii="Times New Roman" w:hAnsi="Times New Roman"/>
                      <w:color w:val="000000" w:themeColor="text1"/>
                      <w:kern w:val="0"/>
                      <w:sz w:val="21"/>
                      <w14:textFill>
                        <w14:solidFill>
                          <w14:schemeClr w14:val="tx1"/>
                        </w14:solidFill>
                      </w14:textFill>
                    </w:rPr>
                    <w:t>0</w:t>
                  </w:r>
                </w:p>
              </w:tc>
              <w:tc>
                <w:tcPr>
                  <w:tcW w:w="851"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1</w:t>
                  </w:r>
                  <w:r>
                    <w:rPr>
                      <w:rFonts w:ascii="Times New Roman" w:hAnsi="Times New Roman"/>
                      <w:color w:val="000000" w:themeColor="text1"/>
                      <w:kern w:val="0"/>
                      <w:sz w:val="21"/>
                      <w14:textFill>
                        <w14:solidFill>
                          <w14:schemeClr w14:val="tx1"/>
                        </w14:solidFill>
                      </w14:textFill>
                    </w:rPr>
                    <w:t>0</w:t>
                  </w:r>
                </w:p>
              </w:tc>
              <w:tc>
                <w:tcPr>
                  <w:tcW w:w="1770" w:type="dxa"/>
                  <w:vMerge w:val="continue"/>
                  <w:vAlign w:val="center"/>
                </w:tcPr>
                <w:p>
                  <w:pPr>
                    <w:pStyle w:val="102"/>
                    <w:snapToGrid/>
                    <w:spacing w:line="240" w:lineRule="auto"/>
                    <w:jc w:val="both"/>
                    <w:rPr>
                      <w:rFonts w:ascii="Times New Roman" w:hAnsi="Times New Roman"/>
                      <w:color w:val="000000" w:themeColor="text1"/>
                      <w:sz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74" w:type="dxa"/>
                  <w:vMerge w:val="continue"/>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p>
              </w:tc>
              <w:tc>
                <w:tcPr>
                  <w:tcW w:w="1908" w:type="dxa"/>
                  <w:tcBorders>
                    <w:right w:val="single" w:color="auto" w:sz="4" w:space="0"/>
                  </w:tcBorders>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w:t>
                  </w:r>
                  <w:r>
                    <w:rPr>
                      <w:rFonts w:ascii="Times New Roman" w:hAnsi="Times New Roman"/>
                      <w:color w:val="000000" w:themeColor="text1"/>
                      <w:sz w:val="21"/>
                      <w14:textFill>
                        <w14:solidFill>
                          <w14:schemeClr w14:val="tx1"/>
                        </w14:solidFill>
                      </w14:textFill>
                    </w:rPr>
                    <w:t>含油棉纱手套</w:t>
                  </w:r>
                </w:p>
              </w:tc>
              <w:tc>
                <w:tcPr>
                  <w:tcW w:w="1843" w:type="dxa"/>
                  <w:tcBorders>
                    <w:left w:val="single" w:color="auto" w:sz="4" w:space="0"/>
                  </w:tcBorders>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900-041-49</w:t>
                  </w:r>
                </w:p>
              </w:tc>
              <w:tc>
                <w:tcPr>
                  <w:tcW w:w="754" w:type="dxa"/>
                  <w:tcBorders>
                    <w:left w:val="single" w:color="000000" w:sz="6" w:space="0"/>
                  </w:tcBorders>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.3</w:t>
                  </w:r>
                </w:p>
              </w:tc>
              <w:tc>
                <w:tcPr>
                  <w:tcW w:w="992"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w:t>
                  </w:r>
                  <w:r>
                    <w:rPr>
                      <w:rFonts w:ascii="Times New Roman" w:hAnsi="Times New Roman"/>
                      <w:color w:val="000000" w:themeColor="text1"/>
                      <w:kern w:val="0"/>
                      <w:sz w:val="21"/>
                      <w14:textFill>
                        <w14:solidFill>
                          <w14:schemeClr w14:val="tx1"/>
                        </w14:solidFill>
                      </w14:textFill>
                    </w:rPr>
                    <w:t>.5</w:t>
                  </w:r>
                </w:p>
              </w:tc>
              <w:tc>
                <w:tcPr>
                  <w:tcW w:w="851"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w:t>
                  </w:r>
                  <w:r>
                    <w:rPr>
                      <w:rFonts w:ascii="Times New Roman" w:hAnsi="Times New Roman"/>
                      <w:color w:val="000000" w:themeColor="text1"/>
                      <w:kern w:val="0"/>
                      <w:sz w:val="21"/>
                      <w14:textFill>
                        <w14:solidFill>
                          <w14:schemeClr w14:val="tx1"/>
                        </w14:solidFill>
                      </w14:textFill>
                    </w:rPr>
                    <w:t>.5</w:t>
                  </w:r>
                </w:p>
              </w:tc>
              <w:tc>
                <w:tcPr>
                  <w:tcW w:w="1770" w:type="dxa"/>
                  <w:vMerge w:val="continue"/>
                  <w:vAlign w:val="center"/>
                </w:tcPr>
                <w:p>
                  <w:pPr>
                    <w:pStyle w:val="102"/>
                    <w:snapToGrid/>
                    <w:spacing w:line="240" w:lineRule="auto"/>
                    <w:jc w:val="both"/>
                    <w:rPr>
                      <w:rFonts w:ascii="Times New Roman" w:hAnsi="Times New Roman"/>
                      <w:color w:val="000000" w:themeColor="text1"/>
                      <w:sz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74" w:type="dxa"/>
                  <w:vMerge w:val="continue"/>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p>
              </w:tc>
              <w:tc>
                <w:tcPr>
                  <w:tcW w:w="1908" w:type="dxa"/>
                  <w:tcBorders>
                    <w:right w:val="single" w:color="auto" w:sz="4" w:space="0"/>
                  </w:tcBorders>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废油桶</w:t>
                  </w:r>
                </w:p>
              </w:tc>
              <w:tc>
                <w:tcPr>
                  <w:tcW w:w="1843" w:type="dxa"/>
                  <w:tcBorders>
                    <w:left w:val="single" w:color="auto" w:sz="4" w:space="0"/>
                  </w:tcBorders>
                  <w:vAlign w:val="center"/>
                </w:tcPr>
                <w:p>
                  <w:pPr>
                    <w:topLinePunct/>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H</w:t>
                  </w:r>
                  <w:r>
                    <w:rPr>
                      <w:color w:val="000000" w:themeColor="text1"/>
                      <w14:textFill>
                        <w14:solidFill>
                          <w14:schemeClr w14:val="tx1"/>
                        </w14:solidFill>
                      </w14:textFill>
                    </w:rPr>
                    <w:t>W49,900-041-49</w:t>
                  </w:r>
                </w:p>
              </w:tc>
              <w:tc>
                <w:tcPr>
                  <w:tcW w:w="754" w:type="dxa"/>
                  <w:tcBorders>
                    <w:left w:val="single" w:color="000000" w:sz="6" w:space="0"/>
                  </w:tcBorders>
                  <w:vAlign w:val="center"/>
                </w:tcPr>
                <w:p>
                  <w:pPr>
                    <w:topLinePunct/>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.006</w:t>
                  </w:r>
                </w:p>
              </w:tc>
              <w:tc>
                <w:tcPr>
                  <w:tcW w:w="992"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ascii="Times New Roman" w:hAnsi="Times New Roman"/>
                      <w:color w:val="000000" w:themeColor="text1"/>
                      <w:kern w:val="0"/>
                      <w:sz w:val="21"/>
                      <w14:textFill>
                        <w14:solidFill>
                          <w14:schemeClr w14:val="tx1"/>
                        </w14:solidFill>
                      </w14:textFill>
                    </w:rPr>
                    <w:t>0.01</w:t>
                  </w:r>
                </w:p>
              </w:tc>
              <w:tc>
                <w:tcPr>
                  <w:tcW w:w="851"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ascii="Times New Roman" w:hAnsi="Times New Roman"/>
                      <w:color w:val="000000" w:themeColor="text1"/>
                      <w:kern w:val="0"/>
                      <w:sz w:val="21"/>
                      <w14:textFill>
                        <w14:solidFill>
                          <w14:schemeClr w14:val="tx1"/>
                        </w14:solidFill>
                      </w14:textFill>
                    </w:rPr>
                    <w:t>0.01</w:t>
                  </w:r>
                </w:p>
              </w:tc>
              <w:tc>
                <w:tcPr>
                  <w:tcW w:w="1770" w:type="dxa"/>
                  <w:vMerge w:val="continue"/>
                  <w:vAlign w:val="center"/>
                </w:tcPr>
                <w:p>
                  <w:pPr>
                    <w:pStyle w:val="102"/>
                    <w:snapToGrid/>
                    <w:spacing w:line="240" w:lineRule="auto"/>
                    <w:jc w:val="both"/>
                    <w:rPr>
                      <w:rFonts w:ascii="Times New Roman" w:hAnsi="Times New Roman"/>
                      <w:color w:val="000000" w:themeColor="text1"/>
                      <w:sz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74" w:type="dxa"/>
                  <w:vMerge w:val="continue"/>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p>
              </w:tc>
              <w:tc>
                <w:tcPr>
                  <w:tcW w:w="1908" w:type="dxa"/>
                  <w:tcBorders>
                    <w:right w:val="single" w:color="auto" w:sz="4" w:space="0"/>
                  </w:tcBorders>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废催化剂</w:t>
                  </w:r>
                </w:p>
              </w:tc>
              <w:tc>
                <w:tcPr>
                  <w:tcW w:w="1843" w:type="dxa"/>
                  <w:tcBorders>
                    <w:left w:val="single" w:color="auto" w:sz="4" w:space="0"/>
                  </w:tcBorders>
                  <w:vAlign w:val="center"/>
                </w:tcPr>
                <w:p>
                  <w:pPr>
                    <w:topLinePunct/>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HW</w:t>
                  </w:r>
                  <w:r>
                    <w:rPr>
                      <w:color w:val="000000" w:themeColor="text1"/>
                      <w14:textFill>
                        <w14:solidFill>
                          <w14:schemeClr w14:val="tx1"/>
                        </w14:solidFill>
                      </w14:textFill>
                    </w:rPr>
                    <w:t>50,72-007-500</w:t>
                  </w:r>
                </w:p>
              </w:tc>
              <w:tc>
                <w:tcPr>
                  <w:tcW w:w="754" w:type="dxa"/>
                  <w:tcBorders>
                    <w:left w:val="single" w:color="000000" w:sz="6" w:space="0"/>
                  </w:tcBorders>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.003</w:t>
                  </w:r>
                </w:p>
              </w:tc>
              <w:tc>
                <w:tcPr>
                  <w:tcW w:w="992"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w:t>
                  </w:r>
                  <w:r>
                    <w:rPr>
                      <w:rFonts w:ascii="Times New Roman" w:hAnsi="Times New Roman"/>
                      <w:color w:val="000000" w:themeColor="text1"/>
                      <w:kern w:val="0"/>
                      <w:sz w:val="21"/>
                      <w14:textFill>
                        <w14:solidFill>
                          <w14:schemeClr w14:val="tx1"/>
                        </w14:solidFill>
                      </w14:textFill>
                    </w:rPr>
                    <w:t>.007</w:t>
                  </w:r>
                </w:p>
              </w:tc>
              <w:tc>
                <w:tcPr>
                  <w:tcW w:w="851"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w:t>
                  </w:r>
                  <w:r>
                    <w:rPr>
                      <w:rFonts w:ascii="Times New Roman" w:hAnsi="Times New Roman"/>
                      <w:color w:val="000000" w:themeColor="text1"/>
                      <w:kern w:val="0"/>
                      <w:sz w:val="21"/>
                      <w14:textFill>
                        <w14:solidFill>
                          <w14:schemeClr w14:val="tx1"/>
                        </w14:solidFill>
                      </w14:textFill>
                    </w:rPr>
                    <w:t>01</w:t>
                  </w:r>
                </w:p>
              </w:tc>
              <w:tc>
                <w:tcPr>
                  <w:tcW w:w="1770" w:type="dxa"/>
                  <w:vMerge w:val="continue"/>
                  <w:vAlign w:val="center"/>
                </w:tcPr>
                <w:p>
                  <w:pPr>
                    <w:pStyle w:val="102"/>
                    <w:snapToGrid/>
                    <w:spacing w:line="240" w:lineRule="auto"/>
                    <w:jc w:val="both"/>
                    <w:rPr>
                      <w:rFonts w:ascii="Times New Roman" w:hAnsi="Times New Roman"/>
                      <w:color w:val="000000" w:themeColor="text1"/>
                      <w:sz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74" w:type="dxa"/>
                  <w:vMerge w:val="continue"/>
                  <w:vAlign w:val="center"/>
                </w:tcPr>
                <w:p>
                  <w:pPr>
                    <w:pStyle w:val="102"/>
                    <w:snapToGrid/>
                    <w:spacing w:line="240" w:lineRule="auto"/>
                    <w:rPr>
                      <w:rFonts w:ascii="Times New Roman" w:hAnsi="Times New Roman"/>
                      <w:color w:val="000000" w:themeColor="text1"/>
                      <w:sz w:val="21"/>
                      <w14:textFill>
                        <w14:solidFill>
                          <w14:schemeClr w14:val="tx1"/>
                        </w14:solidFill>
                      </w14:textFill>
                    </w:rPr>
                  </w:pPr>
                </w:p>
              </w:tc>
              <w:tc>
                <w:tcPr>
                  <w:tcW w:w="1908" w:type="dxa"/>
                  <w:tcBorders>
                    <w:right w:val="single" w:color="auto" w:sz="4" w:space="0"/>
                  </w:tcBorders>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废活性炭</w:t>
                  </w:r>
                </w:p>
              </w:tc>
              <w:tc>
                <w:tcPr>
                  <w:tcW w:w="1843" w:type="dxa"/>
                  <w:tcBorders>
                    <w:left w:val="single" w:color="auto" w:sz="4" w:space="0"/>
                  </w:tcBorders>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H</w:t>
                  </w:r>
                  <w:r>
                    <w:rPr>
                      <w:color w:val="000000" w:themeColor="text1"/>
                      <w14:textFill>
                        <w14:solidFill>
                          <w14:schemeClr w14:val="tx1"/>
                        </w14:solidFill>
                      </w14:textFill>
                    </w:rPr>
                    <w:t>W49,900-041-49</w:t>
                  </w:r>
                </w:p>
              </w:tc>
              <w:tc>
                <w:tcPr>
                  <w:tcW w:w="754" w:type="dxa"/>
                  <w:tcBorders>
                    <w:left w:val="single" w:color="000000" w:sz="6" w:space="0"/>
                  </w:tcBorders>
                  <w:vAlign w:val="center"/>
                </w:tcPr>
                <w:p>
                  <w:pPr>
                    <w:topLinePunct/>
                    <w:adjustRightInd w:val="0"/>
                    <w:snapToGrid w:val="0"/>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780</w:t>
                  </w:r>
                </w:p>
              </w:tc>
              <w:tc>
                <w:tcPr>
                  <w:tcW w:w="992"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1</w:t>
                  </w:r>
                  <w:r>
                    <w:rPr>
                      <w:rFonts w:ascii="Times New Roman" w:hAnsi="Times New Roman"/>
                      <w:color w:val="000000" w:themeColor="text1"/>
                      <w:kern w:val="0"/>
                      <w:sz w:val="21"/>
                      <w14:textFill>
                        <w14:solidFill>
                          <w14:schemeClr w14:val="tx1"/>
                        </w14:solidFill>
                      </w14:textFill>
                    </w:rPr>
                    <w:t>3.561</w:t>
                  </w:r>
                </w:p>
              </w:tc>
              <w:tc>
                <w:tcPr>
                  <w:tcW w:w="851"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20</w:t>
                  </w:r>
                  <w:r>
                    <w:rPr>
                      <w:rFonts w:ascii="Times New Roman" w:hAnsi="Times New Roman"/>
                      <w:color w:val="000000" w:themeColor="text1"/>
                      <w:kern w:val="0"/>
                      <w:sz w:val="21"/>
                      <w14:textFill>
                        <w14:solidFill>
                          <w14:schemeClr w14:val="tx1"/>
                        </w14:solidFill>
                      </w14:textFill>
                    </w:rPr>
                    <w:t>.341</w:t>
                  </w:r>
                </w:p>
              </w:tc>
              <w:tc>
                <w:tcPr>
                  <w:tcW w:w="1770" w:type="dxa"/>
                  <w:vMerge w:val="continue"/>
                  <w:vAlign w:val="center"/>
                </w:tcPr>
                <w:p>
                  <w:pPr>
                    <w:pStyle w:val="102"/>
                    <w:snapToGrid/>
                    <w:spacing w:line="240" w:lineRule="auto"/>
                    <w:jc w:val="both"/>
                    <w:rPr>
                      <w:rFonts w:ascii="Times New Roman" w:hAnsi="Times New Roman"/>
                      <w:color w:val="000000" w:themeColor="text1"/>
                      <w:sz w:val="21"/>
                      <w14:textFill>
                        <w14:solidFill>
                          <w14:schemeClr w14:val="tx1"/>
                        </w14:solidFill>
                      </w14:textFill>
                    </w:rPr>
                  </w:pPr>
                </w:p>
              </w:tc>
            </w:tr>
          </w:tbl>
          <w:p>
            <w:pPr>
              <w:adjustRightInd w:val="0"/>
              <w:snapToGrid w:val="0"/>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固体废物</w:t>
            </w:r>
            <w:r>
              <w:rPr>
                <w:rFonts w:hint="eastAsia"/>
                <w:b/>
                <w:color w:val="000000" w:themeColor="text1"/>
                <w:sz w:val="24"/>
                <w14:textFill>
                  <w14:solidFill>
                    <w14:schemeClr w14:val="tx1"/>
                  </w14:solidFill>
                </w14:textFill>
              </w:rPr>
              <w:t>管理要求</w:t>
            </w:r>
          </w:p>
          <w:p>
            <w:pPr>
              <w:ind w:firstLine="480" w:firstLineChars="200"/>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①加强固体废物收集、输送、贮存、利用、处置等各环节的运行管理，确保固体废物管理全过程可控。</w:t>
            </w:r>
          </w:p>
          <w:p>
            <w:pPr>
              <w:ind w:firstLine="480" w:firstLineChars="200"/>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②生产过程中产生的各类固体废物应尽可能进行综合利用，自行综合利用时应采取有效措施防治二次污染。</w:t>
            </w:r>
          </w:p>
          <w:p>
            <w:pPr>
              <w:ind w:firstLine="480" w:firstLineChars="200"/>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③规范固体废物产生环节、产生量、特性、去向（贮存、综合利用、自行处置、委托处置）及相应数量记录。</w:t>
            </w:r>
          </w:p>
          <w:p>
            <w:pPr>
              <w:ind w:firstLine="480" w:firstLineChars="200"/>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④一般固废和危险废物暂存应严格落实GB18599、GB18597要求，采取措施有效防止有毒有害物质渗漏、流失和扬散。</w:t>
            </w:r>
          </w:p>
          <w:p>
            <w:pPr>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⑤危险废物产生、收集、贮存、利用、处置过程应满足危险废物有关法律法规、标准规范相关规定要求，并通过全国固体废物管理信息系统报送危险废物产生、贮存、转移、利用和处置等情况。危险废物转移过程应执行</w:t>
            </w:r>
            <w:r>
              <w:rPr>
                <w:rFonts w:hint="eastAsia"/>
                <w:color w:val="000000" w:themeColor="text1"/>
                <w:kern w:val="0"/>
                <w:sz w:val="24"/>
                <w:lang w:bidi="ar"/>
                <w14:textFill>
                  <w14:solidFill>
                    <w14:schemeClr w14:val="tx1"/>
                  </w14:solidFill>
                </w14:textFill>
              </w:rPr>
              <w:t>《危险废物转移管理办法》</w:t>
            </w:r>
            <w:r>
              <w:rPr>
                <w:color w:val="000000" w:themeColor="text1"/>
                <w:kern w:val="0"/>
                <w:sz w:val="24"/>
                <w:lang w:bidi="ar"/>
                <w14:textFill>
                  <w14:solidFill>
                    <w14:schemeClr w14:val="tx1"/>
                  </w14:solidFill>
                </w14:textFill>
              </w:rPr>
              <w:t>。</w:t>
            </w:r>
          </w:p>
          <w:p>
            <w:pPr>
              <w:pStyle w:val="72"/>
              <w:ind w:firstLine="0" w:firstLineChars="0"/>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4.2.</w:t>
            </w:r>
            <w:r>
              <w:rPr>
                <w:rFonts w:hint="eastAsia" w:cs="Times New Roman"/>
                <w:b/>
                <w:color w:val="000000" w:themeColor="text1"/>
                <w14:textFill>
                  <w14:solidFill>
                    <w14:schemeClr w14:val="tx1"/>
                  </w14:solidFill>
                </w14:textFill>
              </w:rPr>
              <w:t>5地下水及土壤</w:t>
            </w:r>
          </w:p>
          <w:p>
            <w:pPr>
              <w:adjustRightInd w:val="0"/>
              <w:snapToGrid w:val="0"/>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地下水及土壤污染源、污染物类型及污染途径</w:t>
            </w:r>
          </w:p>
          <w:p>
            <w:pPr>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项目可能对地下水、土壤造成污染的途径主要有：脱硫循环水池池底及池壁破裂发生渗漏；储油罐区油罐破裂及事故池池底及池壁破裂发生渗漏；危废暂存间包装桶破裂导致液态危险废物发生渗漏；氨水储罐破裂导致氨水发生渗漏。主要污染因子为石油类、硫酸盐。</w:t>
            </w:r>
          </w:p>
          <w:p>
            <w:pPr>
              <w:pStyle w:val="73"/>
              <w:spacing w:line="240" w:lineRule="auto"/>
              <w:ind w:firstLine="0" w:firstLineChars="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表4.2</w:t>
            </w:r>
            <w:r>
              <w:rPr>
                <w:rFonts w:hint="eastAsia"/>
                <w:b/>
                <w:bCs/>
                <w:color w:val="000000" w:themeColor="text1"/>
                <w:sz w:val="24"/>
                <w:szCs w:val="24"/>
                <w14:textFill>
                  <w14:solidFill>
                    <w14:schemeClr w14:val="tx1"/>
                  </w14:solidFill>
                </w14:textFill>
              </w:rPr>
              <w:t>-2</w:t>
            </w:r>
            <w:r>
              <w:rPr>
                <w:b/>
                <w:bCs/>
                <w:color w:val="000000" w:themeColor="text1"/>
                <w:sz w:val="24"/>
                <w:szCs w:val="24"/>
                <w14:textFill>
                  <w14:solidFill>
                    <w14:schemeClr w14:val="tx1"/>
                  </w14:solidFill>
                </w14:textFill>
              </w:rPr>
              <w:t>8  地下水、土壤污染源、污染物类型及污染途径情况一览表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0"/>
              <w:gridCol w:w="3960"/>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83" w:type="pct"/>
                </w:tcPr>
                <w:p>
                  <w:pPr>
                    <w:spacing w:line="24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污染源</w:t>
                  </w:r>
                </w:p>
              </w:tc>
              <w:tc>
                <w:tcPr>
                  <w:tcW w:w="2082" w:type="pct"/>
                </w:tcPr>
                <w:p>
                  <w:pPr>
                    <w:spacing w:line="24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污染物类型</w:t>
                  </w:r>
                </w:p>
              </w:tc>
              <w:tc>
                <w:tcPr>
                  <w:tcW w:w="1135" w:type="pct"/>
                </w:tcPr>
                <w:p>
                  <w:pPr>
                    <w:spacing w:line="24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83" w:type="pct"/>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储油罐区油罐及事故池</w:t>
                  </w:r>
                </w:p>
              </w:tc>
              <w:tc>
                <w:tcPr>
                  <w:tcW w:w="2082" w:type="pct"/>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石油类</w:t>
                  </w:r>
                </w:p>
              </w:tc>
              <w:tc>
                <w:tcPr>
                  <w:tcW w:w="1135" w:type="pct"/>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池底及池壁破裂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83" w:type="pct"/>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脱硫循环水池</w:t>
                  </w:r>
                </w:p>
              </w:tc>
              <w:tc>
                <w:tcPr>
                  <w:tcW w:w="2082" w:type="pct"/>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硫酸盐、S</w:t>
                  </w:r>
                  <w:r>
                    <w:rPr>
                      <w:bCs/>
                      <w:color w:val="000000" w:themeColor="text1"/>
                      <w:szCs w:val="21"/>
                      <w14:textFill>
                        <w14:solidFill>
                          <w14:schemeClr w14:val="tx1"/>
                        </w14:solidFill>
                      </w14:textFill>
                    </w:rPr>
                    <w:t>S</w:t>
                  </w:r>
                </w:p>
              </w:tc>
              <w:tc>
                <w:tcPr>
                  <w:tcW w:w="1135" w:type="pct"/>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池底及池壁破裂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83" w:type="pct"/>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危废暂存间</w:t>
                  </w:r>
                </w:p>
              </w:tc>
              <w:tc>
                <w:tcPr>
                  <w:tcW w:w="2082" w:type="pct"/>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液态危险废物</w:t>
                  </w:r>
                </w:p>
              </w:tc>
              <w:tc>
                <w:tcPr>
                  <w:tcW w:w="1135" w:type="pct"/>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包装桶破裂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83" w:type="pct"/>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氨水储罐</w:t>
                  </w:r>
                </w:p>
              </w:tc>
              <w:tc>
                <w:tcPr>
                  <w:tcW w:w="2082" w:type="pct"/>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氨水</w:t>
                  </w:r>
                </w:p>
              </w:tc>
              <w:tc>
                <w:tcPr>
                  <w:tcW w:w="1135" w:type="pct"/>
                </w:tcPr>
                <w:p>
                  <w:pPr>
                    <w:spacing w:line="240" w:lineRule="auto"/>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储罐破裂</w:t>
                  </w:r>
                </w:p>
              </w:tc>
            </w:tr>
          </w:tbl>
          <w:p>
            <w:pPr>
              <w:adjustRightInd w:val="0"/>
              <w:snapToGrid w:val="0"/>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w:t>
            </w:r>
            <w:r>
              <w:rPr>
                <w:rFonts w:hint="eastAsia"/>
                <w:b/>
                <w:color w:val="000000" w:themeColor="text1"/>
                <w:sz w:val="24"/>
                <w14:textFill>
                  <w14:solidFill>
                    <w14:schemeClr w14:val="tx1"/>
                  </w14:solidFill>
                </w14:textFill>
              </w:rPr>
              <w:t>、地下水、土壤污染</w:t>
            </w:r>
            <w:r>
              <w:rPr>
                <w:b/>
                <w:color w:val="000000" w:themeColor="text1"/>
                <w:sz w:val="24"/>
                <w14:textFill>
                  <w14:solidFill>
                    <w14:schemeClr w14:val="tx1"/>
                  </w14:solidFill>
                </w14:textFill>
              </w:rPr>
              <w:t>防控措施</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本次评价从项目地下水保护原则、采取措施、监控措施、应急措施等方面分别进行论述。</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（1）地下水污染防治原则</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根据《环境影响技术评价导则 地下水环境》（</w:t>
            </w:r>
            <w:r>
              <w:rPr>
                <w:color w:val="000000" w:themeColor="text1"/>
                <w:sz w:val="24"/>
                <w14:textFill>
                  <w14:solidFill>
                    <w14:schemeClr w14:val="tx1"/>
                  </w14:solidFill>
                </w14:textFill>
              </w:rPr>
              <w:t>HJ610-2016</w:t>
            </w:r>
            <w:r>
              <w:rPr>
                <w:rFonts w:hint="eastAsia"/>
                <w:color w:val="000000" w:themeColor="text1"/>
                <w:sz w:val="24"/>
                <w14:textFill>
                  <w14:solidFill>
                    <w14:schemeClr w14:val="tx1"/>
                  </w14:solidFill>
                </w14:textFill>
              </w:rPr>
              <w:t>）的要求，地下水保护措施与对策应符合《中华人民共和国水污染防治法》的相关规定，按照“源头控制，分区防治，污染监控，应急响应”、突出饮用水安全的原则确定。</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①源头控制。主要包括生产区、储罐区采取相应措施，防止和降低污染物跑、冒、滴、漏，将污染物泄漏的环境风险事故降到最低程度；</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②分区防治。针对裂解油储罐区等部位，根据可能进入地下水的各种原辅材料、废水的泄漏(含跑、冒、滴、漏)量，划分污染防治区，提出不同区域的地面防渗方案，给出具体的防渗材料及防渗标准要求。</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③污染监控。建立场地区地下水环境监控体系，包括建立地下水污染监控制度和环 境管理体系、制定监测计划、配备先进的检测仪器和设备，以便及时发现问题，及时采取措施；</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④应急响应。制定地下水风险事故应急响应预案，明确风险非正常状况下应采取的封闭、截流等措施，提出防止受污染的地下水扩散和对受污染的地下水进行治理的方案。</w:t>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源头控制措施</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正常工况下，厂区生产废水得到有效处理，不会对地下水造成影响。但在废轮胎裂解生产及裂解油储运过程中，会不可避免的发生跑、冒、滴、漏等情况，如不采取合理的防治措施，则污染物有可能渗入地下水，从而影响地下水环境。</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（3）防扩散措施</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地下水污染途径，项目防渗层如果发生破损及失效等事故情况下，项目污染源对浅层地下水影响较大，因此需要对项目重点污染防渗分区的设施，设置必要的检漏时间及周期，在一个检漏周期内，对可能有污染物跑冒漏滴等产生的地区进行必要的检漏工作，及时发现污染物渗漏等事件，采取补救措施。同时需要在下游设置地下水污染源监控井，以作为日常地下水监控及风险应急状态下的地下水监控井。</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（4）分区防治措施</w:t>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根据防渗分区技术方法及</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的工程分析，</w:t>
            </w:r>
            <w:r>
              <w:rPr>
                <w:rFonts w:hint="eastAsia"/>
                <w:color w:val="000000" w:themeColor="text1"/>
                <w:sz w:val="24"/>
                <w14:textFill>
                  <w14:solidFill>
                    <w14:schemeClr w14:val="tx1"/>
                  </w14:solidFill>
                </w14:textFill>
              </w:rPr>
              <w:t>对项目进行污染防治分区工作，将厂区划分为简</w:t>
            </w:r>
            <w:r>
              <w:rPr>
                <w:color w:val="000000" w:themeColor="text1"/>
                <w:sz w:val="24"/>
                <w14:textFill>
                  <w14:solidFill>
                    <w14:schemeClr w14:val="tx1"/>
                  </w14:solidFill>
                </w14:textFill>
              </w:rPr>
              <w:t>单防渗区、一般防渗区和重点防渗区。</w:t>
            </w:r>
          </w:p>
          <w:p>
            <w:pPr>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重点防渗区：</w:t>
            </w:r>
            <w:r>
              <w:rPr>
                <w:rFonts w:hint="eastAsia"/>
                <w:color w:val="000000" w:themeColor="text1"/>
                <w:sz w:val="24"/>
                <w14:textFill>
                  <w14:solidFill>
                    <w14:schemeClr w14:val="tx1"/>
                  </w14:solidFill>
                </w14:textFill>
              </w:rPr>
              <w:t>裂解车间</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储油</w:t>
            </w:r>
            <w:r>
              <w:rPr>
                <w:color w:val="000000" w:themeColor="text1"/>
                <w:sz w:val="24"/>
                <w14:textFill>
                  <w14:solidFill>
                    <w14:schemeClr w14:val="tx1"/>
                  </w14:solidFill>
                </w14:textFill>
              </w:rPr>
              <w:t>罐区、脱硫循环水池、危废暂存间</w:t>
            </w:r>
            <w:r>
              <w:rPr>
                <w:rFonts w:hint="eastAsia"/>
                <w:color w:val="000000" w:themeColor="text1"/>
                <w:sz w:val="24"/>
                <w14:textFill>
                  <w14:solidFill>
                    <w14:schemeClr w14:val="tx1"/>
                  </w14:solidFill>
                </w14:textFill>
              </w:rPr>
              <w:t>、生产废水处理设施、生化池、氨水储罐区</w:t>
            </w: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危废暂存间防渗要求为至少1m厚黏土层（渗透系数≤1×10</w:t>
            </w:r>
            <w:r>
              <w:rPr>
                <w:bCs/>
                <w:color w:val="000000" w:themeColor="text1"/>
                <w:sz w:val="24"/>
                <w:vertAlign w:val="superscript"/>
                <w14:textFill>
                  <w14:solidFill>
                    <w14:schemeClr w14:val="tx1"/>
                  </w14:solidFill>
                </w14:textFill>
              </w:rPr>
              <w:t>-7</w:t>
            </w:r>
            <w:r>
              <w:rPr>
                <w:bCs/>
                <w:color w:val="000000" w:themeColor="text1"/>
                <w:sz w:val="24"/>
                <w14:textFill>
                  <w14:solidFill>
                    <w14:schemeClr w14:val="tx1"/>
                  </w14:solidFill>
                </w14:textFill>
              </w:rPr>
              <w:t>cm/s），或2mm厚高密度聚乙烯，或至少2mm厚的其他人工材料，渗透系数小≤1×10</w:t>
            </w:r>
            <w:r>
              <w:rPr>
                <w:bCs/>
                <w:color w:val="000000" w:themeColor="text1"/>
                <w:sz w:val="24"/>
                <w:vertAlign w:val="superscript"/>
                <w14:textFill>
                  <w14:solidFill>
                    <w14:schemeClr w14:val="tx1"/>
                  </w14:solidFill>
                </w14:textFill>
              </w:rPr>
              <w:t>-10</w:t>
            </w:r>
            <w:r>
              <w:rPr>
                <w:bCs/>
                <w:color w:val="000000" w:themeColor="text1"/>
                <w:sz w:val="24"/>
                <w14:textFill>
                  <w14:solidFill>
                    <w14:schemeClr w14:val="tx1"/>
                  </w14:solidFill>
                </w14:textFill>
              </w:rPr>
              <w:t>cm/s；</w:t>
            </w:r>
            <w:r>
              <w:rPr>
                <w:rFonts w:hint="eastAsia"/>
                <w:bCs/>
                <w:color w:val="000000" w:themeColor="text1"/>
                <w:sz w:val="24"/>
                <w14:textFill>
                  <w14:solidFill>
                    <w14:schemeClr w14:val="tx1"/>
                  </w14:solidFill>
                </w14:textFill>
              </w:rPr>
              <w:t>裂解车间、脱硫循环水池、生产废水处理设施、生化池、氨水储罐</w:t>
            </w:r>
            <w:r>
              <w:rPr>
                <w:bCs/>
                <w:color w:val="000000" w:themeColor="text1"/>
                <w:sz w:val="24"/>
                <w14:textFill>
                  <w14:solidFill>
                    <w14:schemeClr w14:val="tx1"/>
                  </w14:solidFill>
                </w14:textFill>
              </w:rPr>
              <w:t>防渗要求为不低于2毫米厚高密度聚乙烯，或至少毫米厚的其它人工材料，渗透系数≤10</w:t>
            </w:r>
            <w:r>
              <w:rPr>
                <w:bCs/>
                <w:color w:val="000000" w:themeColor="text1"/>
                <w:sz w:val="24"/>
                <w:vertAlign w:val="superscript"/>
                <w14:textFill>
                  <w14:solidFill>
                    <w14:schemeClr w14:val="tx1"/>
                  </w14:solidFill>
                </w14:textFill>
              </w:rPr>
              <w:t>-10</w:t>
            </w:r>
            <w:r>
              <w:rPr>
                <w:bCs/>
                <w:color w:val="000000" w:themeColor="text1"/>
                <w:sz w:val="24"/>
                <w14:textFill>
                  <w14:solidFill>
                    <w14:schemeClr w14:val="tx1"/>
                  </w14:solidFill>
                </w14:textFill>
              </w:rPr>
              <w:t>cm/s。</w:t>
            </w:r>
          </w:p>
          <w:p>
            <w:pPr>
              <w:autoSpaceDE w:val="0"/>
              <w:autoSpaceDN w:val="0"/>
              <w:adjustRightInd w:val="0"/>
              <w:ind w:firstLine="480" w:firstLineChars="200"/>
              <w:rPr>
                <w:color w:val="FF0000"/>
                <w:sz w:val="24"/>
              </w:rPr>
            </w:pPr>
            <w:r>
              <w:rPr>
                <w:rFonts w:hint="eastAsia"/>
                <w:color w:val="FF0000"/>
                <w:sz w:val="24"/>
              </w:rPr>
              <w:t>本项目油罐为单层罐，周围设置</w:t>
            </w:r>
            <w:r>
              <w:rPr>
                <w:color w:val="FF0000"/>
                <w:sz w:val="24"/>
              </w:rPr>
              <w:t>防渗</w:t>
            </w:r>
            <w:r>
              <w:rPr>
                <w:rFonts w:hint="eastAsia"/>
                <w:color w:val="FF0000"/>
                <w:sz w:val="24"/>
              </w:rPr>
              <w:t>围堰</w:t>
            </w:r>
            <w:r>
              <w:rPr>
                <w:color w:val="FF0000"/>
                <w:sz w:val="24"/>
              </w:rPr>
              <w:t>，</w:t>
            </w:r>
            <w:r>
              <w:rPr>
                <w:rFonts w:hint="eastAsia"/>
                <w:color w:val="FF0000"/>
                <w:sz w:val="24"/>
              </w:rPr>
              <w:t>储罐主要由罐体、油泵和连接管线组成，为防止储罐区储存、输送、转运过程中发生油品渗、泄漏对土壤和地下水造成污染，施工期建设</w:t>
            </w:r>
            <w:r>
              <w:rPr>
                <w:color w:val="FF0000"/>
                <w:sz w:val="24"/>
              </w:rPr>
              <w:t>单位</w:t>
            </w:r>
            <w:r>
              <w:rPr>
                <w:rFonts w:hint="eastAsia"/>
                <w:color w:val="FF0000"/>
                <w:sz w:val="24"/>
              </w:rPr>
              <w:t>须做好相关</w:t>
            </w:r>
            <w:r>
              <w:rPr>
                <w:color w:val="FF0000"/>
                <w:sz w:val="24"/>
              </w:rPr>
              <w:t>措施，</w:t>
            </w:r>
            <w:r>
              <w:rPr>
                <w:rFonts w:hint="eastAsia"/>
                <w:color w:val="FF0000"/>
                <w:sz w:val="24"/>
              </w:rPr>
              <w:t>相关要求如下：</w:t>
            </w:r>
          </w:p>
          <w:p>
            <w:pPr>
              <w:autoSpaceDE w:val="0"/>
              <w:autoSpaceDN w:val="0"/>
              <w:adjustRightInd w:val="0"/>
              <w:ind w:firstLine="480"/>
              <w:rPr>
                <w:color w:val="FF0000"/>
                <w:sz w:val="24"/>
              </w:rPr>
            </w:pPr>
            <w:r>
              <w:rPr>
                <w:rFonts w:hint="eastAsia"/>
                <w:color w:val="FF0000"/>
                <w:sz w:val="24"/>
              </w:rPr>
              <w:t>①油罐设液位自动监测系统，应具有油罐渗漏的监测功能和高液位报警功能。</w:t>
            </w:r>
          </w:p>
          <w:p>
            <w:pPr>
              <w:autoSpaceDE w:val="0"/>
              <w:autoSpaceDN w:val="0"/>
              <w:adjustRightInd w:val="0"/>
              <w:ind w:firstLine="480" w:firstLineChars="200"/>
              <w:rPr>
                <w:color w:val="FF0000"/>
                <w:sz w:val="24"/>
              </w:rPr>
            </w:pPr>
            <w:r>
              <w:rPr>
                <w:rFonts w:hint="eastAsia"/>
                <w:color w:val="FF0000"/>
                <w:sz w:val="24"/>
              </w:rPr>
              <w:t>②对于储罐区按照《石油化工工程防渗技术规范》（GB/</w:t>
            </w:r>
            <w:r>
              <w:rPr>
                <w:color w:val="FF0000"/>
                <w:sz w:val="24"/>
              </w:rPr>
              <w:t>T 50934</w:t>
            </w:r>
            <w:r>
              <w:rPr>
                <w:rFonts w:hint="eastAsia"/>
                <w:color w:val="FF0000"/>
                <w:sz w:val="24"/>
              </w:rPr>
              <w:t>-</w:t>
            </w:r>
            <w:r>
              <w:rPr>
                <w:color w:val="FF0000"/>
                <w:sz w:val="24"/>
              </w:rPr>
              <w:t>2013</w:t>
            </w:r>
            <w:r>
              <w:rPr>
                <w:rFonts w:hint="eastAsia"/>
                <w:color w:val="FF0000"/>
                <w:sz w:val="24"/>
              </w:rPr>
              <w:t>）中相关要求做好防渗措施。采用严格防渗、防腐和防爆措施，周围设置具有防渗性的围堰。储罐基础的防渗层应选用不小于1</w:t>
            </w:r>
            <w:r>
              <w:rPr>
                <w:color w:val="FF0000"/>
                <w:sz w:val="24"/>
              </w:rPr>
              <w:t>.5</w:t>
            </w:r>
            <w:r>
              <w:rPr>
                <w:rFonts w:hint="eastAsia"/>
                <w:color w:val="FF0000"/>
                <w:sz w:val="24"/>
              </w:rPr>
              <w:t>mm厚的高密度聚乙烯膜；膜上、膜下应设置保护层，保护层可选用长丝无纺土工布，膜下保护层可采用不含尖锐颗粒的砂层，砂层厚度不应小于10</w:t>
            </w:r>
            <w:r>
              <w:rPr>
                <w:color w:val="FF0000"/>
                <w:sz w:val="24"/>
              </w:rPr>
              <w:t>0</w:t>
            </w:r>
            <w:r>
              <w:rPr>
                <w:rFonts w:hint="eastAsia"/>
                <w:color w:val="FF0000"/>
                <w:sz w:val="24"/>
              </w:rPr>
              <w:t>mm；高密度聚乙烯膜铺设应有中心坡向四周，坡度宜小于1</w:t>
            </w:r>
            <w:r>
              <w:rPr>
                <w:color w:val="FF0000"/>
                <w:sz w:val="24"/>
              </w:rPr>
              <w:t>.5</w:t>
            </w:r>
            <w:r>
              <w:rPr>
                <w:rFonts w:hint="eastAsia"/>
                <w:color w:val="FF0000"/>
                <w:sz w:val="24"/>
              </w:rPr>
              <w:t>%。储罐区其他地方的防渗层防渗性能不应低于6.</w:t>
            </w:r>
            <w:r>
              <w:rPr>
                <w:color w:val="FF0000"/>
                <w:sz w:val="24"/>
              </w:rPr>
              <w:t>0</w:t>
            </w:r>
            <w:r>
              <w:rPr>
                <w:rFonts w:hint="eastAsia"/>
                <w:color w:val="FF0000"/>
                <w:sz w:val="24"/>
              </w:rPr>
              <w:t>mm厚渗透系数为</w:t>
            </w:r>
            <w:r>
              <w:rPr>
                <w:bCs/>
                <w:color w:val="FF0000"/>
                <w:sz w:val="24"/>
              </w:rPr>
              <w:t>1×10</w:t>
            </w:r>
            <w:r>
              <w:rPr>
                <w:bCs/>
                <w:color w:val="FF0000"/>
                <w:sz w:val="24"/>
                <w:vertAlign w:val="superscript"/>
              </w:rPr>
              <w:t>-7</w:t>
            </w:r>
            <w:r>
              <w:rPr>
                <w:bCs/>
                <w:color w:val="FF0000"/>
                <w:sz w:val="24"/>
              </w:rPr>
              <w:t>cm/s</w:t>
            </w:r>
            <w:r>
              <w:rPr>
                <w:rFonts w:hint="eastAsia"/>
                <w:bCs/>
                <w:color w:val="FF0000"/>
                <w:sz w:val="24"/>
              </w:rPr>
              <w:t>的黏土层的防渗性能。</w:t>
            </w:r>
          </w:p>
          <w:p>
            <w:pPr>
              <w:autoSpaceDE w:val="0"/>
              <w:autoSpaceDN w:val="0"/>
              <w:adjustRightInd w:val="0"/>
              <w:ind w:firstLine="480" w:firstLineChars="200"/>
              <w:rPr>
                <w:color w:val="FF0000"/>
                <w:sz w:val="24"/>
              </w:rPr>
            </w:pPr>
            <w:r>
              <w:rPr>
                <w:rFonts w:hint="eastAsia" w:ascii="宋体" w:hAnsi="宋体" w:cs="宋体"/>
                <w:color w:val="FF0000"/>
                <w:sz w:val="24"/>
              </w:rPr>
              <w:t>③</w:t>
            </w:r>
            <w:r>
              <w:rPr>
                <w:rFonts w:hint="eastAsia"/>
                <w:color w:val="FF0000"/>
                <w:sz w:val="24"/>
              </w:rPr>
              <w:t>油罐的出油管道，设置防渗套管保护；防渗套管具体技术要求如下：防渗套管采用耐油、耐腐蚀、耐老化和满足强度要求的非金属管材；防渗套管的端部不应埋地，并严密封口。</w:t>
            </w:r>
          </w:p>
          <w:p>
            <w:pPr>
              <w:autoSpaceDE w:val="0"/>
              <w:autoSpaceDN w:val="0"/>
              <w:adjustRightInd w:val="0"/>
              <w:ind w:firstLine="480" w:firstLineChars="200"/>
              <w:rPr>
                <w:color w:val="FF0000"/>
                <w:sz w:val="24"/>
              </w:rPr>
            </w:pPr>
            <w:r>
              <w:rPr>
                <w:rFonts w:hint="eastAsia"/>
                <w:color w:val="FF0000"/>
                <w:sz w:val="24"/>
              </w:rPr>
              <w:t>⑤罐区附近设立观测井，便于及时发现渗漏，从而尽早进行应急处理。定期对重点区域包括罐区、观测井进行巡查，查看观测井里是否有油花。</w:t>
            </w:r>
          </w:p>
          <w:p>
            <w:pPr>
              <w:ind w:firstLine="480" w:firstLineChars="200"/>
              <w:rPr>
                <w:color w:val="FF0000"/>
                <w:sz w:val="24"/>
              </w:rPr>
            </w:pPr>
            <w:r>
              <w:rPr>
                <w:rFonts w:hint="eastAsia"/>
                <w:color w:val="FF0000"/>
                <w:sz w:val="24"/>
              </w:rPr>
              <w:t>⑥</w:t>
            </w:r>
            <w:r>
              <w:rPr>
                <w:color w:val="FF0000"/>
                <w:sz w:val="24"/>
              </w:rPr>
              <w:t>生产车间</w:t>
            </w:r>
            <w:r>
              <w:rPr>
                <w:rFonts w:hint="eastAsia"/>
                <w:color w:val="FF0000"/>
                <w:sz w:val="24"/>
              </w:rPr>
              <w:t>裂解区</w:t>
            </w:r>
            <w:r>
              <w:rPr>
                <w:color w:val="FF0000"/>
                <w:sz w:val="24"/>
              </w:rPr>
              <w:t>的</w:t>
            </w:r>
            <w:r>
              <w:rPr>
                <w:rFonts w:hint="eastAsia"/>
                <w:color w:val="FF0000"/>
                <w:sz w:val="24"/>
              </w:rPr>
              <w:t>每个</w:t>
            </w:r>
            <w:r>
              <w:rPr>
                <w:color w:val="FF0000"/>
                <w:sz w:val="24"/>
              </w:rPr>
              <w:t>油中转罐</w:t>
            </w:r>
            <w:r>
              <w:rPr>
                <w:rFonts w:hint="eastAsia"/>
                <w:color w:val="FF0000"/>
                <w:sz w:val="24"/>
              </w:rPr>
              <w:t>周围</w:t>
            </w:r>
            <w:r>
              <w:rPr>
                <w:color w:val="FF0000"/>
                <w:sz w:val="24"/>
              </w:rPr>
              <w:t>设置</w:t>
            </w:r>
            <w:r>
              <w:rPr>
                <w:rFonts w:hint="eastAsia"/>
                <w:color w:val="FF0000"/>
                <w:sz w:val="24"/>
              </w:rPr>
              <w:t>围堰</w:t>
            </w:r>
            <w:r>
              <w:rPr>
                <w:color w:val="FF0000"/>
                <w:sz w:val="24"/>
              </w:rPr>
              <w:t>，</w:t>
            </w:r>
            <w:r>
              <w:rPr>
                <w:rFonts w:hint="eastAsia"/>
                <w:color w:val="FF0000"/>
                <w:sz w:val="24"/>
              </w:rPr>
              <w:t>容积</w:t>
            </w:r>
            <w:r>
              <w:rPr>
                <w:color w:val="FF0000"/>
                <w:sz w:val="24"/>
              </w:rPr>
              <w:t>不应小于</w:t>
            </w:r>
            <w:r>
              <w:rPr>
                <w:rFonts w:hint="eastAsia"/>
                <w:color w:val="FF0000"/>
                <w:sz w:val="24"/>
              </w:rPr>
              <w:t>中转罐</w:t>
            </w:r>
            <w:r>
              <w:rPr>
                <w:color w:val="FF0000"/>
                <w:sz w:val="24"/>
              </w:rPr>
              <w:t>最大容积</w:t>
            </w:r>
            <w:r>
              <w:rPr>
                <w:rFonts w:hint="eastAsia"/>
                <w:color w:val="FF0000"/>
                <w:sz w:val="24"/>
              </w:rPr>
              <w:t>；生产车间裂解区地面采用防腐、防渗设计，</w:t>
            </w:r>
            <w:r>
              <w:rPr>
                <w:color w:val="FF0000"/>
                <w:sz w:val="24"/>
              </w:rPr>
              <w:t>应设置</w:t>
            </w:r>
            <w:r>
              <w:rPr>
                <w:rFonts w:hint="eastAsia"/>
                <w:color w:val="FF0000"/>
                <w:sz w:val="24"/>
              </w:rPr>
              <w:t>废水收集</w:t>
            </w:r>
            <w:r>
              <w:rPr>
                <w:color w:val="FF0000"/>
                <w:sz w:val="24"/>
              </w:rPr>
              <w:t>系统，</w:t>
            </w:r>
            <w:r>
              <w:rPr>
                <w:rFonts w:hint="eastAsia"/>
                <w:color w:val="FF0000"/>
                <w:sz w:val="24"/>
              </w:rPr>
              <w:t>收集</w:t>
            </w:r>
            <w:r>
              <w:rPr>
                <w:color w:val="FF0000"/>
                <w:sz w:val="24"/>
              </w:rPr>
              <w:t>跑冒漏滴</w:t>
            </w:r>
            <w:r>
              <w:rPr>
                <w:rFonts w:hint="eastAsia"/>
                <w:color w:val="FF0000"/>
                <w:sz w:val="24"/>
              </w:rPr>
              <w:t>产生</w:t>
            </w:r>
            <w:r>
              <w:rPr>
                <w:color w:val="FF0000"/>
                <w:sz w:val="24"/>
              </w:rPr>
              <w:t>的含油废水</w:t>
            </w:r>
            <w:r>
              <w:rPr>
                <w:rFonts w:hint="eastAsia"/>
                <w:color w:val="FF0000"/>
                <w:sz w:val="24"/>
              </w:rPr>
              <w:t>、</w:t>
            </w:r>
            <w:r>
              <w:rPr>
                <w:color w:val="FF0000"/>
                <w:sz w:val="24"/>
              </w:rPr>
              <w:t>地面冲洗废水，</w:t>
            </w:r>
            <w:r>
              <w:rPr>
                <w:rFonts w:hint="eastAsia"/>
                <w:color w:val="FF0000"/>
                <w:sz w:val="24"/>
              </w:rPr>
              <w:t>进入生产废水处理</w:t>
            </w:r>
            <w:r>
              <w:rPr>
                <w:color w:val="FF0000"/>
                <w:sz w:val="24"/>
              </w:rPr>
              <w:t>设施</w:t>
            </w:r>
            <w:r>
              <w:rPr>
                <w:rFonts w:hint="eastAsia"/>
                <w:color w:val="FF0000"/>
                <w:sz w:val="24"/>
              </w:rPr>
              <w:t>处理。</w:t>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一般防渗区：事故水池的底板及壁板</w:t>
            </w:r>
            <w:r>
              <w:rPr>
                <w:rFonts w:hint="eastAsia"/>
                <w:color w:val="000000" w:themeColor="text1"/>
                <w:sz w:val="24"/>
                <w14:textFill>
                  <w14:solidFill>
                    <w14:schemeClr w14:val="tx1"/>
                  </w14:solidFill>
                </w14:textFill>
              </w:rPr>
              <w:t>、初期雨水收集池的底板及壁板、一般固废暂存间</w:t>
            </w:r>
            <w:r>
              <w:rPr>
                <w:color w:val="000000" w:themeColor="text1"/>
                <w:sz w:val="24"/>
                <w14:textFill>
                  <w14:solidFill>
                    <w14:schemeClr w14:val="tx1"/>
                  </w14:solidFill>
                </w14:textFill>
              </w:rPr>
              <w:t>。防渗要求为采用防渗混凝土池或混凝土硬化地坪，渗透系数≤10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简单防渗区：办公楼，一般地面硬化。</w:t>
            </w:r>
          </w:p>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综上所述，项目在采取上述应对措施，并加强维护和厂区环境管理的前提下，可有效控制厂区内的废水污染物下渗现象，避免污染地下水、土壤。因此，项目不会对区域地下水、土壤环境产生明显影响。</w:t>
            </w:r>
          </w:p>
          <w:p>
            <w:pPr>
              <w:pStyle w:val="72"/>
              <w:ind w:firstLine="0" w:firstLineChars="0"/>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4.2.6环境风险</w:t>
            </w:r>
          </w:p>
          <w:p>
            <w:pPr>
              <w:pStyle w:val="72"/>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1</w:t>
            </w:r>
            <w:r>
              <w:rPr>
                <w:rFonts w:hint="eastAsia" w:cs="Times New Roman"/>
                <w:b/>
                <w:color w:val="000000" w:themeColor="text1"/>
                <w14:textFill>
                  <w14:solidFill>
                    <w14:schemeClr w14:val="tx1"/>
                  </w14:solidFill>
                </w14:textFill>
              </w:rPr>
              <w:t>、</w:t>
            </w:r>
            <w:r>
              <w:rPr>
                <w:rFonts w:cs="Times New Roman"/>
                <w:b/>
                <w:color w:val="000000" w:themeColor="text1"/>
                <w14:textFill>
                  <w14:solidFill>
                    <w14:schemeClr w14:val="tx1"/>
                  </w14:solidFill>
                </w14:textFill>
              </w:rPr>
              <w:t>环境风险</w:t>
            </w:r>
            <w:r>
              <w:rPr>
                <w:rFonts w:hint="eastAsia" w:cs="Times New Roman"/>
                <w:b/>
                <w:color w:val="000000" w:themeColor="text1"/>
                <w14:textFill>
                  <w14:solidFill>
                    <w14:schemeClr w14:val="tx1"/>
                  </w14:solidFill>
                </w14:textFill>
              </w:rPr>
              <w:t>物质识别</w:t>
            </w:r>
          </w:p>
          <w:p>
            <w:pPr>
              <w:pStyle w:val="72"/>
              <w:tabs>
                <w:tab w:val="left" w:pos="380"/>
              </w:tabs>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（1）风险</w:t>
            </w:r>
            <w:r>
              <w:rPr>
                <w:rFonts w:hint="eastAsia" w:cs="Times New Roman"/>
                <w:color w:val="000000" w:themeColor="text1"/>
                <w14:textFill>
                  <w14:solidFill>
                    <w14:schemeClr w14:val="tx1"/>
                  </w14:solidFill>
                </w14:textFill>
              </w:rPr>
              <w:t>物质识别</w:t>
            </w:r>
          </w:p>
          <w:p>
            <w:pPr>
              <w:pStyle w:val="72"/>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本项目在生产、贮存、运输及“三废”处理过程中涉及的主要危险物质有裂解不凝气、裂解油和润滑油，其危险特性见表4</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29</w:t>
            </w:r>
            <w:r>
              <w:rPr>
                <w:rFonts w:hint="eastAsia" w:cs="Times New Roman"/>
                <w:color w:val="000000" w:themeColor="text1"/>
                <w14:textFill>
                  <w14:solidFill>
                    <w14:schemeClr w14:val="tx1"/>
                  </w14:solidFill>
                </w14:textFill>
              </w:rPr>
              <w:t>。</w:t>
            </w:r>
          </w:p>
          <w:p>
            <w:pPr>
              <w:pStyle w:val="72"/>
              <w:spacing w:line="240" w:lineRule="auto"/>
              <w:ind w:firstLine="0" w:firstLineChars="0"/>
              <w:jc w:val="center"/>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表4</w:t>
            </w:r>
            <w:r>
              <w:rPr>
                <w:rFonts w:cs="Times New Roman"/>
                <w:b/>
                <w:color w:val="000000" w:themeColor="text1"/>
                <w14:textFill>
                  <w14:solidFill>
                    <w14:schemeClr w14:val="tx1"/>
                  </w14:solidFill>
                </w14:textFill>
              </w:rPr>
              <w:t>.2</w:t>
            </w:r>
            <w:r>
              <w:rPr>
                <w:rFonts w:hint="eastAsia" w:cs="Times New Roman"/>
                <w:b/>
                <w:color w:val="000000" w:themeColor="text1"/>
                <w14:textFill>
                  <w14:solidFill>
                    <w14:schemeClr w14:val="tx1"/>
                  </w14:solidFill>
                </w14:textFill>
              </w:rPr>
              <w:t>-</w:t>
            </w:r>
            <w:r>
              <w:rPr>
                <w:rFonts w:cs="Times New Roman"/>
                <w:b/>
                <w:color w:val="000000" w:themeColor="text1"/>
                <w14:textFill>
                  <w14:solidFill>
                    <w14:schemeClr w14:val="tx1"/>
                  </w14:solidFill>
                </w14:textFill>
              </w:rPr>
              <w:t xml:space="preserve">29  </w:t>
            </w:r>
            <w:r>
              <w:rPr>
                <w:rFonts w:hint="eastAsia" w:cs="Times New Roman"/>
                <w:b/>
                <w:color w:val="000000" w:themeColor="text1"/>
                <w14:textFill>
                  <w14:solidFill>
                    <w14:schemeClr w14:val="tx1"/>
                  </w14:solidFill>
                </w14:textFill>
              </w:rPr>
              <w:t>危险物质的危险特性表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2388"/>
              <w:gridCol w:w="1480"/>
              <w:gridCol w:w="1480"/>
              <w:gridCol w:w="1481"/>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42" w:type="dxa"/>
                  <w:gridSpan w:val="2"/>
                  <w:shd w:val="clear" w:color="auto" w:fill="auto"/>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物质名称</w:t>
                  </w:r>
                </w:p>
              </w:tc>
              <w:tc>
                <w:tcPr>
                  <w:tcW w:w="1480" w:type="dxa"/>
                  <w:shd w:val="clear" w:color="auto" w:fill="auto"/>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不凝气</w:t>
                  </w:r>
                </w:p>
              </w:tc>
              <w:tc>
                <w:tcPr>
                  <w:tcW w:w="1480" w:type="dxa"/>
                  <w:shd w:val="clear" w:color="auto" w:fill="auto"/>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裂解油</w:t>
                  </w:r>
                </w:p>
              </w:tc>
              <w:tc>
                <w:tcPr>
                  <w:tcW w:w="1481" w:type="dxa"/>
                  <w:shd w:val="clear" w:color="auto" w:fill="auto"/>
                  <w:vAlign w:val="center"/>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润滑油</w:t>
                  </w:r>
                </w:p>
              </w:tc>
              <w:tc>
                <w:tcPr>
                  <w:tcW w:w="1315" w:type="dxa"/>
                </w:tcPr>
                <w:p>
                  <w:pPr>
                    <w:pStyle w:val="72"/>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restart"/>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易燃/易爆性</w:t>
                  </w:r>
                </w:p>
              </w:tc>
              <w:tc>
                <w:tcPr>
                  <w:tcW w:w="2388"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相态</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气</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液</w:t>
                  </w:r>
                </w:p>
              </w:tc>
              <w:tc>
                <w:tcPr>
                  <w:tcW w:w="1481"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液</w:t>
                  </w:r>
                </w:p>
              </w:tc>
              <w:tc>
                <w:tcPr>
                  <w:tcW w:w="1315" w:type="dxa"/>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continue"/>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388"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闪点℃</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-188</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67</w:t>
                  </w:r>
                </w:p>
              </w:tc>
              <w:tc>
                <w:tcPr>
                  <w:tcW w:w="1481"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120~340</w:t>
                  </w:r>
                </w:p>
              </w:tc>
              <w:tc>
                <w:tcPr>
                  <w:tcW w:w="1315" w:type="dxa"/>
                </w:tcPr>
                <w:p>
                  <w:pPr>
                    <w:spacing w:line="240" w:lineRule="auto"/>
                    <w:jc w:val="cente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continue"/>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388"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沸点℃</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-160</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25</w:t>
                  </w:r>
                </w:p>
              </w:tc>
              <w:tc>
                <w:tcPr>
                  <w:tcW w:w="1481"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-252.8</w:t>
                  </w:r>
                </w:p>
              </w:tc>
              <w:tc>
                <w:tcPr>
                  <w:tcW w:w="1315" w:type="dxa"/>
                </w:tcPr>
                <w:p>
                  <w:pPr>
                    <w:spacing w:line="240" w:lineRule="auto"/>
                    <w:jc w:val="center"/>
                  </w:pPr>
                  <w:r>
                    <w:rPr>
                      <w:color w:val="000000" w:themeColor="text1"/>
                      <w:szCs w:val="21"/>
                      <w14:textFill>
                        <w14:solidFill>
                          <w14:schemeClr w14:val="tx1"/>
                        </w14:solidFill>
                      </w14:textFill>
                    </w:rPr>
                    <w:t>-33.34</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388"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自燃点℃</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482~632</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260~360</w:t>
                  </w:r>
                </w:p>
              </w:tc>
              <w:tc>
                <w:tcPr>
                  <w:tcW w:w="1481"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300~350</w:t>
                  </w:r>
                </w:p>
              </w:tc>
              <w:tc>
                <w:tcPr>
                  <w:tcW w:w="1315" w:type="dxa"/>
                </w:tcPr>
                <w:p>
                  <w:pPr>
                    <w:spacing w:line="240" w:lineRule="auto"/>
                    <w:jc w:val="cente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388"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爆炸极限%（V）</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5.0~14.0</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1.1~8.7</w:t>
                  </w:r>
                </w:p>
              </w:tc>
              <w:tc>
                <w:tcPr>
                  <w:tcW w:w="1481"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315" w:type="dxa"/>
                </w:tcPr>
                <w:p>
                  <w:pPr>
                    <w:spacing w:line="240" w:lineRule="auto"/>
                    <w:jc w:val="center"/>
                  </w:pPr>
                  <w:r>
                    <w:rPr>
                      <w:color w:val="000000" w:themeColor="text1"/>
                      <w:szCs w:val="21"/>
                      <w14:textFill>
                        <w14:solidFill>
                          <w14:schemeClr w14:val="tx1"/>
                        </w14:solidFill>
                      </w14:textFill>
                    </w:rPr>
                    <w:t>15.8</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388"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危险性类别</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易燃气体</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易燃液体</w:t>
                  </w:r>
                </w:p>
              </w:tc>
              <w:tc>
                <w:tcPr>
                  <w:tcW w:w="1481"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易燃液体</w:t>
                  </w:r>
                </w:p>
              </w:tc>
              <w:tc>
                <w:tcPr>
                  <w:tcW w:w="1315" w:type="dxa"/>
                </w:tcPr>
                <w:p>
                  <w:pPr>
                    <w:spacing w:line="240" w:lineRule="auto"/>
                    <w:jc w:val="cente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continue"/>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388"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燃烧爆炸危险度</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6.9</w:t>
                  </w:r>
                </w:p>
              </w:tc>
              <w:tc>
                <w:tcPr>
                  <w:tcW w:w="1481"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315" w:type="dxa"/>
                </w:tcPr>
                <w:p>
                  <w:pPr>
                    <w:spacing w:line="240" w:lineRule="auto"/>
                    <w:jc w:val="cente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continue"/>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388"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火灾危险性分类</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甲B</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丙</w:t>
                  </w:r>
                  <w:r>
                    <w:rPr>
                      <w:rFonts w:cs="Times New Roman"/>
                      <w:color w:val="000000" w:themeColor="text1"/>
                      <w:sz w:val="21"/>
                      <w:szCs w:val="21"/>
                      <w14:textFill>
                        <w14:solidFill>
                          <w14:schemeClr w14:val="tx1"/>
                        </w14:solidFill>
                      </w14:textFill>
                    </w:rPr>
                    <w:t>B</w:t>
                  </w:r>
                </w:p>
              </w:tc>
              <w:tc>
                <w:tcPr>
                  <w:tcW w:w="1481"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丙B</w:t>
                  </w:r>
                </w:p>
              </w:tc>
              <w:tc>
                <w:tcPr>
                  <w:tcW w:w="1315" w:type="dxa"/>
                </w:tcPr>
                <w:p>
                  <w:pPr>
                    <w:spacing w:line="240" w:lineRule="auto"/>
                    <w:jc w:val="cente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restart"/>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毒性</w:t>
                  </w:r>
                </w:p>
              </w:tc>
              <w:tc>
                <w:tcPr>
                  <w:tcW w:w="2388"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LD50mg/kg</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481"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315" w:type="dxa"/>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35</w:t>
                  </w:r>
                  <w:r>
                    <w:rPr>
                      <w:rFonts w:cs="Times New Roman"/>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continue"/>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388"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LC50mg/kg</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481"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315" w:type="dxa"/>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continue"/>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388"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IDLHmg/kg</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481"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315" w:type="dxa"/>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continue"/>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388"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MACmg/kg</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481"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315" w:type="dxa"/>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Merge w:val="continue"/>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2388"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毒性危害分级</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Ⅳ</w:t>
                  </w:r>
                </w:p>
              </w:tc>
              <w:tc>
                <w:tcPr>
                  <w:tcW w:w="1480"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Ⅳ</w:t>
                  </w:r>
                </w:p>
              </w:tc>
              <w:tc>
                <w:tcPr>
                  <w:tcW w:w="1481" w:type="dxa"/>
                  <w:shd w:val="clear" w:color="auto" w:fill="auto"/>
                  <w:vAlign w:val="center"/>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Ⅰ</w:t>
                  </w:r>
                </w:p>
              </w:tc>
              <w:tc>
                <w:tcPr>
                  <w:tcW w:w="1315" w:type="dxa"/>
                </w:tcPr>
                <w:p>
                  <w:pPr>
                    <w:pStyle w:val="72"/>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r>
          </w:tbl>
          <w:p>
            <w:pPr>
              <w:pStyle w:val="72"/>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Q值确定</w:t>
            </w:r>
          </w:p>
          <w:p>
            <w:pPr>
              <w:pStyle w:val="72"/>
              <w:tabs>
                <w:tab w:val="left" w:pos="380"/>
              </w:tabs>
              <w:ind w:firstLine="480"/>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计算所涉及的每种危险物质在厂界内的最大存在总量与其在</w:t>
            </w:r>
            <w:r>
              <w:rPr>
                <w:rFonts w:cs="Times New Roman"/>
                <w:color w:val="000000" w:themeColor="text1"/>
                <w14:textFill>
                  <w14:solidFill>
                    <w14:schemeClr w14:val="tx1"/>
                  </w14:solidFill>
                </w14:textFill>
              </w:rPr>
              <w:t>《建设项目环境风险评价技术导则》（HJ</w:t>
            </w: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169-2018）附录B中对应临界量比值Q。</w:t>
            </w:r>
          </w:p>
          <w:p>
            <w:pPr>
              <w:pStyle w:val="72"/>
              <w:tabs>
                <w:tab w:val="left" w:pos="380"/>
              </w:tabs>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当只涉及一种危险物质时，计算该物质的总量与其临界量比值，即为Q；</w:t>
            </w:r>
          </w:p>
          <w:p>
            <w:pPr>
              <w:pStyle w:val="72"/>
              <w:tabs>
                <w:tab w:val="left" w:pos="380"/>
              </w:tabs>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当存在多种危险物质时，则按下式计算物质总量与其临界量比值Q；</w:t>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Q=q1/Q1+q2/Q2……＋qn/Qn</w:t>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式中：q1，q2…，qn—每种危险物质的最大存在总量，t；</w:t>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Q1，Q2…，Qn—每种危险物质的临界量，t。</w:t>
            </w:r>
          </w:p>
          <w:p>
            <w:pPr>
              <w:pStyle w:val="72"/>
              <w:tabs>
                <w:tab w:val="left" w:pos="380"/>
              </w:tabs>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当Q&lt;1时，该项目环境风险潜势为</w:t>
            </w:r>
            <w:r>
              <w:rPr>
                <w:rFonts w:cs="Times New Roman"/>
                <w:color w:val="000000" w:themeColor="text1"/>
                <w:szCs w:val="24"/>
                <w14:textFill>
                  <w14:solidFill>
                    <w14:schemeClr w14:val="tx1"/>
                  </w14:solidFill>
                </w14:textFill>
              </w:rPr>
              <w:fldChar w:fldCharType="begin"/>
            </w:r>
            <w:r>
              <w:rPr>
                <w:rFonts w:cs="Times New Roman"/>
                <w:color w:val="000000" w:themeColor="text1"/>
                <w:szCs w:val="24"/>
                <w14:textFill>
                  <w14:solidFill>
                    <w14:schemeClr w14:val="tx1"/>
                  </w14:solidFill>
                </w14:textFill>
              </w:rPr>
              <w:instrText xml:space="preserve"> = 1 \* ROMAN \* MERGEFORMAT </w:instrText>
            </w:r>
            <w:r>
              <w:rPr>
                <w:rFonts w:cs="Times New Roman"/>
                <w:color w:val="000000" w:themeColor="text1"/>
                <w:szCs w:val="24"/>
                <w14:textFill>
                  <w14:solidFill>
                    <w14:schemeClr w14:val="tx1"/>
                  </w14:solidFill>
                </w14:textFill>
              </w:rPr>
              <w:fldChar w:fldCharType="separate"/>
            </w:r>
            <w:r>
              <w:rPr>
                <w:rFonts w:cs="Times New Roman"/>
                <w:color w:val="000000" w:themeColor="text1"/>
                <w:szCs w:val="24"/>
                <w14:textFill>
                  <w14:solidFill>
                    <w14:schemeClr w14:val="tx1"/>
                  </w14:solidFill>
                </w14:textFill>
              </w:rPr>
              <w:t>I</w:t>
            </w:r>
            <w:r>
              <w:rPr>
                <w:rFonts w:cs="Times New Roman"/>
                <w:color w:val="000000" w:themeColor="text1"/>
                <w:szCs w:val="24"/>
                <w14:textFill>
                  <w14:solidFill>
                    <w14:schemeClr w14:val="tx1"/>
                  </w14:solidFill>
                </w14:textFill>
              </w:rPr>
              <w:fldChar w:fldCharType="end"/>
            </w:r>
            <w:r>
              <w:rPr>
                <w:rFonts w:cs="Times New Roman"/>
                <w:color w:val="000000" w:themeColor="text1"/>
                <w:szCs w:val="24"/>
                <w14:textFill>
                  <w14:solidFill>
                    <w14:schemeClr w14:val="tx1"/>
                  </w14:solidFill>
                </w14:textFill>
              </w:rPr>
              <w:t>。</w:t>
            </w:r>
          </w:p>
          <w:p>
            <w:pPr>
              <w:pStyle w:val="72"/>
              <w:tabs>
                <w:tab w:val="left" w:pos="380"/>
              </w:tabs>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当Q≥1时，将Q值划分为：（1）1≤Q&lt;10；（2）10≤Q&lt;100；（3）Q≥100</w:t>
            </w:r>
            <w:r>
              <w:rPr>
                <w:rFonts w:hint="eastAsia" w:cs="Times New Roman"/>
                <w:color w:val="000000" w:themeColor="text1"/>
                <w14:textFill>
                  <w14:solidFill>
                    <w14:schemeClr w14:val="tx1"/>
                  </w14:solidFill>
                </w14:textFill>
              </w:rPr>
              <w:t>。</w:t>
            </w:r>
          </w:p>
          <w:p>
            <w:pPr>
              <w:pStyle w:val="72"/>
              <w:tabs>
                <w:tab w:val="left" w:pos="380"/>
              </w:tabs>
              <w:ind w:firstLine="480"/>
              <w:rPr>
                <w:rFonts w:cs="Times New Roman"/>
                <w:color w:val="000000" w:themeColor="text1"/>
                <w14:textFill>
                  <w14:solidFill>
                    <w14:schemeClr w14:val="tx1"/>
                  </w14:solidFill>
                </w14:textFill>
              </w:rPr>
            </w:pPr>
            <w:r>
              <w:rPr>
                <w:rFonts w:hint="eastAsia" w:cs="Times New Roman"/>
                <w:color w:val="FF0000"/>
              </w:rPr>
              <w:t>项目储油罐区共有5个</w:t>
            </w:r>
            <w:r>
              <w:rPr>
                <w:rFonts w:cs="Times New Roman"/>
                <w:color w:val="FF0000"/>
              </w:rPr>
              <w:t>400</w:t>
            </w:r>
            <w:r>
              <w:rPr>
                <w:rFonts w:hint="eastAsia" w:cs="Times New Roman"/>
                <w:color w:val="FF0000"/>
              </w:rPr>
              <w:t>m</w:t>
            </w:r>
            <w:r>
              <w:rPr>
                <w:rFonts w:cs="Times New Roman"/>
                <w:color w:val="FF0000"/>
                <w:vertAlign w:val="superscript"/>
              </w:rPr>
              <w:t>3</w:t>
            </w:r>
            <w:r>
              <w:rPr>
                <w:rFonts w:hint="eastAsia" w:cs="Times New Roman"/>
                <w:color w:val="FF0000"/>
              </w:rPr>
              <w:t>的裂解油存储罐（裂解油密度0.</w:t>
            </w:r>
            <w:r>
              <w:rPr>
                <w:rFonts w:cs="Times New Roman"/>
                <w:color w:val="FF0000"/>
              </w:rPr>
              <w:t>918</w:t>
            </w:r>
            <w:r>
              <w:rPr>
                <w:rFonts w:hint="eastAsia" w:cs="Times New Roman"/>
                <w:color w:val="FF0000"/>
              </w:rPr>
              <w:t>kg</w:t>
            </w:r>
            <w:r>
              <w:rPr>
                <w:rFonts w:cs="Times New Roman"/>
                <w:color w:val="FF0000"/>
              </w:rPr>
              <w:t>/L</w:t>
            </w:r>
            <w:r>
              <w:rPr>
                <w:rFonts w:hint="eastAsia" w:cs="Times New Roman"/>
                <w:color w:val="FF0000"/>
              </w:rPr>
              <w:t>，充装系数按0.</w:t>
            </w:r>
            <w:r>
              <w:rPr>
                <w:rFonts w:cs="Times New Roman"/>
                <w:color w:val="FF0000"/>
              </w:rPr>
              <w:t>85</w:t>
            </w:r>
            <w:r>
              <w:rPr>
                <w:rFonts w:hint="eastAsia" w:cs="Times New Roman"/>
                <w:color w:val="FF0000"/>
              </w:rPr>
              <w:t>计，总储存能力为</w:t>
            </w:r>
            <w:r>
              <w:rPr>
                <w:rFonts w:cs="Times New Roman"/>
                <w:color w:val="FF0000"/>
              </w:rPr>
              <w:t>1560.6</w:t>
            </w:r>
            <w:r>
              <w:rPr>
                <w:rFonts w:hint="eastAsia" w:cs="Times New Roman"/>
                <w:color w:val="FF0000"/>
              </w:rPr>
              <w:t>t），5</w:t>
            </w:r>
            <w:r>
              <w:rPr>
                <w:rFonts w:cs="Times New Roman"/>
                <w:color w:val="FF0000"/>
              </w:rPr>
              <w:t>0</w:t>
            </w:r>
            <w:r>
              <w:rPr>
                <w:rFonts w:hint="eastAsia" w:cs="Times New Roman"/>
                <w:color w:val="FF0000"/>
              </w:rPr>
              <w:t>个2</w:t>
            </w:r>
            <w:r>
              <w:rPr>
                <w:rFonts w:cs="Times New Roman"/>
                <w:color w:val="FF0000"/>
              </w:rPr>
              <w:t>.8</w:t>
            </w:r>
            <w:r>
              <w:rPr>
                <w:rFonts w:hint="eastAsia" w:cs="Times New Roman"/>
                <w:color w:val="FF0000"/>
              </w:rPr>
              <w:t>m</w:t>
            </w:r>
            <w:r>
              <w:rPr>
                <w:rFonts w:cs="Times New Roman"/>
                <w:color w:val="FF0000"/>
                <w:vertAlign w:val="superscript"/>
              </w:rPr>
              <w:t>3</w:t>
            </w:r>
            <w:r>
              <w:rPr>
                <w:rFonts w:hint="eastAsia" w:cs="Times New Roman"/>
                <w:color w:val="FF0000"/>
              </w:rPr>
              <w:t>裂解油暂存罐（总储存能力为1</w:t>
            </w:r>
            <w:r>
              <w:rPr>
                <w:rFonts w:cs="Times New Roman"/>
                <w:color w:val="FF0000"/>
              </w:rPr>
              <w:t>28.52</w:t>
            </w:r>
            <w:r>
              <w:rPr>
                <w:rFonts w:hint="eastAsia" w:cs="Times New Roman"/>
                <w:color w:val="FF0000"/>
              </w:rPr>
              <w:t>t）；项目不凝气直接用于燃烧炉燃烧，不储存。</w:t>
            </w:r>
            <w:r>
              <w:rPr>
                <w:rFonts w:cs="Times New Roman"/>
                <w:color w:val="000000" w:themeColor="text1"/>
                <w14:textFill>
                  <w14:solidFill>
                    <w14:schemeClr w14:val="tx1"/>
                  </w14:solidFill>
                </w14:textFill>
              </w:rPr>
              <w:t>项目Q值确定表见表4.2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30。</w:t>
            </w:r>
          </w:p>
          <w:p>
            <w:pPr>
              <w:autoSpaceDE w:val="0"/>
              <w:autoSpaceDN w:val="0"/>
              <w:adjustRightInd w:val="0"/>
              <w:spacing w:line="240" w:lineRule="auto"/>
              <w:jc w:val="center"/>
              <w:textAlignment w:val="baseline"/>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30  项目Q值确定表</w:t>
            </w:r>
          </w:p>
          <w:tbl>
            <w:tblPr>
              <w:tblStyle w:val="36"/>
              <w:tblW w:w="871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54"/>
              <w:gridCol w:w="2693"/>
              <w:gridCol w:w="2170"/>
              <w:gridCol w:w="1393"/>
              <w:gridCol w:w="17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754" w:type="dxa"/>
                  <w:vAlign w:val="center"/>
                </w:tcPr>
                <w:p>
                  <w:pPr>
                    <w:pStyle w:val="72"/>
                    <w:spacing w:line="240" w:lineRule="auto"/>
                    <w:ind w:firstLine="0" w:firstLineChars="0"/>
                    <w:jc w:val="center"/>
                    <w:rPr>
                      <w:rFonts w:cs="Times New Roman"/>
                      <w:b/>
                      <w:bCs/>
                      <w:color w:val="FF0000"/>
                      <w:sz w:val="21"/>
                      <w:szCs w:val="21"/>
                    </w:rPr>
                  </w:pPr>
                  <w:r>
                    <w:rPr>
                      <w:rFonts w:cs="Times New Roman"/>
                      <w:b/>
                      <w:bCs/>
                      <w:color w:val="FF0000"/>
                      <w:sz w:val="21"/>
                      <w:szCs w:val="21"/>
                    </w:rPr>
                    <w:t>序号</w:t>
                  </w:r>
                </w:p>
              </w:tc>
              <w:tc>
                <w:tcPr>
                  <w:tcW w:w="2693" w:type="dxa"/>
                  <w:vAlign w:val="center"/>
                </w:tcPr>
                <w:p>
                  <w:pPr>
                    <w:pStyle w:val="72"/>
                    <w:spacing w:line="240" w:lineRule="auto"/>
                    <w:ind w:firstLine="0" w:firstLineChars="0"/>
                    <w:jc w:val="center"/>
                    <w:rPr>
                      <w:rFonts w:cs="Times New Roman"/>
                      <w:b/>
                      <w:bCs/>
                      <w:color w:val="FF0000"/>
                      <w:sz w:val="21"/>
                      <w:szCs w:val="21"/>
                    </w:rPr>
                  </w:pPr>
                  <w:r>
                    <w:rPr>
                      <w:rFonts w:cs="Times New Roman"/>
                      <w:b/>
                      <w:bCs/>
                      <w:color w:val="FF0000"/>
                      <w:sz w:val="21"/>
                      <w:szCs w:val="21"/>
                    </w:rPr>
                    <w:t>危险物质名称</w:t>
                  </w:r>
                </w:p>
              </w:tc>
              <w:tc>
                <w:tcPr>
                  <w:tcW w:w="2170" w:type="dxa"/>
                  <w:vAlign w:val="center"/>
                </w:tcPr>
                <w:p>
                  <w:pPr>
                    <w:pStyle w:val="72"/>
                    <w:spacing w:line="240" w:lineRule="auto"/>
                    <w:ind w:firstLine="0" w:firstLineChars="0"/>
                    <w:jc w:val="center"/>
                    <w:rPr>
                      <w:rFonts w:cs="Times New Roman"/>
                      <w:b/>
                      <w:bCs/>
                      <w:color w:val="FF0000"/>
                      <w:sz w:val="21"/>
                      <w:szCs w:val="21"/>
                    </w:rPr>
                  </w:pPr>
                  <w:r>
                    <w:rPr>
                      <w:rFonts w:cs="Times New Roman"/>
                      <w:b/>
                      <w:bCs/>
                      <w:color w:val="FF0000"/>
                      <w:sz w:val="21"/>
                      <w:szCs w:val="21"/>
                    </w:rPr>
                    <w:t>最大存在总量q</w:t>
                  </w:r>
                  <w:r>
                    <w:rPr>
                      <w:rFonts w:cs="Times New Roman"/>
                      <w:b/>
                      <w:bCs/>
                      <w:color w:val="FF0000"/>
                      <w:sz w:val="21"/>
                      <w:szCs w:val="21"/>
                      <w:vertAlign w:val="subscript"/>
                    </w:rPr>
                    <w:t>n</w:t>
                  </w:r>
                  <w:r>
                    <w:rPr>
                      <w:rFonts w:cs="Times New Roman"/>
                      <w:b/>
                      <w:bCs/>
                      <w:color w:val="FF0000"/>
                      <w:sz w:val="21"/>
                      <w:szCs w:val="21"/>
                    </w:rPr>
                    <w:t>/t</w:t>
                  </w:r>
                </w:p>
              </w:tc>
              <w:tc>
                <w:tcPr>
                  <w:tcW w:w="1393" w:type="dxa"/>
                  <w:vAlign w:val="center"/>
                </w:tcPr>
                <w:p>
                  <w:pPr>
                    <w:pStyle w:val="72"/>
                    <w:spacing w:line="240" w:lineRule="auto"/>
                    <w:ind w:firstLine="0" w:firstLineChars="0"/>
                    <w:jc w:val="center"/>
                    <w:rPr>
                      <w:rFonts w:cs="Times New Roman"/>
                      <w:b/>
                      <w:bCs/>
                      <w:color w:val="FF0000"/>
                      <w:sz w:val="21"/>
                      <w:szCs w:val="21"/>
                    </w:rPr>
                  </w:pPr>
                  <w:r>
                    <w:rPr>
                      <w:rFonts w:cs="Times New Roman"/>
                      <w:b/>
                      <w:bCs/>
                      <w:color w:val="FF0000"/>
                      <w:sz w:val="21"/>
                      <w:szCs w:val="21"/>
                    </w:rPr>
                    <w:t>临界量Q</w:t>
                  </w:r>
                  <w:r>
                    <w:rPr>
                      <w:rFonts w:cs="Times New Roman"/>
                      <w:b/>
                      <w:bCs/>
                      <w:color w:val="FF0000"/>
                      <w:sz w:val="21"/>
                      <w:szCs w:val="21"/>
                      <w:vertAlign w:val="subscript"/>
                    </w:rPr>
                    <w:t>n</w:t>
                  </w:r>
                  <w:r>
                    <w:rPr>
                      <w:rFonts w:cs="Times New Roman"/>
                      <w:b/>
                      <w:bCs/>
                      <w:color w:val="FF0000"/>
                      <w:sz w:val="21"/>
                      <w:szCs w:val="21"/>
                    </w:rPr>
                    <w:t>/t</w:t>
                  </w:r>
                </w:p>
              </w:tc>
              <w:tc>
                <w:tcPr>
                  <w:tcW w:w="1706" w:type="dxa"/>
                  <w:vAlign w:val="center"/>
                </w:tcPr>
                <w:p>
                  <w:pPr>
                    <w:pStyle w:val="72"/>
                    <w:spacing w:line="240" w:lineRule="auto"/>
                    <w:ind w:firstLine="0" w:firstLineChars="0"/>
                    <w:jc w:val="center"/>
                    <w:rPr>
                      <w:rFonts w:cs="Times New Roman"/>
                      <w:b/>
                      <w:bCs/>
                      <w:color w:val="FF0000"/>
                      <w:sz w:val="21"/>
                      <w:szCs w:val="21"/>
                    </w:rPr>
                  </w:pPr>
                  <w:r>
                    <w:rPr>
                      <w:rFonts w:cs="Times New Roman"/>
                      <w:b/>
                      <w:bCs/>
                      <w:color w:val="FF0000"/>
                      <w:sz w:val="21"/>
                      <w:szCs w:val="21"/>
                    </w:rPr>
                    <w:t>该危险物质Q值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54" w:type="dxa"/>
                  <w:vAlign w:val="center"/>
                </w:tcPr>
                <w:p>
                  <w:pPr>
                    <w:pStyle w:val="72"/>
                    <w:spacing w:line="240" w:lineRule="auto"/>
                    <w:ind w:firstLine="0" w:firstLineChars="0"/>
                    <w:jc w:val="center"/>
                    <w:rPr>
                      <w:rFonts w:cs="Times New Roman"/>
                      <w:bCs/>
                      <w:color w:val="FF0000"/>
                      <w:sz w:val="21"/>
                      <w:szCs w:val="21"/>
                    </w:rPr>
                  </w:pPr>
                  <w:r>
                    <w:rPr>
                      <w:rFonts w:cs="Times New Roman"/>
                      <w:bCs/>
                      <w:color w:val="FF0000"/>
                      <w:sz w:val="21"/>
                      <w:szCs w:val="21"/>
                    </w:rPr>
                    <w:t>1</w:t>
                  </w:r>
                </w:p>
              </w:tc>
              <w:tc>
                <w:tcPr>
                  <w:tcW w:w="2693" w:type="dxa"/>
                  <w:vAlign w:val="center"/>
                </w:tcPr>
                <w:p>
                  <w:pPr>
                    <w:pStyle w:val="72"/>
                    <w:spacing w:line="240" w:lineRule="auto"/>
                    <w:ind w:firstLine="0" w:firstLineChars="0"/>
                    <w:jc w:val="center"/>
                    <w:rPr>
                      <w:rFonts w:cs="Times New Roman"/>
                      <w:bCs/>
                      <w:color w:val="FF0000"/>
                      <w:sz w:val="21"/>
                      <w:szCs w:val="21"/>
                    </w:rPr>
                  </w:pPr>
                  <w:r>
                    <w:rPr>
                      <w:rFonts w:hint="eastAsia" w:cs="Times New Roman"/>
                      <w:bCs/>
                      <w:color w:val="FF0000"/>
                      <w:sz w:val="21"/>
                      <w:szCs w:val="21"/>
                    </w:rPr>
                    <w:t>裂解油（按矿物油计）</w:t>
                  </w:r>
                </w:p>
              </w:tc>
              <w:tc>
                <w:tcPr>
                  <w:tcW w:w="2170" w:type="dxa"/>
                  <w:vAlign w:val="center"/>
                </w:tcPr>
                <w:p>
                  <w:pPr>
                    <w:pStyle w:val="72"/>
                    <w:spacing w:line="240" w:lineRule="auto"/>
                    <w:ind w:firstLine="0" w:firstLineChars="0"/>
                    <w:jc w:val="center"/>
                    <w:rPr>
                      <w:rFonts w:cs="Times New Roman"/>
                      <w:bCs/>
                      <w:color w:val="FF0000"/>
                      <w:sz w:val="21"/>
                      <w:szCs w:val="21"/>
                    </w:rPr>
                  </w:pPr>
                  <w:r>
                    <w:rPr>
                      <w:rFonts w:cs="Times New Roman"/>
                      <w:bCs/>
                      <w:color w:val="FF0000"/>
                      <w:sz w:val="21"/>
                      <w:szCs w:val="21"/>
                    </w:rPr>
                    <w:t>1689.12</w:t>
                  </w:r>
                </w:p>
              </w:tc>
              <w:tc>
                <w:tcPr>
                  <w:tcW w:w="1393" w:type="dxa"/>
                  <w:vAlign w:val="center"/>
                </w:tcPr>
                <w:p>
                  <w:pPr>
                    <w:pStyle w:val="72"/>
                    <w:spacing w:line="240" w:lineRule="auto"/>
                    <w:ind w:firstLine="0" w:firstLineChars="0"/>
                    <w:jc w:val="center"/>
                    <w:rPr>
                      <w:rFonts w:cs="Times New Roman"/>
                      <w:bCs/>
                      <w:color w:val="FF0000"/>
                      <w:sz w:val="21"/>
                      <w:szCs w:val="21"/>
                    </w:rPr>
                  </w:pPr>
                  <w:r>
                    <w:rPr>
                      <w:rFonts w:cs="Times New Roman"/>
                      <w:bCs/>
                      <w:color w:val="FF0000"/>
                      <w:sz w:val="21"/>
                      <w:szCs w:val="21"/>
                    </w:rPr>
                    <w:t>2500</w:t>
                  </w:r>
                </w:p>
              </w:tc>
              <w:tc>
                <w:tcPr>
                  <w:tcW w:w="1706" w:type="dxa"/>
                  <w:vAlign w:val="center"/>
                </w:tcPr>
                <w:p>
                  <w:pPr>
                    <w:pStyle w:val="72"/>
                    <w:spacing w:line="240" w:lineRule="auto"/>
                    <w:ind w:firstLine="0" w:firstLineChars="0"/>
                    <w:jc w:val="center"/>
                    <w:rPr>
                      <w:rFonts w:cs="Times New Roman"/>
                      <w:bCs/>
                      <w:color w:val="FF0000"/>
                      <w:sz w:val="21"/>
                      <w:szCs w:val="21"/>
                    </w:rPr>
                  </w:pPr>
                  <w:r>
                    <w:rPr>
                      <w:rFonts w:cs="Times New Roman"/>
                      <w:bCs/>
                      <w:color w:val="FF0000"/>
                      <w:sz w:val="21"/>
                      <w:szCs w:val="21"/>
                    </w:rPr>
                    <w:t>0.675648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54" w:type="dxa"/>
                  <w:vAlign w:val="center"/>
                </w:tcPr>
                <w:p>
                  <w:pPr>
                    <w:pStyle w:val="72"/>
                    <w:spacing w:line="240" w:lineRule="auto"/>
                    <w:ind w:firstLine="0" w:firstLineChars="0"/>
                    <w:jc w:val="center"/>
                    <w:rPr>
                      <w:rFonts w:cs="Times New Roman"/>
                      <w:bCs/>
                      <w:color w:val="FF0000"/>
                      <w:sz w:val="21"/>
                      <w:szCs w:val="21"/>
                    </w:rPr>
                  </w:pPr>
                  <w:r>
                    <w:rPr>
                      <w:rFonts w:hint="eastAsia" w:cs="Times New Roman"/>
                      <w:bCs/>
                      <w:color w:val="FF0000"/>
                      <w:sz w:val="21"/>
                      <w:szCs w:val="21"/>
                    </w:rPr>
                    <w:t>2</w:t>
                  </w:r>
                </w:p>
              </w:tc>
              <w:tc>
                <w:tcPr>
                  <w:tcW w:w="2693" w:type="dxa"/>
                  <w:vAlign w:val="center"/>
                </w:tcPr>
                <w:p>
                  <w:pPr>
                    <w:pStyle w:val="72"/>
                    <w:spacing w:line="240" w:lineRule="auto"/>
                    <w:ind w:firstLine="0" w:firstLineChars="0"/>
                    <w:jc w:val="center"/>
                    <w:rPr>
                      <w:rFonts w:cs="Times New Roman"/>
                      <w:bCs/>
                      <w:color w:val="FF0000"/>
                      <w:sz w:val="21"/>
                      <w:szCs w:val="21"/>
                    </w:rPr>
                  </w:pPr>
                  <w:r>
                    <w:rPr>
                      <w:rFonts w:hint="eastAsia" w:cs="Times New Roman"/>
                      <w:bCs/>
                      <w:color w:val="FF0000"/>
                      <w:sz w:val="21"/>
                      <w:szCs w:val="21"/>
                    </w:rPr>
                    <w:t>不凝气</w:t>
                  </w:r>
                </w:p>
              </w:tc>
              <w:tc>
                <w:tcPr>
                  <w:tcW w:w="2170" w:type="dxa"/>
                  <w:vAlign w:val="center"/>
                </w:tcPr>
                <w:p>
                  <w:pPr>
                    <w:pStyle w:val="72"/>
                    <w:spacing w:line="240" w:lineRule="auto"/>
                    <w:ind w:firstLine="0" w:firstLineChars="0"/>
                    <w:jc w:val="center"/>
                    <w:rPr>
                      <w:rFonts w:cs="Times New Roman"/>
                      <w:bCs/>
                      <w:color w:val="FF0000"/>
                      <w:sz w:val="21"/>
                      <w:szCs w:val="21"/>
                    </w:rPr>
                  </w:pPr>
                  <w:r>
                    <w:rPr>
                      <w:rFonts w:cs="Times New Roman"/>
                      <w:bCs/>
                      <w:color w:val="FF0000"/>
                      <w:sz w:val="21"/>
                      <w:szCs w:val="21"/>
                    </w:rPr>
                    <w:t>0</w:t>
                  </w:r>
                </w:p>
              </w:tc>
              <w:tc>
                <w:tcPr>
                  <w:tcW w:w="1393" w:type="dxa"/>
                  <w:vAlign w:val="center"/>
                </w:tcPr>
                <w:p>
                  <w:pPr>
                    <w:pStyle w:val="72"/>
                    <w:spacing w:line="240" w:lineRule="auto"/>
                    <w:ind w:firstLine="0" w:firstLineChars="0"/>
                    <w:jc w:val="center"/>
                    <w:rPr>
                      <w:rFonts w:cs="Times New Roman"/>
                      <w:bCs/>
                      <w:color w:val="FF0000"/>
                      <w:sz w:val="21"/>
                      <w:szCs w:val="21"/>
                    </w:rPr>
                  </w:pPr>
                  <w:r>
                    <w:rPr>
                      <w:rFonts w:cs="Times New Roman"/>
                      <w:bCs/>
                      <w:color w:val="FF0000"/>
                      <w:sz w:val="21"/>
                      <w:szCs w:val="21"/>
                    </w:rPr>
                    <w:t>10</w:t>
                  </w:r>
                </w:p>
              </w:tc>
              <w:tc>
                <w:tcPr>
                  <w:tcW w:w="1706" w:type="dxa"/>
                  <w:vAlign w:val="center"/>
                </w:tcPr>
                <w:p>
                  <w:pPr>
                    <w:pStyle w:val="72"/>
                    <w:spacing w:line="240" w:lineRule="auto"/>
                    <w:ind w:firstLine="0" w:firstLineChars="0"/>
                    <w:jc w:val="center"/>
                    <w:rPr>
                      <w:rFonts w:cs="Times New Roman"/>
                      <w:bCs/>
                      <w:color w:val="FF0000"/>
                      <w:sz w:val="21"/>
                      <w:szCs w:val="21"/>
                    </w:rPr>
                  </w:pPr>
                  <w:r>
                    <w:rPr>
                      <w:rFonts w:hint="eastAsia" w:cs="Times New Roman"/>
                      <w:bCs/>
                      <w:color w:val="FF0000"/>
                      <w:sz w:val="21"/>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54" w:type="dxa"/>
                  <w:vAlign w:val="center"/>
                </w:tcPr>
                <w:p>
                  <w:pPr>
                    <w:pStyle w:val="72"/>
                    <w:spacing w:line="240" w:lineRule="auto"/>
                    <w:ind w:firstLine="0" w:firstLineChars="0"/>
                    <w:jc w:val="center"/>
                    <w:rPr>
                      <w:rFonts w:cs="Times New Roman"/>
                      <w:bCs/>
                      <w:color w:val="FF0000"/>
                      <w:sz w:val="21"/>
                      <w:szCs w:val="21"/>
                    </w:rPr>
                  </w:pPr>
                  <w:r>
                    <w:rPr>
                      <w:rFonts w:hint="eastAsia" w:cs="Times New Roman"/>
                      <w:bCs/>
                      <w:color w:val="FF0000"/>
                      <w:sz w:val="21"/>
                      <w:szCs w:val="21"/>
                    </w:rPr>
                    <w:t>3</w:t>
                  </w:r>
                </w:p>
              </w:tc>
              <w:tc>
                <w:tcPr>
                  <w:tcW w:w="2693" w:type="dxa"/>
                  <w:vAlign w:val="center"/>
                </w:tcPr>
                <w:p>
                  <w:pPr>
                    <w:pStyle w:val="72"/>
                    <w:spacing w:line="240" w:lineRule="auto"/>
                    <w:ind w:firstLine="0" w:firstLineChars="0"/>
                    <w:jc w:val="center"/>
                    <w:rPr>
                      <w:rFonts w:cs="Times New Roman"/>
                      <w:bCs/>
                      <w:color w:val="FF0000"/>
                      <w:sz w:val="21"/>
                      <w:szCs w:val="21"/>
                    </w:rPr>
                  </w:pPr>
                  <w:r>
                    <w:rPr>
                      <w:rFonts w:hint="eastAsia" w:cs="Times New Roman"/>
                      <w:bCs/>
                      <w:color w:val="FF0000"/>
                      <w:sz w:val="21"/>
                      <w:szCs w:val="21"/>
                    </w:rPr>
                    <w:t>润滑油</w:t>
                  </w:r>
                </w:p>
              </w:tc>
              <w:tc>
                <w:tcPr>
                  <w:tcW w:w="2170" w:type="dxa"/>
                  <w:vAlign w:val="center"/>
                </w:tcPr>
                <w:p>
                  <w:pPr>
                    <w:pStyle w:val="72"/>
                    <w:spacing w:line="240" w:lineRule="auto"/>
                    <w:ind w:firstLine="0" w:firstLineChars="0"/>
                    <w:jc w:val="center"/>
                    <w:rPr>
                      <w:rFonts w:cs="Times New Roman"/>
                      <w:bCs/>
                      <w:color w:val="FF0000"/>
                      <w:sz w:val="21"/>
                      <w:szCs w:val="21"/>
                    </w:rPr>
                  </w:pPr>
                  <w:r>
                    <w:rPr>
                      <w:rFonts w:cs="Times New Roman"/>
                      <w:bCs/>
                      <w:color w:val="FF0000"/>
                      <w:sz w:val="21"/>
                      <w:szCs w:val="21"/>
                    </w:rPr>
                    <w:t>0.045</w:t>
                  </w:r>
                </w:p>
              </w:tc>
              <w:tc>
                <w:tcPr>
                  <w:tcW w:w="1393" w:type="dxa"/>
                  <w:vAlign w:val="center"/>
                </w:tcPr>
                <w:p>
                  <w:pPr>
                    <w:pStyle w:val="72"/>
                    <w:spacing w:line="240" w:lineRule="auto"/>
                    <w:ind w:firstLine="0" w:firstLineChars="0"/>
                    <w:jc w:val="center"/>
                    <w:rPr>
                      <w:rFonts w:cs="Times New Roman"/>
                      <w:bCs/>
                      <w:color w:val="FF0000"/>
                      <w:sz w:val="21"/>
                      <w:szCs w:val="21"/>
                    </w:rPr>
                  </w:pPr>
                  <w:r>
                    <w:rPr>
                      <w:rFonts w:hint="eastAsia" w:cs="Times New Roman"/>
                      <w:bCs/>
                      <w:color w:val="FF0000"/>
                      <w:sz w:val="21"/>
                      <w:szCs w:val="21"/>
                    </w:rPr>
                    <w:t>2500</w:t>
                  </w:r>
                </w:p>
              </w:tc>
              <w:tc>
                <w:tcPr>
                  <w:tcW w:w="1706" w:type="dxa"/>
                  <w:vAlign w:val="center"/>
                </w:tcPr>
                <w:p>
                  <w:pPr>
                    <w:pStyle w:val="72"/>
                    <w:spacing w:line="240" w:lineRule="auto"/>
                    <w:ind w:firstLine="0" w:firstLineChars="0"/>
                    <w:jc w:val="center"/>
                    <w:rPr>
                      <w:rFonts w:cs="Times New Roman"/>
                      <w:bCs/>
                      <w:color w:val="FF0000"/>
                      <w:sz w:val="21"/>
                      <w:szCs w:val="21"/>
                    </w:rPr>
                  </w:pPr>
                  <w:r>
                    <w:rPr>
                      <w:rFonts w:hint="eastAsia" w:cs="Times New Roman"/>
                      <w:bCs/>
                      <w:color w:val="FF0000"/>
                      <w:sz w:val="21"/>
                      <w:szCs w:val="21"/>
                    </w:rPr>
                    <w:t>0</w:t>
                  </w:r>
                  <w:r>
                    <w:rPr>
                      <w:rFonts w:cs="Times New Roman"/>
                      <w:bCs/>
                      <w:color w:val="FF0000"/>
                      <w:sz w:val="21"/>
                      <w:szCs w:val="21"/>
                    </w:rPr>
                    <w:t>.000018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754" w:type="dxa"/>
                  <w:vAlign w:val="center"/>
                </w:tcPr>
                <w:p>
                  <w:pPr>
                    <w:pStyle w:val="72"/>
                    <w:spacing w:line="240" w:lineRule="auto"/>
                    <w:ind w:firstLine="0" w:firstLineChars="0"/>
                    <w:jc w:val="center"/>
                    <w:rPr>
                      <w:rFonts w:cs="Times New Roman"/>
                      <w:bCs/>
                      <w:color w:val="FF0000"/>
                      <w:sz w:val="21"/>
                      <w:szCs w:val="21"/>
                    </w:rPr>
                  </w:pPr>
                  <w:r>
                    <w:rPr>
                      <w:rFonts w:hint="eastAsia" w:cs="Times New Roman"/>
                      <w:bCs/>
                      <w:color w:val="FF0000"/>
                      <w:sz w:val="21"/>
                      <w:szCs w:val="21"/>
                    </w:rPr>
                    <w:t>4</w:t>
                  </w:r>
                </w:p>
              </w:tc>
              <w:tc>
                <w:tcPr>
                  <w:tcW w:w="2693" w:type="dxa"/>
                  <w:vAlign w:val="center"/>
                </w:tcPr>
                <w:p>
                  <w:pPr>
                    <w:pStyle w:val="72"/>
                    <w:spacing w:line="240" w:lineRule="auto"/>
                    <w:ind w:firstLine="0" w:firstLineChars="0"/>
                    <w:jc w:val="center"/>
                    <w:rPr>
                      <w:rFonts w:cs="Times New Roman"/>
                      <w:bCs/>
                      <w:color w:val="FF0000"/>
                      <w:sz w:val="21"/>
                      <w:szCs w:val="21"/>
                    </w:rPr>
                  </w:pPr>
                  <w:r>
                    <w:rPr>
                      <w:rFonts w:hint="eastAsia" w:cs="Times New Roman"/>
                      <w:bCs/>
                      <w:color w:val="FF0000"/>
                      <w:sz w:val="21"/>
                      <w:szCs w:val="21"/>
                    </w:rPr>
                    <w:t>氨水（18%）</w:t>
                  </w:r>
                </w:p>
              </w:tc>
              <w:tc>
                <w:tcPr>
                  <w:tcW w:w="2170" w:type="dxa"/>
                  <w:vAlign w:val="center"/>
                </w:tcPr>
                <w:p>
                  <w:pPr>
                    <w:pStyle w:val="72"/>
                    <w:spacing w:line="240" w:lineRule="auto"/>
                    <w:ind w:firstLine="0" w:firstLineChars="0"/>
                    <w:jc w:val="center"/>
                    <w:rPr>
                      <w:rFonts w:cs="Times New Roman"/>
                      <w:bCs/>
                      <w:color w:val="FF0000"/>
                      <w:sz w:val="21"/>
                      <w:szCs w:val="21"/>
                    </w:rPr>
                  </w:pPr>
                  <w:r>
                    <w:rPr>
                      <w:rFonts w:cs="Times New Roman"/>
                      <w:bCs/>
                      <w:color w:val="FF0000"/>
                      <w:sz w:val="21"/>
                      <w:szCs w:val="21"/>
                    </w:rPr>
                    <w:t>0.41805</w:t>
                  </w:r>
                </w:p>
              </w:tc>
              <w:tc>
                <w:tcPr>
                  <w:tcW w:w="1393" w:type="dxa"/>
                  <w:vAlign w:val="center"/>
                </w:tcPr>
                <w:p>
                  <w:pPr>
                    <w:pStyle w:val="72"/>
                    <w:spacing w:line="240" w:lineRule="auto"/>
                    <w:ind w:firstLine="0" w:firstLineChars="0"/>
                    <w:jc w:val="center"/>
                    <w:rPr>
                      <w:rFonts w:cs="Times New Roman"/>
                      <w:bCs/>
                      <w:color w:val="FF0000"/>
                      <w:sz w:val="21"/>
                      <w:szCs w:val="21"/>
                    </w:rPr>
                  </w:pPr>
                  <w:r>
                    <w:rPr>
                      <w:rFonts w:hint="eastAsia" w:cs="Times New Roman"/>
                      <w:bCs/>
                      <w:color w:val="FF0000"/>
                      <w:sz w:val="21"/>
                      <w:szCs w:val="21"/>
                    </w:rPr>
                    <w:t>10（氨水浓度≥20%）</w:t>
                  </w:r>
                </w:p>
              </w:tc>
              <w:tc>
                <w:tcPr>
                  <w:tcW w:w="1706" w:type="dxa"/>
                  <w:vAlign w:val="center"/>
                </w:tcPr>
                <w:p>
                  <w:pPr>
                    <w:pStyle w:val="72"/>
                    <w:spacing w:line="240" w:lineRule="auto"/>
                    <w:ind w:firstLine="0" w:firstLineChars="0"/>
                    <w:jc w:val="center"/>
                    <w:rPr>
                      <w:rFonts w:cs="Times New Roman"/>
                      <w:bCs/>
                      <w:color w:val="FF0000"/>
                      <w:sz w:val="21"/>
                      <w:szCs w:val="21"/>
                    </w:rPr>
                  </w:pPr>
                  <w:r>
                    <w:rPr>
                      <w:rFonts w:cs="Times New Roman"/>
                      <w:bCs/>
                      <w:color w:val="FF0000"/>
                      <w:sz w:val="21"/>
                      <w:szCs w:val="21"/>
                    </w:rPr>
                    <w:t>0.041805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54" w:type="dxa"/>
                  <w:vAlign w:val="center"/>
                </w:tcPr>
                <w:p>
                  <w:pPr>
                    <w:pStyle w:val="72"/>
                    <w:spacing w:line="240" w:lineRule="auto"/>
                    <w:ind w:firstLine="0" w:firstLineChars="0"/>
                    <w:jc w:val="center"/>
                    <w:rPr>
                      <w:rFonts w:cs="Times New Roman"/>
                      <w:bCs/>
                      <w:color w:val="FF0000"/>
                      <w:sz w:val="21"/>
                      <w:szCs w:val="21"/>
                    </w:rPr>
                  </w:pPr>
                  <w:r>
                    <w:rPr>
                      <w:rFonts w:hint="eastAsia" w:cs="Times New Roman"/>
                      <w:bCs/>
                      <w:color w:val="FF0000"/>
                      <w:sz w:val="21"/>
                      <w:szCs w:val="21"/>
                    </w:rPr>
                    <w:t>5</w:t>
                  </w:r>
                </w:p>
              </w:tc>
              <w:tc>
                <w:tcPr>
                  <w:tcW w:w="2693" w:type="dxa"/>
                  <w:vAlign w:val="center"/>
                </w:tcPr>
                <w:p>
                  <w:pPr>
                    <w:pStyle w:val="72"/>
                    <w:spacing w:line="240" w:lineRule="auto"/>
                    <w:ind w:firstLine="0" w:firstLineChars="0"/>
                    <w:jc w:val="center"/>
                    <w:rPr>
                      <w:rFonts w:cs="Times New Roman"/>
                      <w:bCs/>
                      <w:color w:val="FF0000"/>
                      <w:sz w:val="21"/>
                      <w:szCs w:val="21"/>
                    </w:rPr>
                  </w:pPr>
                  <w:r>
                    <w:rPr>
                      <w:rFonts w:hint="eastAsia" w:cs="Times New Roman"/>
                      <w:bCs/>
                      <w:color w:val="FF0000"/>
                      <w:sz w:val="21"/>
                      <w:szCs w:val="21"/>
                    </w:rPr>
                    <w:t>危险废物（清罐油泥、含油废渣）</w:t>
                  </w:r>
                </w:p>
              </w:tc>
              <w:tc>
                <w:tcPr>
                  <w:tcW w:w="2170" w:type="dxa"/>
                  <w:vAlign w:val="center"/>
                </w:tcPr>
                <w:p>
                  <w:pPr>
                    <w:pStyle w:val="72"/>
                    <w:spacing w:line="240" w:lineRule="auto"/>
                    <w:ind w:firstLine="0" w:firstLineChars="0"/>
                    <w:jc w:val="center"/>
                    <w:rPr>
                      <w:rFonts w:cs="Times New Roman"/>
                      <w:bCs/>
                      <w:color w:val="FF0000"/>
                      <w:sz w:val="21"/>
                      <w:szCs w:val="21"/>
                    </w:rPr>
                  </w:pPr>
                  <w:r>
                    <w:rPr>
                      <w:rFonts w:hint="eastAsia" w:cs="Times New Roman"/>
                      <w:bCs/>
                      <w:color w:val="FF0000"/>
                      <w:sz w:val="21"/>
                      <w:szCs w:val="21"/>
                    </w:rPr>
                    <w:t>10</w:t>
                  </w:r>
                  <w:r>
                    <w:rPr>
                      <w:rFonts w:cs="Times New Roman"/>
                      <w:bCs/>
                      <w:color w:val="FF0000"/>
                      <w:sz w:val="21"/>
                      <w:szCs w:val="21"/>
                    </w:rPr>
                    <w:t>.163</w:t>
                  </w:r>
                </w:p>
              </w:tc>
              <w:tc>
                <w:tcPr>
                  <w:tcW w:w="1393" w:type="dxa"/>
                  <w:vAlign w:val="center"/>
                </w:tcPr>
                <w:p>
                  <w:pPr>
                    <w:pStyle w:val="72"/>
                    <w:spacing w:line="240" w:lineRule="auto"/>
                    <w:ind w:firstLine="0" w:firstLineChars="0"/>
                    <w:jc w:val="center"/>
                    <w:rPr>
                      <w:rFonts w:cs="Times New Roman"/>
                      <w:bCs/>
                      <w:color w:val="FF0000"/>
                      <w:sz w:val="21"/>
                      <w:szCs w:val="21"/>
                    </w:rPr>
                  </w:pPr>
                  <w:r>
                    <w:rPr>
                      <w:rFonts w:hint="eastAsia" w:cs="Times New Roman"/>
                      <w:bCs/>
                      <w:color w:val="FF0000"/>
                      <w:sz w:val="21"/>
                      <w:szCs w:val="21"/>
                    </w:rPr>
                    <w:t>2</w:t>
                  </w:r>
                  <w:r>
                    <w:rPr>
                      <w:rFonts w:cs="Times New Roman"/>
                      <w:bCs/>
                      <w:color w:val="FF0000"/>
                      <w:sz w:val="21"/>
                      <w:szCs w:val="21"/>
                    </w:rPr>
                    <w:t>500</w:t>
                  </w:r>
                </w:p>
              </w:tc>
              <w:tc>
                <w:tcPr>
                  <w:tcW w:w="1706" w:type="dxa"/>
                  <w:vAlign w:val="center"/>
                </w:tcPr>
                <w:p>
                  <w:pPr>
                    <w:pStyle w:val="72"/>
                    <w:spacing w:line="240" w:lineRule="auto"/>
                    <w:ind w:firstLine="0" w:firstLineChars="0"/>
                    <w:jc w:val="center"/>
                    <w:rPr>
                      <w:rFonts w:cs="Times New Roman"/>
                      <w:bCs/>
                      <w:color w:val="FF0000"/>
                      <w:sz w:val="21"/>
                      <w:szCs w:val="21"/>
                    </w:rPr>
                  </w:pPr>
                  <w:r>
                    <w:rPr>
                      <w:rFonts w:hint="eastAsia" w:cs="Times New Roman"/>
                      <w:bCs/>
                      <w:color w:val="FF0000"/>
                      <w:sz w:val="21"/>
                      <w:szCs w:val="21"/>
                    </w:rPr>
                    <w:t>0.</w:t>
                  </w:r>
                  <w:r>
                    <w:rPr>
                      <w:rFonts w:cs="Times New Roman"/>
                      <w:bCs/>
                      <w:color w:val="FF0000"/>
                      <w:sz w:val="21"/>
                      <w:szCs w:val="21"/>
                    </w:rPr>
                    <w:t>0040652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010" w:type="dxa"/>
                  <w:gridSpan w:val="4"/>
                  <w:vAlign w:val="center"/>
                </w:tcPr>
                <w:p>
                  <w:pPr>
                    <w:pStyle w:val="72"/>
                    <w:spacing w:line="240" w:lineRule="auto"/>
                    <w:ind w:firstLine="0" w:firstLineChars="0"/>
                    <w:jc w:val="center"/>
                    <w:rPr>
                      <w:rFonts w:cs="Times New Roman"/>
                      <w:bCs/>
                      <w:color w:val="FF0000"/>
                      <w:sz w:val="21"/>
                      <w:szCs w:val="21"/>
                    </w:rPr>
                  </w:pPr>
                  <w:r>
                    <w:rPr>
                      <w:rFonts w:cs="Times New Roman"/>
                      <w:bCs/>
                      <w:color w:val="FF0000"/>
                      <w:sz w:val="21"/>
                      <w:szCs w:val="21"/>
                    </w:rPr>
                    <w:t>项目Q值⅀</w:t>
                  </w:r>
                </w:p>
              </w:tc>
              <w:tc>
                <w:tcPr>
                  <w:tcW w:w="1706" w:type="dxa"/>
                  <w:vAlign w:val="center"/>
                </w:tcPr>
                <w:p>
                  <w:pPr>
                    <w:pStyle w:val="72"/>
                    <w:spacing w:line="240" w:lineRule="auto"/>
                    <w:ind w:firstLine="0" w:firstLineChars="0"/>
                    <w:jc w:val="center"/>
                    <w:rPr>
                      <w:rFonts w:cs="Times New Roman"/>
                      <w:bCs/>
                      <w:color w:val="FF0000"/>
                      <w:sz w:val="21"/>
                      <w:szCs w:val="21"/>
                    </w:rPr>
                  </w:pPr>
                  <w:r>
                    <w:rPr>
                      <w:rFonts w:cs="Times New Roman"/>
                      <w:bCs/>
                      <w:color w:val="FF0000"/>
                      <w:sz w:val="21"/>
                      <w:szCs w:val="21"/>
                    </w:rPr>
                    <w:t>0.7215362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716" w:type="dxa"/>
                  <w:gridSpan w:val="5"/>
                  <w:vAlign w:val="center"/>
                </w:tcPr>
                <w:p>
                  <w:pPr>
                    <w:pStyle w:val="72"/>
                    <w:spacing w:line="240" w:lineRule="auto"/>
                    <w:ind w:firstLine="0" w:firstLineChars="0"/>
                    <w:jc w:val="left"/>
                    <w:rPr>
                      <w:rFonts w:cs="Times New Roman"/>
                      <w:bCs/>
                      <w:color w:val="FF0000"/>
                      <w:sz w:val="21"/>
                      <w:szCs w:val="21"/>
                    </w:rPr>
                  </w:pPr>
                  <w:r>
                    <w:rPr>
                      <w:rFonts w:hint="eastAsia" w:cs="Times New Roman"/>
                      <w:bCs/>
                      <w:color w:val="FF0000"/>
                      <w:sz w:val="21"/>
                      <w:szCs w:val="21"/>
                    </w:rPr>
                    <w:t>注：氨水最大储存量0.4</w:t>
                  </w:r>
                  <w:r>
                    <w:rPr>
                      <w:rFonts w:cs="Times New Roman"/>
                      <w:bCs/>
                      <w:color w:val="FF0000"/>
                      <w:sz w:val="21"/>
                      <w:szCs w:val="21"/>
                    </w:rPr>
                    <w:t>645</w:t>
                  </w:r>
                  <w:r>
                    <w:rPr>
                      <w:rFonts w:hint="eastAsia" w:cs="Times New Roman"/>
                      <w:bCs/>
                      <w:color w:val="FF0000"/>
                      <w:sz w:val="21"/>
                      <w:szCs w:val="21"/>
                    </w:rPr>
                    <w:t>t，浓度</w:t>
                  </w:r>
                  <w:r>
                    <w:rPr>
                      <w:rFonts w:cs="Times New Roman"/>
                      <w:bCs/>
                      <w:color w:val="FF0000"/>
                      <w:sz w:val="21"/>
                      <w:szCs w:val="21"/>
                    </w:rPr>
                    <w:t>18</w:t>
                  </w:r>
                  <w:r>
                    <w:rPr>
                      <w:rFonts w:hint="eastAsia" w:cs="Times New Roman"/>
                      <w:bCs/>
                      <w:color w:val="FF0000"/>
                      <w:sz w:val="21"/>
                      <w:szCs w:val="21"/>
                    </w:rPr>
                    <w:t>%，折算浓度后0.</w:t>
                  </w:r>
                  <w:r>
                    <w:rPr>
                      <w:rFonts w:cs="Times New Roman"/>
                      <w:bCs/>
                      <w:color w:val="FF0000"/>
                      <w:sz w:val="21"/>
                      <w:szCs w:val="21"/>
                    </w:rPr>
                    <w:t>41805</w:t>
                  </w:r>
                  <w:r>
                    <w:rPr>
                      <w:rFonts w:hint="eastAsia" w:cs="Times New Roman"/>
                      <w:bCs/>
                      <w:color w:val="FF0000"/>
                      <w:sz w:val="21"/>
                      <w:szCs w:val="21"/>
                    </w:rPr>
                    <w:t>t。</w:t>
                  </w:r>
                </w:p>
              </w:tc>
            </w:tr>
          </w:tbl>
          <w:p>
            <w:pPr>
              <w:pStyle w:val="72"/>
              <w:tabs>
                <w:tab w:val="left" w:pos="380"/>
              </w:tabs>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根据上述分析，</w:t>
            </w: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Q值小于1</w:t>
            </w:r>
            <w:r>
              <w:rPr>
                <w:rFonts w:hint="eastAsia" w:cs="Times New Roman"/>
                <w:color w:val="000000" w:themeColor="text1"/>
                <w14:textFill>
                  <w14:solidFill>
                    <w14:schemeClr w14:val="tx1"/>
                  </w14:solidFill>
                </w14:textFill>
              </w:rPr>
              <w:t>。</w:t>
            </w:r>
          </w:p>
          <w:p>
            <w:pPr>
              <w:keepNext/>
              <w:keepLines/>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w:t>
            </w:r>
            <w:r>
              <w:rPr>
                <w:rFonts w:hint="eastAsia"/>
                <w:b/>
                <w:color w:val="000000" w:themeColor="text1"/>
                <w:sz w:val="24"/>
                <w14:textFill>
                  <w14:solidFill>
                    <w14:schemeClr w14:val="tx1"/>
                  </w14:solidFill>
                </w14:textFill>
              </w:rPr>
              <w:t>、环境风险物质影响途径</w:t>
            </w:r>
          </w:p>
          <w:p>
            <w:pPr>
              <w:pStyle w:val="72"/>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项目环境风险物质影响途径详见</w:t>
            </w:r>
            <w:r>
              <w:rPr>
                <w:color w:val="000000" w:themeColor="text1"/>
                <w14:textFill>
                  <w14:solidFill>
                    <w14:schemeClr w14:val="tx1"/>
                  </w14:solidFill>
                </w14:textFill>
              </w:rPr>
              <w:t>表4.2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31。</w:t>
            </w:r>
          </w:p>
          <w:p>
            <w:pPr>
              <w:autoSpaceDE w:val="0"/>
              <w:autoSpaceDN w:val="0"/>
              <w:adjustRightInd w:val="0"/>
              <w:spacing w:line="240" w:lineRule="auto"/>
              <w:jc w:val="center"/>
              <w:textAlignment w:val="baseline"/>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w:t>
            </w:r>
            <w:r>
              <w:rPr>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 xml:space="preserve">31  </w:t>
            </w:r>
            <w:r>
              <w:rPr>
                <w:rFonts w:hint="eastAsia"/>
                <w:b/>
                <w:bCs/>
                <w:color w:val="000000" w:themeColor="text1"/>
                <w:sz w:val="24"/>
                <w14:textFill>
                  <w14:solidFill>
                    <w14:schemeClr w14:val="tx1"/>
                  </w14:solidFill>
                </w14:textFill>
              </w:rPr>
              <w:t>环境风险物质及影响途径</w:t>
            </w:r>
          </w:p>
          <w:tbl>
            <w:tblPr>
              <w:tblStyle w:val="36"/>
              <w:tblW w:w="8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8"/>
              <w:gridCol w:w="1985"/>
              <w:gridCol w:w="1559"/>
              <w:gridCol w:w="2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818" w:type="dxa"/>
                  <w:vAlign w:val="center"/>
                </w:tcPr>
                <w:p>
                  <w:pPr>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风险源</w:t>
                  </w:r>
                </w:p>
              </w:tc>
              <w:tc>
                <w:tcPr>
                  <w:tcW w:w="1985" w:type="dxa"/>
                  <w:vAlign w:val="center"/>
                </w:tcPr>
                <w:p>
                  <w:pPr>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危险物质</w:t>
                  </w:r>
                </w:p>
              </w:tc>
              <w:tc>
                <w:tcPr>
                  <w:tcW w:w="1559" w:type="dxa"/>
                  <w:vAlign w:val="center"/>
                </w:tcPr>
                <w:p>
                  <w:pPr>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环境风险类型</w:t>
                  </w:r>
                </w:p>
              </w:tc>
              <w:tc>
                <w:tcPr>
                  <w:tcW w:w="2296" w:type="dxa"/>
                  <w:vAlign w:val="center"/>
                </w:tcPr>
                <w:p>
                  <w:pPr>
                    <w:adjustRightInd w:val="0"/>
                    <w:snapToGrid w:val="0"/>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环境影响途径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818"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储油罐区、裂解油暂存储罐</w:t>
                  </w:r>
                </w:p>
              </w:tc>
              <w:tc>
                <w:tcPr>
                  <w:tcW w:w="1985"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裂解油</w:t>
                  </w:r>
                </w:p>
              </w:tc>
              <w:tc>
                <w:tcPr>
                  <w:tcW w:w="1559"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泄漏</w:t>
                  </w:r>
                </w:p>
              </w:tc>
              <w:tc>
                <w:tcPr>
                  <w:tcW w:w="2296" w:type="dxa"/>
                  <w:vMerge w:val="restart"/>
                  <w:vAlign w:val="center"/>
                </w:tcPr>
                <w:p>
                  <w:pPr>
                    <w:adjustRightInd w:val="0"/>
                    <w:snapToGrid w:val="0"/>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在储存过程中有可能发生泄漏事故，泄漏物料若未被有效收集，可能造成</w:t>
                  </w:r>
                  <w:r>
                    <w:rPr>
                      <w:rFonts w:hint="eastAsia"/>
                      <w:bCs/>
                      <w:color w:val="000000" w:themeColor="text1"/>
                      <w:szCs w:val="21"/>
                      <w14:textFill>
                        <w14:solidFill>
                          <w14:schemeClr w14:val="tx1"/>
                        </w14:solidFill>
                      </w14:textFill>
                    </w:rPr>
                    <w:t>大气、</w:t>
                  </w:r>
                  <w:r>
                    <w:rPr>
                      <w:bCs/>
                      <w:color w:val="000000" w:themeColor="text1"/>
                      <w:szCs w:val="21"/>
                      <w14:textFill>
                        <w14:solidFill>
                          <w14:schemeClr w14:val="tx1"/>
                        </w14:solidFill>
                      </w14:textFill>
                    </w:rPr>
                    <w:t>土壤和水环境污染事故。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818" w:type="dxa"/>
                  <w:vMerge w:val="restart"/>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原料库房</w:t>
                  </w:r>
                </w:p>
              </w:tc>
              <w:tc>
                <w:tcPr>
                  <w:tcW w:w="1985"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润滑油</w:t>
                  </w:r>
                </w:p>
              </w:tc>
              <w:tc>
                <w:tcPr>
                  <w:tcW w:w="1559"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泄漏</w:t>
                  </w:r>
                </w:p>
              </w:tc>
              <w:tc>
                <w:tcPr>
                  <w:tcW w:w="2296" w:type="dxa"/>
                  <w:vMerge w:val="continue"/>
                  <w:vAlign w:val="center"/>
                </w:tcPr>
                <w:p>
                  <w:pPr>
                    <w:adjustRightInd w:val="0"/>
                    <w:snapToGrid w:val="0"/>
                    <w:spacing w:line="240" w:lineRule="auto"/>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818" w:type="dxa"/>
                  <w:vMerge w:val="continue"/>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1985"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氨水</w:t>
                  </w:r>
                </w:p>
              </w:tc>
              <w:tc>
                <w:tcPr>
                  <w:tcW w:w="1559"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泄漏</w:t>
                  </w:r>
                </w:p>
              </w:tc>
              <w:tc>
                <w:tcPr>
                  <w:tcW w:w="2296" w:type="dxa"/>
                  <w:vMerge w:val="continue"/>
                  <w:vAlign w:val="center"/>
                </w:tcPr>
                <w:p>
                  <w:pPr>
                    <w:adjustRightInd w:val="0"/>
                    <w:snapToGrid w:val="0"/>
                    <w:spacing w:line="240" w:lineRule="auto"/>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818"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危废暂存间</w:t>
                  </w:r>
                </w:p>
              </w:tc>
              <w:tc>
                <w:tcPr>
                  <w:tcW w:w="1985"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危险废物（含油废渣、清罐油泥）</w:t>
                  </w:r>
                </w:p>
              </w:tc>
              <w:tc>
                <w:tcPr>
                  <w:tcW w:w="1559" w:type="dxa"/>
                  <w:vAlign w:val="center"/>
                </w:tcPr>
                <w:p>
                  <w:pPr>
                    <w:adjustRightInd w:val="0"/>
                    <w:snapToGrid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泄漏</w:t>
                  </w:r>
                </w:p>
              </w:tc>
              <w:tc>
                <w:tcPr>
                  <w:tcW w:w="2296" w:type="dxa"/>
                  <w:vMerge w:val="continue"/>
                  <w:vAlign w:val="center"/>
                </w:tcPr>
                <w:p>
                  <w:pPr>
                    <w:adjustRightInd w:val="0"/>
                    <w:snapToGrid w:val="0"/>
                    <w:spacing w:line="240" w:lineRule="auto"/>
                    <w:jc w:val="center"/>
                    <w:rPr>
                      <w:bCs/>
                      <w:color w:val="000000" w:themeColor="text1"/>
                      <w:szCs w:val="21"/>
                      <w14:textFill>
                        <w14:solidFill>
                          <w14:schemeClr w14:val="tx1"/>
                        </w14:solidFill>
                      </w14:textFill>
                    </w:rPr>
                  </w:pPr>
                </w:p>
              </w:tc>
            </w:tr>
          </w:tbl>
          <w:p>
            <w:pPr>
              <w:keepNext/>
              <w:keepLines/>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3、生产设施危险性识别</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运营期产生的裂解不凝气通过管道送入裂解炉燃烧室及二燃室燃烧。在正常生产和管理情况下，一般不会因不凝气的泄漏产生严重的火灾和爆炸事故。由于管线、阀门等零件损坏时，有可能造成厂房内的裂解气泄漏，遇明火可能会燃烧爆炸，燃烧后产生的烟气中含有毒物质，会对周围环境空气产生一定影响。</w:t>
            </w:r>
          </w:p>
          <w:p>
            <w:pPr>
              <w:keepNext/>
              <w:keepLines/>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4、存储设施危险性识别</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（1）项目储油罐区设置5个</w:t>
            </w:r>
            <w:r>
              <w:rPr>
                <w:color w:val="000000" w:themeColor="text1"/>
                <w:sz w:val="24"/>
                <w14:textFill>
                  <w14:solidFill>
                    <w14:schemeClr w14:val="tx1"/>
                  </w14:solidFill>
                </w14:textFill>
              </w:rPr>
              <w:t>400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地上立式储罐，主要风险因素包括：</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储罐密封不严，造成挥发油气泄漏，遇有明火、雷击、静电火花引起火灾、爆炸。</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储罐底板、圈板腐蚀穿孔或焊接质量差，出现裂纹，进而引发油品泄漏，遇明火则可能发生火灾、爆炸事故。</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储罐液位计等控制系统失灵或操作人员误操作引起油品冒罐，遇明火发生火灾、爆炸。储罐收发作业频次高，可能造成较多的人员误操作。</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地震或罐基础不牢、下沉造成罐倾斜或者扭断储罐进出口管线引发油品泄漏，遇明火发生火灾、爆炸。</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储罐、连接管道、阀门等设备质量存在缺陷或因故障检修不及时等，致使油品泄漏，遇到火源则有可能发生爆炸的可能。</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（2）项目氨水储罐，主要储存过程风险因素为：在储存过程因储罐破损或操作人员误操作等情况引起氨水泄漏事故。</w:t>
            </w:r>
          </w:p>
          <w:p>
            <w:pPr>
              <w:keepNext/>
              <w:keepLines/>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5</w:t>
            </w:r>
            <w:r>
              <w:rPr>
                <w:rFonts w:hint="eastAsia"/>
                <w:b/>
                <w:color w:val="000000" w:themeColor="text1"/>
                <w:sz w:val="24"/>
                <w14:textFill>
                  <w14:solidFill>
                    <w14:schemeClr w14:val="tx1"/>
                  </w14:solidFill>
                </w14:textFill>
              </w:rPr>
              <w:t>、裂解油风险事故影响分析</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（1）物料火灾、爆炸危险性分析</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①裂解油的易燃、易爆性</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裂解油挥发出来的蒸汽与空气混合，浓度处于爆炸浓度范围内时，遇到一定能量的着火源，容易发生爆炸，爆炸浓度（或极限）范围越宽，爆炸危险性就越大。</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在油品储运过程中，爆炸和燃烧经常同时出现。由于油品蒸汽具有燃烧和爆炸性，因此在生产操作过程中，应防止其可燃性蒸汽的积聚，尽可能将其浓度控制在爆炸下限以下，以防止火灾、爆炸事故的发生。</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②裂解油易积聚静电</w:t>
            </w:r>
          </w:p>
          <w:p>
            <w:pPr>
              <w:keepNext/>
              <w:keepLines/>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据资料介绍，电阻率在1010~1515Ω.cm范围内的油品容易产生和积聚静电，且不易消散。油库储存的油品都具有易积聚静电荷的特点，在油品储运和生产过程中，其静电的产生和积聚量的大小与管道内壁粗糙度、流速、运送距离以及储运设备的导电性能等诸多因素有关。静电放电是导致火灾爆炸事故的一个重要原因。</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③裂解油的易扩散、流淌性</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易燃油品的粘度一般较小，容易流淌扩散。同时，由于其渗透、浸润和毛细管引力等作用，而扩大其表面积，使蒸发速度加快，并向四周迅速扩散，与空气混合，遇有火源极易发生燃烧爆炸。</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④裂解油的受热易膨胀性</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裂解油受热后，温度升高，体积膨胀，若容器灌装过满，管道输油后不及时排空而又无泄压装置，会导致容器和管道的损坏，可能引起油渗漏和外溢。另一方面，由于温度降低，体积收缩，容器内有可能出现负压，也会使容器变形损坏。</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（2）设备火灾爆炸危险特性分析</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油罐等设备本身设计不合格，或制造存在缺陷，造成其耐压能力不够，发生破裂，导致油品泄漏，遇火源则发生火灾、爆炸事故；油罐与外部管线相连的阀门、法兰、人孔等，若由于安装质量差，或由于疏忽漏装垫片，以及使用过程中的腐蚀穿孔或因油罐 底板焊接不良而产生疲劳造成的裂纹等，都可能引起油品泄漏，泄漏油品遇点火源则易导致火灾、爆炸事故；另外，油罐在防雷设施失效的情况下遭受雷击、遭受电火花或在。</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）发油过程火灾爆炸危险特性分析</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裂解油滴漏：发油时，若油管破裂、密封垫破损、接头、紧固螺栓松动等原因使油品泄漏至地面，遇明火即可发生燃烧。</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（4）运输过程环境风险分析</w:t>
            </w:r>
          </w:p>
          <w:p>
            <w:pPr>
              <w:autoSpaceDE w:val="0"/>
              <w:autoSpaceDN w:val="0"/>
              <w:adjustRightInd w:val="0"/>
              <w:ind w:firstLine="480" w:firstLineChars="200"/>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①运输途中发生交通事故、火灾、储槽损坏或破裂等意外情况，导致油品泄漏，油气遇点火源发生火灾爆炸事故。</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lang w:val="zh-CN"/>
                <w14:textFill>
                  <w14:solidFill>
                    <w14:schemeClr w14:val="tx1"/>
                  </w14:solidFill>
                </w14:textFill>
              </w:rPr>
              <w:t>②运输过程中由于碰撞、罐体缺陷等原因有发生油品泄漏事故的可能，泄漏油品进入环境则造成环境污染</w:t>
            </w:r>
            <w:r>
              <w:rPr>
                <w:rFonts w:hint="eastAsia"/>
                <w:color w:val="000000" w:themeColor="text1"/>
                <w:sz w:val="24"/>
                <w14:textFill>
                  <w14:solidFill>
                    <w14:schemeClr w14:val="tx1"/>
                  </w14:solidFill>
                </w14:textFill>
              </w:rPr>
              <w:t>。</w:t>
            </w:r>
          </w:p>
          <w:p>
            <w:pPr>
              <w:keepNext/>
              <w:keepLines/>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6、不凝气风险事故影响分析</w:t>
            </w:r>
          </w:p>
          <w:p>
            <w:pPr>
              <w:pStyle w:val="75"/>
              <w:tabs>
                <w:tab w:val="left" w:pos="540"/>
                <w:tab w:val="left" w:pos="1080"/>
                <w:tab w:val="left" w:pos="1800"/>
              </w:tabs>
              <w:ind w:firstLine="48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生产装置泄漏的不凝气与空气混合，浓度处于爆炸浓度范围内时，遇有一定能量的着火源，容易发生爆炸，爆炸浓度（或极限）范围越宽，爆炸危险性就越大。</w:t>
            </w:r>
          </w:p>
          <w:p>
            <w:pPr>
              <w:pStyle w:val="75"/>
              <w:tabs>
                <w:tab w:val="left" w:pos="540"/>
                <w:tab w:val="left" w:pos="1080"/>
                <w:tab w:val="left" w:pos="1800"/>
              </w:tabs>
              <w:ind w:firstLine="48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在正常生产过程中，不凝气送至裂解装置燃烧室燃烧，在线不凝气量较小，若发现装置及管线出现泄漏，应及时停车，切换管道阀门，利用负压设备将管道内的残余不凝气量抽取至压力储罐中，以防止因不凝气泄漏导致厂房内火灾、爆炸事故的发生。</w:t>
            </w:r>
          </w:p>
          <w:p>
            <w:pPr>
              <w:keepNext/>
              <w:keepLines/>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7、氨水风险事故影响分析</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氨水属于易挥发物质，氨水的挥发物氨气为一般毒性物质，易燃，与空气混合能形成爆炸性混合物。</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对于氨水储罐来说，罐体结构比较均匀，发生整个容器破裂而泄漏的可能性很小，泄漏事故发生概率最大的地方是容器或输送管道的接口处。若发生泄漏，将会导致氨气挥发，扩散大大气中，使环境受到污染。</w:t>
            </w:r>
          </w:p>
          <w:p>
            <w:pPr>
              <w:keepNext/>
              <w:keepLines/>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8、危废暂存间风险事故影响分析</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危废暂存间清罐油泥、含油废渣包装桶发生破碎，导致危险废物泄漏。如遇明火，可能引发火灾。</w:t>
            </w:r>
          </w:p>
          <w:p>
            <w:pPr>
              <w:keepNext/>
              <w:keepLines/>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9、大气环境影响分析</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不凝气、裂解油、润滑油发生泄漏后遇到火花或者明火等燃烧引起火灾，氨水泄漏挥发出的氨气燃烧引起火灾。易燃化学品火灾时在放出大量辐射热的同时，还散发大量的浓烟，它是由燃烧物质释放出的高温蒸汽和毒气，被分解的未燃物质和被火燃加热而带入上升气流中的空气和污染物质的混合物，对周围的大气环境质量造成污染和破坏。</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防止裂解气泄漏，项目裂解厂房所用设备均采用现代化自动控制系统，生产设备的任何一个环节发生故障，自动控制系统将在3s中内关闭所有生产系统，另外，裂解装置内一直保持微负压状态，可以保证在采取措施前裂解气不会外逸至大气环境中，产生环境风险的可能性最大可能降到最低。</w:t>
            </w:r>
          </w:p>
          <w:p>
            <w:pPr>
              <w:keepNext/>
              <w:keepLines/>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8</w:t>
            </w:r>
            <w:r>
              <w:rPr>
                <w:rFonts w:hint="eastAsia"/>
                <w:b/>
                <w:color w:val="000000" w:themeColor="text1"/>
                <w:sz w:val="24"/>
                <w14:textFill>
                  <w14:solidFill>
                    <w14:schemeClr w14:val="tx1"/>
                  </w14:solidFill>
                </w14:textFill>
              </w:rPr>
              <w:t>、地表水环境影响分析</w:t>
            </w:r>
          </w:p>
          <w:p>
            <w:pPr>
              <w:keepNext/>
              <w:keepLines/>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当火灾事故消防废水产生量大于罐区防火堤围成防火堤和消防水收集池的总容积时，会造成消防废水溢出，外溢废水会进入雨排管线。为防止对周边地表水环境的影响，火灾事故发生后对所有排水口及时进行封堵，厂区围墙为实体墙，使厂区围墙成为一个围挡措施，防止事故废水的外排。考虑到一旦裂解油罐泄漏导致罐区出现火情，冷却储罐及灭火产生的消防水会携带部分泄漏物质，若不能及时得到有效地收集和处置将会对附近水体及土壤造成污染。为此，本评价将事故发生后产生的消防水作为事故处理过程中的伴生</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次生污染予以考虑。本项目罐区拟建事故水池</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座，容积约</w:t>
            </w:r>
            <w:r>
              <w:rPr>
                <w:color w:val="000000" w:themeColor="text1"/>
                <w:sz w:val="24"/>
                <w14:textFill>
                  <w14:solidFill>
                    <w14:schemeClr w14:val="tx1"/>
                  </w14:solidFill>
                </w14:textFill>
              </w:rPr>
              <w:t>700m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产生的消防废水在厂区配套建设事故废水收集管网，收集至事故水池，完全可满足本项目消防废水的收集处置能力，收集的消防废水排入双桥园区污水处理厂，因此，项目次生水污染物对环境影响较小，在可控范围内。</w:t>
            </w:r>
          </w:p>
          <w:p>
            <w:pPr>
              <w:keepNext/>
              <w:keepLines/>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8、地下水环境影响分析</w:t>
            </w:r>
          </w:p>
          <w:p>
            <w:pPr>
              <w:pStyle w:val="75"/>
              <w:tabs>
                <w:tab w:val="left" w:pos="540"/>
                <w:tab w:val="left" w:pos="1080"/>
                <w:tab w:val="left" w:pos="1800"/>
              </w:tabs>
              <w:ind w:firstLine="48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储油罐中的裂解油若出现渗漏情况，对地下水的污染较为严重，会产生异味，并具有较强的毒性，无法饮用。由于这种渗漏必然穿过较厚的土壤层，使土壤层中吸附了大 量的裂解油，土壤层吸附的裂解油不仅会造成土壤理化性质改变，而且土壤层吸附的裂解油还会随着雨水径流的下渗对土壤层的冲刷作用补充到地下水。</w:t>
            </w:r>
          </w:p>
          <w:p>
            <w:pPr>
              <w:pStyle w:val="75"/>
              <w:tabs>
                <w:tab w:val="left" w:pos="540"/>
                <w:tab w:val="left" w:pos="1080"/>
                <w:tab w:val="left" w:pos="1800"/>
              </w:tabs>
              <w:ind w:firstLine="48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本项目采用双层罐，且储油罐区防火堤及事故池采取基础防渗措施处理，一旦发生泄露与渗漏事故，油品将由于防渗层的保护作用，积聚在防火堤和事故池，不会对地下水造成影响。</w:t>
            </w:r>
          </w:p>
          <w:p>
            <w:pPr>
              <w:keepNext/>
              <w:keepLines/>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9</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环境风险</w:t>
            </w:r>
            <w:r>
              <w:rPr>
                <w:rFonts w:hint="eastAsia"/>
                <w:b/>
                <w:color w:val="000000" w:themeColor="text1"/>
                <w:sz w:val="24"/>
                <w14:textFill>
                  <w14:solidFill>
                    <w14:schemeClr w14:val="tx1"/>
                  </w14:solidFill>
                </w14:textFill>
              </w:rPr>
              <w:t>防范措施及应急要求</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（1）环境风险防范措施</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本次评价结合风险识别结果和环境风险分析内容，从设计、施工及管理运行各方面提出以下环境防范措施。</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w:t>
            </w:r>
            <w:r>
              <w:rPr>
                <w:color w:val="000000" w:themeColor="text1"/>
                <w:sz w:val="24"/>
                <w:szCs w:val="24"/>
                <w14:textFill>
                  <w14:solidFill>
                    <w14:schemeClr w14:val="tx1"/>
                  </w14:solidFill>
                </w14:textFill>
              </w:rPr>
              <w:t>生产装置风险防范措施</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a.在生产过程中应确保各生产及燃烧装置正常工作，确保热解气经燃烧后排放，并加强监护与管理工作，严禁热解气未经燃烧直接排放至环境中。</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b.对生产中可能泄漏热解气的设备和工作区域设有安全警示标志，制订和实施严格规范的设备维修制度，提高设备、各种泵类、风机及其阀门、</w:t>
            </w:r>
            <w:r>
              <w:rPr>
                <w:rFonts w:hint="eastAsia"/>
                <w:color w:val="000000" w:themeColor="text1"/>
                <w:sz w:val="24"/>
                <w:szCs w:val="24"/>
                <w14:textFill>
                  <w14:solidFill>
                    <w14:schemeClr w14:val="tx1"/>
                  </w14:solidFill>
                </w14:textFill>
              </w:rPr>
              <w:t>法</w:t>
            </w:r>
            <w:r>
              <w:rPr>
                <w:color w:val="000000" w:themeColor="text1"/>
                <w:sz w:val="24"/>
                <w:szCs w:val="24"/>
                <w14:textFill>
                  <w14:solidFill>
                    <w14:schemeClr w14:val="tx1"/>
                  </w14:solidFill>
                </w14:textFill>
              </w:rPr>
              <w:t>兰等的密封性能，降低设备、管线的泄漏，一经发现泄漏应立即检修，不得延误。</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c.</w:t>
            </w:r>
            <w:r>
              <w:rPr>
                <w:rFonts w:hint="eastAsia"/>
                <w:color w:val="000000" w:themeColor="text1"/>
                <w:sz w:val="24"/>
                <w:szCs w:val="24"/>
                <w14:textFill>
                  <w14:solidFill>
                    <w14:schemeClr w14:val="tx1"/>
                  </w14:solidFill>
                </w14:textFill>
              </w:rPr>
              <w:t>生产设施停车检修时必须切断热解气来源并将内部热解气吹净，并经安全管理人员开具安全作业证后方可进入。</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w:t>
            </w:r>
            <w:r>
              <w:rPr>
                <w:rFonts w:hint="eastAsia"/>
                <w:color w:val="000000" w:themeColor="text1"/>
                <w:sz w:val="24"/>
                <w:szCs w:val="24"/>
                <w14:textFill>
                  <w14:solidFill>
                    <w14:schemeClr w14:val="tx1"/>
                  </w14:solidFill>
                </w14:textFill>
              </w:rPr>
              <w:t>在热解气总管上宜装设防爆板或防爆阀。</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e.</w:t>
            </w:r>
            <w:r>
              <w:rPr>
                <w:rFonts w:hint="eastAsia"/>
                <w:color w:val="000000" w:themeColor="text1"/>
                <w:sz w:val="24"/>
                <w:szCs w:val="24"/>
                <w14:textFill>
                  <w14:solidFill>
                    <w14:schemeClr w14:val="tx1"/>
                  </w14:solidFill>
                </w14:textFill>
              </w:rPr>
              <w:t>在热解气管道上设置热解气压力、流量和温度等测量仪表。</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f.</w:t>
            </w:r>
            <w:r>
              <w:rPr>
                <w:rFonts w:hint="eastAsia"/>
                <w:color w:val="000000" w:themeColor="text1"/>
                <w:sz w:val="24"/>
                <w:szCs w:val="24"/>
                <w14:textFill>
                  <w14:solidFill>
                    <w14:schemeClr w14:val="tx1"/>
                  </w14:solidFill>
                </w14:textFill>
              </w:rPr>
              <w:t>生产车间除生产必须外，严禁携带火柴、打火机、烟头等火种进入。</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g.</w:t>
            </w:r>
            <w:r>
              <w:rPr>
                <w:rFonts w:hint="eastAsia"/>
                <w:color w:val="000000" w:themeColor="text1"/>
                <w:sz w:val="24"/>
                <w:szCs w:val="24"/>
                <w14:textFill>
                  <w14:solidFill>
                    <w14:schemeClr w14:val="tx1"/>
                  </w14:solidFill>
                </w14:textFill>
              </w:rPr>
              <w:t>生产装置启动前，应先使用测爆仪测定，确认安全后方准动火；动火设备的接地电阻不得超过</w:t>
            </w:r>
            <w:r>
              <w:rPr>
                <w:color w:val="000000" w:themeColor="text1"/>
                <w:sz w:val="24"/>
                <w:szCs w:val="24"/>
                <w14:textFill>
                  <w14:solidFill>
                    <w14:schemeClr w14:val="tx1"/>
                  </w14:solidFill>
                </w14:textFill>
              </w:rPr>
              <w:t>2Ω</w:t>
            </w:r>
            <w:r>
              <w:rPr>
                <w:rFonts w:hint="eastAsia"/>
                <w:color w:val="000000" w:themeColor="text1"/>
                <w:sz w:val="24"/>
                <w:szCs w:val="24"/>
                <w14:textFill>
                  <w14:solidFill>
                    <w14:schemeClr w14:val="tx1"/>
                  </w14:solidFill>
                </w14:textFill>
              </w:rPr>
              <w:t>。</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h.</w:t>
            </w:r>
            <w:r>
              <w:rPr>
                <w:rFonts w:hint="eastAsia"/>
                <w:color w:val="000000" w:themeColor="text1"/>
                <w:sz w:val="24"/>
                <w:szCs w:val="24"/>
                <w14:textFill>
                  <w14:solidFill>
                    <w14:schemeClr w14:val="tx1"/>
                  </w14:solidFill>
                </w14:textFill>
              </w:rPr>
              <w:t>严格按规范划分防爆区域，防爆区内电气设备和仪表均选用防爆型。</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i.</w:t>
            </w:r>
            <w:r>
              <w:rPr>
                <w:rFonts w:hint="eastAsia"/>
                <w:color w:val="000000" w:themeColor="text1"/>
                <w:sz w:val="24"/>
                <w:szCs w:val="24"/>
                <w14:textFill>
                  <w14:solidFill>
                    <w14:schemeClr w14:val="tx1"/>
                  </w14:solidFill>
                </w14:textFill>
              </w:rPr>
              <w:t>裂解车间安装可燃气体报警装置和有毒气体（</w:t>
            </w:r>
            <w:r>
              <w:rPr>
                <w:color w:val="000000" w:themeColor="text1"/>
                <w:sz w:val="24"/>
                <w:szCs w:val="24"/>
                <w14:textFill>
                  <w14:solidFill>
                    <w14:schemeClr w14:val="tx1"/>
                  </w14:solidFill>
                </w14:textFill>
              </w:rPr>
              <w:t>H</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S</w:t>
            </w:r>
            <w:r>
              <w:rPr>
                <w:rFonts w:hint="eastAsia"/>
                <w:color w:val="000000" w:themeColor="text1"/>
                <w:sz w:val="24"/>
                <w:szCs w:val="24"/>
                <w14:textFill>
                  <w14:solidFill>
                    <w14:schemeClr w14:val="tx1"/>
                  </w14:solidFill>
                </w14:textFill>
              </w:rPr>
              <w:t>）报警装置。</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②储油罐区风险防范措施</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在储罐区周围设1.</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m高的围堰，围堰采用钢筋混凝土结构，安装液位上限报警装置和可燃气体报警仪，按规程操作；安装防静电和防感应雷的接地装置，罐区内电气装置符合防火防爆要求；储罐区设置自动探测装置，若易燃易爆物质的浓度超过允许浓度，则开启报警装置。</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③氨水储罐风险防范措施</w:t>
            </w:r>
          </w:p>
          <w:p>
            <w:pPr>
              <w:pStyle w:val="2"/>
              <w:spacing w:before="0" w:after="0" w:line="360" w:lineRule="auto"/>
              <w:ind w:right="0" w:firstLine="480" w:firstLineChars="200"/>
              <w:rPr>
                <w:bCs/>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本项目氨水储罐设置重点防渗区，</w:t>
            </w:r>
            <w:r>
              <w:rPr>
                <w:bCs/>
                <w:color w:val="000000" w:themeColor="text1"/>
                <w:sz w:val="24"/>
                <w14:textFill>
                  <w14:solidFill>
                    <w14:schemeClr w14:val="tx1"/>
                  </w14:solidFill>
                </w14:textFill>
              </w:rPr>
              <w:t>防渗要求为不低于2毫米厚高密度聚乙烯，或至少毫米厚的其它人工材料，渗透系数≤10</w:t>
            </w:r>
            <w:r>
              <w:rPr>
                <w:bCs/>
                <w:color w:val="000000" w:themeColor="text1"/>
                <w:sz w:val="24"/>
                <w:vertAlign w:val="superscript"/>
                <w14:textFill>
                  <w14:solidFill>
                    <w14:schemeClr w14:val="tx1"/>
                  </w14:solidFill>
                </w14:textFill>
              </w:rPr>
              <w:t>-10</w:t>
            </w:r>
            <w:r>
              <w:rPr>
                <w:bCs/>
                <w:color w:val="000000" w:themeColor="text1"/>
                <w:sz w:val="24"/>
                <w14:textFill>
                  <w14:solidFill>
                    <w14:schemeClr w14:val="tx1"/>
                  </w14:solidFill>
                </w14:textFill>
              </w:rPr>
              <w:t>cm/s</w:t>
            </w:r>
            <w:r>
              <w:rPr>
                <w:rFonts w:hint="eastAsia"/>
                <w:bCs/>
                <w:color w:val="000000" w:themeColor="text1"/>
                <w:sz w:val="24"/>
                <w14:textFill>
                  <w14:solidFill>
                    <w14:schemeClr w14:val="tx1"/>
                  </w14:solidFill>
                </w14:textFill>
              </w:rPr>
              <w:t>。且储罐区设置围堰，防止氨水泄漏外流影响周边环境。储罐区设置气体浓度报警、压力监测等系统。</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总图布置和建筑安全防范措施</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项目应根据安全、消防的相关要求，厂区与周围居民区、工况企业、公路、输变电线等保持足够的安全防火距离，应满足《石油化工企业设计防火规范》</w:t>
            </w:r>
            <w:r>
              <w:rPr>
                <w:color w:val="000000" w:themeColor="text1"/>
                <w:sz w:val="24"/>
                <w:szCs w:val="24"/>
                <w14:textFill>
                  <w14:solidFill>
                    <w14:schemeClr w14:val="tx1"/>
                  </w14:solidFill>
                </w14:textFill>
              </w:rPr>
              <w:t>(GB50160-2008)的相关规定。总平布置遵循分区布置的原则，原料区、生产区分开设置，生产区和辅助生产区按生产过程的特点和火灾危害性分区布置，厂区道路、回车场地和检修道路，罐区的储罐平面布置满足相关规范。各建构筑物之间的防火间距均严格按照《石油化工企业设计防火规范》（GB50160-2008</w:t>
            </w:r>
            <w:r>
              <w:rPr>
                <w:rFonts w:hint="eastAsia"/>
                <w:color w:val="000000" w:themeColor="text1"/>
                <w:sz w:val="24"/>
                <w:szCs w:val="24"/>
                <w14:textFill>
                  <w14:solidFill>
                    <w14:schemeClr w14:val="tx1"/>
                  </w14:solidFill>
                </w14:textFill>
              </w:rPr>
              <w:t>）、《建筑设计防火规范》（GB50016-2006）进行设计，符合规范要求。</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）工艺、设备风险防范措施</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设计需采用防爆仪表，爆炸危险场所选用相应等级的隔爆型电气设备；并根据《石油化工可燃气体和有毒气体报警设计规范》（</w:t>
            </w:r>
            <w:r>
              <w:rPr>
                <w:color w:val="000000" w:themeColor="text1"/>
                <w:sz w:val="24"/>
                <w:szCs w:val="24"/>
                <w14:textFill>
                  <w14:solidFill>
                    <w14:schemeClr w14:val="tx1"/>
                  </w14:solidFill>
                </w14:textFill>
              </w:rPr>
              <w:t>GB50493-2009</w:t>
            </w:r>
            <w:r>
              <w:rPr>
                <w:rFonts w:hint="eastAsia"/>
                <w:color w:val="000000" w:themeColor="text1"/>
                <w:sz w:val="24"/>
                <w:szCs w:val="24"/>
                <w14:textFill>
                  <w14:solidFill>
                    <w14:schemeClr w14:val="tx1"/>
                  </w14:solidFill>
                </w14:textFill>
              </w:rPr>
              <w:t>）中的规定设置可燃气体检测报警仪，可连续检测危险场所环境中的可燃气体浓度。系统内所有法兰、阀门、仪表接头、泵密封等以及设备本体的设计，均按规范要求进行，尽量消除跑、冒、滴、漏。</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）裂解油运输管理措施</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裂解油的运输应采用安全性能优良的专用运输槽车，并经检测、检验合格，方可使用。槽罐以及其他容器必须封口严密，能够承受正常运输条件下产生的内部压力和外部压力，保证在运输中不因温度、湿度或者压力的变化而发生任何渗（洒）漏。同时车上要配备必要的防毒器具和消防器材，预防事故发生。陆路运输，应选择合理的运输路线，尽量避开饮用水源保护区、人口稠密区及居民生活区等环境敏感区域；同时对槽车的驾驶员要进行严格的有关安全知识培训和资格认证。装卸作业必须在装卸管理人员的现场指挥下进行。</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）事故排放措施</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①紧急切断设施</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该项目裂解系统、裂解油灌装过程中，需设置有紧急切断设施。</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②废水（液）事故防火堤的设置</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为防止生产厂房内发生裂解油泄漏，建议厂房内设置泄漏物料收集措施。</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③事故池</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本次评价参照中国石油天然气集团公司企业标准《事故状态下水体污染的预防与控 制技术要求》（</w:t>
            </w:r>
            <w:r>
              <w:rPr>
                <w:color w:val="000000" w:themeColor="text1"/>
                <w:sz w:val="24"/>
                <w:szCs w:val="24"/>
                <w14:textFill>
                  <w14:solidFill>
                    <w14:schemeClr w14:val="tx1"/>
                  </w14:solidFill>
                </w14:textFill>
              </w:rPr>
              <w:t>Q/SY 08190-2019</w:t>
            </w:r>
            <w:r>
              <w:rPr>
                <w:rFonts w:hint="eastAsia"/>
                <w:color w:val="000000" w:themeColor="text1"/>
                <w:sz w:val="24"/>
                <w:szCs w:val="24"/>
                <w14:textFill>
                  <w14:solidFill>
                    <w14:schemeClr w14:val="tx1"/>
                  </w14:solidFill>
                </w14:textFill>
              </w:rPr>
              <w:t>），计算项目建成后环境风险事故废水的产生量，计算过程如下：</w:t>
            </w:r>
          </w:p>
          <w:p>
            <w:pPr>
              <w:pStyle w:val="3"/>
              <w:numPr>
                <w:ilvl w:val="0"/>
                <w:numId w:val="0"/>
              </w:num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总</w:t>
            </w:r>
            <w:r>
              <w:rPr>
                <w:rFonts w:hint="eastAsia"/>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w:t>
            </w:r>
            <w:r>
              <w:rPr>
                <w:rFonts w:hint="eastAsia"/>
                <w:color w:val="000000" w:themeColor="text1"/>
                <w:sz w:val="24"/>
                <w:vertAlign w:val="subscript"/>
                <w14:textFill>
                  <w14:solidFill>
                    <w14:schemeClr w14:val="tx1"/>
                  </w14:solidFill>
                </w14:textFill>
              </w:rPr>
              <w:t>max</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4</w:t>
            </w: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5</w:t>
            </w:r>
          </w:p>
          <w:p>
            <w:pPr>
              <w:pStyle w:val="3"/>
              <w:numPr>
                <w:ilvl w:val="0"/>
                <w:numId w:val="0"/>
              </w:num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式中：V</w:t>
            </w:r>
            <w:r>
              <w:rPr>
                <w:color w:val="000000" w:themeColor="text1"/>
                <w:sz w:val="24"/>
                <w:vertAlign w:val="subscript"/>
                <w14:textFill>
                  <w14:solidFill>
                    <w14:schemeClr w14:val="tx1"/>
                  </w14:solidFill>
                </w14:textFill>
              </w:rPr>
              <w:t>1</w:t>
            </w:r>
            <w:r>
              <w:rPr>
                <w:rFonts w:hint="eastAsia"/>
                <w:color w:val="000000" w:themeColor="text1"/>
                <w:sz w:val="24"/>
                <w14:textFill>
                  <w14:solidFill>
                    <w14:schemeClr w14:val="tx1"/>
                  </w14:solidFill>
                </w14:textFill>
              </w:rPr>
              <w:t>—收集系统范围内发生事故的罐组或装置的物料量，m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pStyle w:val="3"/>
              <w:numPr>
                <w:ilvl w:val="0"/>
                <w:numId w:val="0"/>
              </w:numPr>
              <w:ind w:firstLine="1200" w:firstLineChars="5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—发生事故的储罐或装置的消防水量，m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pStyle w:val="3"/>
              <w:numPr>
                <w:ilvl w:val="0"/>
                <w:numId w:val="0"/>
              </w:numPr>
              <w:ind w:firstLine="1200" w:firstLineChars="5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—发生事故时可能转输到其他储存或处理设施的物料量，m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pStyle w:val="3"/>
              <w:numPr>
                <w:ilvl w:val="0"/>
                <w:numId w:val="0"/>
              </w:numPr>
              <w:ind w:firstLine="1200" w:firstLineChars="5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4</w:t>
            </w:r>
            <w:r>
              <w:rPr>
                <w:rFonts w:hint="eastAsia"/>
                <w:color w:val="000000" w:themeColor="text1"/>
                <w:sz w:val="24"/>
                <w14:textFill>
                  <w14:solidFill>
                    <w14:schemeClr w14:val="tx1"/>
                  </w14:solidFill>
                </w14:textFill>
              </w:rPr>
              <w:t>—发生事故时仍必须进入该收集系统的生产废水量，m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pStyle w:val="3"/>
              <w:numPr>
                <w:ilvl w:val="0"/>
                <w:numId w:val="0"/>
              </w:numPr>
              <w:ind w:firstLine="1200" w:firstLineChars="5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—发生事故时可能进入该收集系统的降雨量，m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由于本项目罐区设置</w:t>
            </w:r>
            <w:r>
              <w:rPr>
                <w:rFonts w:hint="eastAsia"/>
                <w:color w:val="000000" w:themeColor="text1"/>
                <w:sz w:val="24"/>
                <w:szCs w:val="24"/>
                <w:lang w:eastAsia="zh-CN"/>
                <w14:textFill>
                  <w14:solidFill>
                    <w14:schemeClr w14:val="tx1"/>
                  </w14:solidFill>
                </w14:textFill>
              </w:rPr>
              <w:t>防火堤</w:t>
            </w:r>
            <w:r>
              <w:rPr>
                <w:rFonts w:hint="eastAsia"/>
                <w:color w:val="000000" w:themeColor="text1"/>
                <w:sz w:val="24"/>
                <w:szCs w:val="24"/>
                <w14:textFill>
                  <w14:solidFill>
                    <w14:schemeClr w14:val="tx1"/>
                  </w14:solidFill>
                </w14:textFill>
              </w:rPr>
              <w:t>，其有效容积较大，故本次评价分别计算罐区着火及装置区着火事故废水产生量，选取较大值作为事故水池容积设计依据。</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A、物料量V</w:t>
            </w:r>
            <w:r>
              <w:rPr>
                <w:color w:val="000000" w:themeColor="text1"/>
                <w:sz w:val="24"/>
                <w:szCs w:val="24"/>
                <w:vertAlign w:val="subscript"/>
                <w14:textFill>
                  <w14:solidFill>
                    <w14:schemeClr w14:val="tx1"/>
                  </w14:solidFill>
                </w14:textFill>
              </w:rPr>
              <w:t>1</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泄漏物料量，考虑储油罐区发生事故时，物料最大泄漏量，储罐区按单罐泄漏量（40</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储罐充填系数0</w:t>
            </w:r>
            <w:r>
              <w:rPr>
                <w:color w:val="000000" w:themeColor="text1"/>
                <w:sz w:val="24"/>
                <w:szCs w:val="24"/>
                <w14:textFill>
                  <w14:solidFill>
                    <w14:schemeClr w14:val="tx1"/>
                  </w14:solidFill>
                </w14:textFill>
              </w:rPr>
              <w:t>.85</w:t>
            </w:r>
            <w:r>
              <w:rPr>
                <w:rFonts w:hint="eastAsia"/>
                <w:color w:val="000000" w:themeColor="text1"/>
                <w:sz w:val="24"/>
                <w:szCs w:val="24"/>
                <w14:textFill>
                  <w14:solidFill>
                    <w14:schemeClr w14:val="tx1"/>
                  </w14:solidFill>
                </w14:textFill>
              </w:rPr>
              <w:t>）为</w:t>
            </w:r>
            <w:r>
              <w:rPr>
                <w:color w:val="000000" w:themeColor="text1"/>
                <w:sz w:val="24"/>
                <w:szCs w:val="24"/>
                <w14:textFill>
                  <w14:solidFill>
                    <w14:schemeClr w14:val="tx1"/>
                  </w14:solidFill>
                </w14:textFill>
              </w:rPr>
              <w:t>340</w:t>
            </w:r>
            <w:r>
              <w:rPr>
                <w:rFonts w:hint="eastAsia"/>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，则V</w:t>
            </w:r>
            <w:r>
              <w:rPr>
                <w:color w:val="000000" w:themeColor="text1"/>
                <w:sz w:val="24"/>
                <w:szCs w:val="24"/>
                <w:vertAlign w:val="subscript"/>
                <w14:textFill>
                  <w14:solidFill>
                    <w14:schemeClr w14:val="tx1"/>
                  </w14:solidFill>
                </w14:textFill>
              </w:rPr>
              <w:t>1</w:t>
            </w:r>
            <w:r>
              <w:rPr>
                <w:color w:val="000000" w:themeColor="text1"/>
                <w:sz w:val="24"/>
                <w:szCs w:val="24"/>
                <w14:textFill>
                  <w14:solidFill>
                    <w14:schemeClr w14:val="tx1"/>
                  </w14:solidFill>
                </w14:textFill>
              </w:rPr>
              <w:t>=340</w:t>
            </w:r>
            <w:r>
              <w:rPr>
                <w:rFonts w:hint="eastAsia"/>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B、消防水量V</w:t>
            </w:r>
            <w:r>
              <w:rPr>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—发生事故的储罐或装置的消防设施给水水量。根据《石油化工企业设计防火规范》（G</w:t>
            </w:r>
            <w:r>
              <w:rPr>
                <w:color w:val="000000" w:themeColor="text1"/>
                <w:sz w:val="24"/>
                <w:szCs w:val="24"/>
                <w14:textFill>
                  <w14:solidFill>
                    <w14:schemeClr w14:val="tx1"/>
                  </w14:solidFill>
                </w14:textFill>
              </w:rPr>
              <w:t>B 50160-2018</w:t>
            </w:r>
            <w:r>
              <w:rPr>
                <w:rFonts w:hint="eastAsia"/>
                <w:color w:val="000000" w:themeColor="text1"/>
                <w:sz w:val="24"/>
                <w:szCs w:val="24"/>
                <w14:textFill>
                  <w14:solidFill>
                    <w14:schemeClr w14:val="tx1"/>
                  </w14:solidFill>
                </w14:textFill>
              </w:rPr>
              <w:t>），项目占地面积小于1</w:t>
            </w:r>
            <w:r>
              <w:rPr>
                <w:color w:val="000000" w:themeColor="text1"/>
                <w:sz w:val="24"/>
                <w:szCs w:val="24"/>
                <w14:textFill>
                  <w14:solidFill>
                    <w14:schemeClr w14:val="tx1"/>
                  </w14:solidFill>
                </w14:textFill>
              </w:rPr>
              <w:t>00</w:t>
            </w:r>
            <w:r>
              <w:rPr>
                <w:rFonts w:hint="eastAsia"/>
                <w:color w:val="000000" w:themeColor="text1"/>
                <w:sz w:val="24"/>
                <w:szCs w:val="24"/>
                <w14:textFill>
                  <w14:solidFill>
                    <w14:schemeClr w14:val="tx1"/>
                  </w14:solidFill>
                </w14:textFill>
              </w:rPr>
              <w:t>万m</w:t>
            </w:r>
            <w:r>
              <w:rPr>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，厂区内同时发生火灾的处数为1处。</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消防水用量最大处为罐区发生火灾。消防用水量（采用泡沫混合液灭火）按</w:t>
            </w:r>
            <w:r>
              <w:rPr>
                <w:color w:val="000000" w:themeColor="text1"/>
                <w:sz w:val="24"/>
                <w:szCs w:val="24"/>
                <w14:textFill>
                  <w14:solidFill>
                    <w14:schemeClr w14:val="tx1"/>
                  </w14:solidFill>
                </w14:textFill>
              </w:rPr>
              <w:t>50L/</w:t>
            </w:r>
            <w:r>
              <w:rPr>
                <w:rFonts w:hint="eastAsia"/>
                <w:color w:val="000000" w:themeColor="text1"/>
                <w:sz w:val="24"/>
                <w:szCs w:val="24"/>
                <w14:textFill>
                  <w14:solidFill>
                    <w14:schemeClr w14:val="tx1"/>
                  </w14:solidFill>
                </w14:textFill>
              </w:rPr>
              <w:t>s计，火灾延续供水时间不宜小于2h；着火罐冷却用水量为</w:t>
            </w:r>
            <w:r>
              <w:rPr>
                <w:color w:val="000000" w:themeColor="text1"/>
                <w:sz w:val="24"/>
                <w:szCs w:val="24"/>
                <w14:textFill>
                  <w14:solidFill>
                    <w14:schemeClr w14:val="tx1"/>
                  </w14:solidFill>
                </w14:textFill>
              </w:rPr>
              <w:t>0.8L/</w:t>
            </w:r>
            <w:r>
              <w:rPr>
                <w:rFonts w:hint="eastAsia"/>
                <w:color w:val="000000" w:themeColor="text1"/>
                <w:sz w:val="24"/>
                <w:szCs w:val="24"/>
                <w14:textFill>
                  <w14:solidFill>
                    <w14:schemeClr w14:val="tx1"/>
                  </w14:solidFill>
                </w14:textFill>
              </w:rPr>
              <w:t>s·m罐周全长，临近罐冷却水用量为</w:t>
            </w:r>
            <w:r>
              <w:rPr>
                <w:color w:val="000000" w:themeColor="text1"/>
                <w:sz w:val="24"/>
                <w:szCs w:val="24"/>
                <w14:textFill>
                  <w14:solidFill>
                    <w14:schemeClr w14:val="tx1"/>
                  </w14:solidFill>
                </w14:textFill>
              </w:rPr>
              <w:t>0.6L/</w:t>
            </w:r>
            <w:r>
              <w:rPr>
                <w:rFonts w:hint="eastAsia"/>
                <w:color w:val="000000" w:themeColor="text1"/>
                <w:sz w:val="24"/>
                <w:szCs w:val="24"/>
                <w14:textFill>
                  <w14:solidFill>
                    <w14:schemeClr w14:val="tx1"/>
                  </w14:solidFill>
                </w14:textFill>
              </w:rPr>
              <w:t>s·m罐周全长，火灾延续供水时间不应小于4h，项目单个储油罐周全长为2</w:t>
            </w:r>
            <w:r>
              <w:rPr>
                <w:color w:val="000000" w:themeColor="text1"/>
                <w:sz w:val="24"/>
                <w:szCs w:val="24"/>
                <w14:textFill>
                  <w14:solidFill>
                    <w14:schemeClr w14:val="tx1"/>
                  </w14:solidFill>
                </w14:textFill>
              </w:rPr>
              <w:t>8.26</w:t>
            </w:r>
            <w:r>
              <w:rPr>
                <w:rFonts w:hint="eastAsia"/>
                <w:color w:val="000000" w:themeColor="text1"/>
                <w:sz w:val="24"/>
                <w:szCs w:val="24"/>
                <w14:textFill>
                  <w14:solidFill>
                    <w14:schemeClr w14:val="tx1"/>
                  </w14:solidFill>
                </w14:textFill>
              </w:rPr>
              <w:t>m，则消防废水量合计</w:t>
            </w:r>
            <w:r>
              <w:rPr>
                <w:color w:val="000000" w:themeColor="text1"/>
                <w:sz w:val="24"/>
                <w:szCs w:val="24"/>
                <w14:textFill>
                  <w14:solidFill>
                    <w14:schemeClr w14:val="tx1"/>
                  </w14:solidFill>
                </w14:textFill>
              </w:rPr>
              <w:t>1174</w:t>
            </w:r>
            <w:r>
              <w:rPr>
                <w:rFonts w:hint="eastAsia"/>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b</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装置区发生火灾时消防水用量为</w:t>
            </w:r>
            <w:r>
              <w:rPr>
                <w:color w:val="000000" w:themeColor="text1"/>
                <w:sz w:val="24"/>
                <w:szCs w:val="24"/>
                <w14:textFill>
                  <w14:solidFill>
                    <w14:schemeClr w14:val="tx1"/>
                  </w14:solidFill>
                </w14:textFill>
              </w:rPr>
              <w:t>90L/</w:t>
            </w:r>
            <w:r>
              <w:rPr>
                <w:rFonts w:hint="eastAsia"/>
                <w:color w:val="000000" w:themeColor="text1"/>
                <w:sz w:val="24"/>
                <w:szCs w:val="24"/>
                <w14:textFill>
                  <w14:solidFill>
                    <w14:schemeClr w14:val="tx1"/>
                  </w14:solidFill>
                </w14:textFill>
              </w:rPr>
              <w:t>s，火灾延续供水时间不应小于3h，则消防废水产生量为</w:t>
            </w:r>
            <w:r>
              <w:rPr>
                <w:color w:val="000000" w:themeColor="text1"/>
                <w:sz w:val="24"/>
                <w:szCs w:val="24"/>
                <w14:textFill>
                  <w14:solidFill>
                    <w14:schemeClr w14:val="tx1"/>
                  </w14:solidFill>
                </w14:textFill>
              </w:rPr>
              <w:t>975</w:t>
            </w:r>
            <w:r>
              <w:rPr>
                <w:rFonts w:hint="eastAsia"/>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C、罐区设置1</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m围堰，罐区面积1</w:t>
            </w:r>
            <w:r>
              <w:rPr>
                <w:color w:val="000000" w:themeColor="text1"/>
                <w:sz w:val="24"/>
                <w:szCs w:val="24"/>
                <w14:textFill>
                  <w14:solidFill>
                    <w14:schemeClr w14:val="tx1"/>
                  </w14:solidFill>
                </w14:textFill>
              </w:rPr>
              <w:t>600</w:t>
            </w:r>
            <w:r>
              <w:rPr>
                <w:rFonts w:hint="eastAsia"/>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，围堰有效容积V</w:t>
            </w:r>
            <w:r>
              <w:rPr>
                <w:color w:val="000000" w:themeColor="text1"/>
                <w:sz w:val="24"/>
                <w:szCs w:val="24"/>
                <w:vertAlign w:val="subscript"/>
                <w14:textFill>
                  <w14:solidFill>
                    <w14:schemeClr w14:val="tx1"/>
                  </w14:solidFill>
                </w14:textFill>
              </w:rPr>
              <w:t>3</w:t>
            </w:r>
            <w:r>
              <w:rPr>
                <w:color w:val="000000" w:themeColor="text1"/>
                <w:sz w:val="24"/>
                <w:szCs w:val="24"/>
                <w14:textFill>
                  <w14:solidFill>
                    <w14:schemeClr w14:val="tx1"/>
                  </w14:solidFill>
                </w14:textFill>
              </w:rPr>
              <w:t>=1538</w:t>
            </w:r>
            <w:r>
              <w:rPr>
                <w:rFonts w:hint="eastAsia"/>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D、发生事故时，将本项目生产废水</w:t>
            </w:r>
            <w:r>
              <w:rPr>
                <w:color w:val="000000" w:themeColor="text1"/>
                <w:sz w:val="24"/>
                <w:szCs w:val="24"/>
                <w14:textFill>
                  <w14:solidFill>
                    <w14:schemeClr w14:val="tx1"/>
                  </w14:solidFill>
                </w14:textFill>
              </w:rPr>
              <w:t>12.1</w:t>
            </w:r>
            <w:r>
              <w:rPr>
                <w:rFonts w:hint="eastAsia"/>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d收集至事故池，V</w:t>
            </w:r>
            <w:r>
              <w:rPr>
                <w:color w:val="000000" w:themeColor="text1"/>
                <w:sz w:val="24"/>
                <w:szCs w:val="24"/>
                <w:vertAlign w:val="subscript"/>
                <w14:textFill>
                  <w14:solidFill>
                    <w14:schemeClr w14:val="tx1"/>
                  </w14:solidFill>
                </w14:textFill>
              </w:rPr>
              <w:t>4</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12.1</w:t>
            </w:r>
            <w:r>
              <w:rPr>
                <w:rFonts w:hint="eastAsia"/>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E事故雨水量V</w:t>
            </w:r>
            <w:r>
              <w:rPr>
                <w:color w:val="000000" w:themeColor="text1"/>
                <w:sz w:val="24"/>
                <w:szCs w:val="24"/>
                <w:vertAlign w:val="subscript"/>
                <w14:textFill>
                  <w14:solidFill>
                    <w14:schemeClr w14:val="tx1"/>
                  </w14:solidFill>
                </w14:textFill>
              </w:rPr>
              <w:t>5</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10</w:t>
            </w:r>
            <w:r>
              <w:rPr>
                <w:rFonts w:hint="eastAsia"/>
                <w:color w:val="000000" w:themeColor="text1"/>
                <w:sz w:val="24"/>
                <w:szCs w:val="24"/>
                <w14:textFill>
                  <w14:solidFill>
                    <w14:schemeClr w14:val="tx1"/>
                  </w14:solidFill>
                </w14:textFill>
              </w:rPr>
              <w:t>q</w:t>
            </w:r>
            <w:r>
              <w:rPr>
                <w:color w:val="000000" w:themeColor="text1"/>
                <w:sz w:val="24"/>
                <w:szCs w:val="24"/>
                <w14:textFill>
                  <w14:solidFill>
                    <w14:schemeClr w14:val="tx1"/>
                  </w14:solidFill>
                </w14:textFill>
              </w:rPr>
              <w:t>F</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式中：q—降雨强度，mm按平均日降雨量，q=qa</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n；</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qa—年平均降雨量，mm；</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n—年平均降雨日数，天。</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F—必须进入事故废水收集系统的雨水汇水面积，ha。</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按照一次初期雨水量计，V</w:t>
            </w:r>
            <w:r>
              <w:rPr>
                <w:color w:val="000000" w:themeColor="text1"/>
                <w:sz w:val="24"/>
                <w:szCs w:val="24"/>
                <w:vertAlign w:val="subscript"/>
                <w14:textFill>
                  <w14:solidFill>
                    <w14:schemeClr w14:val="tx1"/>
                  </w14:solidFill>
                </w14:textFill>
              </w:rPr>
              <w:t>5</w:t>
            </w:r>
            <w:r>
              <w:rPr>
                <w:color w:val="000000" w:themeColor="text1"/>
                <w:sz w:val="24"/>
                <w:szCs w:val="24"/>
                <w14:textFill>
                  <w14:solidFill>
                    <w14:schemeClr w14:val="tx1"/>
                  </w14:solidFill>
                </w14:textFill>
              </w:rPr>
              <w:t>=709</w:t>
            </w:r>
            <w:r>
              <w:rPr>
                <w:rFonts w:hint="eastAsia"/>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经计算事故水池容积为：</w:t>
            </w:r>
          </w:p>
          <w:p>
            <w:pPr>
              <w:pStyle w:val="2"/>
              <w:spacing w:before="0" w:after="0" w:line="360" w:lineRule="auto"/>
              <w:ind w:right="0" w:firstLine="480" w:firstLineChars="200"/>
              <w:rPr>
                <w:color w:val="FF0000"/>
                <w:sz w:val="24"/>
                <w:szCs w:val="24"/>
              </w:rPr>
            </w:pPr>
            <w:r>
              <w:rPr>
                <w:rFonts w:hint="eastAsia"/>
                <w:color w:val="FF0000"/>
                <w:sz w:val="24"/>
                <w:szCs w:val="24"/>
              </w:rPr>
              <w:t>罐区着火：V</w:t>
            </w:r>
            <w:r>
              <w:rPr>
                <w:rFonts w:hint="eastAsia"/>
                <w:color w:val="FF0000"/>
                <w:sz w:val="24"/>
                <w:szCs w:val="24"/>
                <w:vertAlign w:val="subscript"/>
              </w:rPr>
              <w:t>总</w:t>
            </w:r>
            <w:r>
              <w:rPr>
                <w:rFonts w:hint="eastAsia"/>
                <w:color w:val="FF0000"/>
                <w:sz w:val="24"/>
                <w:szCs w:val="24"/>
              </w:rPr>
              <w:t>=（</w:t>
            </w:r>
            <w:r>
              <w:rPr>
                <w:color w:val="FF0000"/>
                <w:sz w:val="24"/>
                <w:szCs w:val="24"/>
              </w:rPr>
              <w:t>340</w:t>
            </w:r>
            <w:r>
              <w:rPr>
                <w:rFonts w:hint="eastAsia"/>
                <w:color w:val="FF0000"/>
                <w:sz w:val="24"/>
                <w:szCs w:val="24"/>
              </w:rPr>
              <w:t>+</w:t>
            </w:r>
            <w:r>
              <w:rPr>
                <w:color w:val="FF0000"/>
                <w:sz w:val="24"/>
                <w:szCs w:val="24"/>
              </w:rPr>
              <w:t>1174</w:t>
            </w:r>
            <w:r>
              <w:rPr>
                <w:rFonts w:hint="eastAsia"/>
                <w:color w:val="FF0000"/>
                <w:sz w:val="24"/>
                <w:szCs w:val="24"/>
              </w:rPr>
              <w:t>-</w:t>
            </w:r>
            <w:r>
              <w:rPr>
                <w:color w:val="FF0000"/>
                <w:sz w:val="24"/>
                <w:szCs w:val="24"/>
              </w:rPr>
              <w:t>1538</w:t>
            </w:r>
            <w:r>
              <w:rPr>
                <w:rFonts w:hint="eastAsia"/>
                <w:color w:val="FF0000"/>
                <w:sz w:val="24"/>
                <w:szCs w:val="24"/>
              </w:rPr>
              <w:t>）+</w:t>
            </w:r>
            <w:r>
              <w:rPr>
                <w:color w:val="FF0000"/>
                <w:sz w:val="24"/>
                <w:szCs w:val="24"/>
              </w:rPr>
              <w:t>12.1</w:t>
            </w:r>
            <w:r>
              <w:rPr>
                <w:rFonts w:hint="eastAsia"/>
                <w:color w:val="FF0000"/>
                <w:sz w:val="24"/>
                <w:szCs w:val="24"/>
              </w:rPr>
              <w:t>+</w:t>
            </w:r>
            <w:r>
              <w:rPr>
                <w:color w:val="FF0000"/>
                <w:sz w:val="24"/>
                <w:szCs w:val="24"/>
              </w:rPr>
              <w:t>709</w:t>
            </w:r>
            <w:r>
              <w:rPr>
                <w:rFonts w:hint="eastAsia"/>
                <w:color w:val="FF0000"/>
                <w:sz w:val="24"/>
                <w:szCs w:val="24"/>
              </w:rPr>
              <w:t>=</w:t>
            </w:r>
            <w:r>
              <w:rPr>
                <w:color w:val="FF0000"/>
                <w:sz w:val="24"/>
                <w:szCs w:val="24"/>
              </w:rPr>
              <w:t>697.1</w:t>
            </w:r>
            <w:r>
              <w:rPr>
                <w:rFonts w:hint="eastAsia"/>
                <w:color w:val="FF0000"/>
                <w:sz w:val="24"/>
                <w:szCs w:val="24"/>
              </w:rPr>
              <w:t>m</w:t>
            </w:r>
            <w:r>
              <w:rPr>
                <w:color w:val="FF0000"/>
                <w:sz w:val="24"/>
                <w:szCs w:val="24"/>
                <w:vertAlign w:val="superscript"/>
              </w:rPr>
              <w:t>3</w:t>
            </w:r>
            <w:r>
              <w:rPr>
                <w:rFonts w:hint="eastAsia"/>
                <w:color w:val="FF0000"/>
                <w:sz w:val="24"/>
                <w:szCs w:val="24"/>
              </w:rPr>
              <w:t>。</w:t>
            </w:r>
          </w:p>
          <w:p>
            <w:pPr>
              <w:pStyle w:val="2"/>
              <w:spacing w:before="0" w:after="0" w:line="360" w:lineRule="auto"/>
              <w:ind w:right="0" w:firstLine="480" w:firstLineChars="200"/>
              <w:rPr>
                <w:color w:val="FF0000"/>
                <w:sz w:val="24"/>
                <w:szCs w:val="24"/>
              </w:rPr>
            </w:pPr>
            <w:r>
              <w:rPr>
                <w:rFonts w:hint="eastAsia"/>
                <w:color w:val="FF0000"/>
                <w:sz w:val="24"/>
                <w:szCs w:val="24"/>
              </w:rPr>
              <w:t>装置区着火：V</w:t>
            </w:r>
            <w:r>
              <w:rPr>
                <w:rFonts w:hint="eastAsia"/>
                <w:color w:val="FF0000"/>
                <w:sz w:val="24"/>
                <w:szCs w:val="24"/>
                <w:vertAlign w:val="subscript"/>
              </w:rPr>
              <w:t>总</w:t>
            </w:r>
            <w:r>
              <w:rPr>
                <w:rFonts w:hint="eastAsia"/>
                <w:color w:val="FF0000"/>
                <w:sz w:val="24"/>
                <w:szCs w:val="24"/>
              </w:rPr>
              <w:t>=（</w:t>
            </w:r>
            <w:r>
              <w:rPr>
                <w:color w:val="FF0000"/>
                <w:sz w:val="24"/>
                <w:szCs w:val="24"/>
              </w:rPr>
              <w:t>340</w:t>
            </w:r>
            <w:r>
              <w:rPr>
                <w:rFonts w:hint="eastAsia"/>
                <w:color w:val="FF0000"/>
                <w:sz w:val="24"/>
                <w:szCs w:val="24"/>
              </w:rPr>
              <w:t>+</w:t>
            </w:r>
            <w:r>
              <w:rPr>
                <w:color w:val="FF0000"/>
                <w:sz w:val="24"/>
                <w:szCs w:val="24"/>
              </w:rPr>
              <w:t>975</w:t>
            </w:r>
            <w:r>
              <w:rPr>
                <w:rFonts w:hint="eastAsia"/>
                <w:color w:val="FF0000"/>
                <w:sz w:val="24"/>
                <w:szCs w:val="24"/>
              </w:rPr>
              <w:t>-</w:t>
            </w:r>
            <w:r>
              <w:rPr>
                <w:color w:val="FF0000"/>
                <w:sz w:val="24"/>
                <w:szCs w:val="24"/>
              </w:rPr>
              <w:t>1538</w:t>
            </w:r>
            <w:r>
              <w:rPr>
                <w:rFonts w:hint="eastAsia"/>
                <w:color w:val="FF0000"/>
                <w:sz w:val="24"/>
                <w:szCs w:val="24"/>
              </w:rPr>
              <w:t>）+</w:t>
            </w:r>
            <w:r>
              <w:rPr>
                <w:color w:val="FF0000"/>
                <w:sz w:val="24"/>
                <w:szCs w:val="24"/>
              </w:rPr>
              <w:t>12.1</w:t>
            </w:r>
            <w:r>
              <w:rPr>
                <w:rFonts w:hint="eastAsia"/>
                <w:color w:val="FF0000"/>
                <w:sz w:val="24"/>
                <w:szCs w:val="24"/>
              </w:rPr>
              <w:t>+</w:t>
            </w:r>
            <w:r>
              <w:rPr>
                <w:color w:val="FF0000"/>
                <w:sz w:val="24"/>
                <w:szCs w:val="24"/>
              </w:rPr>
              <w:t>710</w:t>
            </w:r>
            <w:r>
              <w:rPr>
                <w:rFonts w:hint="eastAsia"/>
                <w:color w:val="FF0000"/>
                <w:sz w:val="24"/>
                <w:szCs w:val="24"/>
              </w:rPr>
              <w:t>=</w:t>
            </w:r>
            <w:r>
              <w:rPr>
                <w:color w:val="FF0000"/>
                <w:sz w:val="24"/>
                <w:szCs w:val="24"/>
              </w:rPr>
              <w:t>498.1</w:t>
            </w:r>
            <w:r>
              <w:rPr>
                <w:rFonts w:hint="eastAsia"/>
                <w:color w:val="FF0000"/>
                <w:sz w:val="24"/>
                <w:szCs w:val="24"/>
              </w:rPr>
              <w:t>m</w:t>
            </w:r>
            <w:r>
              <w:rPr>
                <w:color w:val="FF0000"/>
                <w:sz w:val="24"/>
                <w:szCs w:val="24"/>
                <w:vertAlign w:val="superscript"/>
              </w:rPr>
              <w:t>3</w:t>
            </w:r>
            <w:r>
              <w:rPr>
                <w:rFonts w:hint="eastAsia"/>
                <w:color w:val="FF0000"/>
                <w:sz w:val="24"/>
                <w:szCs w:val="24"/>
              </w:rPr>
              <w:t>。</w:t>
            </w:r>
          </w:p>
          <w:p>
            <w:pPr>
              <w:pStyle w:val="2"/>
              <w:spacing w:before="0" w:after="0" w:line="360" w:lineRule="auto"/>
              <w:ind w:right="0" w:firstLine="480" w:firstLineChars="200"/>
              <w:rPr>
                <w:color w:val="FF0000"/>
                <w:sz w:val="24"/>
                <w:szCs w:val="24"/>
              </w:rPr>
            </w:pPr>
            <w:r>
              <w:rPr>
                <w:rFonts w:hint="eastAsia"/>
                <w:color w:val="FF0000"/>
                <w:sz w:val="24"/>
                <w:szCs w:val="24"/>
              </w:rPr>
              <w:t>经计算，项目建成后全厂需进入事故水池的废水量最大约</w:t>
            </w:r>
            <w:r>
              <w:rPr>
                <w:color w:val="FF0000"/>
                <w:sz w:val="24"/>
                <w:szCs w:val="24"/>
              </w:rPr>
              <w:t>697.1</w:t>
            </w:r>
            <w:r>
              <w:rPr>
                <w:rFonts w:hint="eastAsia"/>
                <w:color w:val="FF0000"/>
                <w:sz w:val="24"/>
                <w:szCs w:val="24"/>
              </w:rPr>
              <w:t>m</w:t>
            </w:r>
            <w:r>
              <w:rPr>
                <w:color w:val="FF0000"/>
                <w:sz w:val="24"/>
                <w:szCs w:val="24"/>
                <w:vertAlign w:val="superscript"/>
              </w:rPr>
              <w:t>3</w:t>
            </w:r>
            <w:r>
              <w:rPr>
                <w:rFonts w:hint="eastAsia"/>
                <w:color w:val="FF0000"/>
                <w:sz w:val="24"/>
                <w:szCs w:val="24"/>
              </w:rPr>
              <w:t>。因此，事故状态下厂区事故池有效容积应不低于</w:t>
            </w:r>
            <w:r>
              <w:rPr>
                <w:color w:val="FF0000"/>
                <w:sz w:val="24"/>
                <w:szCs w:val="24"/>
              </w:rPr>
              <w:t>700</w:t>
            </w:r>
            <w:r>
              <w:rPr>
                <w:rFonts w:hint="eastAsia"/>
                <w:color w:val="FF0000"/>
                <w:sz w:val="24"/>
                <w:szCs w:val="24"/>
              </w:rPr>
              <w:t>m</w:t>
            </w:r>
            <w:r>
              <w:rPr>
                <w:color w:val="FF0000"/>
                <w:sz w:val="24"/>
                <w:szCs w:val="24"/>
                <w:vertAlign w:val="superscript"/>
              </w:rPr>
              <w:t>3</w:t>
            </w:r>
            <w:r>
              <w:rPr>
                <w:rFonts w:hint="eastAsia"/>
                <w:color w:val="FF0000"/>
                <w:sz w:val="24"/>
                <w:szCs w:val="24"/>
              </w:rPr>
              <w:t>。</w:t>
            </w:r>
            <w:r>
              <w:rPr>
                <w:rFonts w:hint="eastAsia"/>
                <w:color w:val="FF0000"/>
                <w:sz w:val="24"/>
              </w:rPr>
              <w:t>为了有效对项目事故废水收集，确保事故废水不外流，实现将污染控制在厂区内的目的。评价</w:t>
            </w:r>
            <w:r>
              <w:rPr>
                <w:color w:val="FF0000"/>
                <w:sz w:val="24"/>
              </w:rPr>
              <w:t>要求事故池进行硬化、防渗及地基处理，确保事故情况下不对外环境水体产生影响。另外，事故池应设防渗、导流系统，</w:t>
            </w:r>
            <w:r>
              <w:rPr>
                <w:rFonts w:hint="eastAsia"/>
                <w:color w:val="FF0000"/>
                <w:sz w:val="24"/>
              </w:rPr>
              <w:t>确保</w:t>
            </w:r>
            <w:r>
              <w:rPr>
                <w:color w:val="FF0000"/>
                <w:sz w:val="24"/>
              </w:rPr>
              <w:t>事故状态下</w:t>
            </w:r>
            <w:r>
              <w:rPr>
                <w:rFonts w:hint="eastAsia"/>
                <w:color w:val="FF0000"/>
                <w:sz w:val="24"/>
              </w:rPr>
              <w:t>的</w:t>
            </w:r>
            <w:r>
              <w:rPr>
                <w:color w:val="FF0000"/>
                <w:sz w:val="24"/>
              </w:rPr>
              <w:t>事故</w:t>
            </w:r>
            <w:r>
              <w:rPr>
                <w:rFonts w:hint="eastAsia"/>
                <w:color w:val="FF0000"/>
                <w:sz w:val="24"/>
              </w:rPr>
              <w:t>废水自流</w:t>
            </w:r>
            <w:r>
              <w:rPr>
                <w:color w:val="FF0000"/>
                <w:sz w:val="24"/>
              </w:rPr>
              <w:t>入事故池内，事故情况下消防水、污废水等不能随意外排，必须收集处理</w:t>
            </w:r>
            <w:r>
              <w:rPr>
                <w:rFonts w:hint="eastAsia"/>
                <w:color w:val="FF0000"/>
                <w:sz w:val="24"/>
                <w:szCs w:val="24"/>
              </w:rPr>
              <w:t>。</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（5）事故伴生/次生污染物环境污染防范措施</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当发生事故时往往会同时产生伴生</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次生污染物，这些污染物可能通过大气、水排放系统进入环境。发生事故时，要针对所产生的伴生</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次生污染物选用不同的消除方法。</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①生产厂房、原料库房发生泄漏或火灾事故，有消防废水产生，同时燃烧烟气中含有大量的粉尘、</w:t>
            </w:r>
            <w:r>
              <w:rPr>
                <w:color w:val="000000" w:themeColor="text1"/>
                <w:sz w:val="24"/>
                <w:szCs w:val="24"/>
                <w14:textFill>
                  <w14:solidFill>
                    <w14:schemeClr w14:val="tx1"/>
                  </w14:solidFill>
                </w14:textFill>
              </w:rPr>
              <w:t>CO</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x</w:t>
            </w:r>
            <w:r>
              <w:rPr>
                <w:rFonts w:hint="eastAsia"/>
                <w:color w:val="000000" w:themeColor="text1"/>
                <w:sz w:val="24"/>
                <w:szCs w:val="24"/>
                <w14:textFill>
                  <w14:solidFill>
                    <w14:schemeClr w14:val="tx1"/>
                  </w14:solidFill>
                </w14:textFill>
              </w:rPr>
              <w:t>等有害气体，受气象等条件的影响，会不同程度扩散，对周围环境产生不利影响。可将消防废水引入事故水池，根据废水中物料性质，采取预处理或回收利用的方式。若浓度高，用泵等收集设施进行回收；若浓度低，分批送污水处理厂处理达标后排放。泡沫覆盖物收集运至废物处理场所处置。严禁消防水将物料带入受纳水体。</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公路运输发生泄漏，事故处理中，区域内土壤将受到污染，有被污染的处置材料（如砂土等）及消防废水产生。将刮取受污染的表土及被污染的处置材料（如砂土）委托具有资质的危险废物处置单位对其处理。消防废水用罐车送至双桥园区污水处理厂处理。</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因此，厂区一旦发生突发泄漏或火灾爆炸事故后，不仅可能造成次生环境污染，而且在发生燃烧或爆炸后还可能会造成周边人群的伤亡事故。应根据实际情况及时采取应急措施加以施救，启动应急预案，最大限度降低事故带来的次生环境影响。</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（6）事故状态下水体污染“三级防控”体系</w:t>
            </w:r>
          </w:p>
          <w:p>
            <w:pPr>
              <w:pStyle w:val="2"/>
              <w:spacing w:before="0" w:after="0" w:line="360" w:lineRule="auto"/>
              <w:ind w:right="0" w:firstLine="480" w:firstLineChars="200"/>
              <w:rPr>
                <w:color w:val="FF0000"/>
                <w:sz w:val="24"/>
                <w:szCs w:val="24"/>
              </w:rPr>
            </w:pPr>
            <w:r>
              <w:rPr>
                <w:rFonts w:hint="eastAsia"/>
                <w:color w:val="FF0000"/>
                <w:sz w:val="24"/>
                <w:szCs w:val="24"/>
              </w:rPr>
              <w:t>依据生态环境部，并参照《事故状态下水体污染的预防与控制技术要求》（</w:t>
            </w:r>
            <w:r>
              <w:rPr>
                <w:color w:val="FF0000"/>
                <w:sz w:val="24"/>
                <w:szCs w:val="24"/>
              </w:rPr>
              <w:t>Q/SY1190-2009</w:t>
            </w:r>
            <w:r>
              <w:rPr>
                <w:rFonts w:hint="eastAsia"/>
                <w:color w:val="FF0000"/>
                <w:sz w:val="24"/>
                <w:szCs w:val="24"/>
              </w:rPr>
              <w:t>）中的相关要求，本项目要建立从污染源头、过程处理和最终排放的三级防控体系，防止环境风险事故造成水环境污染。</w:t>
            </w:r>
          </w:p>
          <w:p>
            <w:pPr>
              <w:pStyle w:val="2"/>
              <w:spacing w:before="0" w:after="0" w:line="360" w:lineRule="auto"/>
              <w:ind w:right="0" w:firstLine="480" w:firstLineChars="200"/>
              <w:rPr>
                <w:color w:val="FF0000"/>
                <w:sz w:val="24"/>
                <w:szCs w:val="24"/>
              </w:rPr>
            </w:pPr>
            <w:r>
              <w:rPr>
                <w:rFonts w:hint="eastAsia"/>
                <w:color w:val="FF0000"/>
                <w:sz w:val="24"/>
                <w:szCs w:val="24"/>
              </w:rPr>
              <w:t>项目三级防控体系的设置具体如下：</w:t>
            </w:r>
          </w:p>
          <w:p>
            <w:pPr>
              <w:pStyle w:val="2"/>
              <w:spacing w:before="0" w:after="0" w:line="360" w:lineRule="auto"/>
              <w:ind w:right="0" w:firstLine="480" w:firstLineChars="200"/>
              <w:rPr>
                <w:color w:val="FF0000"/>
                <w:sz w:val="24"/>
                <w:szCs w:val="24"/>
              </w:rPr>
            </w:pPr>
            <w:r>
              <w:rPr>
                <w:rFonts w:hint="eastAsia"/>
                <w:color w:val="FF0000"/>
                <w:sz w:val="24"/>
                <w:szCs w:val="24"/>
              </w:rPr>
              <w:t>一级防控措施：主要是将事故废水控制在事故风险源所在区域单元。该体系主要由储油罐区围堰、初期雨水收集池以及收集沟和管道等配套基础设施组成，方式污染雨水和轻微事故泄漏造成的环境污染。</w:t>
            </w:r>
          </w:p>
          <w:p>
            <w:pPr>
              <w:pStyle w:val="2"/>
              <w:spacing w:before="0" w:after="0" w:line="360" w:lineRule="auto"/>
              <w:ind w:right="0" w:firstLine="480" w:firstLineChars="200"/>
              <w:rPr>
                <w:b/>
                <w:color w:val="000000" w:themeColor="text1"/>
                <w:sz w:val="24"/>
                <w:szCs w:val="24"/>
                <w14:textFill>
                  <w14:solidFill>
                    <w14:schemeClr w14:val="tx1"/>
                  </w14:solidFill>
                </w14:textFill>
              </w:rPr>
            </w:pPr>
            <w:r>
              <w:rPr>
                <w:rFonts w:hint="eastAsia"/>
                <w:color w:val="FF0000"/>
                <w:sz w:val="24"/>
                <w:szCs w:val="24"/>
              </w:rPr>
              <w:t>二级防控措施：储罐区建</w:t>
            </w:r>
            <w:r>
              <w:rPr>
                <w:color w:val="FF0000"/>
                <w:sz w:val="24"/>
                <w:szCs w:val="24"/>
              </w:rPr>
              <w:t>1</w:t>
            </w:r>
            <w:r>
              <w:rPr>
                <w:rFonts w:hint="eastAsia"/>
                <w:color w:val="FF0000"/>
                <w:sz w:val="24"/>
                <w:szCs w:val="24"/>
              </w:rPr>
              <w:t>座事故水池（有效容积不小于</w:t>
            </w:r>
            <w:r>
              <w:rPr>
                <w:color w:val="FF0000"/>
                <w:sz w:val="24"/>
                <w:szCs w:val="24"/>
              </w:rPr>
              <w:t>700</w:t>
            </w:r>
            <w:r>
              <w:rPr>
                <w:rFonts w:hint="eastAsia"/>
                <w:color w:val="FF0000"/>
                <w:sz w:val="24"/>
                <w:szCs w:val="24"/>
              </w:rPr>
              <w:t>m</w:t>
            </w:r>
            <w:r>
              <w:rPr>
                <w:color w:val="FF0000"/>
                <w:sz w:val="24"/>
                <w:szCs w:val="24"/>
                <w:vertAlign w:val="superscript"/>
              </w:rPr>
              <w:t>3</w:t>
            </w:r>
            <w:r>
              <w:rPr>
                <w:rFonts w:hint="eastAsia"/>
                <w:color w:val="FF0000"/>
                <w:sz w:val="24"/>
                <w:szCs w:val="24"/>
              </w:rPr>
              <w:t>），用于事故情况下储存污水。事故状态下，全厂消防废水经由管网收集至事故水池；生产废水处理设施事故状态（出水不达标、池体泄漏等），对事故水进行收集。事故状态下，所有事故废水均于事故水池进行暂存，后期泵入生产废水处理设施进行处理。</w:t>
            </w:r>
          </w:p>
          <w:p>
            <w:pPr>
              <w:pStyle w:val="2"/>
              <w:spacing w:before="0" w:after="0" w:line="360" w:lineRule="auto"/>
              <w:ind w:right="0" w:firstLine="480" w:firstLineChars="200"/>
              <w:rPr>
                <w:color w:val="FF0000"/>
                <w:sz w:val="24"/>
                <w:szCs w:val="24"/>
              </w:rPr>
            </w:pPr>
            <w:r>
              <w:rPr>
                <w:rFonts w:hint="eastAsia"/>
                <w:color w:val="FF0000"/>
                <w:sz w:val="24"/>
                <w:szCs w:val="24"/>
              </w:rPr>
              <w:t>三级防控措施：是针对企业厂区防范能力有限而导致事故废水可能外溢厂界的应急处理。可根据实际情况实现企业与园区的应急预案联动。</w:t>
            </w:r>
          </w:p>
          <w:p>
            <w:pPr>
              <w:pStyle w:val="2"/>
              <w:spacing w:before="0" w:after="0" w:line="360" w:lineRule="auto"/>
              <w:ind w:right="0" w:firstLine="480" w:firstLineChars="200"/>
              <w:rPr>
                <w:color w:val="FF0000"/>
                <w:sz w:val="24"/>
                <w:szCs w:val="24"/>
              </w:rPr>
            </w:pPr>
            <w:r>
              <w:rPr>
                <w:rFonts w:hint="eastAsia"/>
                <w:color w:val="FF0000"/>
                <w:sz w:val="24"/>
                <w:szCs w:val="24"/>
              </w:rPr>
              <w:t>项目环境风险三级防控体系见表4.</w:t>
            </w:r>
            <w:r>
              <w:rPr>
                <w:color w:val="FF0000"/>
                <w:sz w:val="24"/>
                <w:szCs w:val="24"/>
              </w:rPr>
              <w:t>2</w:t>
            </w:r>
            <w:r>
              <w:rPr>
                <w:rFonts w:hint="eastAsia"/>
                <w:color w:val="FF0000"/>
                <w:sz w:val="24"/>
                <w:szCs w:val="24"/>
              </w:rPr>
              <w:t>-</w:t>
            </w:r>
            <w:r>
              <w:rPr>
                <w:color w:val="FF0000"/>
                <w:sz w:val="24"/>
                <w:szCs w:val="24"/>
              </w:rPr>
              <w:t>32</w:t>
            </w:r>
            <w:r>
              <w:rPr>
                <w:rFonts w:hint="eastAsia"/>
                <w:color w:val="FF0000"/>
                <w:sz w:val="24"/>
                <w:szCs w:val="24"/>
              </w:rPr>
              <w:t>。</w:t>
            </w:r>
          </w:p>
          <w:p>
            <w:pPr>
              <w:pStyle w:val="2"/>
              <w:spacing w:before="0" w:after="0" w:line="240" w:lineRule="auto"/>
              <w:ind w:right="0"/>
              <w:jc w:val="center"/>
              <w:rPr>
                <w:b/>
                <w:color w:val="FF0000"/>
                <w:sz w:val="24"/>
                <w:szCs w:val="24"/>
              </w:rPr>
            </w:pPr>
            <w:r>
              <w:rPr>
                <w:rFonts w:hint="eastAsia"/>
                <w:b/>
                <w:color w:val="FF0000"/>
                <w:sz w:val="24"/>
                <w:szCs w:val="24"/>
              </w:rPr>
              <w:t>表4.2-</w:t>
            </w:r>
            <w:r>
              <w:rPr>
                <w:b/>
                <w:color w:val="FF0000"/>
                <w:sz w:val="24"/>
                <w:szCs w:val="24"/>
              </w:rPr>
              <w:t xml:space="preserve">32  </w:t>
            </w:r>
            <w:r>
              <w:rPr>
                <w:rFonts w:hint="eastAsia"/>
                <w:b/>
                <w:color w:val="FF0000"/>
                <w:sz w:val="24"/>
                <w:szCs w:val="24"/>
              </w:rPr>
              <w:t>项目环境风险三级防控体系</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418"/>
              <w:gridCol w:w="6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
                    <w:spacing w:before="0" w:after="0" w:line="240" w:lineRule="auto"/>
                    <w:ind w:right="0"/>
                    <w:jc w:val="center"/>
                    <w:rPr>
                      <w:b/>
                      <w:color w:val="FF0000"/>
                      <w:sz w:val="21"/>
                      <w:szCs w:val="21"/>
                    </w:rPr>
                  </w:pPr>
                  <w:r>
                    <w:rPr>
                      <w:rFonts w:hint="eastAsia"/>
                      <w:b/>
                      <w:color w:val="FF0000"/>
                      <w:sz w:val="21"/>
                      <w:szCs w:val="21"/>
                    </w:rPr>
                    <w:t>序号</w:t>
                  </w:r>
                </w:p>
              </w:tc>
              <w:tc>
                <w:tcPr>
                  <w:tcW w:w="1418" w:type="dxa"/>
                  <w:vAlign w:val="center"/>
                </w:tcPr>
                <w:p>
                  <w:pPr>
                    <w:pStyle w:val="2"/>
                    <w:spacing w:before="0" w:after="0" w:line="240" w:lineRule="auto"/>
                    <w:ind w:right="0"/>
                    <w:jc w:val="center"/>
                    <w:rPr>
                      <w:b/>
                      <w:color w:val="FF0000"/>
                      <w:sz w:val="21"/>
                      <w:szCs w:val="21"/>
                    </w:rPr>
                  </w:pPr>
                  <w:r>
                    <w:rPr>
                      <w:rFonts w:hint="eastAsia"/>
                      <w:b/>
                      <w:color w:val="FF0000"/>
                      <w:sz w:val="21"/>
                      <w:szCs w:val="21"/>
                    </w:rPr>
                    <w:t>级别</w:t>
                  </w:r>
                </w:p>
              </w:tc>
              <w:tc>
                <w:tcPr>
                  <w:tcW w:w="6685" w:type="dxa"/>
                  <w:vAlign w:val="center"/>
                </w:tcPr>
                <w:p>
                  <w:pPr>
                    <w:pStyle w:val="2"/>
                    <w:spacing w:before="0" w:after="0" w:line="240" w:lineRule="auto"/>
                    <w:ind w:right="0"/>
                    <w:jc w:val="center"/>
                    <w:rPr>
                      <w:b/>
                      <w:color w:val="FF0000"/>
                      <w:sz w:val="21"/>
                      <w:szCs w:val="21"/>
                    </w:rPr>
                  </w:pPr>
                  <w:r>
                    <w:rPr>
                      <w:rFonts w:hint="eastAsia"/>
                      <w:b/>
                      <w:color w:val="FF0000"/>
                      <w:sz w:val="21"/>
                      <w:szCs w:val="21"/>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
                    <w:spacing w:before="0" w:after="0" w:line="240" w:lineRule="auto"/>
                    <w:ind w:right="0"/>
                    <w:jc w:val="center"/>
                    <w:rPr>
                      <w:color w:val="FF0000"/>
                      <w:sz w:val="21"/>
                      <w:szCs w:val="21"/>
                    </w:rPr>
                  </w:pPr>
                  <w:r>
                    <w:rPr>
                      <w:rFonts w:hint="eastAsia"/>
                      <w:color w:val="FF0000"/>
                      <w:sz w:val="21"/>
                      <w:szCs w:val="21"/>
                    </w:rPr>
                    <w:t>1</w:t>
                  </w:r>
                </w:p>
              </w:tc>
              <w:tc>
                <w:tcPr>
                  <w:tcW w:w="1418" w:type="dxa"/>
                  <w:vAlign w:val="center"/>
                </w:tcPr>
                <w:p>
                  <w:pPr>
                    <w:pStyle w:val="2"/>
                    <w:spacing w:before="0" w:after="0" w:line="240" w:lineRule="auto"/>
                    <w:ind w:right="0"/>
                    <w:jc w:val="center"/>
                    <w:rPr>
                      <w:color w:val="FF0000"/>
                      <w:sz w:val="21"/>
                      <w:szCs w:val="21"/>
                    </w:rPr>
                  </w:pPr>
                  <w:r>
                    <w:rPr>
                      <w:rFonts w:hint="eastAsia"/>
                      <w:color w:val="FF0000"/>
                      <w:sz w:val="21"/>
                      <w:szCs w:val="21"/>
                    </w:rPr>
                    <w:t>一级，单元</w:t>
                  </w:r>
                </w:p>
              </w:tc>
              <w:tc>
                <w:tcPr>
                  <w:tcW w:w="6685" w:type="dxa"/>
                  <w:vAlign w:val="center"/>
                </w:tcPr>
                <w:p>
                  <w:pPr>
                    <w:pStyle w:val="2"/>
                    <w:spacing w:before="0" w:after="0" w:line="240" w:lineRule="auto"/>
                    <w:ind w:right="0"/>
                    <w:jc w:val="center"/>
                    <w:rPr>
                      <w:color w:val="FF0000"/>
                      <w:sz w:val="21"/>
                      <w:szCs w:val="21"/>
                    </w:rPr>
                  </w:pPr>
                  <w:r>
                    <w:rPr>
                      <w:rFonts w:hint="eastAsia"/>
                      <w:color w:val="FF0000"/>
                      <w:sz w:val="21"/>
                      <w:szCs w:val="21"/>
                    </w:rPr>
                    <w:t>①初期雨水进入初期雨水收集池；同时雨水排放口设置切换阀，初期雨水收集时间1</w:t>
                  </w:r>
                  <w:r>
                    <w:rPr>
                      <w:color w:val="FF0000"/>
                      <w:sz w:val="21"/>
                      <w:szCs w:val="21"/>
                    </w:rPr>
                    <w:t>5</w:t>
                  </w:r>
                  <w:r>
                    <w:rPr>
                      <w:rFonts w:hint="eastAsia"/>
                      <w:color w:val="FF0000"/>
                      <w:sz w:val="21"/>
                      <w:szCs w:val="21"/>
                    </w:rPr>
                    <w:t>min，后段雨水进入雨水管网；②储油罐区、裂解油暂存罐设置围堰；③裂解车间、储油罐区等实施重点区域防渗。</w:t>
                  </w:r>
                  <w:r>
                    <w:rPr>
                      <w:color w:val="FF000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
                    <w:spacing w:before="0" w:after="0" w:line="240" w:lineRule="auto"/>
                    <w:ind w:right="0"/>
                    <w:jc w:val="center"/>
                    <w:rPr>
                      <w:color w:val="FF0000"/>
                      <w:sz w:val="21"/>
                      <w:szCs w:val="21"/>
                    </w:rPr>
                  </w:pPr>
                  <w:r>
                    <w:rPr>
                      <w:rFonts w:hint="eastAsia"/>
                      <w:color w:val="FF0000"/>
                      <w:sz w:val="21"/>
                      <w:szCs w:val="21"/>
                    </w:rPr>
                    <w:t>2</w:t>
                  </w:r>
                </w:p>
              </w:tc>
              <w:tc>
                <w:tcPr>
                  <w:tcW w:w="1418" w:type="dxa"/>
                  <w:vAlign w:val="center"/>
                </w:tcPr>
                <w:p>
                  <w:pPr>
                    <w:pStyle w:val="2"/>
                    <w:spacing w:before="0" w:after="0" w:line="240" w:lineRule="auto"/>
                    <w:ind w:right="0"/>
                    <w:jc w:val="center"/>
                    <w:rPr>
                      <w:color w:val="FF0000"/>
                      <w:sz w:val="21"/>
                      <w:szCs w:val="21"/>
                    </w:rPr>
                  </w:pPr>
                  <w:r>
                    <w:rPr>
                      <w:rFonts w:hint="eastAsia"/>
                      <w:color w:val="FF0000"/>
                      <w:sz w:val="21"/>
                      <w:szCs w:val="21"/>
                    </w:rPr>
                    <w:t>二级，厂区</w:t>
                  </w:r>
                </w:p>
              </w:tc>
              <w:tc>
                <w:tcPr>
                  <w:tcW w:w="6685" w:type="dxa"/>
                  <w:vAlign w:val="center"/>
                </w:tcPr>
                <w:p>
                  <w:pPr>
                    <w:pStyle w:val="2"/>
                    <w:spacing w:before="0" w:after="0" w:line="240" w:lineRule="auto"/>
                    <w:ind w:right="0"/>
                    <w:jc w:val="center"/>
                    <w:rPr>
                      <w:color w:val="FF0000"/>
                      <w:sz w:val="21"/>
                      <w:szCs w:val="21"/>
                    </w:rPr>
                  </w:pPr>
                  <w:r>
                    <w:rPr>
                      <w:rFonts w:hint="eastAsia"/>
                      <w:color w:val="FF0000"/>
                      <w:sz w:val="21"/>
                      <w:szCs w:val="21"/>
                    </w:rPr>
                    <w:t>厂区设置一个</w:t>
                  </w:r>
                  <w:r>
                    <w:rPr>
                      <w:color w:val="FF0000"/>
                      <w:sz w:val="21"/>
                      <w:szCs w:val="21"/>
                    </w:rPr>
                    <w:t>700</w:t>
                  </w:r>
                  <w:r>
                    <w:rPr>
                      <w:rFonts w:hint="eastAsia"/>
                      <w:color w:val="FF0000"/>
                      <w:sz w:val="21"/>
                      <w:szCs w:val="21"/>
                    </w:rPr>
                    <w:t>m</w:t>
                  </w:r>
                  <w:r>
                    <w:rPr>
                      <w:color w:val="FF0000"/>
                      <w:sz w:val="21"/>
                      <w:szCs w:val="21"/>
                      <w:vertAlign w:val="superscript"/>
                    </w:rPr>
                    <w:t>3</w:t>
                  </w:r>
                  <w:r>
                    <w:rPr>
                      <w:rFonts w:hint="eastAsia"/>
                      <w:color w:val="FF0000"/>
                      <w:sz w:val="21"/>
                      <w:szCs w:val="21"/>
                    </w:rPr>
                    <w:t>的事故池，收集全厂事故废水。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
                    <w:spacing w:before="0" w:after="0" w:line="240" w:lineRule="auto"/>
                    <w:ind w:right="0"/>
                    <w:jc w:val="center"/>
                    <w:rPr>
                      <w:color w:val="FF0000"/>
                      <w:sz w:val="21"/>
                      <w:szCs w:val="21"/>
                    </w:rPr>
                  </w:pPr>
                  <w:r>
                    <w:rPr>
                      <w:rFonts w:hint="eastAsia"/>
                      <w:color w:val="FF0000"/>
                      <w:sz w:val="21"/>
                      <w:szCs w:val="21"/>
                    </w:rPr>
                    <w:t>3</w:t>
                  </w:r>
                </w:p>
              </w:tc>
              <w:tc>
                <w:tcPr>
                  <w:tcW w:w="1418" w:type="dxa"/>
                  <w:vAlign w:val="center"/>
                </w:tcPr>
                <w:p>
                  <w:pPr>
                    <w:pStyle w:val="2"/>
                    <w:spacing w:before="0" w:after="0" w:line="240" w:lineRule="auto"/>
                    <w:ind w:right="0"/>
                    <w:jc w:val="center"/>
                    <w:rPr>
                      <w:color w:val="FF0000"/>
                      <w:sz w:val="21"/>
                      <w:szCs w:val="21"/>
                    </w:rPr>
                  </w:pPr>
                  <w:r>
                    <w:rPr>
                      <w:rFonts w:hint="eastAsia"/>
                      <w:color w:val="FF0000"/>
                      <w:sz w:val="21"/>
                      <w:szCs w:val="21"/>
                    </w:rPr>
                    <w:t>三级，园区</w:t>
                  </w:r>
                </w:p>
              </w:tc>
              <w:tc>
                <w:tcPr>
                  <w:tcW w:w="6685" w:type="dxa"/>
                  <w:vAlign w:val="center"/>
                </w:tcPr>
                <w:p>
                  <w:pPr>
                    <w:pStyle w:val="2"/>
                    <w:spacing w:before="0" w:after="0" w:line="240" w:lineRule="auto"/>
                    <w:ind w:right="0"/>
                    <w:jc w:val="center"/>
                    <w:rPr>
                      <w:color w:val="FF0000"/>
                      <w:sz w:val="21"/>
                      <w:szCs w:val="21"/>
                    </w:rPr>
                  </w:pPr>
                  <w:r>
                    <w:rPr>
                      <w:rFonts w:hint="eastAsia"/>
                      <w:color w:val="FF0000"/>
                      <w:sz w:val="21"/>
                      <w:szCs w:val="21"/>
                    </w:rPr>
                    <w:t>在发生了风险事故时，关闭雨水排口的切换阀，方式事故废水通过管网进入园区的雨水管网。项目事故废水可通过园区的水处理成进行处理。</w:t>
                  </w:r>
                </w:p>
              </w:tc>
            </w:tr>
          </w:tbl>
          <w:p>
            <w:pPr>
              <w:pStyle w:val="2"/>
              <w:spacing w:before="0" w:after="0" w:line="360" w:lineRule="auto"/>
              <w:ind w:right="0" w:firstLine="482" w:firstLineChars="200"/>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1</w:t>
            </w:r>
            <w:r>
              <w:rPr>
                <w:b/>
                <w:color w:val="000000" w:themeColor="text1"/>
                <w:sz w:val="24"/>
                <w:szCs w:val="24"/>
                <w14:textFill>
                  <w14:solidFill>
                    <w14:schemeClr w14:val="tx1"/>
                  </w14:solidFill>
                </w14:textFill>
              </w:rPr>
              <w:t>0</w:t>
            </w:r>
            <w:r>
              <w:rPr>
                <w:rFonts w:hint="eastAsia"/>
                <w:b/>
                <w:color w:val="000000" w:themeColor="text1"/>
                <w:sz w:val="24"/>
                <w:szCs w:val="24"/>
                <w14:textFill>
                  <w14:solidFill>
                    <w14:schemeClr w14:val="tx1"/>
                  </w14:solidFill>
                </w14:textFill>
              </w:rPr>
              <w:t>、突发环境事件应急预案编制要求</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依据《建设项目环境风险评价技术导则》（H</w:t>
            </w:r>
            <w:r>
              <w:rPr>
                <w:color w:val="000000" w:themeColor="text1"/>
                <w:sz w:val="24"/>
                <w:szCs w:val="24"/>
                <w14:textFill>
                  <w14:solidFill>
                    <w14:schemeClr w14:val="tx1"/>
                  </w14:solidFill>
                </w14:textFill>
              </w:rPr>
              <w:t>J 169-2018</w:t>
            </w:r>
            <w:r>
              <w:rPr>
                <w:rFonts w:hint="eastAsia"/>
                <w:color w:val="000000" w:themeColor="text1"/>
                <w:sz w:val="24"/>
                <w:szCs w:val="24"/>
                <w14:textFill>
                  <w14:solidFill>
                    <w14:schemeClr w14:val="tx1"/>
                  </w14:solidFill>
                </w14:textFill>
              </w:rPr>
              <w:t>），建设单位应制定环境风险事故应急预案，对项目应急预案的编制提出以下要求，以指导项目应急预案的编制工作，其主要内容见表</w:t>
            </w:r>
            <w:r>
              <w:rPr>
                <w:color w:val="000000" w:themeColor="text1"/>
                <w:sz w:val="24"/>
                <w:szCs w:val="24"/>
                <w14:textFill>
                  <w14:solidFill>
                    <w14:schemeClr w14:val="tx1"/>
                  </w14:solidFill>
                </w14:textFill>
              </w:rPr>
              <w:t>4.2</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33</w:t>
            </w:r>
            <w:r>
              <w:rPr>
                <w:rFonts w:hint="eastAsia"/>
                <w:color w:val="000000" w:themeColor="text1"/>
                <w:sz w:val="24"/>
                <w:szCs w:val="24"/>
                <w14:textFill>
                  <w14:solidFill>
                    <w14:schemeClr w14:val="tx1"/>
                  </w14:solidFill>
                </w14:textFill>
              </w:rPr>
              <w:t>。</w:t>
            </w:r>
          </w:p>
          <w:p>
            <w:pPr>
              <w:pStyle w:val="2"/>
              <w:spacing w:before="0" w:after="0" w:line="240" w:lineRule="auto"/>
              <w:ind w:right="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表4</w:t>
            </w:r>
            <w:r>
              <w:rPr>
                <w:b/>
                <w:color w:val="000000" w:themeColor="text1"/>
                <w:sz w:val="24"/>
                <w:szCs w:val="24"/>
                <w14:textFill>
                  <w14:solidFill>
                    <w14:schemeClr w14:val="tx1"/>
                  </w14:solidFill>
                </w14:textFill>
              </w:rPr>
              <w:t>.2</w:t>
            </w:r>
            <w:r>
              <w:rPr>
                <w:rFonts w:hint="eastAsia"/>
                <w:b/>
                <w:color w:val="000000" w:themeColor="text1"/>
                <w:sz w:val="24"/>
                <w:szCs w:val="24"/>
                <w14:textFill>
                  <w14:solidFill>
                    <w14:schemeClr w14:val="tx1"/>
                  </w14:solidFill>
                </w14:textFill>
              </w:rPr>
              <w:t>-</w:t>
            </w:r>
            <w:r>
              <w:rPr>
                <w:b/>
                <w:color w:val="000000" w:themeColor="text1"/>
                <w:sz w:val="24"/>
                <w:szCs w:val="24"/>
                <w14:textFill>
                  <w14:solidFill>
                    <w14:schemeClr w14:val="tx1"/>
                  </w14:solidFill>
                </w14:textFill>
              </w:rPr>
              <w:t xml:space="preserve">33  </w:t>
            </w:r>
            <w:r>
              <w:rPr>
                <w:rFonts w:hint="eastAsia"/>
                <w:b/>
                <w:color w:val="000000" w:themeColor="text1"/>
                <w:sz w:val="24"/>
                <w:szCs w:val="24"/>
                <w14:textFill>
                  <w14:solidFill>
                    <w14:schemeClr w14:val="tx1"/>
                  </w14:solidFill>
                </w14:textFill>
              </w:rPr>
              <w:t>应急预案主要内容</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685"/>
              <w:gridCol w:w="7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0" w:type="pct"/>
                  <w:shd w:val="clear" w:color="auto" w:fill="auto"/>
                  <w:vAlign w:val="center"/>
                </w:tcPr>
                <w:p>
                  <w:pPr>
                    <w:pStyle w:val="3"/>
                    <w:numPr>
                      <w:ilvl w:val="0"/>
                      <w:numId w:val="0"/>
                    </w:num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886" w:type="pct"/>
                  <w:shd w:val="clear" w:color="auto" w:fill="auto"/>
                  <w:vAlign w:val="center"/>
                </w:tcPr>
                <w:p>
                  <w:pPr>
                    <w:pStyle w:val="3"/>
                    <w:numPr>
                      <w:ilvl w:val="0"/>
                      <w:numId w:val="0"/>
                    </w:num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项目</w:t>
                  </w:r>
                </w:p>
              </w:tc>
              <w:tc>
                <w:tcPr>
                  <w:tcW w:w="3684" w:type="pct"/>
                  <w:shd w:val="clear" w:color="auto" w:fill="auto"/>
                  <w:vAlign w:val="center"/>
                </w:tcPr>
                <w:p>
                  <w:pPr>
                    <w:pStyle w:val="3"/>
                    <w:numPr>
                      <w:ilvl w:val="0"/>
                      <w:numId w:val="0"/>
                    </w:numPr>
                    <w:spacing w:line="240" w:lineRule="auto"/>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86"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预案适用范围</w:t>
                  </w:r>
                </w:p>
              </w:tc>
              <w:tc>
                <w:tcPr>
                  <w:tcW w:w="3684"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本项目厂区全部范围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0"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886"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环境事件分类与分级</w:t>
                  </w:r>
                </w:p>
              </w:tc>
              <w:tc>
                <w:tcPr>
                  <w:tcW w:w="3684"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依据危险化学品事故的类别、危害程度的级别和从业人员的评估结果，可能发生的事故现场情况分析结果，设定预案的启动条件。</w:t>
                  </w:r>
                </w:p>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对突发环境事件进行分类、分级，规定预案的级别及分级响应程序。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0"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886"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组织机构与职责</w:t>
                  </w:r>
                </w:p>
              </w:tc>
              <w:tc>
                <w:tcPr>
                  <w:tcW w:w="3684"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⑴</w:t>
                  </w:r>
                  <w:r>
                    <w:rPr>
                      <w:color w:val="000000" w:themeColor="text1"/>
                      <w:szCs w:val="21"/>
                      <w14:textFill>
                        <w14:solidFill>
                          <w14:schemeClr w14:val="tx1"/>
                        </w14:solidFill>
                      </w14:textFill>
                    </w:rPr>
                    <w:t>依据危险化学品事故危害程度级别设置分级应急救援组织机构；</w:t>
                  </w:r>
                  <w:r>
                    <w:rPr>
                      <w:rFonts w:hint="eastAsia" w:ascii="宋体" w:hAnsi="宋体" w:cs="宋体"/>
                      <w:color w:val="000000" w:themeColor="text1"/>
                      <w:szCs w:val="21"/>
                      <w14:textFill>
                        <w14:solidFill>
                          <w14:schemeClr w14:val="tx1"/>
                        </w14:solidFill>
                      </w14:textFill>
                    </w:rPr>
                    <w:t>⑵</w:t>
                  </w:r>
                  <w:r>
                    <w:rPr>
                      <w:color w:val="000000" w:themeColor="text1"/>
                      <w:szCs w:val="21"/>
                      <w14:textFill>
                        <w14:solidFill>
                          <w14:schemeClr w14:val="tx1"/>
                        </w14:solidFill>
                      </w14:textFill>
                    </w:rPr>
                    <w:t>组成人员及主要职责；</w:t>
                  </w:r>
                  <w:r>
                    <w:rPr>
                      <w:rFonts w:hint="eastAsia" w:ascii="宋体" w:hAnsi="宋体" w:cs="宋体"/>
                      <w:color w:val="000000" w:themeColor="text1"/>
                      <w:szCs w:val="21"/>
                      <w14:textFill>
                        <w14:solidFill>
                          <w14:schemeClr w14:val="tx1"/>
                        </w14:solidFill>
                      </w14:textFill>
                    </w:rPr>
                    <w:t>⑶</w:t>
                  </w:r>
                  <w:r>
                    <w:rPr>
                      <w:color w:val="000000" w:themeColor="text1"/>
                      <w:szCs w:val="21"/>
                      <w14:textFill>
                        <w14:solidFill>
                          <w14:schemeClr w14:val="tx1"/>
                        </w14:solidFill>
                      </w14:textFill>
                    </w:rPr>
                    <w:t>制订事故应急救援预案；</w:t>
                  </w:r>
                  <w:r>
                    <w:rPr>
                      <w:rFonts w:hint="eastAsia" w:ascii="宋体" w:hAnsi="宋体" w:cs="宋体"/>
                      <w:color w:val="000000" w:themeColor="text1"/>
                      <w:szCs w:val="21"/>
                      <w14:textFill>
                        <w14:solidFill>
                          <w14:schemeClr w14:val="tx1"/>
                        </w14:solidFill>
                      </w14:textFill>
                    </w:rPr>
                    <w:t>⑷</w:t>
                  </w:r>
                  <w:r>
                    <w:rPr>
                      <w:color w:val="000000" w:themeColor="text1"/>
                      <w:szCs w:val="21"/>
                      <w14:textFill>
                        <w14:solidFill>
                          <w14:schemeClr w14:val="tx1"/>
                        </w14:solidFill>
                      </w14:textFill>
                    </w:rPr>
                    <w:t>负责人员、资源配置、应急队伍的调动；</w:t>
                  </w:r>
                  <w:r>
                    <w:rPr>
                      <w:rFonts w:hint="eastAsia" w:ascii="宋体" w:hAnsi="宋体" w:cs="宋体"/>
                      <w:color w:val="000000" w:themeColor="text1"/>
                      <w:szCs w:val="21"/>
                      <w14:textFill>
                        <w14:solidFill>
                          <w14:schemeClr w14:val="tx1"/>
                        </w14:solidFill>
                      </w14:textFill>
                    </w:rPr>
                    <w:t>⑸</w:t>
                  </w:r>
                  <w:r>
                    <w:rPr>
                      <w:color w:val="000000" w:themeColor="text1"/>
                      <w:szCs w:val="21"/>
                      <w14:textFill>
                        <w14:solidFill>
                          <w14:schemeClr w14:val="tx1"/>
                        </w14:solidFill>
                      </w14:textFill>
                    </w:rPr>
                    <w:t>确定现场指挥人员；</w:t>
                  </w:r>
                  <w:r>
                    <w:rPr>
                      <w:rFonts w:hint="eastAsia" w:ascii="宋体" w:hAnsi="宋体" w:cs="宋体"/>
                      <w:color w:val="000000" w:themeColor="text1"/>
                      <w:szCs w:val="21"/>
                      <w14:textFill>
                        <w14:solidFill>
                          <w14:schemeClr w14:val="tx1"/>
                        </w14:solidFill>
                      </w14:textFill>
                    </w:rPr>
                    <w:t>⑹</w:t>
                  </w:r>
                  <w:r>
                    <w:rPr>
                      <w:color w:val="000000" w:themeColor="text1"/>
                      <w:szCs w:val="21"/>
                      <w14:textFill>
                        <w14:solidFill>
                          <w14:schemeClr w14:val="tx1"/>
                        </w14:solidFill>
                      </w14:textFill>
                    </w:rPr>
                    <w:t>协调事故现场有关工作；</w:t>
                  </w:r>
                  <w:r>
                    <w:rPr>
                      <w:rFonts w:hint="eastAsia" w:ascii="宋体" w:hAnsi="宋体" w:cs="宋体"/>
                      <w:color w:val="000000" w:themeColor="text1"/>
                      <w:szCs w:val="21"/>
                      <w14:textFill>
                        <w14:solidFill>
                          <w14:schemeClr w14:val="tx1"/>
                        </w14:solidFill>
                      </w14:textFill>
                    </w:rPr>
                    <w:t>⑺</w:t>
                  </w:r>
                  <w:r>
                    <w:rPr>
                      <w:color w:val="000000" w:themeColor="text1"/>
                      <w:szCs w:val="21"/>
                      <w14:textFill>
                        <w14:solidFill>
                          <w14:schemeClr w14:val="tx1"/>
                        </w14:solidFill>
                      </w14:textFill>
                    </w:rPr>
                    <w:t>批准本预案的启动与终止；</w:t>
                  </w:r>
                  <w:r>
                    <w:rPr>
                      <w:rFonts w:hint="eastAsia" w:ascii="宋体" w:hAnsi="宋体" w:cs="宋体"/>
                      <w:color w:val="000000" w:themeColor="text1"/>
                      <w:szCs w:val="21"/>
                      <w14:textFill>
                        <w14:solidFill>
                          <w14:schemeClr w14:val="tx1"/>
                        </w14:solidFill>
                      </w14:textFill>
                    </w:rPr>
                    <w:t>⑻</w:t>
                  </w:r>
                  <w:r>
                    <w:rPr>
                      <w:color w:val="000000" w:themeColor="text1"/>
                      <w:szCs w:val="21"/>
                      <w14:textFill>
                        <w14:solidFill>
                          <w14:schemeClr w14:val="tx1"/>
                        </w14:solidFill>
                      </w14:textFill>
                    </w:rPr>
                    <w:t>事故状态下各级人员的职责；</w:t>
                  </w:r>
                  <w:r>
                    <w:rPr>
                      <w:rFonts w:hint="eastAsia" w:ascii="宋体" w:hAnsi="宋体" w:cs="宋体"/>
                      <w:color w:val="000000" w:themeColor="text1"/>
                      <w:szCs w:val="21"/>
                      <w14:textFill>
                        <w14:solidFill>
                          <w14:schemeClr w14:val="tx1"/>
                        </w14:solidFill>
                      </w14:textFill>
                    </w:rPr>
                    <w:t>⑼</w:t>
                  </w:r>
                  <w:r>
                    <w:rPr>
                      <w:color w:val="000000" w:themeColor="text1"/>
                      <w:szCs w:val="21"/>
                      <w14:textFill>
                        <w14:solidFill>
                          <w14:schemeClr w14:val="tx1"/>
                        </w14:solidFill>
                      </w14:textFill>
                    </w:rPr>
                    <w:t>事故信息的上报工作；</w:t>
                  </w:r>
                  <w:r>
                    <w:rPr>
                      <w:rFonts w:hint="eastAsia" w:ascii="宋体" w:hAnsi="宋体" w:cs="宋体"/>
                      <w:color w:val="000000" w:themeColor="text1"/>
                      <w:szCs w:val="21"/>
                      <w14:textFill>
                        <w14:solidFill>
                          <w14:schemeClr w14:val="tx1"/>
                        </w14:solidFill>
                      </w14:textFill>
                    </w:rPr>
                    <w:t>⑽</w:t>
                  </w:r>
                  <w:r>
                    <w:rPr>
                      <w:color w:val="000000" w:themeColor="text1"/>
                      <w:szCs w:val="21"/>
                      <w14:textFill>
                        <w14:solidFill>
                          <w14:schemeClr w14:val="tx1"/>
                        </w14:solidFill>
                      </w14:textFill>
                    </w:rPr>
                    <w:t>接受政府的指令和调动；</w:t>
                  </w:r>
                  <w:r>
                    <w:rPr>
                      <w:rFonts w:hint="eastAsia" w:ascii="宋体" w:hAnsi="宋体" w:cs="宋体"/>
                      <w:color w:val="000000" w:themeColor="text1"/>
                      <w:szCs w:val="21"/>
                      <w14:textFill>
                        <w14:solidFill>
                          <w14:schemeClr w14:val="tx1"/>
                        </w14:solidFill>
                      </w14:textFill>
                    </w:rPr>
                    <w:t>⑾</w:t>
                  </w:r>
                  <w:r>
                    <w:rPr>
                      <w:color w:val="000000" w:themeColor="text1"/>
                      <w:szCs w:val="21"/>
                      <w14:textFill>
                        <w14:solidFill>
                          <w14:schemeClr w14:val="tx1"/>
                        </w14:solidFill>
                      </w14:textFill>
                    </w:rPr>
                    <w:t>组织应急预案的演练；</w:t>
                  </w:r>
                  <w:r>
                    <w:rPr>
                      <w:rFonts w:hint="eastAsia" w:ascii="宋体" w:hAnsi="宋体" w:cs="宋体"/>
                      <w:color w:val="000000" w:themeColor="text1"/>
                      <w:szCs w:val="21"/>
                      <w14:textFill>
                        <w14:solidFill>
                          <w14:schemeClr w14:val="tx1"/>
                        </w14:solidFill>
                      </w14:textFill>
                    </w:rPr>
                    <w:t>⑿</w:t>
                  </w:r>
                  <w:r>
                    <w:rPr>
                      <w:color w:val="000000" w:themeColor="text1"/>
                      <w:szCs w:val="21"/>
                      <w14:textFill>
                        <w14:solidFill>
                          <w14:schemeClr w14:val="tx1"/>
                        </w14:solidFill>
                      </w14:textFill>
                    </w:rPr>
                    <w:t>负责保护事故现场及相关数据。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0"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886"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监控和预警</w:t>
                  </w:r>
                </w:p>
              </w:tc>
              <w:tc>
                <w:tcPr>
                  <w:tcW w:w="3684"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⑴</w:t>
                  </w:r>
                  <w:r>
                    <w:rPr>
                      <w:color w:val="000000" w:themeColor="text1"/>
                      <w:szCs w:val="21"/>
                      <w14:textFill>
                        <w14:solidFill>
                          <w14:schemeClr w14:val="tx1"/>
                        </w14:solidFill>
                      </w14:textFill>
                    </w:rPr>
                    <w:t>24小时有效的报警装置；</w:t>
                  </w:r>
                  <w:r>
                    <w:rPr>
                      <w:rFonts w:hint="eastAsia" w:ascii="宋体" w:hAnsi="宋体" w:cs="宋体"/>
                      <w:color w:val="000000" w:themeColor="text1"/>
                      <w:szCs w:val="21"/>
                      <w14:textFill>
                        <w14:solidFill>
                          <w14:schemeClr w14:val="tx1"/>
                        </w14:solidFill>
                      </w14:textFill>
                    </w:rPr>
                    <w:t>⑵</w:t>
                  </w:r>
                  <w:r>
                    <w:rPr>
                      <w:color w:val="000000" w:themeColor="text1"/>
                      <w:szCs w:val="21"/>
                      <w14:textFill>
                        <w14:solidFill>
                          <w14:schemeClr w14:val="tx1"/>
                        </w14:solidFill>
                      </w14:textFill>
                    </w:rPr>
                    <w:t>24小时有效的内部、外部通讯联络手段；</w:t>
                  </w:r>
                  <w:r>
                    <w:rPr>
                      <w:rFonts w:hint="eastAsia" w:ascii="宋体" w:hAnsi="宋体" w:cs="宋体"/>
                      <w:color w:val="000000" w:themeColor="text1"/>
                      <w:szCs w:val="21"/>
                      <w14:textFill>
                        <w14:solidFill>
                          <w14:schemeClr w14:val="tx1"/>
                        </w14:solidFill>
                      </w14:textFill>
                    </w:rPr>
                    <w:t>⑶</w:t>
                  </w:r>
                  <w:r>
                    <w:rPr>
                      <w:color w:val="000000" w:themeColor="text1"/>
                      <w:szCs w:val="21"/>
                      <w14:textFill>
                        <w14:solidFill>
                          <w14:schemeClr w14:val="tx1"/>
                        </w14:solidFill>
                      </w14:textFill>
                    </w:rPr>
                    <w:t>运输危险化学品的驾驶员、押运员报警及与本单位、生产厂家、托运方联系的方式、方法</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0"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886"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应急响应</w:t>
                  </w:r>
                </w:p>
              </w:tc>
              <w:tc>
                <w:tcPr>
                  <w:tcW w:w="3684"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专业队伍负责对事故现场进行侦察监测，对事故性质、参数与后果进行评估，为指挥部门提供决策依据；事故现场、邻近区域、控制防火区域，控制和清除污染措施及相应设备；事故现场、工厂邻近区、受事故影响的区域人员及公众撤离组织计划及救护，医疗救护与公众健康</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0"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886"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应急保障</w:t>
                  </w:r>
                </w:p>
              </w:tc>
              <w:tc>
                <w:tcPr>
                  <w:tcW w:w="3684"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危险目标周围可利用的安全、消防、个体防护设备、器材及其分布。应急设施，设备与器材等</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0"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886"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善后处置</w:t>
                  </w:r>
                </w:p>
              </w:tc>
              <w:tc>
                <w:tcPr>
                  <w:tcW w:w="3684"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规定应急状态终止程序事故现场善后处理，恢复措施邻近区域解除事故警戒及善后恢复措施</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0"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886" w:type="pct"/>
                  <w:shd w:val="clear" w:color="auto" w:fill="auto"/>
                  <w:vAlign w:val="center"/>
                </w:tcPr>
                <w:p>
                  <w:pPr>
                    <w:pStyle w:val="3"/>
                    <w:numPr>
                      <w:ilvl w:val="0"/>
                      <w:numId w:val="0"/>
                    </w:num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预案管理与演练</w:t>
                  </w:r>
                </w:p>
              </w:tc>
              <w:tc>
                <w:tcPr>
                  <w:tcW w:w="3684"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依据对从业人员能力的评估和社区或周边人员素质的分析结果，确定培训内容，依据对从业人员能力的评估和周边人员素质的分析结果，确定演练内容</w:t>
                  </w:r>
                  <w:r>
                    <w:rPr>
                      <w:rFonts w:hint="eastAsia"/>
                      <w:color w:val="000000" w:themeColor="text1"/>
                      <w:szCs w:val="21"/>
                      <w14:textFill>
                        <w14:solidFill>
                          <w14:schemeClr w14:val="tx1"/>
                        </w14:solidFill>
                      </w14:textFill>
                    </w:rPr>
                    <w:t>。</w:t>
                  </w:r>
                </w:p>
              </w:tc>
            </w:tr>
          </w:tbl>
          <w:p>
            <w:pPr>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、结论</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在发生风险时对评价区域环境将造成不同程度和范围的影响，为避免风险事故，尤其是避免风险事故发生后对环境造成严重污染，建设单位在生产过程中应树立强化环境风险意识，进一步减少事故的发生，减少项目在各个环节中的风险因素，尽可能降低项目环境风险事故发生的概率。建设单位应采取积极有效的防范措施，尽量避免或降低风险事故对环境的不利影响。</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建设单位应加强环境风险措施方面的日常管理、培训等，确保项目在日后的生产营运过程中突发的环境风险事故对环境的影响减至最小程度。</w:t>
            </w:r>
          </w:p>
          <w:p>
            <w:pPr>
              <w:pStyle w:val="2"/>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在落实各项环保治理措施，保证污染物达标排放前提下，能够维持区域环境现状。坚持“以防为主”的原则，确保企业安全生产。企业在认真落实环境风险事故防范措施，在各项措施落实到位，严格执行“三同时”制度的前提下，该项目的环境风险</w:t>
            </w:r>
            <w:r>
              <w:rPr>
                <w:rFonts w:hint="eastAsia"/>
                <w:color w:val="000000" w:themeColor="text1"/>
                <w:sz w:val="24"/>
                <w:szCs w:val="24"/>
                <w:lang w:eastAsia="zh-CN"/>
                <w14:textFill>
                  <w14:solidFill>
                    <w14:schemeClr w14:val="tx1"/>
                  </w14:solidFill>
                </w14:textFill>
              </w:rPr>
              <w:t>是</w:t>
            </w:r>
            <w:r>
              <w:rPr>
                <w:rFonts w:hint="eastAsia"/>
                <w:color w:val="000000" w:themeColor="text1"/>
                <w:sz w:val="24"/>
                <w:szCs w:val="24"/>
                <w14:textFill>
                  <w14:solidFill>
                    <w14:schemeClr w14:val="tx1"/>
                  </w14:solidFill>
                </w14:textFill>
              </w:rPr>
              <w:t>可以接受的。建设项目环境风险简单分析内容见表4</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34</w:t>
            </w:r>
            <w:r>
              <w:rPr>
                <w:rFonts w:hint="eastAsia"/>
                <w:color w:val="000000" w:themeColor="text1"/>
                <w:sz w:val="24"/>
                <w:szCs w:val="24"/>
                <w14:textFill>
                  <w14:solidFill>
                    <w14:schemeClr w14:val="tx1"/>
                  </w14:solidFill>
                </w14:textFill>
              </w:rPr>
              <w:t>。</w:t>
            </w:r>
          </w:p>
          <w:p>
            <w:pPr>
              <w:pStyle w:val="2"/>
              <w:spacing w:before="0" w:after="0" w:line="240" w:lineRule="auto"/>
              <w:ind w:right="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表4</w:t>
            </w:r>
            <w:r>
              <w:rPr>
                <w:b/>
                <w:color w:val="000000" w:themeColor="text1"/>
                <w:sz w:val="24"/>
                <w:szCs w:val="24"/>
                <w14:textFill>
                  <w14:solidFill>
                    <w14:schemeClr w14:val="tx1"/>
                  </w14:solidFill>
                </w14:textFill>
              </w:rPr>
              <w:t>.2</w:t>
            </w:r>
            <w:r>
              <w:rPr>
                <w:rFonts w:hint="eastAsia"/>
                <w:b/>
                <w:color w:val="000000" w:themeColor="text1"/>
                <w:sz w:val="24"/>
                <w:szCs w:val="24"/>
                <w14:textFill>
                  <w14:solidFill>
                    <w14:schemeClr w14:val="tx1"/>
                  </w14:solidFill>
                </w14:textFill>
              </w:rPr>
              <w:t>-</w:t>
            </w:r>
            <w:r>
              <w:rPr>
                <w:b/>
                <w:color w:val="000000" w:themeColor="text1"/>
                <w:sz w:val="24"/>
                <w:szCs w:val="24"/>
                <w14:textFill>
                  <w14:solidFill>
                    <w14:schemeClr w14:val="tx1"/>
                  </w14:solidFill>
                </w14:textFill>
              </w:rPr>
              <w:t xml:space="preserve">34  </w:t>
            </w:r>
            <w:r>
              <w:rPr>
                <w:rFonts w:hint="eastAsia"/>
                <w:b/>
                <w:color w:val="000000" w:themeColor="text1"/>
                <w:sz w:val="24"/>
                <w:szCs w:val="24"/>
                <w14:textFill>
                  <w14:solidFill>
                    <w14:schemeClr w14:val="tx1"/>
                  </w14:solidFill>
                </w14:textFill>
              </w:rPr>
              <w:t>建设项目环境风险简单分析内容表</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1341"/>
              <w:gridCol w:w="2295"/>
              <w:gridCol w:w="1284"/>
              <w:gridCol w:w="962"/>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建设项目名称</w:t>
                  </w:r>
                </w:p>
              </w:tc>
              <w:tc>
                <w:tcPr>
                  <w:tcW w:w="3922" w:type="pct"/>
                  <w:gridSpan w:val="5"/>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年加工处理9万吨废旧轮胎综合利用建设项目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建设地点</w:t>
                  </w:r>
                </w:p>
              </w:tc>
              <w:tc>
                <w:tcPr>
                  <w:tcW w:w="705"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0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（重庆）市</w:t>
                  </w:r>
                </w:p>
              </w:tc>
              <w:tc>
                <w:tcPr>
                  <w:tcW w:w="675"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（大足）区</w:t>
                  </w:r>
                </w:p>
              </w:tc>
              <w:tc>
                <w:tcPr>
                  <w:tcW w:w="506"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（）县</w:t>
                  </w:r>
                </w:p>
              </w:tc>
              <w:tc>
                <w:tcPr>
                  <w:tcW w:w="829"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（邮亭镇工业）园区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地理坐标</w:t>
                  </w:r>
                </w:p>
              </w:tc>
              <w:tc>
                <w:tcPr>
                  <w:tcW w:w="705"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经度</w:t>
                  </w:r>
                </w:p>
              </w:tc>
              <w:tc>
                <w:tcPr>
                  <w:tcW w:w="1207"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44</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1.853</w:t>
                  </w:r>
                  <w:r>
                    <w:rPr>
                      <w:rFonts w:hint="eastAsia"/>
                      <w:color w:val="000000" w:themeColor="text1"/>
                      <w:szCs w:val="21"/>
                      <w14:textFill>
                        <w14:solidFill>
                          <w14:schemeClr w14:val="tx1"/>
                        </w14:solidFill>
                      </w14:textFill>
                    </w:rPr>
                    <w:t>″</w:t>
                  </w:r>
                </w:p>
              </w:tc>
              <w:tc>
                <w:tcPr>
                  <w:tcW w:w="675" w:type="pct"/>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纬度</w:t>
                  </w:r>
                </w:p>
              </w:tc>
              <w:tc>
                <w:tcPr>
                  <w:tcW w:w="1335" w:type="pct"/>
                  <w:gridSpan w:val="2"/>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27</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13.607</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主要危险物质及分布</w:t>
                  </w:r>
                </w:p>
              </w:tc>
              <w:tc>
                <w:tcPr>
                  <w:tcW w:w="3922" w:type="pct"/>
                  <w:gridSpan w:val="5"/>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储油罐区、裂解油暂存区：裂解油；原料库房：润滑油、氨水储罐；生产区：不凝气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环境影响途径及危害后果</w:t>
                  </w:r>
                </w:p>
              </w:tc>
              <w:tc>
                <w:tcPr>
                  <w:tcW w:w="3922" w:type="pct"/>
                  <w:gridSpan w:val="5"/>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生产期间容易发生的事故主要为火灾爆炸导致财产损失、人员伤亡、污染环境等；氨水、润滑油、裂解油泄漏导致周边水体、地下水、土壤受到污染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pct"/>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风险防范措施要求</w:t>
                  </w:r>
                </w:p>
              </w:tc>
              <w:tc>
                <w:tcPr>
                  <w:tcW w:w="3922" w:type="pct"/>
                  <w:gridSpan w:val="5"/>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油罐区设置1</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m高围堰；</w:t>
                  </w:r>
                  <w:r>
                    <w:rPr>
                      <w:rFonts w:hint="eastAsia"/>
                      <w:color w:val="000000" w:themeColor="text1"/>
                      <w14:textFill>
                        <w14:solidFill>
                          <w14:schemeClr w14:val="tx1"/>
                        </w14:solidFill>
                      </w14:textFill>
                    </w:rPr>
                    <w:t>每个裂解油暂存罐单独设置围堰（不小于暂存罐最大容积</w:t>
                  </w:r>
                  <w:r>
                    <w:rPr>
                      <w:color w:val="000000" w:themeColor="text1"/>
                      <w14:textFill>
                        <w14:solidFill>
                          <w14:schemeClr w14:val="tx1"/>
                        </w14:solidFill>
                      </w14:textFill>
                    </w:rPr>
                    <w:t>2.8</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）；氨水储罐设置围堰（不小于储罐容积0.</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；配套消防系统及器材、火灾报警系统；编制环境风险事故应急预案；建设事故水池（有效容积不小于</w:t>
                  </w:r>
                  <w:r>
                    <w:rPr>
                      <w:color w:val="000000" w:themeColor="text1"/>
                      <w:szCs w:val="21"/>
                      <w14:textFill>
                        <w14:solidFill>
                          <w14:schemeClr w14:val="tx1"/>
                        </w14:solidFill>
                      </w14:textFill>
                    </w:rPr>
                    <w:t>700</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），配套建设各事故泄漏点至事故水池的导液管（沟）和消防废水收集系统。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pPr>
                    <w:spacing w:line="24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填表说明：本项目Q＜1，根据评价等级要求，本项目对环境风险进行简单分析。针对本项目的潜在环境风险，建设单位按照风险防范措施的要求，加强原辅材料、成品裂解油等防泄漏管理、提高工作人员防火意识等，事故发生概率很低，经过采取妥善的风险防范措施，本项目环境风险在可接受范围内。</w:t>
                  </w:r>
                </w:p>
              </w:tc>
            </w:tr>
          </w:tbl>
          <w:p>
            <w:pPr>
              <w:pStyle w:val="3"/>
              <w:numPr>
                <w:ilvl w:val="0"/>
                <w:numId w:val="0"/>
              </w:numP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w:t>
            </w: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环保投资</w:t>
            </w:r>
          </w:p>
          <w:p>
            <w:pPr>
              <w:pStyle w:val="3"/>
              <w:numPr>
                <w:ilvl w:val="0"/>
                <w:numId w:val="0"/>
              </w:num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本项目环保投资主要包括废气、废水、噪声治理设施、固废处置设施以及地下水防治措施等费用。本项目总投资2</w:t>
            </w:r>
            <w:r>
              <w:rPr>
                <w:color w:val="000000" w:themeColor="text1"/>
                <w:sz w:val="24"/>
                <w14:textFill>
                  <w14:solidFill>
                    <w14:schemeClr w14:val="tx1"/>
                  </w14:solidFill>
                </w14:textFill>
              </w:rPr>
              <w:t>0000</w:t>
            </w:r>
            <w:r>
              <w:rPr>
                <w:rFonts w:hint="eastAsia"/>
                <w:color w:val="000000" w:themeColor="text1"/>
                <w:sz w:val="24"/>
                <w14:textFill>
                  <w14:solidFill>
                    <w14:schemeClr w14:val="tx1"/>
                  </w14:solidFill>
                </w14:textFill>
              </w:rPr>
              <w:t>万元，其中环保投资</w:t>
            </w:r>
            <w:r>
              <w:rPr>
                <w:color w:val="000000" w:themeColor="text1"/>
                <w:sz w:val="24"/>
                <w14:textFill>
                  <w14:solidFill>
                    <w14:schemeClr w14:val="tx1"/>
                  </w14:solidFill>
                </w14:textFill>
              </w:rPr>
              <w:t>741</w:t>
            </w:r>
            <w:r>
              <w:rPr>
                <w:rFonts w:hint="eastAsia"/>
                <w:color w:val="000000" w:themeColor="text1"/>
                <w:sz w:val="24"/>
                <w14:textFill>
                  <w14:solidFill>
                    <w14:schemeClr w14:val="tx1"/>
                  </w14:solidFill>
                </w14:textFill>
              </w:rPr>
              <w:t>万元，占总投资的</w:t>
            </w:r>
            <w:r>
              <w:rPr>
                <w:color w:val="000000" w:themeColor="text1"/>
                <w:sz w:val="24"/>
                <w14:textFill>
                  <w14:solidFill>
                    <w14:schemeClr w14:val="tx1"/>
                  </w14:solidFill>
                </w14:textFill>
              </w:rPr>
              <w:t>3.7</w:t>
            </w:r>
            <w:r>
              <w:rPr>
                <w:rFonts w:hint="eastAsia"/>
                <w:color w:val="000000" w:themeColor="text1"/>
                <w:sz w:val="24"/>
                <w14:textFill>
                  <w14:solidFill>
                    <w14:schemeClr w14:val="tx1"/>
                  </w14:solidFill>
                </w14:textFill>
              </w:rPr>
              <w:t>%。环保投资情况见表4</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p>
          <w:p>
            <w:pPr>
              <w:pStyle w:val="3"/>
              <w:numPr>
                <w:ilvl w:val="0"/>
                <w:numId w:val="0"/>
              </w:numPr>
              <w:spacing w:line="24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表4</w:t>
            </w: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 xml:space="preserve">1  </w:t>
            </w:r>
            <w:r>
              <w:rPr>
                <w:rFonts w:hint="eastAsia"/>
                <w:b/>
                <w:color w:val="000000" w:themeColor="text1"/>
                <w:sz w:val="24"/>
                <w14:textFill>
                  <w14:solidFill>
                    <w14:schemeClr w14:val="tx1"/>
                  </w14:solidFill>
                </w14:textFill>
              </w:rPr>
              <w:t xml:space="preserve">项目环保投资估算一览表 </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单位：万元</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993"/>
              <w:gridCol w:w="5211"/>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2" w:type="pct"/>
                  <w:shd w:val="clear" w:color="auto" w:fill="auto"/>
                  <w:vAlign w:val="center"/>
                </w:tcPr>
                <w:p>
                  <w:pPr>
                    <w:pStyle w:val="3"/>
                    <w:numPr>
                      <w:ilvl w:val="0"/>
                      <w:numId w:val="0"/>
                    </w:numPr>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污染类别</w:t>
                  </w:r>
                </w:p>
              </w:tc>
              <w:tc>
                <w:tcPr>
                  <w:tcW w:w="1048" w:type="pct"/>
                  <w:shd w:val="clear" w:color="auto" w:fill="auto"/>
                  <w:vAlign w:val="center"/>
                </w:tcPr>
                <w:p>
                  <w:pPr>
                    <w:pStyle w:val="3"/>
                    <w:numPr>
                      <w:ilvl w:val="0"/>
                      <w:numId w:val="0"/>
                    </w:numPr>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治理项目</w:t>
                  </w:r>
                </w:p>
              </w:tc>
              <w:tc>
                <w:tcPr>
                  <w:tcW w:w="2740" w:type="pct"/>
                  <w:shd w:val="clear" w:color="auto" w:fill="auto"/>
                  <w:vAlign w:val="center"/>
                </w:tcPr>
                <w:p>
                  <w:pPr>
                    <w:pStyle w:val="3"/>
                    <w:numPr>
                      <w:ilvl w:val="0"/>
                      <w:numId w:val="0"/>
                    </w:numPr>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治理措施</w:t>
                  </w:r>
                </w:p>
              </w:tc>
              <w:tc>
                <w:tcPr>
                  <w:tcW w:w="540" w:type="pct"/>
                  <w:shd w:val="clear" w:color="auto" w:fill="auto"/>
                  <w:vAlign w:val="center"/>
                </w:tcPr>
                <w:p>
                  <w:pPr>
                    <w:pStyle w:val="3"/>
                    <w:numPr>
                      <w:ilvl w:val="0"/>
                      <w:numId w:val="0"/>
                    </w:numPr>
                    <w:spacing w:line="24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2" w:type="pct"/>
                  <w:vMerge w:val="restar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1048" w:type="pct"/>
                  <w:shd w:val="clear" w:color="auto" w:fill="auto"/>
                  <w:vAlign w:val="center"/>
                </w:tcPr>
                <w:p>
                  <w:pPr>
                    <w:pStyle w:val="3"/>
                    <w:numPr>
                      <w:ilvl w:val="0"/>
                      <w:numId w:val="0"/>
                    </w:numPr>
                    <w:spacing w:line="240" w:lineRule="auto"/>
                    <w:jc w:val="center"/>
                    <w:rPr>
                      <w:color w:val="FF0000"/>
                      <w:szCs w:val="21"/>
                    </w:rPr>
                  </w:pPr>
                  <w:r>
                    <w:rPr>
                      <w:rFonts w:hint="eastAsia"/>
                      <w:color w:val="FF0000"/>
                      <w:szCs w:val="21"/>
                    </w:rPr>
                    <w:t>裂解燃烧烟气</w:t>
                  </w:r>
                </w:p>
              </w:tc>
              <w:tc>
                <w:tcPr>
                  <w:tcW w:w="2740" w:type="pct"/>
                  <w:shd w:val="clear" w:color="auto" w:fill="auto"/>
                  <w:vAlign w:val="center"/>
                </w:tcPr>
                <w:p>
                  <w:pPr>
                    <w:pStyle w:val="3"/>
                    <w:numPr>
                      <w:ilvl w:val="0"/>
                      <w:numId w:val="0"/>
                    </w:numPr>
                    <w:spacing w:line="240" w:lineRule="auto"/>
                    <w:jc w:val="center"/>
                    <w:rPr>
                      <w:color w:val="FF0000"/>
                      <w:szCs w:val="21"/>
                    </w:rPr>
                  </w:pPr>
                  <w:r>
                    <w:rPr>
                      <w:rFonts w:hint="eastAsia"/>
                      <w:color w:val="FF0000"/>
                      <w:szCs w:val="21"/>
                    </w:rPr>
                    <w:t>每条裂解生产线的燃烧室对裂解不凝气燃烧处理。</w:t>
                  </w:r>
                  <w:r>
                    <w:rPr>
                      <w:rFonts w:hint="eastAsia"/>
                      <w:color w:val="FF0000"/>
                    </w:rPr>
                    <w:t>各生产线的</w:t>
                  </w:r>
                  <w:r>
                    <w:rPr>
                      <w:color w:val="FF0000"/>
                    </w:rPr>
                    <w:t>燃烧室</w:t>
                  </w:r>
                  <w:r>
                    <w:rPr>
                      <w:rFonts w:hint="eastAsia"/>
                      <w:color w:val="FF0000"/>
                    </w:rPr>
                    <w:t>燃烧</w:t>
                  </w:r>
                  <w:r>
                    <w:rPr>
                      <w:color w:val="FF0000"/>
                      <w:szCs w:val="21"/>
                    </w:rPr>
                    <w:t>烟气</w:t>
                  </w:r>
                  <w:r>
                    <w:rPr>
                      <w:rFonts w:hint="eastAsia"/>
                      <w:color w:val="FF0000"/>
                      <w:szCs w:val="21"/>
                    </w:rPr>
                    <w:t>和多余不凝气</w:t>
                  </w:r>
                  <w:r>
                    <w:rPr>
                      <w:color w:val="FF0000"/>
                      <w:szCs w:val="21"/>
                    </w:rPr>
                    <w:t>采用一套“</w:t>
                  </w:r>
                  <w:r>
                    <w:rPr>
                      <w:rFonts w:hint="eastAsia"/>
                      <w:color w:val="FF0000"/>
                      <w:szCs w:val="21"/>
                    </w:rPr>
                    <w:t>二次燃烧+</w:t>
                  </w:r>
                  <w:r>
                    <w:rPr>
                      <w:rFonts w:hint="eastAsia"/>
                      <w:bCs/>
                      <w:color w:val="FF0000"/>
                      <w:szCs w:val="21"/>
                    </w:rPr>
                    <w:t>烟气骤冷+SCR脱硝+钠碱法脱硫+湿电除尘+气液分离+二级活性炭吸附</w:t>
                  </w:r>
                  <w:r>
                    <w:rPr>
                      <w:color w:val="FF0000"/>
                      <w:szCs w:val="21"/>
                    </w:rPr>
                    <w:t>”处理设施处理</w:t>
                  </w:r>
                  <w:r>
                    <w:rPr>
                      <w:rFonts w:hint="eastAsia"/>
                      <w:color w:val="FF0000"/>
                      <w:szCs w:val="21"/>
                    </w:rPr>
                    <w:t>+</w:t>
                  </w:r>
                  <w:r>
                    <w:rPr>
                      <w:color w:val="FF0000"/>
                      <w:szCs w:val="21"/>
                    </w:rPr>
                    <w:t>1</w:t>
                  </w:r>
                  <w:r>
                    <w:rPr>
                      <w:rFonts w:hint="eastAsia"/>
                      <w:color w:val="FF0000"/>
                      <w:szCs w:val="21"/>
                    </w:rPr>
                    <w:t>根1</w:t>
                  </w:r>
                  <w:r>
                    <w:rPr>
                      <w:color w:val="FF0000"/>
                      <w:szCs w:val="21"/>
                    </w:rPr>
                    <w:t>5</w:t>
                  </w:r>
                  <w:r>
                    <w:rPr>
                      <w:rFonts w:hint="eastAsia"/>
                      <w:color w:val="FF0000"/>
                      <w:szCs w:val="21"/>
                    </w:rPr>
                    <w:t>m高排气筒。</w:t>
                  </w:r>
                </w:p>
              </w:tc>
              <w:tc>
                <w:tcPr>
                  <w:tcW w:w="540" w:type="pct"/>
                  <w:shd w:val="clear" w:color="auto" w:fill="auto"/>
                  <w:vAlign w:val="center"/>
                </w:tcPr>
                <w:p>
                  <w:pPr>
                    <w:pStyle w:val="3"/>
                    <w:numPr>
                      <w:ilvl w:val="0"/>
                      <w:numId w:val="0"/>
                    </w:numPr>
                    <w:spacing w:line="240" w:lineRule="auto"/>
                    <w:jc w:val="center"/>
                    <w:rPr>
                      <w:color w:val="FF0000"/>
                      <w:szCs w:val="21"/>
                    </w:rPr>
                  </w:pPr>
                  <w:r>
                    <w:rPr>
                      <w:color w:val="FF0000"/>
                      <w:szCs w:val="21"/>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2" w:type="pct"/>
                  <w:vMerge w:val="continue"/>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p>
              </w:tc>
              <w:tc>
                <w:tcPr>
                  <w:tcW w:w="1048"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轮胎处理粉尘</w:t>
                  </w:r>
                </w:p>
              </w:tc>
              <w:tc>
                <w:tcPr>
                  <w:tcW w:w="27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套布袋除尘器+</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根1</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m高排气筒</w:t>
                  </w:r>
                </w:p>
              </w:tc>
              <w:tc>
                <w:tcPr>
                  <w:tcW w:w="5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p>
              </w:tc>
              <w:tc>
                <w:tcPr>
                  <w:tcW w:w="1048"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炭黑加工粉尘</w:t>
                  </w:r>
                </w:p>
              </w:tc>
              <w:tc>
                <w:tcPr>
                  <w:tcW w:w="27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套布袋除尘器+</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根1</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m高排气筒</w:t>
                  </w:r>
                </w:p>
              </w:tc>
              <w:tc>
                <w:tcPr>
                  <w:tcW w:w="5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p>
              </w:tc>
              <w:tc>
                <w:tcPr>
                  <w:tcW w:w="1048" w:type="pct"/>
                  <w:shd w:val="clear" w:color="auto" w:fill="auto"/>
                  <w:vAlign w:val="center"/>
                </w:tcPr>
                <w:p>
                  <w:pPr>
                    <w:pStyle w:val="3"/>
                    <w:numPr>
                      <w:ilvl w:val="0"/>
                      <w:numId w:val="0"/>
                    </w:numPr>
                    <w:spacing w:line="240" w:lineRule="auto"/>
                    <w:jc w:val="center"/>
                    <w:rPr>
                      <w:color w:val="FF0000"/>
                      <w:szCs w:val="21"/>
                    </w:rPr>
                  </w:pPr>
                  <w:r>
                    <w:rPr>
                      <w:rFonts w:hint="eastAsia"/>
                      <w:color w:val="FF0000"/>
                      <w:szCs w:val="21"/>
                    </w:rPr>
                    <w:t>储油罐区大小呼吸废气</w:t>
                  </w:r>
                </w:p>
              </w:tc>
              <w:tc>
                <w:tcPr>
                  <w:tcW w:w="2740" w:type="pct"/>
                  <w:shd w:val="clear" w:color="auto" w:fill="auto"/>
                  <w:vAlign w:val="center"/>
                </w:tcPr>
                <w:p>
                  <w:pPr>
                    <w:pStyle w:val="3"/>
                    <w:numPr>
                      <w:ilvl w:val="0"/>
                      <w:numId w:val="0"/>
                    </w:numPr>
                    <w:spacing w:line="240" w:lineRule="auto"/>
                    <w:jc w:val="center"/>
                    <w:rPr>
                      <w:color w:val="FF0000"/>
                      <w:szCs w:val="21"/>
                    </w:rPr>
                  </w:pPr>
                  <w:r>
                    <w:rPr>
                      <w:rFonts w:hint="eastAsia"/>
                      <w:color w:val="FF0000"/>
                      <w:szCs w:val="21"/>
                    </w:rPr>
                    <w:t>安装密闭排气系统，将呼吸废气收集后接入二燃室燃烧处理。</w:t>
                  </w:r>
                </w:p>
              </w:tc>
              <w:tc>
                <w:tcPr>
                  <w:tcW w:w="540" w:type="pct"/>
                  <w:shd w:val="clear" w:color="auto" w:fill="auto"/>
                  <w:vAlign w:val="center"/>
                </w:tcPr>
                <w:p>
                  <w:pPr>
                    <w:pStyle w:val="3"/>
                    <w:numPr>
                      <w:ilvl w:val="0"/>
                      <w:numId w:val="0"/>
                    </w:numPr>
                    <w:spacing w:line="240" w:lineRule="auto"/>
                    <w:jc w:val="center"/>
                    <w:rPr>
                      <w:color w:val="FF0000"/>
                      <w:szCs w:val="21"/>
                    </w:rPr>
                  </w:pPr>
                  <w:r>
                    <w:rPr>
                      <w:color w:val="FF000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p>
              </w:tc>
              <w:tc>
                <w:tcPr>
                  <w:tcW w:w="1048"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食堂油烟</w:t>
                  </w:r>
                </w:p>
              </w:tc>
              <w:tc>
                <w:tcPr>
                  <w:tcW w:w="27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1套油烟净化器+</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根1</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m高排气筒</w:t>
                  </w:r>
                </w:p>
              </w:tc>
              <w:tc>
                <w:tcPr>
                  <w:tcW w:w="5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p>
              </w:tc>
              <w:tc>
                <w:tcPr>
                  <w:tcW w:w="1048"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在线监测</w:t>
                  </w:r>
                </w:p>
              </w:tc>
              <w:tc>
                <w:tcPr>
                  <w:tcW w:w="27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1套废气在线监测设备</w:t>
                  </w:r>
                </w:p>
              </w:tc>
              <w:tc>
                <w:tcPr>
                  <w:tcW w:w="5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restar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w:t>
                  </w:r>
                </w:p>
              </w:tc>
              <w:tc>
                <w:tcPr>
                  <w:tcW w:w="1048"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生产废水</w:t>
                  </w:r>
                </w:p>
              </w:tc>
              <w:tc>
                <w:tcPr>
                  <w:tcW w:w="27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1套生产废水处理设施，“</w:t>
                  </w:r>
                  <w:r>
                    <w:rPr>
                      <w:rFonts w:hint="eastAsia"/>
                      <w:color w:val="000000" w:themeColor="text1"/>
                      <w14:textFill>
                        <w14:solidFill>
                          <w14:schemeClr w14:val="tx1"/>
                        </w14:solidFill>
                      </w14:textFill>
                    </w:rPr>
                    <w:t>隔油+厌氧反应器+好氧活性污泥法（A/O法）</w:t>
                  </w:r>
                  <w:r>
                    <w:rPr>
                      <w:rFonts w:hint="eastAsia"/>
                      <w:color w:val="000000" w:themeColor="text1"/>
                      <w:szCs w:val="21"/>
                      <w14:textFill>
                        <w14:solidFill>
                          <w14:schemeClr w14:val="tx1"/>
                        </w14:solidFill>
                      </w14:textFill>
                    </w:rPr>
                    <w:t>”</w:t>
                  </w:r>
                </w:p>
              </w:tc>
              <w:tc>
                <w:tcPr>
                  <w:tcW w:w="5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2" w:type="pct"/>
                  <w:vMerge w:val="continue"/>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p>
              </w:tc>
              <w:tc>
                <w:tcPr>
                  <w:tcW w:w="1048"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tc>
              <w:tc>
                <w:tcPr>
                  <w:tcW w:w="27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生化池1座</w:t>
                  </w:r>
                </w:p>
              </w:tc>
              <w:tc>
                <w:tcPr>
                  <w:tcW w:w="5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2" w:type="pct"/>
                  <w:vMerge w:val="continue"/>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p>
              </w:tc>
              <w:tc>
                <w:tcPr>
                  <w:tcW w:w="1048"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食堂废水</w:t>
                  </w:r>
                </w:p>
              </w:tc>
              <w:tc>
                <w:tcPr>
                  <w:tcW w:w="27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隔油池1座</w:t>
                  </w:r>
                </w:p>
              </w:tc>
              <w:tc>
                <w:tcPr>
                  <w:tcW w:w="5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2"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w:t>
                  </w:r>
                </w:p>
              </w:tc>
              <w:tc>
                <w:tcPr>
                  <w:tcW w:w="1048"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设备机械噪声</w:t>
                  </w:r>
                </w:p>
              </w:tc>
              <w:tc>
                <w:tcPr>
                  <w:tcW w:w="27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优选低噪声设备，采取设备基础减振，厂房隔声，厂区内进行绿化</w:t>
                  </w:r>
                </w:p>
              </w:tc>
              <w:tc>
                <w:tcPr>
                  <w:tcW w:w="5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2" w:type="pct"/>
                  <w:vMerge w:val="restar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w:t>
                  </w:r>
                </w:p>
              </w:tc>
              <w:tc>
                <w:tcPr>
                  <w:tcW w:w="1048"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裂解废气除尘灰</w:t>
                  </w:r>
                </w:p>
              </w:tc>
              <w:tc>
                <w:tcPr>
                  <w:tcW w:w="27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外售处理</w:t>
                  </w:r>
                </w:p>
              </w:tc>
              <w:tc>
                <w:tcPr>
                  <w:tcW w:w="5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2" w:type="pct"/>
                  <w:vMerge w:val="continue"/>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p>
              </w:tc>
              <w:tc>
                <w:tcPr>
                  <w:tcW w:w="1048"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生化池污泥</w:t>
                  </w:r>
                </w:p>
              </w:tc>
              <w:tc>
                <w:tcPr>
                  <w:tcW w:w="27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定期清掏，交环卫部门处理。</w:t>
                  </w:r>
                </w:p>
              </w:tc>
              <w:tc>
                <w:tcPr>
                  <w:tcW w:w="5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2" w:type="pct"/>
                  <w:vMerge w:val="continue"/>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p>
              </w:tc>
              <w:tc>
                <w:tcPr>
                  <w:tcW w:w="1048"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含油废渣、废含油棉纱手套、废活性炭等</w:t>
                  </w:r>
                </w:p>
              </w:tc>
              <w:tc>
                <w:tcPr>
                  <w:tcW w:w="27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设置危废暂存间1座，面积1</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，定期交由资质单位处置。</w:t>
                  </w:r>
                </w:p>
              </w:tc>
              <w:tc>
                <w:tcPr>
                  <w:tcW w:w="5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2" w:type="pct"/>
                  <w:vMerge w:val="continue"/>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p>
              </w:tc>
              <w:tc>
                <w:tcPr>
                  <w:tcW w:w="1048"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27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厂区设置垃圾箱，垃圾统一收集后定期由环卫部门清运处置。</w:t>
                  </w:r>
                </w:p>
              </w:tc>
              <w:tc>
                <w:tcPr>
                  <w:tcW w:w="5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2" w:type="pct"/>
                  <w:vMerge w:val="continue"/>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p>
              </w:tc>
              <w:tc>
                <w:tcPr>
                  <w:tcW w:w="1048"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餐厨垃圾</w:t>
                  </w:r>
                </w:p>
              </w:tc>
              <w:tc>
                <w:tcPr>
                  <w:tcW w:w="27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厂区设置餐厨垃圾箱，餐厨垃圾统一收集后交由餐厨垃圾处理资质的单位处置。</w:t>
                  </w:r>
                </w:p>
              </w:tc>
              <w:tc>
                <w:tcPr>
                  <w:tcW w:w="5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0" w:type="pct"/>
                  <w:gridSpan w:val="2"/>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地下水污染防治</w:t>
                  </w:r>
                </w:p>
              </w:tc>
              <w:tc>
                <w:tcPr>
                  <w:tcW w:w="27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厂区内进行分区防渗，项目场地下游设置1处地下水监控井，定期进行水质跟踪监测</w:t>
                  </w:r>
                </w:p>
              </w:tc>
              <w:tc>
                <w:tcPr>
                  <w:tcW w:w="5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0" w:type="pct"/>
                  <w:gridSpan w:val="2"/>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环境风险防范措施</w:t>
                  </w:r>
                </w:p>
              </w:tc>
              <w:tc>
                <w:tcPr>
                  <w:tcW w:w="27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油罐区设置1</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m高围堰；</w:t>
                  </w:r>
                  <w:r>
                    <w:rPr>
                      <w:rFonts w:hint="eastAsia"/>
                      <w:color w:val="000000" w:themeColor="text1"/>
                      <w14:textFill>
                        <w14:solidFill>
                          <w14:schemeClr w14:val="tx1"/>
                        </w14:solidFill>
                      </w14:textFill>
                    </w:rPr>
                    <w:t>每个裂解油暂存罐单独设置围堰（不小于暂存罐最大容积</w:t>
                  </w:r>
                  <w:r>
                    <w:rPr>
                      <w:color w:val="000000" w:themeColor="text1"/>
                      <w14:textFill>
                        <w14:solidFill>
                          <w14:schemeClr w14:val="tx1"/>
                        </w14:solidFill>
                      </w14:textFill>
                    </w:rPr>
                    <w:t>2.8</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）；氨水储罐设置围堰（不小于储罐容积0</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；配套消防系统及器材、火灾报警系统；建设事故应急池，有效容积不小于</w:t>
                  </w:r>
                  <w:r>
                    <w:rPr>
                      <w:color w:val="000000" w:themeColor="text1"/>
                      <w:szCs w:val="21"/>
                      <w14:textFill>
                        <w14:solidFill>
                          <w14:schemeClr w14:val="tx1"/>
                        </w14:solidFill>
                      </w14:textFill>
                    </w:rPr>
                    <w:t>700</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p>
              </w:tc>
              <w:tc>
                <w:tcPr>
                  <w:tcW w:w="5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0" w:type="pct"/>
                  <w:gridSpan w:val="3"/>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540" w:type="pct"/>
                  <w:shd w:val="clear" w:color="auto" w:fill="auto"/>
                  <w:vAlign w:val="center"/>
                </w:tcPr>
                <w:p>
                  <w:pPr>
                    <w:pStyle w:val="3"/>
                    <w:numPr>
                      <w:ilvl w:val="0"/>
                      <w:numId w:val="0"/>
                    </w:num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741</w:t>
                  </w:r>
                </w:p>
              </w:tc>
            </w:tr>
          </w:tbl>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jc w:val="center"/>
              <w:rPr>
                <w:color w:val="000000" w:themeColor="text1"/>
                <w:sz w:val="24"/>
                <w14:textFill>
                  <w14:solidFill>
                    <w14:schemeClr w14:val="tx1"/>
                  </w14:solidFill>
                </w14:textFill>
              </w:rPr>
            </w:pPr>
          </w:p>
          <w:p>
            <w:pPr>
              <w:pStyle w:val="3"/>
              <w:numPr>
                <w:ilvl w:val="0"/>
                <w:numId w:val="0"/>
              </w:numPr>
              <w:rPr>
                <w:color w:val="000000" w:themeColor="text1"/>
                <w:sz w:val="24"/>
                <w14:textFill>
                  <w14:solidFill>
                    <w14:schemeClr w14:val="tx1"/>
                  </w14:solidFill>
                </w14:textFill>
              </w:rPr>
            </w:pPr>
          </w:p>
        </w:tc>
      </w:tr>
    </w:tbl>
    <w:p>
      <w:pPr>
        <w:pStyle w:val="32"/>
        <w:ind w:firstLine="600"/>
        <w:jc w:val="center"/>
        <w:rPr>
          <w:rFonts w:ascii="Times New Roman" w:hAnsi="Times New Roman" w:eastAsia="黑体"/>
          <w:snapToGrid w:val="0"/>
          <w:color w:val="000000" w:themeColor="text1"/>
          <w:sz w:val="30"/>
          <w:szCs w:val="30"/>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2"/>
        <w:spacing w:line="240" w:lineRule="auto"/>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12" w:name="_Toc20147"/>
      <w:r>
        <w:rPr>
          <w:rFonts w:ascii="Times New Roman" w:hAnsi="Times New Roman" w:eastAsia="黑体"/>
          <w:snapToGrid w:val="0"/>
          <w:color w:val="000000" w:themeColor="text1"/>
          <w:sz w:val="30"/>
          <w:szCs w:val="30"/>
          <w14:textFill>
            <w14:solidFill>
              <w14:schemeClr w14:val="tx1"/>
            </w14:solidFill>
          </w14:textFill>
        </w:rPr>
        <w:t>五、</w:t>
      </w:r>
      <w:bookmarkStart w:id="13" w:name="_Hlk54167917"/>
      <w:r>
        <w:rPr>
          <w:rFonts w:ascii="Times New Roman" w:hAnsi="Times New Roman" w:eastAsia="黑体"/>
          <w:snapToGrid w:val="0"/>
          <w:color w:val="000000" w:themeColor="text1"/>
          <w:sz w:val="30"/>
          <w:szCs w:val="30"/>
          <w14:textFill>
            <w14:solidFill>
              <w14:schemeClr w14:val="tx1"/>
            </w14:solidFill>
          </w14:textFill>
        </w:rPr>
        <w:t>环境保护措施监督检查清单</w:t>
      </w:r>
      <w:bookmarkEnd w:id="12"/>
      <w:bookmarkEnd w:id="13"/>
    </w:p>
    <w:p>
      <w:pPr>
        <w:spacing w:line="24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5</w:t>
      </w: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项目一期工程环境保护措施监督检查清单</w:t>
      </w:r>
    </w:p>
    <w:tbl>
      <w:tblPr>
        <w:tblStyle w:val="36"/>
        <w:tblW w:w="89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276"/>
        <w:gridCol w:w="1353"/>
        <w:gridCol w:w="2899"/>
        <w:gridCol w:w="20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tcBorders>
              <w:tl2br w:val="single" w:color="auto" w:sz="4" w:space="0"/>
            </w:tcBorders>
          </w:tcPr>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内容</w:t>
            </w:r>
          </w:p>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要素</w:t>
            </w:r>
          </w:p>
        </w:tc>
        <w:tc>
          <w:tcPr>
            <w:tcW w:w="1276" w:type="dxa"/>
            <w:vAlign w:val="center"/>
          </w:tcPr>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排放口(编号、名称)/污染源</w:t>
            </w:r>
          </w:p>
        </w:tc>
        <w:tc>
          <w:tcPr>
            <w:tcW w:w="1353"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污染物项目</w:t>
            </w:r>
          </w:p>
        </w:tc>
        <w:tc>
          <w:tcPr>
            <w:tcW w:w="2899"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环境保护措施</w:t>
            </w:r>
          </w:p>
        </w:tc>
        <w:tc>
          <w:tcPr>
            <w:tcW w:w="2079"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restart"/>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大气环境</w:t>
            </w:r>
          </w:p>
        </w:tc>
        <w:tc>
          <w:tcPr>
            <w:tcW w:w="1276" w:type="dxa"/>
            <w:vAlign w:val="center"/>
          </w:tcPr>
          <w:p>
            <w:pPr>
              <w:pStyle w:val="228"/>
              <w:autoSpaceDE w:val="0"/>
              <w:autoSpaceDN w:val="0"/>
              <w:adjustRightInd w:val="0"/>
              <w:spacing w:line="240" w:lineRule="auto"/>
              <w:ind w:firstLine="0" w:firstLineChars="0"/>
              <w:jc w:val="center"/>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裂解燃烧烟气(D</w:t>
            </w:r>
            <w:r>
              <w:rPr>
                <w:color w:val="000000" w:themeColor="text1"/>
                <w:sz w:val="24"/>
                <w:szCs w:val="24"/>
                <w14:textFill>
                  <w14:solidFill>
                    <w14:schemeClr w14:val="tx1"/>
                  </w14:solidFill>
                </w14:textFill>
              </w:rPr>
              <w:t>A003</w:t>
            </w:r>
            <w:r>
              <w:rPr>
                <w:rFonts w:hint="eastAsia"/>
                <w:color w:val="000000" w:themeColor="text1"/>
                <w:sz w:val="24"/>
                <w:szCs w:val="24"/>
                <w14:textFill>
                  <w14:solidFill>
                    <w14:schemeClr w14:val="tx1"/>
                  </w14:solidFill>
                </w14:textFill>
              </w:rPr>
              <w:t>)</w:t>
            </w:r>
          </w:p>
        </w:tc>
        <w:tc>
          <w:tcPr>
            <w:tcW w:w="1353" w:type="dxa"/>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颗粒物、S</w:t>
            </w:r>
            <w:r>
              <w:rPr>
                <w:color w:val="000000" w:themeColor="text1"/>
                <w:sz w:val="24"/>
                <w14:textFill>
                  <w14:solidFill>
                    <w14:schemeClr w14:val="tx1"/>
                  </w14:solidFill>
                </w14:textFill>
              </w:rPr>
              <w:t>O</w:t>
            </w:r>
            <w:r>
              <w:rPr>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、N</w:t>
            </w:r>
            <w:r>
              <w:rPr>
                <w:color w:val="000000" w:themeColor="text1"/>
                <w:sz w:val="24"/>
                <w14:textFill>
                  <w14:solidFill>
                    <w14:schemeClr w14:val="tx1"/>
                  </w14:solidFill>
                </w14:textFill>
              </w:rPr>
              <w:t>O</w:t>
            </w:r>
            <w:r>
              <w:rPr>
                <w:color w:val="000000" w:themeColor="text1"/>
                <w:sz w:val="24"/>
                <w:vertAlign w:val="subscript"/>
                <w14:textFill>
                  <w14:solidFill>
                    <w14:schemeClr w14:val="tx1"/>
                  </w14:solidFill>
                </w14:textFill>
              </w:rPr>
              <w:t>X</w:t>
            </w:r>
            <w:r>
              <w:rPr>
                <w:rFonts w:hint="eastAsia"/>
                <w:color w:val="000000" w:themeColor="text1"/>
                <w:sz w:val="24"/>
                <w14:textFill>
                  <w14:solidFill>
                    <w14:schemeClr w14:val="tx1"/>
                  </w14:solidFill>
                </w14:textFill>
              </w:rPr>
              <w:t>、非甲烷总烃、H</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、甲苯、二甲苯、二噁英类、臭气浓度、林格曼黑度</w:t>
            </w:r>
          </w:p>
        </w:tc>
        <w:tc>
          <w:tcPr>
            <w:tcW w:w="2899" w:type="dxa"/>
            <w:vAlign w:val="center"/>
          </w:tcPr>
          <w:p>
            <w:pPr>
              <w:autoSpaceDE w:val="0"/>
              <w:autoSpaceDN w:val="0"/>
              <w:adjustRightInd w:val="0"/>
              <w:spacing w:line="240" w:lineRule="auto"/>
              <w:jc w:val="center"/>
              <w:textAlignment w:val="center"/>
              <w:rPr>
                <w:color w:val="FF0000"/>
                <w:sz w:val="24"/>
              </w:rPr>
            </w:pPr>
            <w:r>
              <w:rPr>
                <w:rFonts w:hint="eastAsia"/>
                <w:bCs/>
                <w:color w:val="FF0000"/>
                <w:sz w:val="24"/>
              </w:rPr>
              <w:t>每条裂解生产线的燃烧室对裂解不凝气燃烧处理。各生产线的燃烧室燃烧烟气和多余不凝气采用一套“二次燃烧烟气骤冷+SCR脱硝+钠碱法脱硫+湿电除尘+气液分离+二级活性炭吸附”处理设施处理</w:t>
            </w:r>
            <w:r>
              <w:rPr>
                <w:rFonts w:hint="eastAsia"/>
                <w:color w:val="FF0000"/>
                <w:sz w:val="24"/>
              </w:rPr>
              <w:t>，处理后1根1</w:t>
            </w:r>
            <w:r>
              <w:rPr>
                <w:color w:val="FF0000"/>
                <w:sz w:val="24"/>
              </w:rPr>
              <w:t>5</w:t>
            </w:r>
            <w:r>
              <w:rPr>
                <w:rFonts w:hint="eastAsia"/>
                <w:color w:val="FF0000"/>
                <w:sz w:val="24"/>
              </w:rPr>
              <w:t>m高排气筒（D</w:t>
            </w:r>
            <w:r>
              <w:rPr>
                <w:color w:val="FF0000"/>
                <w:sz w:val="24"/>
              </w:rPr>
              <w:t>A003</w:t>
            </w:r>
            <w:r>
              <w:rPr>
                <w:rFonts w:hint="eastAsia"/>
                <w:color w:val="FF0000"/>
                <w:sz w:val="24"/>
              </w:rPr>
              <w:t>）排放。对排气筒D</w:t>
            </w:r>
            <w:r>
              <w:rPr>
                <w:color w:val="FF0000"/>
                <w:sz w:val="24"/>
              </w:rPr>
              <w:t>A003</w:t>
            </w:r>
            <w:r>
              <w:rPr>
                <w:rFonts w:hint="eastAsia"/>
                <w:color w:val="FF0000"/>
                <w:sz w:val="24"/>
              </w:rPr>
              <w:t>燃烧烟气中的颗粒物、S</w:t>
            </w:r>
            <w:r>
              <w:rPr>
                <w:color w:val="FF0000"/>
                <w:sz w:val="24"/>
              </w:rPr>
              <w:t>O</w:t>
            </w:r>
            <w:r>
              <w:rPr>
                <w:color w:val="FF0000"/>
                <w:sz w:val="24"/>
                <w:vertAlign w:val="subscript"/>
              </w:rPr>
              <w:t>2</w:t>
            </w:r>
            <w:r>
              <w:rPr>
                <w:rFonts w:hint="eastAsia"/>
                <w:color w:val="FF0000"/>
                <w:sz w:val="24"/>
              </w:rPr>
              <w:t>、N</w:t>
            </w:r>
            <w:r>
              <w:rPr>
                <w:color w:val="FF0000"/>
                <w:sz w:val="24"/>
              </w:rPr>
              <w:t>O</w:t>
            </w:r>
            <w:r>
              <w:rPr>
                <w:color w:val="FF0000"/>
                <w:sz w:val="24"/>
                <w:vertAlign w:val="subscript"/>
              </w:rPr>
              <w:t>X</w:t>
            </w:r>
            <w:r>
              <w:rPr>
                <w:rFonts w:hint="eastAsia"/>
                <w:color w:val="FF0000"/>
                <w:sz w:val="24"/>
              </w:rPr>
              <w:t>污染因子安装自动监测设备，并与当地生态环境主管部门联网。</w:t>
            </w:r>
          </w:p>
        </w:tc>
        <w:tc>
          <w:tcPr>
            <w:tcW w:w="2079" w:type="dxa"/>
            <w:vMerge w:val="restart"/>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《石油化学工业污染物排放标准》（GB31571-2015）、《恶臭污染物排放标准》（GB14554-93）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pStyle w:val="228"/>
              <w:autoSpaceDE w:val="0"/>
              <w:autoSpaceDN w:val="0"/>
              <w:adjustRightInd w:val="0"/>
              <w:spacing w:line="240" w:lineRule="auto"/>
              <w:ind w:firstLine="0" w:firstLineChars="0"/>
              <w:jc w:val="center"/>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轮胎处理粉尘(D</w:t>
            </w:r>
            <w:r>
              <w:rPr>
                <w:color w:val="000000" w:themeColor="text1"/>
                <w:sz w:val="24"/>
                <w:szCs w:val="24"/>
                <w14:textFill>
                  <w14:solidFill>
                    <w14:schemeClr w14:val="tx1"/>
                  </w14:solidFill>
                </w14:textFill>
              </w:rPr>
              <w:t>A001</w:t>
            </w:r>
            <w:r>
              <w:rPr>
                <w:rFonts w:hint="eastAsia"/>
                <w:color w:val="000000" w:themeColor="text1"/>
                <w:sz w:val="24"/>
                <w:szCs w:val="24"/>
                <w14:textFill>
                  <w14:solidFill>
                    <w14:schemeClr w14:val="tx1"/>
                  </w14:solidFill>
                </w14:textFill>
              </w:rPr>
              <w:t>）</w:t>
            </w:r>
          </w:p>
        </w:tc>
        <w:tc>
          <w:tcPr>
            <w:tcW w:w="1353" w:type="dxa"/>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颗粒物</w:t>
            </w:r>
          </w:p>
        </w:tc>
        <w:tc>
          <w:tcPr>
            <w:tcW w:w="2899" w:type="dxa"/>
            <w:vAlign w:val="center"/>
          </w:tcPr>
          <w:p>
            <w:pPr>
              <w:autoSpaceDE w:val="0"/>
              <w:autoSpaceDN w:val="0"/>
              <w:adjustRightInd w:val="0"/>
              <w:spacing w:line="240" w:lineRule="auto"/>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2条轮胎破碎生产线配置1套布袋除尘器，1#原料破碎车间的粉尘经布袋除尘器处理后经1根1</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m高排气筒（D</w:t>
            </w:r>
            <w:r>
              <w:rPr>
                <w:color w:val="000000" w:themeColor="text1"/>
                <w:sz w:val="24"/>
                <w14:textFill>
                  <w14:solidFill>
                    <w14:schemeClr w14:val="tx1"/>
                  </w14:solidFill>
                </w14:textFill>
              </w:rPr>
              <w:t>A001</w:t>
            </w:r>
            <w:r>
              <w:rPr>
                <w:rFonts w:hint="eastAsia"/>
                <w:color w:val="000000" w:themeColor="text1"/>
                <w:sz w:val="24"/>
                <w14:textFill>
                  <w14:solidFill>
                    <w14:schemeClr w14:val="tx1"/>
                  </w14:solidFill>
                </w14:textFill>
              </w:rPr>
              <w:t>）排放。</w:t>
            </w:r>
          </w:p>
        </w:tc>
        <w:tc>
          <w:tcPr>
            <w:tcW w:w="2079" w:type="dxa"/>
            <w:vMerge w:val="continue"/>
            <w:vAlign w:val="center"/>
          </w:tcPr>
          <w:p>
            <w:pPr>
              <w:adjustRightInd w:val="0"/>
              <w:snapToGrid w:val="0"/>
              <w:spacing w:line="240" w:lineRule="auto"/>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pStyle w:val="198"/>
              <w:spacing w:line="240" w:lineRule="auto"/>
              <w:jc w:val="center"/>
              <w:rPr>
                <w:rFonts w:ascii="Times New Roman" w:cs="Times New Roman"/>
                <w:color w:val="000000" w:themeColor="text1"/>
                <w14:textFill>
                  <w14:solidFill>
                    <w14:schemeClr w14:val="tx1"/>
                  </w14:solidFill>
                </w14:textFill>
              </w:rPr>
            </w:pPr>
            <w:r>
              <w:rPr>
                <w:rFonts w:hint="eastAsia" w:ascii="Times New Roman" w:cs="Times New Roman"/>
                <w:color w:val="000000" w:themeColor="text1"/>
                <w14:textFill>
                  <w14:solidFill>
                    <w14:schemeClr w14:val="tx1"/>
                  </w14:solidFill>
                </w14:textFill>
              </w:rPr>
              <w:t>储油罐区呼吸废气</w:t>
            </w:r>
          </w:p>
        </w:tc>
        <w:tc>
          <w:tcPr>
            <w:tcW w:w="1353" w:type="dxa"/>
            <w:vAlign w:val="center"/>
          </w:tcPr>
          <w:p>
            <w:pPr>
              <w:spacing w:line="240" w:lineRule="auto"/>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非甲烷总烃</w:t>
            </w:r>
          </w:p>
        </w:tc>
        <w:tc>
          <w:tcPr>
            <w:tcW w:w="2899" w:type="dxa"/>
            <w:vAlign w:val="center"/>
          </w:tcPr>
          <w:p>
            <w:pPr>
              <w:pStyle w:val="198"/>
              <w:spacing w:line="240" w:lineRule="auto"/>
              <w:jc w:val="center"/>
              <w:rPr>
                <w:rFonts w:ascii="Times New Roman" w:cs="Times New Roman"/>
                <w:color w:val="FF0000"/>
                <w:lang w:bidi="ar"/>
              </w:rPr>
            </w:pPr>
            <w:r>
              <w:rPr>
                <w:rFonts w:hint="eastAsia"/>
                <w:color w:val="FF0000"/>
                <w:szCs w:val="21"/>
              </w:rPr>
              <w:t>安装密闭排气系统，将呼吸废气收集后接入二燃室燃烧处理</w:t>
            </w:r>
            <w:r>
              <w:rPr>
                <w:rFonts w:hint="eastAsia" w:ascii="Times New Roman" w:cs="Times New Roman"/>
                <w:color w:val="FF0000"/>
                <w:lang w:bidi="ar"/>
              </w:rPr>
              <w:t>。</w:t>
            </w:r>
          </w:p>
        </w:tc>
        <w:tc>
          <w:tcPr>
            <w:tcW w:w="2079" w:type="dxa"/>
            <w:vMerge w:val="continue"/>
            <w:vAlign w:val="center"/>
          </w:tcPr>
          <w:p>
            <w:pPr>
              <w:adjustRightInd w:val="0"/>
              <w:snapToGrid w:val="0"/>
              <w:spacing w:line="240" w:lineRule="auto"/>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pStyle w:val="198"/>
              <w:spacing w:line="240" w:lineRule="auto"/>
              <w:jc w:val="center"/>
              <w:rPr>
                <w:rFonts w:ascii="Times New Roman" w:cs="Times New Roman"/>
                <w:color w:val="000000" w:themeColor="text1"/>
                <w14:textFill>
                  <w14:solidFill>
                    <w14:schemeClr w14:val="tx1"/>
                  </w14:solidFill>
                </w14:textFill>
              </w:rPr>
            </w:pPr>
            <w:r>
              <w:rPr>
                <w:rFonts w:hint="eastAsia" w:ascii="Times New Roman" w:cs="Times New Roman"/>
                <w:color w:val="000000" w:themeColor="text1"/>
                <w14:textFill>
                  <w14:solidFill>
                    <w14:schemeClr w14:val="tx1"/>
                  </w14:solidFill>
                </w14:textFill>
              </w:rPr>
              <w:t>炭黑加工粉尘(D</w:t>
            </w:r>
            <w:r>
              <w:rPr>
                <w:rFonts w:ascii="Times New Roman" w:cs="Times New Roman"/>
                <w:color w:val="000000" w:themeColor="text1"/>
                <w14:textFill>
                  <w14:solidFill>
                    <w14:schemeClr w14:val="tx1"/>
                  </w14:solidFill>
                </w14:textFill>
              </w:rPr>
              <w:t>A004</w:t>
            </w:r>
            <w:r>
              <w:rPr>
                <w:rFonts w:hint="eastAsia" w:ascii="Times New Roman" w:cs="Times New Roman"/>
                <w:color w:val="000000" w:themeColor="text1"/>
                <w14:textFill>
                  <w14:solidFill>
                    <w14:schemeClr w14:val="tx1"/>
                  </w14:solidFill>
                </w14:textFill>
              </w:rPr>
              <w:t>）</w:t>
            </w:r>
          </w:p>
        </w:tc>
        <w:tc>
          <w:tcPr>
            <w:tcW w:w="1353" w:type="dxa"/>
            <w:vAlign w:val="center"/>
          </w:tcPr>
          <w:p>
            <w:pPr>
              <w:spacing w:line="240" w:lineRule="auto"/>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炭黑尘</w:t>
            </w:r>
          </w:p>
        </w:tc>
        <w:tc>
          <w:tcPr>
            <w:tcW w:w="2899" w:type="dxa"/>
            <w:vAlign w:val="center"/>
          </w:tcPr>
          <w:p>
            <w:pPr>
              <w:pStyle w:val="198"/>
              <w:spacing w:line="240" w:lineRule="auto"/>
              <w:jc w:val="center"/>
              <w:rPr>
                <w:rFonts w:ascii="Times New Roman" w:cs="Times New Roman"/>
                <w:color w:val="000000" w:themeColor="text1"/>
                <w:lang w:bidi="ar"/>
                <w14:textFill>
                  <w14:solidFill>
                    <w14:schemeClr w14:val="tx1"/>
                  </w14:solidFill>
                </w14:textFill>
              </w:rPr>
            </w:pPr>
            <w:r>
              <w:rPr>
                <w:rFonts w:hint="eastAsia" w:ascii="Times New Roman" w:cs="Times New Roman"/>
                <w:color w:val="000000" w:themeColor="text1"/>
                <w:lang w:bidi="ar"/>
                <w14:textFill>
                  <w14:solidFill>
                    <w14:schemeClr w14:val="tx1"/>
                  </w14:solidFill>
                </w14:textFill>
              </w:rPr>
              <w:t>1条炭黑深加工研磨设备配置1套布袋除尘器处理，然后经1根1</w:t>
            </w:r>
            <w:r>
              <w:rPr>
                <w:rFonts w:ascii="Times New Roman" w:cs="Times New Roman"/>
                <w:color w:val="000000" w:themeColor="text1"/>
                <w:lang w:bidi="ar"/>
                <w14:textFill>
                  <w14:solidFill>
                    <w14:schemeClr w14:val="tx1"/>
                  </w14:solidFill>
                </w14:textFill>
              </w:rPr>
              <w:t>5</w:t>
            </w:r>
            <w:r>
              <w:rPr>
                <w:rFonts w:hint="eastAsia" w:ascii="Times New Roman" w:cs="Times New Roman"/>
                <w:color w:val="000000" w:themeColor="text1"/>
                <w:lang w:bidi="ar"/>
                <w14:textFill>
                  <w14:solidFill>
                    <w14:schemeClr w14:val="tx1"/>
                  </w14:solidFill>
                </w14:textFill>
              </w:rPr>
              <w:t>m高排气筒（D</w:t>
            </w:r>
            <w:r>
              <w:rPr>
                <w:rFonts w:ascii="Times New Roman" w:cs="Times New Roman"/>
                <w:color w:val="000000" w:themeColor="text1"/>
                <w:lang w:bidi="ar"/>
                <w14:textFill>
                  <w14:solidFill>
                    <w14:schemeClr w14:val="tx1"/>
                  </w14:solidFill>
                </w14:textFill>
              </w:rPr>
              <w:t>A004</w:t>
            </w:r>
            <w:r>
              <w:rPr>
                <w:rFonts w:hint="eastAsia" w:ascii="Times New Roman" w:cs="Times New Roman"/>
                <w:color w:val="000000" w:themeColor="text1"/>
                <w:lang w:bidi="ar"/>
                <w14:textFill>
                  <w14:solidFill>
                    <w14:schemeClr w14:val="tx1"/>
                  </w14:solidFill>
                </w14:textFill>
              </w:rPr>
              <w:t>）排放。</w:t>
            </w:r>
          </w:p>
        </w:tc>
        <w:tc>
          <w:tcPr>
            <w:tcW w:w="207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《大气污染物综合排放标准》（DB 50/418-2016）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pStyle w:val="198"/>
              <w:spacing w:line="240" w:lineRule="auto"/>
              <w:jc w:val="center"/>
              <w:rPr>
                <w:rFonts w:ascii="Times New Roman" w:cs="Times New Roman"/>
                <w:color w:val="000000" w:themeColor="text1"/>
                <w14:textFill>
                  <w14:solidFill>
                    <w14:schemeClr w14:val="tx1"/>
                  </w14:solidFill>
                </w14:textFill>
              </w:rPr>
            </w:pPr>
            <w:r>
              <w:rPr>
                <w:rFonts w:hint="eastAsia" w:ascii="Times New Roman" w:cs="Times New Roman"/>
                <w:color w:val="000000" w:themeColor="text1"/>
                <w14:textFill>
                  <w14:solidFill>
                    <w14:schemeClr w14:val="tx1"/>
                  </w14:solidFill>
                </w14:textFill>
              </w:rPr>
              <w:t>食堂油烟(</w:t>
            </w:r>
            <w:r>
              <w:rPr>
                <w:rFonts w:ascii="Times New Roman" w:cs="Times New Roman"/>
                <w:color w:val="000000" w:themeColor="text1"/>
                <w14:textFill>
                  <w14:solidFill>
                    <w14:schemeClr w14:val="tx1"/>
                  </w14:solidFill>
                </w14:textFill>
              </w:rPr>
              <w:t>DA005)</w:t>
            </w:r>
          </w:p>
        </w:tc>
        <w:tc>
          <w:tcPr>
            <w:tcW w:w="1353" w:type="dxa"/>
            <w:vAlign w:val="center"/>
          </w:tcPr>
          <w:p>
            <w:pPr>
              <w:spacing w:line="240" w:lineRule="auto"/>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油烟、非甲烷总烃</w:t>
            </w:r>
          </w:p>
        </w:tc>
        <w:tc>
          <w:tcPr>
            <w:tcW w:w="2899" w:type="dxa"/>
            <w:vAlign w:val="center"/>
          </w:tcPr>
          <w:p>
            <w:pPr>
              <w:pStyle w:val="198"/>
              <w:spacing w:line="240" w:lineRule="auto"/>
              <w:jc w:val="center"/>
              <w:rPr>
                <w:rFonts w:ascii="Times New Roman" w:cs="Times New Roman"/>
                <w:color w:val="000000" w:themeColor="text1"/>
                <w:lang w:bidi="ar"/>
                <w14:textFill>
                  <w14:solidFill>
                    <w14:schemeClr w14:val="tx1"/>
                  </w14:solidFill>
                </w14:textFill>
              </w:rPr>
            </w:pPr>
            <w:r>
              <w:rPr>
                <w:rFonts w:hint="eastAsia" w:ascii="Times New Roman" w:cs="Times New Roman"/>
                <w:color w:val="000000" w:themeColor="text1"/>
                <w:lang w:bidi="ar"/>
                <w14:textFill>
                  <w14:solidFill>
                    <w14:schemeClr w14:val="tx1"/>
                  </w14:solidFill>
                </w14:textFill>
              </w:rPr>
              <w:t>食堂油烟经1套油烟净化器处理后经1根1</w:t>
            </w:r>
            <w:r>
              <w:rPr>
                <w:rFonts w:ascii="Times New Roman" w:cs="Times New Roman"/>
                <w:color w:val="000000" w:themeColor="text1"/>
                <w:lang w:bidi="ar"/>
                <w14:textFill>
                  <w14:solidFill>
                    <w14:schemeClr w14:val="tx1"/>
                  </w14:solidFill>
                </w14:textFill>
              </w:rPr>
              <w:t>5</w:t>
            </w:r>
            <w:r>
              <w:rPr>
                <w:rFonts w:hint="eastAsia" w:ascii="Times New Roman" w:cs="Times New Roman"/>
                <w:color w:val="000000" w:themeColor="text1"/>
                <w:lang w:bidi="ar"/>
                <w14:textFill>
                  <w14:solidFill>
                    <w14:schemeClr w14:val="tx1"/>
                  </w14:solidFill>
                </w14:textFill>
              </w:rPr>
              <w:t>m高排气筒（D</w:t>
            </w:r>
            <w:r>
              <w:rPr>
                <w:rFonts w:ascii="Times New Roman" w:cs="Times New Roman"/>
                <w:color w:val="000000" w:themeColor="text1"/>
                <w:lang w:bidi="ar"/>
                <w14:textFill>
                  <w14:solidFill>
                    <w14:schemeClr w14:val="tx1"/>
                  </w14:solidFill>
                </w14:textFill>
              </w:rPr>
              <w:t>A005</w:t>
            </w:r>
            <w:r>
              <w:rPr>
                <w:rFonts w:hint="eastAsia" w:ascii="Times New Roman" w:cs="Times New Roman"/>
                <w:color w:val="000000" w:themeColor="text1"/>
                <w:lang w:bidi="ar"/>
                <w14:textFill>
                  <w14:solidFill>
                    <w14:schemeClr w14:val="tx1"/>
                  </w14:solidFill>
                </w14:textFill>
              </w:rPr>
              <w:t>）排放。</w:t>
            </w:r>
          </w:p>
        </w:tc>
        <w:tc>
          <w:tcPr>
            <w:tcW w:w="207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《餐饮业大气污染物排放标准》（DB50/859-2018）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pStyle w:val="198"/>
              <w:spacing w:line="240" w:lineRule="auto"/>
              <w:jc w:val="center"/>
              <w:rPr>
                <w:rFonts w:ascii="Times New Roman" w:cs="Times New Roman"/>
                <w:color w:val="000000" w:themeColor="text1"/>
                <w14:textFill>
                  <w14:solidFill>
                    <w14:schemeClr w14:val="tx1"/>
                  </w14:solidFill>
                </w14:textFill>
              </w:rPr>
            </w:pPr>
            <w:r>
              <w:rPr>
                <w:rFonts w:hint="eastAsia" w:ascii="Times New Roman" w:cs="Times New Roman"/>
                <w:color w:val="000000" w:themeColor="text1"/>
                <w14:textFill>
                  <w14:solidFill>
                    <w14:schemeClr w14:val="tx1"/>
                  </w14:solidFill>
                </w14:textFill>
              </w:rPr>
              <w:t>厂区无组织</w:t>
            </w:r>
          </w:p>
        </w:tc>
        <w:tc>
          <w:tcPr>
            <w:tcW w:w="1353" w:type="dxa"/>
            <w:vAlign w:val="center"/>
          </w:tcPr>
          <w:p>
            <w:pPr>
              <w:spacing w:line="240" w:lineRule="auto"/>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非甲烷总烃、颗粒物、硫化氢、臭气浓度</w:t>
            </w:r>
          </w:p>
        </w:tc>
        <w:tc>
          <w:tcPr>
            <w:tcW w:w="2899" w:type="dxa"/>
            <w:vAlign w:val="center"/>
          </w:tcPr>
          <w:p>
            <w:pPr>
              <w:pStyle w:val="198"/>
              <w:spacing w:line="240" w:lineRule="auto"/>
              <w:jc w:val="center"/>
              <w:rPr>
                <w:rFonts w:ascii="Times New Roman" w:cs="Times New Roman"/>
                <w:color w:val="000000" w:themeColor="text1"/>
                <w:lang w:bidi="ar"/>
                <w14:textFill>
                  <w14:solidFill>
                    <w14:schemeClr w14:val="tx1"/>
                  </w14:solidFill>
                </w14:textFill>
              </w:rPr>
            </w:pPr>
            <w:r>
              <w:rPr>
                <w:rFonts w:hint="eastAsia" w:ascii="Times New Roman" w:cs="Times New Roman"/>
                <w:color w:val="000000" w:themeColor="text1"/>
                <w:lang w:bidi="ar"/>
                <w14:textFill>
                  <w14:solidFill>
                    <w14:schemeClr w14:val="tx1"/>
                  </w14:solidFill>
                </w14:textFill>
              </w:rPr>
              <w:t>/</w:t>
            </w:r>
          </w:p>
        </w:tc>
        <w:tc>
          <w:tcPr>
            <w:tcW w:w="207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《石油化学工业污染物排放标准》（GB31571-2015）、《恶臭污染物排放标准》（GB14554-93）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restart"/>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地表水环境</w:t>
            </w:r>
          </w:p>
        </w:tc>
        <w:tc>
          <w:tcPr>
            <w:tcW w:w="1276" w:type="dxa"/>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生活污水</w:t>
            </w:r>
          </w:p>
        </w:tc>
        <w:tc>
          <w:tcPr>
            <w:tcW w:w="1353" w:type="dxa"/>
            <w:vAlign w:val="center"/>
          </w:tcPr>
          <w:p>
            <w:pPr>
              <w:spacing w:line="240" w:lineRule="auto"/>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COD、氨氮、SS、BOD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、总磷</w:t>
            </w:r>
          </w:p>
        </w:tc>
        <w:tc>
          <w:tcPr>
            <w:tcW w:w="289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经生化池处理后排入市政污水管网。</w:t>
            </w:r>
          </w:p>
        </w:tc>
        <w:tc>
          <w:tcPr>
            <w:tcW w:w="2079" w:type="dxa"/>
            <w:vMerge w:val="restart"/>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《污水综合排放标准》(GB8978-1996)三级标准（石油类达到《石油化学工业污染物排放标准》（GB31571-2015）、氨氮、总磷达到《污水排入城镇下水道水质标准》（GB/T31962-2015）B等级标准）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食堂废水</w:t>
            </w:r>
          </w:p>
        </w:tc>
        <w:tc>
          <w:tcPr>
            <w:tcW w:w="1353" w:type="dxa"/>
            <w:vAlign w:val="center"/>
          </w:tcPr>
          <w:p>
            <w:pPr>
              <w:spacing w:line="240" w:lineRule="auto"/>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COD、氨氮、SS、BOD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、动植物油</w:t>
            </w:r>
          </w:p>
        </w:tc>
        <w:tc>
          <w:tcPr>
            <w:tcW w:w="289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经隔油池预处理后排入厂区生化池。</w:t>
            </w:r>
          </w:p>
        </w:tc>
        <w:tc>
          <w:tcPr>
            <w:tcW w:w="2079" w:type="dxa"/>
            <w:vMerge w:val="continue"/>
            <w:vAlign w:val="center"/>
          </w:tcPr>
          <w:p>
            <w:pPr>
              <w:adjustRightInd w:val="0"/>
              <w:snapToGrid w:val="0"/>
              <w:spacing w:line="240" w:lineRule="auto"/>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地面冲洗废水、脱硫系统废水、初期雨水</w:t>
            </w:r>
          </w:p>
        </w:tc>
        <w:tc>
          <w:tcPr>
            <w:tcW w:w="1353" w:type="dxa"/>
            <w:vAlign w:val="center"/>
          </w:tcPr>
          <w:p>
            <w:pPr>
              <w:spacing w:line="240" w:lineRule="auto"/>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w:t>
            </w:r>
            <w:r>
              <w:rPr>
                <w:color w:val="000000" w:themeColor="text1"/>
                <w:sz w:val="24"/>
                <w14:textFill>
                  <w14:solidFill>
                    <w14:schemeClr w14:val="tx1"/>
                  </w14:solidFill>
                </w14:textFill>
              </w:rPr>
              <w:t>OD</w:t>
            </w:r>
            <w:r>
              <w:rPr>
                <w:rFonts w:hint="eastAsia"/>
                <w:color w:val="000000" w:themeColor="text1"/>
                <w:sz w:val="24"/>
                <w14:textFill>
                  <w14:solidFill>
                    <w14:schemeClr w14:val="tx1"/>
                  </w14:solidFill>
                </w14:textFill>
              </w:rPr>
              <w:t>、S</w:t>
            </w:r>
            <w:r>
              <w:rPr>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、石油类、p</w:t>
            </w:r>
            <w:r>
              <w:rPr>
                <w:color w:val="000000" w:themeColor="text1"/>
                <w:sz w:val="24"/>
                <w14:textFill>
                  <w14:solidFill>
                    <w14:schemeClr w14:val="tx1"/>
                  </w14:solidFill>
                </w14:textFill>
              </w:rPr>
              <w:t>H</w:t>
            </w:r>
          </w:p>
        </w:tc>
        <w:tc>
          <w:tcPr>
            <w:tcW w:w="2899" w:type="dxa"/>
            <w:vAlign w:val="center"/>
          </w:tcPr>
          <w:p>
            <w:pPr>
              <w:adjustRightInd w:val="0"/>
              <w:snapToGrid w:val="0"/>
              <w:spacing w:line="240" w:lineRule="auto"/>
              <w:rPr>
                <w:color w:val="FF0000"/>
                <w:sz w:val="24"/>
              </w:rPr>
            </w:pPr>
            <w:r>
              <w:rPr>
                <w:rFonts w:hint="eastAsia"/>
                <w:color w:val="FF0000"/>
                <w:sz w:val="24"/>
              </w:rPr>
              <w:t>经1套生产废水处理设施，采用“隔油+厌氧反应器+好氧活性污泥法（A/O法）”处理后排入厂区生化池。</w:t>
            </w:r>
          </w:p>
        </w:tc>
        <w:tc>
          <w:tcPr>
            <w:tcW w:w="2079" w:type="dxa"/>
            <w:vMerge w:val="continue"/>
            <w:vAlign w:val="center"/>
          </w:tcPr>
          <w:p>
            <w:pPr>
              <w:adjustRightInd w:val="0"/>
              <w:snapToGrid w:val="0"/>
              <w:spacing w:line="240" w:lineRule="auto"/>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水封罐排水、含油废水</w:t>
            </w:r>
          </w:p>
        </w:tc>
        <w:tc>
          <w:tcPr>
            <w:tcW w:w="1353" w:type="dxa"/>
            <w:vAlign w:val="center"/>
          </w:tcPr>
          <w:p>
            <w:pPr>
              <w:spacing w:line="240" w:lineRule="auto"/>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S</w:t>
            </w:r>
            <w:r>
              <w:rPr>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、石油类</w:t>
            </w:r>
          </w:p>
        </w:tc>
        <w:tc>
          <w:tcPr>
            <w:tcW w:w="289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雾化处理后喷入二燃室燃烧处理。</w:t>
            </w:r>
          </w:p>
        </w:tc>
        <w:tc>
          <w:tcPr>
            <w:tcW w:w="207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满足环保要求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循环冷却系统排水</w:t>
            </w:r>
          </w:p>
        </w:tc>
        <w:tc>
          <w:tcPr>
            <w:tcW w:w="1353" w:type="dxa"/>
            <w:vAlign w:val="center"/>
          </w:tcPr>
          <w:p>
            <w:pPr>
              <w:spacing w:line="240" w:lineRule="auto"/>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w:t>
            </w:r>
            <w:r>
              <w:rPr>
                <w:color w:val="000000" w:themeColor="text1"/>
                <w:sz w:val="24"/>
                <w14:textFill>
                  <w14:solidFill>
                    <w14:schemeClr w14:val="tx1"/>
                  </w14:solidFill>
                </w14:textFill>
              </w:rPr>
              <w:t>OD</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SS</w:t>
            </w:r>
          </w:p>
        </w:tc>
        <w:tc>
          <w:tcPr>
            <w:tcW w:w="289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排入生化池</w:t>
            </w:r>
          </w:p>
        </w:tc>
        <w:tc>
          <w:tcPr>
            <w:tcW w:w="207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满足环保要求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1276" w:type="dxa"/>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生产设备</w:t>
            </w:r>
          </w:p>
        </w:tc>
        <w:tc>
          <w:tcPr>
            <w:tcW w:w="1353"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噪声</w:t>
            </w:r>
          </w:p>
        </w:tc>
        <w:tc>
          <w:tcPr>
            <w:tcW w:w="289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选用低噪设备、基础减振、建筑隔声</w:t>
            </w:r>
          </w:p>
        </w:tc>
        <w:tc>
          <w:tcPr>
            <w:tcW w:w="2079" w:type="dxa"/>
            <w:vAlign w:val="center"/>
          </w:tcPr>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电磁辐射</w:t>
            </w:r>
          </w:p>
        </w:tc>
        <w:tc>
          <w:tcPr>
            <w:tcW w:w="7607" w:type="dxa"/>
            <w:gridSpan w:val="4"/>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w:t>
            </w:r>
          </w:p>
        </w:tc>
        <w:tc>
          <w:tcPr>
            <w:tcW w:w="7607" w:type="dxa"/>
            <w:gridSpan w:val="4"/>
            <w:vAlign w:val="center"/>
          </w:tcPr>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新建</w:t>
            </w:r>
            <w:r>
              <w:rPr>
                <w:color w:val="000000" w:themeColor="text1"/>
                <w:sz w:val="24"/>
                <w14:textFill>
                  <w14:solidFill>
                    <w14:schemeClr w14:val="tx1"/>
                  </w14:solidFill>
                </w14:textFill>
              </w:rPr>
              <w:t>一般工业固废暂存间</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位于</w:t>
            </w:r>
            <w:r>
              <w:rPr>
                <w:rFonts w:hint="eastAsia"/>
                <w:color w:val="000000" w:themeColor="text1"/>
                <w:sz w:val="24"/>
                <w14:textFill>
                  <w14:solidFill>
                    <w14:schemeClr w14:val="tx1"/>
                  </w14:solidFill>
                </w14:textFill>
              </w:rPr>
              <w:t>1#原料破碎车间西北角</w:t>
            </w:r>
            <w:r>
              <w:rPr>
                <w:color w:val="000000" w:themeColor="text1"/>
                <w:sz w:val="24"/>
                <w14:textFill>
                  <w14:solidFill>
                    <w14:schemeClr w14:val="tx1"/>
                  </w14:solidFill>
                </w14:textFill>
              </w:rPr>
              <w:t>，面积约50m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，采</w:t>
            </w:r>
            <w:r>
              <w:rPr>
                <w:rFonts w:hint="eastAsia" w:ascii="宋体" w:hAnsi="宋体" w:cs="宋体"/>
                <w:color w:val="000000" w:themeColor="text1"/>
                <w:sz w:val="24"/>
                <w14:textFill>
                  <w14:solidFill>
                    <w14:schemeClr w14:val="tx1"/>
                  </w14:solidFill>
                </w14:textFill>
              </w:rPr>
              <w:t>取“三防”（防渗漏、防雨淋、防扬尘</w:t>
            </w:r>
            <w:r>
              <w:rPr>
                <w:color w:val="000000" w:themeColor="text1"/>
                <w:sz w:val="24"/>
                <w14:textFill>
                  <w14:solidFill>
                    <w14:schemeClr w14:val="tx1"/>
                  </w14:solidFill>
                </w14:textFill>
              </w:rPr>
              <w:t>）措施，并设置标识标牌。</w:t>
            </w:r>
          </w:p>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新建</w:t>
            </w:r>
            <w:r>
              <w:rPr>
                <w:color w:val="000000" w:themeColor="text1"/>
                <w:sz w:val="24"/>
                <w14:textFill>
                  <w14:solidFill>
                    <w14:schemeClr w14:val="tx1"/>
                  </w14:solidFill>
                </w14:textFill>
              </w:rPr>
              <w:t>危险废物暂存</w:t>
            </w:r>
            <w:r>
              <w:rPr>
                <w:rFonts w:hint="eastAsia"/>
                <w:color w:val="000000" w:themeColor="text1"/>
                <w:sz w:val="24"/>
                <w14:textFill>
                  <w14:solidFill>
                    <w14:schemeClr w14:val="tx1"/>
                  </w14:solidFill>
                </w14:textFill>
              </w:rPr>
              <w:t>间，</w:t>
            </w:r>
            <w:r>
              <w:rPr>
                <w:color w:val="000000" w:themeColor="text1"/>
                <w:sz w:val="24"/>
                <w14:textFill>
                  <w14:solidFill>
                    <w14:schemeClr w14:val="tx1"/>
                  </w14:solidFill>
                </w14:textFill>
              </w:rPr>
              <w:t>位于</w:t>
            </w:r>
            <w:r>
              <w:rPr>
                <w:rFonts w:hint="eastAsia"/>
                <w:color w:val="000000" w:themeColor="text1"/>
                <w:sz w:val="24"/>
                <w14:textFill>
                  <w14:solidFill>
                    <w14:schemeClr w14:val="tx1"/>
                  </w14:solidFill>
                </w14:textFill>
              </w:rPr>
              <w:t>裂解车间西北角</w:t>
            </w:r>
            <w:r>
              <w:rPr>
                <w:color w:val="000000" w:themeColor="text1"/>
                <w:sz w:val="24"/>
                <w14:textFill>
                  <w14:solidFill>
                    <w14:schemeClr w14:val="tx1"/>
                  </w14:solidFill>
                </w14:textFill>
              </w:rPr>
              <w:t>，建筑面积</w:t>
            </w:r>
            <w:r>
              <w:rPr>
                <w:rFonts w:hint="eastAsia"/>
                <w:color w:val="000000" w:themeColor="text1"/>
                <w:sz w:val="24"/>
                <w14:textFill>
                  <w14:solidFill>
                    <w14:schemeClr w14:val="tx1"/>
                  </w14:solidFill>
                </w14:textFill>
              </w:rPr>
              <w:t>约</w:t>
            </w:r>
            <w:r>
              <w:rPr>
                <w:color w:val="000000" w:themeColor="text1"/>
                <w:sz w:val="24"/>
                <w14:textFill>
                  <w14:solidFill>
                    <w14:schemeClr w14:val="tx1"/>
                  </w14:solidFill>
                </w14:textFill>
              </w:rPr>
              <w:t>10m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，做好</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四防</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（防风、防雨、防晒、防渗漏）措施，并设置标识标牌。</w:t>
            </w:r>
          </w:p>
          <w:p>
            <w:pPr>
              <w:pStyle w:val="75"/>
              <w:spacing w:line="240" w:lineRule="auto"/>
              <w:ind w:firstLine="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3.</w:t>
            </w:r>
            <w:r>
              <w:rPr>
                <w:rFonts w:hint="eastAsia" w:ascii="Times New Roman" w:hAnsi="Times New Roman" w:cs="Times New Roman"/>
                <w:color w:val="000000" w:themeColor="text1"/>
                <w:szCs w:val="24"/>
                <w14:textFill>
                  <w14:solidFill>
                    <w14:schemeClr w14:val="tx1"/>
                  </w14:solidFill>
                </w14:textFill>
              </w:rPr>
              <w:t>设置生活垃圾桶，加盖的餐厨垃圾桶。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土壤及地下水污染防治措施</w:t>
            </w:r>
          </w:p>
        </w:tc>
        <w:tc>
          <w:tcPr>
            <w:tcW w:w="7607" w:type="dxa"/>
            <w:gridSpan w:val="4"/>
            <w:vAlign w:val="center"/>
          </w:tcPr>
          <w:p>
            <w:pPr>
              <w:adjustRightInd w:val="0"/>
              <w:snapToGrid w:val="0"/>
              <w:spacing w:line="24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分区防渗，设置必要的检漏时间及周期、厂区下游设1个地下水监控井，定期进行水质跟踪监测。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生态保护措施</w:t>
            </w:r>
          </w:p>
        </w:tc>
        <w:tc>
          <w:tcPr>
            <w:tcW w:w="7607" w:type="dxa"/>
            <w:gridSpan w:val="4"/>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Align w:val="center"/>
          </w:tcPr>
          <w:p>
            <w:pPr>
              <w:adjustRightInd w:val="0"/>
              <w:snapToGrid w:val="0"/>
              <w:spacing w:line="240" w:lineRule="auto"/>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环境风险</w:t>
            </w:r>
          </w:p>
          <w:p>
            <w:pPr>
              <w:adjustRightInd w:val="0"/>
              <w:snapToGrid w:val="0"/>
              <w:spacing w:line="240" w:lineRule="auto"/>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防范措施</w:t>
            </w:r>
          </w:p>
        </w:tc>
        <w:tc>
          <w:tcPr>
            <w:tcW w:w="7607" w:type="dxa"/>
            <w:gridSpan w:val="4"/>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油罐区设置1</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m围堰；每个裂解油暂存罐单独设置围堰（不小于暂存罐最大容积</w:t>
            </w:r>
            <w:r>
              <w:rPr>
                <w:color w:val="000000" w:themeColor="text1"/>
                <w:sz w:val="24"/>
                <w14:textFill>
                  <w14:solidFill>
                    <w14:schemeClr w14:val="tx1"/>
                  </w14:solidFill>
                </w14:textFill>
              </w:rPr>
              <w:t>2.8</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）；氨水储罐设置围堰（不小于储罐容积0</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）；配套消防系统及器材、火灾报警系统；建设事故水池，有效容积不小于</w:t>
            </w:r>
            <w:r>
              <w:rPr>
                <w:color w:val="000000" w:themeColor="text1"/>
                <w:sz w:val="24"/>
                <w14:textFill>
                  <w14:solidFill>
                    <w14:schemeClr w14:val="tx1"/>
                  </w14:solidFill>
                </w14:textFill>
              </w:rPr>
              <w:t>700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，配套建设各事故泄漏点至事故水池的导液管（沟）和消防废水收集系统。项目液体及生产废水管线采用明管。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Align w:val="center"/>
          </w:tcPr>
          <w:p>
            <w:pPr>
              <w:adjustRightInd w:val="0"/>
              <w:snapToGrid w:val="0"/>
              <w:spacing w:line="240" w:lineRule="auto"/>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其他环境</w:t>
            </w:r>
          </w:p>
          <w:p>
            <w:pPr>
              <w:adjustRightInd w:val="0"/>
              <w:snapToGrid w:val="0"/>
              <w:spacing w:line="240" w:lineRule="auto"/>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管理要求</w:t>
            </w:r>
          </w:p>
        </w:tc>
        <w:tc>
          <w:tcPr>
            <w:tcW w:w="7607" w:type="dxa"/>
            <w:gridSpan w:val="4"/>
          </w:tcPr>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（1）环境管理：</w:t>
            </w:r>
            <w:r>
              <w:rPr>
                <w:rFonts w:hint="eastAsia"/>
                <w:color w:val="000000" w:themeColor="text1"/>
                <w:sz w:val="24"/>
                <w14:textFill>
                  <w14:solidFill>
                    <w14:schemeClr w14:val="tx1"/>
                  </w14:solidFill>
                </w14:textFill>
              </w:rPr>
              <w:t>企业环境保护管理应采取总经理负责制，并配备专职或兼职环保管理人员1~</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人，负责项目的环保工作。</w:t>
            </w:r>
          </w:p>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（2）排污口规范：根据国家环保总局《排污口</w:t>
            </w:r>
            <w:r>
              <w:rPr>
                <w:rFonts w:hint="eastAsia"/>
                <w:color w:val="000000" w:themeColor="text1"/>
                <w:sz w:val="24"/>
                <w:lang w:eastAsia="zh-CN"/>
                <w14:textFill>
                  <w14:solidFill>
                    <w14:schemeClr w14:val="tx1"/>
                  </w14:solidFill>
                </w14:textFill>
              </w:rPr>
              <w:t>规范化</w:t>
            </w:r>
            <w:r>
              <w:rPr>
                <w:color w:val="000000" w:themeColor="text1"/>
                <w:sz w:val="24"/>
                <w14:textFill>
                  <w14:solidFill>
                    <w14:schemeClr w14:val="tx1"/>
                  </w14:solidFill>
                </w14:textFill>
              </w:rPr>
              <w:t>整治要求（试行）》文件要求，环保治理设施的排污口规范设置(如图形标志牌、计量装置、监控装置、采样口等)</w:t>
            </w:r>
            <w:r>
              <w:rPr>
                <w:rFonts w:hint="eastAsia"/>
                <w:color w:val="000000" w:themeColor="text1"/>
                <w:sz w:val="24"/>
                <w14:textFill>
                  <w14:solidFill>
                    <w14:schemeClr w14:val="tx1"/>
                  </w14:solidFill>
                </w14:textFill>
              </w:rPr>
              <w:t>。</w:t>
            </w:r>
          </w:p>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企业必须在发生实际排污行为之前申领排污许可证，不得无证或不按证排污，环境影响评价文件及批复中与污染物排放相关的主要内容应当纳入排污许可证。</w:t>
            </w:r>
          </w:p>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（4）运行管理要求：对项目废水、废气污染防治</w:t>
            </w:r>
            <w:r>
              <w:rPr>
                <w:rFonts w:hint="eastAsia"/>
                <w:color w:val="000000" w:themeColor="text1"/>
                <w:sz w:val="24"/>
                <w:lang w:eastAsia="zh-CN"/>
                <w14:textFill>
                  <w14:solidFill>
                    <w14:schemeClr w14:val="tx1"/>
                  </w14:solidFill>
                </w14:textFill>
              </w:rPr>
              <w:t>设施</w:t>
            </w:r>
            <w:r>
              <w:rPr>
                <w:color w:val="000000" w:themeColor="text1"/>
                <w:sz w:val="24"/>
                <w14:textFill>
                  <w14:solidFill>
                    <w14:schemeClr w14:val="tx1"/>
                  </w14:solidFill>
                </w14:textFill>
              </w:rPr>
              <w:t>进行维护和管理，保证设施正常运行；</w:t>
            </w:r>
            <w:r>
              <w:rPr>
                <w:rFonts w:hint="eastAsia"/>
                <w:color w:val="000000" w:themeColor="text1"/>
                <w:sz w:val="24"/>
                <w14:textFill>
                  <w14:solidFill>
                    <w14:schemeClr w14:val="tx1"/>
                  </w14:solidFill>
                </w14:textFill>
              </w:rPr>
              <w:t>落实本项目的监测计划，企业应委托有资质IDE监测单位进行监测，并将监测报告存档，各治理措施前后均应设置监测取样孔。</w:t>
            </w:r>
          </w:p>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5）台账管理要求：建立环境管理台账制度，落实环境管理台账记录负责人，环境管理台账（包括基本信息、生产设施运行管理信息、污染防治设施运行管理信息、监测记录信息、其他环境管理信息）按电子化储存和纸质储存两种方式同步管理</w:t>
            </w:r>
            <w:r>
              <w:rPr>
                <w:rFonts w:hint="eastAsia"/>
                <w:color w:val="000000" w:themeColor="text1"/>
                <w:sz w:val="24"/>
                <w14:textFill>
                  <w14:solidFill>
                    <w14:schemeClr w14:val="tx1"/>
                  </w14:solidFill>
                </w14:textFill>
              </w:rPr>
              <w:t>。</w:t>
            </w:r>
          </w:p>
          <w:p>
            <w:pPr>
              <w:pStyle w:val="3"/>
              <w:numPr>
                <w:ilvl w:val="0"/>
                <w:numId w:val="0"/>
              </w:numPr>
              <w:spacing w:line="240" w:lineRule="auto"/>
              <w:rPr>
                <w:color w:val="000000" w:themeColor="text1"/>
                <w14:textFill>
                  <w14:solidFill>
                    <w14:schemeClr w14:val="tx1"/>
                  </w14:solidFill>
                </w14:textFill>
              </w:rPr>
            </w:pPr>
          </w:p>
        </w:tc>
      </w:tr>
    </w:tbl>
    <w:p>
      <w:pPr>
        <w:spacing w:line="24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5</w:t>
      </w:r>
      <w:r>
        <w:rPr>
          <w:b/>
          <w:color w:val="000000" w:themeColor="text1"/>
          <w:sz w:val="24"/>
          <w14:textFill>
            <w14:solidFill>
              <w14:schemeClr w14:val="tx1"/>
            </w14:solidFill>
          </w14:textFill>
        </w:rPr>
        <w:t>.2</w:t>
      </w:r>
      <w:r>
        <w:rPr>
          <w:rFonts w:hint="eastAsia"/>
          <w:b/>
          <w:color w:val="000000" w:themeColor="text1"/>
          <w:sz w:val="24"/>
          <w14:textFill>
            <w14:solidFill>
              <w14:schemeClr w14:val="tx1"/>
            </w14:solidFill>
          </w14:textFill>
        </w:rPr>
        <w:t>项目二期工程建成后全厂环境保护措施监督检查清单</w:t>
      </w:r>
    </w:p>
    <w:tbl>
      <w:tblPr>
        <w:tblStyle w:val="36"/>
        <w:tblW w:w="89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276"/>
        <w:gridCol w:w="1353"/>
        <w:gridCol w:w="2899"/>
        <w:gridCol w:w="20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tcBorders>
              <w:tl2br w:val="single" w:color="auto" w:sz="4" w:space="0"/>
            </w:tcBorders>
          </w:tcPr>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内容</w:t>
            </w:r>
          </w:p>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要素</w:t>
            </w:r>
          </w:p>
        </w:tc>
        <w:tc>
          <w:tcPr>
            <w:tcW w:w="1276" w:type="dxa"/>
            <w:vAlign w:val="center"/>
          </w:tcPr>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排放口(编号、名称)/污染源</w:t>
            </w:r>
          </w:p>
        </w:tc>
        <w:tc>
          <w:tcPr>
            <w:tcW w:w="1353"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污染物项目</w:t>
            </w:r>
          </w:p>
        </w:tc>
        <w:tc>
          <w:tcPr>
            <w:tcW w:w="2899"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环境保护措施</w:t>
            </w:r>
          </w:p>
        </w:tc>
        <w:tc>
          <w:tcPr>
            <w:tcW w:w="2079"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restart"/>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大气环境</w:t>
            </w:r>
          </w:p>
        </w:tc>
        <w:tc>
          <w:tcPr>
            <w:tcW w:w="1276" w:type="dxa"/>
            <w:vAlign w:val="center"/>
          </w:tcPr>
          <w:p>
            <w:pPr>
              <w:pStyle w:val="228"/>
              <w:autoSpaceDE w:val="0"/>
              <w:autoSpaceDN w:val="0"/>
              <w:adjustRightInd w:val="0"/>
              <w:spacing w:line="240" w:lineRule="auto"/>
              <w:ind w:firstLine="0" w:firstLineChars="0"/>
              <w:jc w:val="center"/>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裂解燃烧烟气(D</w:t>
            </w:r>
            <w:r>
              <w:rPr>
                <w:color w:val="000000" w:themeColor="text1"/>
                <w:sz w:val="24"/>
                <w:szCs w:val="24"/>
                <w14:textFill>
                  <w14:solidFill>
                    <w14:schemeClr w14:val="tx1"/>
                  </w14:solidFill>
                </w14:textFill>
              </w:rPr>
              <w:t>A003</w:t>
            </w:r>
            <w:r>
              <w:rPr>
                <w:rFonts w:hint="eastAsia"/>
                <w:color w:val="000000" w:themeColor="text1"/>
                <w:sz w:val="24"/>
                <w:szCs w:val="24"/>
                <w14:textFill>
                  <w14:solidFill>
                    <w14:schemeClr w14:val="tx1"/>
                  </w14:solidFill>
                </w14:textFill>
              </w:rPr>
              <w:t>)</w:t>
            </w:r>
          </w:p>
        </w:tc>
        <w:tc>
          <w:tcPr>
            <w:tcW w:w="1353" w:type="dxa"/>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颗粒物、S</w:t>
            </w:r>
            <w:r>
              <w:rPr>
                <w:color w:val="000000" w:themeColor="text1"/>
                <w:sz w:val="24"/>
                <w14:textFill>
                  <w14:solidFill>
                    <w14:schemeClr w14:val="tx1"/>
                  </w14:solidFill>
                </w14:textFill>
              </w:rPr>
              <w:t>O</w:t>
            </w:r>
            <w:r>
              <w:rPr>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、N</w:t>
            </w:r>
            <w:r>
              <w:rPr>
                <w:color w:val="000000" w:themeColor="text1"/>
                <w:sz w:val="24"/>
                <w14:textFill>
                  <w14:solidFill>
                    <w14:schemeClr w14:val="tx1"/>
                  </w14:solidFill>
                </w14:textFill>
              </w:rPr>
              <w:t>O</w:t>
            </w:r>
            <w:r>
              <w:rPr>
                <w:color w:val="000000" w:themeColor="text1"/>
                <w:sz w:val="24"/>
                <w:vertAlign w:val="subscript"/>
                <w14:textFill>
                  <w14:solidFill>
                    <w14:schemeClr w14:val="tx1"/>
                  </w14:solidFill>
                </w14:textFill>
              </w:rPr>
              <w:t>X</w:t>
            </w:r>
            <w:r>
              <w:rPr>
                <w:rFonts w:hint="eastAsia"/>
                <w:color w:val="000000" w:themeColor="text1"/>
                <w:sz w:val="24"/>
                <w14:textFill>
                  <w14:solidFill>
                    <w14:schemeClr w14:val="tx1"/>
                  </w14:solidFill>
                </w14:textFill>
              </w:rPr>
              <w:t>、非甲烷总烃、H</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、甲苯、二甲苯、二噁英类、臭气浓度、林格曼黑度</w:t>
            </w:r>
          </w:p>
        </w:tc>
        <w:tc>
          <w:tcPr>
            <w:tcW w:w="2899" w:type="dxa"/>
            <w:vAlign w:val="center"/>
          </w:tcPr>
          <w:p>
            <w:pPr>
              <w:autoSpaceDE w:val="0"/>
              <w:autoSpaceDN w:val="0"/>
              <w:adjustRightInd w:val="0"/>
              <w:spacing w:line="240" w:lineRule="auto"/>
              <w:jc w:val="center"/>
              <w:textAlignment w:val="center"/>
              <w:rPr>
                <w:color w:val="FF0000"/>
                <w:sz w:val="24"/>
              </w:rPr>
            </w:pPr>
            <w:r>
              <w:rPr>
                <w:rFonts w:hint="eastAsia"/>
                <w:bCs/>
                <w:color w:val="FF0000"/>
                <w:sz w:val="24"/>
              </w:rPr>
              <w:t>每条裂解生产线的燃烧室对裂解不凝气燃烧处理。各生产线的燃烧室燃烧烟气和多余不凝气采用一套“二次燃烧烟气骤冷+SCR脱硝+钠碱法脱硫+湿电除尘+气液分离+二级活性炭吸附”处理设施处理</w:t>
            </w:r>
            <w:r>
              <w:rPr>
                <w:rFonts w:hint="eastAsia"/>
                <w:color w:val="FF0000"/>
                <w:sz w:val="24"/>
              </w:rPr>
              <w:t>，处理后1根1</w:t>
            </w:r>
            <w:r>
              <w:rPr>
                <w:color w:val="FF0000"/>
                <w:sz w:val="24"/>
              </w:rPr>
              <w:t>5</w:t>
            </w:r>
            <w:r>
              <w:rPr>
                <w:rFonts w:hint="eastAsia"/>
                <w:color w:val="FF0000"/>
                <w:sz w:val="24"/>
              </w:rPr>
              <w:t>m高排气筒（D</w:t>
            </w:r>
            <w:r>
              <w:rPr>
                <w:color w:val="FF0000"/>
                <w:sz w:val="24"/>
              </w:rPr>
              <w:t>A003</w:t>
            </w:r>
            <w:r>
              <w:rPr>
                <w:rFonts w:hint="eastAsia"/>
                <w:color w:val="FF0000"/>
                <w:sz w:val="24"/>
              </w:rPr>
              <w:t>）排放。对排气筒D</w:t>
            </w:r>
            <w:r>
              <w:rPr>
                <w:color w:val="FF0000"/>
                <w:sz w:val="24"/>
              </w:rPr>
              <w:t>A003</w:t>
            </w:r>
            <w:r>
              <w:rPr>
                <w:rFonts w:hint="eastAsia"/>
                <w:color w:val="FF0000"/>
                <w:sz w:val="24"/>
              </w:rPr>
              <w:t>燃烧烟气中的颗粒物、S</w:t>
            </w:r>
            <w:r>
              <w:rPr>
                <w:color w:val="FF0000"/>
                <w:sz w:val="24"/>
              </w:rPr>
              <w:t>O</w:t>
            </w:r>
            <w:r>
              <w:rPr>
                <w:color w:val="FF0000"/>
                <w:sz w:val="24"/>
                <w:vertAlign w:val="subscript"/>
              </w:rPr>
              <w:t>2</w:t>
            </w:r>
            <w:r>
              <w:rPr>
                <w:rFonts w:hint="eastAsia"/>
                <w:color w:val="FF0000"/>
                <w:sz w:val="24"/>
              </w:rPr>
              <w:t>、N</w:t>
            </w:r>
            <w:r>
              <w:rPr>
                <w:color w:val="FF0000"/>
                <w:sz w:val="24"/>
              </w:rPr>
              <w:t>O</w:t>
            </w:r>
            <w:r>
              <w:rPr>
                <w:color w:val="FF0000"/>
                <w:sz w:val="24"/>
                <w:vertAlign w:val="subscript"/>
              </w:rPr>
              <w:t>X</w:t>
            </w:r>
            <w:r>
              <w:rPr>
                <w:rFonts w:hint="eastAsia"/>
                <w:color w:val="FF0000"/>
                <w:sz w:val="24"/>
              </w:rPr>
              <w:t>污染因子安装自动监测设备，并与当地生态环境主管部门联网。</w:t>
            </w:r>
          </w:p>
        </w:tc>
        <w:tc>
          <w:tcPr>
            <w:tcW w:w="2079" w:type="dxa"/>
            <w:vMerge w:val="restart"/>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《石油化学工业污染物排放标准》（GB31571-2015）、《恶臭污染物排放标准》（GB14554-93）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pStyle w:val="228"/>
              <w:autoSpaceDE w:val="0"/>
              <w:autoSpaceDN w:val="0"/>
              <w:adjustRightInd w:val="0"/>
              <w:spacing w:line="240" w:lineRule="auto"/>
              <w:ind w:firstLine="0" w:firstLineChars="0"/>
              <w:jc w:val="center"/>
              <w:textAlignment w:val="baseline"/>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轮胎处理粉尘(D</w:t>
            </w:r>
            <w:r>
              <w:rPr>
                <w:color w:val="000000" w:themeColor="text1"/>
                <w:sz w:val="24"/>
                <w:szCs w:val="24"/>
                <w14:textFill>
                  <w14:solidFill>
                    <w14:schemeClr w14:val="tx1"/>
                  </w14:solidFill>
                </w14:textFill>
              </w:rPr>
              <w:t>A001</w:t>
            </w:r>
            <w:r>
              <w:rPr>
                <w:rFonts w:hint="eastAsia"/>
                <w:color w:val="000000" w:themeColor="text1"/>
                <w:sz w:val="24"/>
                <w:szCs w:val="24"/>
                <w14:textFill>
                  <w14:solidFill>
                    <w14:schemeClr w14:val="tx1"/>
                  </w14:solidFill>
                </w14:textFill>
              </w:rPr>
              <w:t>、D</w:t>
            </w:r>
            <w:r>
              <w:rPr>
                <w:color w:val="000000" w:themeColor="text1"/>
                <w:sz w:val="24"/>
                <w:szCs w:val="24"/>
                <w14:textFill>
                  <w14:solidFill>
                    <w14:schemeClr w14:val="tx1"/>
                  </w14:solidFill>
                </w14:textFill>
              </w:rPr>
              <w:t>A002</w:t>
            </w:r>
            <w:r>
              <w:rPr>
                <w:rFonts w:hint="eastAsia"/>
                <w:color w:val="000000" w:themeColor="text1"/>
                <w:sz w:val="24"/>
                <w:szCs w:val="24"/>
                <w14:textFill>
                  <w14:solidFill>
                    <w14:schemeClr w14:val="tx1"/>
                  </w14:solidFill>
                </w14:textFill>
              </w:rPr>
              <w:t>）</w:t>
            </w:r>
          </w:p>
        </w:tc>
        <w:tc>
          <w:tcPr>
            <w:tcW w:w="1353" w:type="dxa"/>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颗粒物</w:t>
            </w:r>
          </w:p>
        </w:tc>
        <w:tc>
          <w:tcPr>
            <w:tcW w:w="2899" w:type="dxa"/>
            <w:vAlign w:val="center"/>
          </w:tcPr>
          <w:p>
            <w:pPr>
              <w:autoSpaceDE w:val="0"/>
              <w:autoSpaceDN w:val="0"/>
              <w:adjustRightInd w:val="0"/>
              <w:spacing w:line="240" w:lineRule="auto"/>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条轮胎破碎生产线配置1套布袋除尘器，1#原料破碎车间的粉尘经布袋除尘器处理后经1根1</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m高排气筒（D</w:t>
            </w:r>
            <w:r>
              <w:rPr>
                <w:color w:val="000000" w:themeColor="text1"/>
                <w:sz w:val="24"/>
                <w14:textFill>
                  <w14:solidFill>
                    <w14:schemeClr w14:val="tx1"/>
                  </w14:solidFill>
                </w14:textFill>
              </w:rPr>
              <w:t>A001</w:t>
            </w:r>
            <w:r>
              <w:rPr>
                <w:rFonts w:hint="eastAsia"/>
                <w:color w:val="000000" w:themeColor="text1"/>
                <w:sz w:val="24"/>
                <w14:textFill>
                  <w14:solidFill>
                    <w14:schemeClr w14:val="tx1"/>
                  </w14:solidFill>
                </w14:textFill>
              </w:rPr>
              <w:t>）排放；2#原料破碎车间的粉尘经布袋除尘器处理后经1根1</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m高排气筒（D</w:t>
            </w:r>
            <w:r>
              <w:rPr>
                <w:color w:val="000000" w:themeColor="text1"/>
                <w:sz w:val="24"/>
                <w14:textFill>
                  <w14:solidFill>
                    <w14:schemeClr w14:val="tx1"/>
                  </w14:solidFill>
                </w14:textFill>
              </w:rPr>
              <w:t>A002</w:t>
            </w:r>
            <w:r>
              <w:rPr>
                <w:rFonts w:hint="eastAsia"/>
                <w:color w:val="000000" w:themeColor="text1"/>
                <w:sz w:val="24"/>
                <w14:textFill>
                  <w14:solidFill>
                    <w14:schemeClr w14:val="tx1"/>
                  </w14:solidFill>
                </w14:textFill>
              </w:rPr>
              <w:t>）排放。</w:t>
            </w:r>
          </w:p>
        </w:tc>
        <w:tc>
          <w:tcPr>
            <w:tcW w:w="2079" w:type="dxa"/>
            <w:vMerge w:val="continue"/>
            <w:vAlign w:val="center"/>
          </w:tcPr>
          <w:p>
            <w:pPr>
              <w:adjustRightInd w:val="0"/>
              <w:snapToGrid w:val="0"/>
              <w:spacing w:line="240" w:lineRule="auto"/>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pStyle w:val="198"/>
              <w:spacing w:line="240" w:lineRule="auto"/>
              <w:jc w:val="center"/>
              <w:rPr>
                <w:rFonts w:ascii="Times New Roman" w:cs="Times New Roman"/>
                <w:color w:val="000000" w:themeColor="text1"/>
                <w14:textFill>
                  <w14:solidFill>
                    <w14:schemeClr w14:val="tx1"/>
                  </w14:solidFill>
                </w14:textFill>
              </w:rPr>
            </w:pPr>
            <w:r>
              <w:rPr>
                <w:rFonts w:hint="eastAsia" w:ascii="Times New Roman" w:cs="Times New Roman"/>
                <w:color w:val="000000" w:themeColor="text1"/>
                <w14:textFill>
                  <w14:solidFill>
                    <w14:schemeClr w14:val="tx1"/>
                  </w14:solidFill>
                </w14:textFill>
              </w:rPr>
              <w:t>储油罐区呼吸废气</w:t>
            </w:r>
          </w:p>
        </w:tc>
        <w:tc>
          <w:tcPr>
            <w:tcW w:w="1353" w:type="dxa"/>
            <w:vAlign w:val="center"/>
          </w:tcPr>
          <w:p>
            <w:pPr>
              <w:spacing w:line="240" w:lineRule="auto"/>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非甲烷总烃</w:t>
            </w:r>
          </w:p>
        </w:tc>
        <w:tc>
          <w:tcPr>
            <w:tcW w:w="2899" w:type="dxa"/>
            <w:vAlign w:val="center"/>
          </w:tcPr>
          <w:p>
            <w:pPr>
              <w:pStyle w:val="198"/>
              <w:spacing w:line="240" w:lineRule="auto"/>
              <w:jc w:val="center"/>
              <w:rPr>
                <w:rFonts w:ascii="Times New Roman" w:cs="Times New Roman"/>
                <w:color w:val="FF0000"/>
                <w:lang w:bidi="ar"/>
              </w:rPr>
            </w:pPr>
            <w:r>
              <w:rPr>
                <w:rFonts w:hint="eastAsia"/>
                <w:color w:val="FF0000"/>
                <w:szCs w:val="21"/>
              </w:rPr>
              <w:t>安装密闭排气系统，将呼吸废气收集后接入二燃室燃烧处理</w:t>
            </w:r>
          </w:p>
        </w:tc>
        <w:tc>
          <w:tcPr>
            <w:tcW w:w="2079" w:type="dxa"/>
            <w:vMerge w:val="continue"/>
            <w:vAlign w:val="center"/>
          </w:tcPr>
          <w:p>
            <w:pPr>
              <w:adjustRightInd w:val="0"/>
              <w:snapToGrid w:val="0"/>
              <w:spacing w:line="240" w:lineRule="auto"/>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pStyle w:val="198"/>
              <w:spacing w:line="240" w:lineRule="auto"/>
              <w:jc w:val="center"/>
              <w:rPr>
                <w:rFonts w:ascii="Times New Roman" w:cs="Times New Roman"/>
                <w:color w:val="000000" w:themeColor="text1"/>
                <w14:textFill>
                  <w14:solidFill>
                    <w14:schemeClr w14:val="tx1"/>
                  </w14:solidFill>
                </w14:textFill>
              </w:rPr>
            </w:pPr>
            <w:r>
              <w:rPr>
                <w:rFonts w:hint="eastAsia" w:ascii="Times New Roman" w:cs="Times New Roman"/>
                <w:color w:val="000000" w:themeColor="text1"/>
                <w14:textFill>
                  <w14:solidFill>
                    <w14:schemeClr w14:val="tx1"/>
                  </w14:solidFill>
                </w14:textFill>
              </w:rPr>
              <w:t>炭黑加工粉尘(D</w:t>
            </w:r>
            <w:r>
              <w:rPr>
                <w:rFonts w:ascii="Times New Roman" w:cs="Times New Roman"/>
                <w:color w:val="000000" w:themeColor="text1"/>
                <w14:textFill>
                  <w14:solidFill>
                    <w14:schemeClr w14:val="tx1"/>
                  </w14:solidFill>
                </w14:textFill>
              </w:rPr>
              <w:t>A004</w:t>
            </w:r>
            <w:r>
              <w:rPr>
                <w:rFonts w:hint="eastAsia" w:ascii="Times New Roman" w:cs="Times New Roman"/>
                <w:color w:val="000000" w:themeColor="text1"/>
                <w14:textFill>
                  <w14:solidFill>
                    <w14:schemeClr w14:val="tx1"/>
                  </w14:solidFill>
                </w14:textFill>
              </w:rPr>
              <w:t>）</w:t>
            </w:r>
          </w:p>
        </w:tc>
        <w:tc>
          <w:tcPr>
            <w:tcW w:w="1353" w:type="dxa"/>
            <w:vAlign w:val="center"/>
          </w:tcPr>
          <w:p>
            <w:pPr>
              <w:spacing w:line="240" w:lineRule="auto"/>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炭黑尘</w:t>
            </w:r>
          </w:p>
        </w:tc>
        <w:tc>
          <w:tcPr>
            <w:tcW w:w="2899" w:type="dxa"/>
            <w:vAlign w:val="center"/>
          </w:tcPr>
          <w:p>
            <w:pPr>
              <w:pStyle w:val="198"/>
              <w:spacing w:line="240" w:lineRule="auto"/>
              <w:jc w:val="center"/>
              <w:rPr>
                <w:rFonts w:ascii="Times New Roman" w:cs="Times New Roman"/>
                <w:color w:val="000000" w:themeColor="text1"/>
                <w:lang w:bidi="ar"/>
                <w14:textFill>
                  <w14:solidFill>
                    <w14:schemeClr w14:val="tx1"/>
                  </w14:solidFill>
                </w14:textFill>
              </w:rPr>
            </w:pPr>
            <w:r>
              <w:rPr>
                <w:rFonts w:ascii="Times New Roman" w:cs="Times New Roman"/>
                <w:color w:val="000000" w:themeColor="text1"/>
                <w:lang w:bidi="ar"/>
                <w14:textFill>
                  <w14:solidFill>
                    <w14:schemeClr w14:val="tx1"/>
                  </w14:solidFill>
                </w14:textFill>
              </w:rPr>
              <w:t>2</w:t>
            </w:r>
            <w:r>
              <w:rPr>
                <w:rFonts w:hint="eastAsia" w:ascii="Times New Roman" w:cs="Times New Roman"/>
                <w:color w:val="000000" w:themeColor="text1"/>
                <w:lang w:bidi="ar"/>
                <w14:textFill>
                  <w14:solidFill>
                    <w14:schemeClr w14:val="tx1"/>
                  </w14:solidFill>
                </w14:textFill>
              </w:rPr>
              <w:t>条炭黑深加工研磨设备各自配置1套布袋除尘器处理，然后经1根1</w:t>
            </w:r>
            <w:r>
              <w:rPr>
                <w:rFonts w:ascii="Times New Roman" w:cs="Times New Roman"/>
                <w:color w:val="000000" w:themeColor="text1"/>
                <w:lang w:bidi="ar"/>
                <w14:textFill>
                  <w14:solidFill>
                    <w14:schemeClr w14:val="tx1"/>
                  </w14:solidFill>
                </w14:textFill>
              </w:rPr>
              <w:t>5</w:t>
            </w:r>
            <w:r>
              <w:rPr>
                <w:rFonts w:hint="eastAsia" w:ascii="Times New Roman" w:cs="Times New Roman"/>
                <w:color w:val="000000" w:themeColor="text1"/>
                <w:lang w:bidi="ar"/>
                <w14:textFill>
                  <w14:solidFill>
                    <w14:schemeClr w14:val="tx1"/>
                  </w14:solidFill>
                </w14:textFill>
              </w:rPr>
              <w:t>m高排气筒（D</w:t>
            </w:r>
            <w:r>
              <w:rPr>
                <w:rFonts w:ascii="Times New Roman" w:cs="Times New Roman"/>
                <w:color w:val="000000" w:themeColor="text1"/>
                <w:lang w:bidi="ar"/>
                <w14:textFill>
                  <w14:solidFill>
                    <w14:schemeClr w14:val="tx1"/>
                  </w14:solidFill>
                </w14:textFill>
              </w:rPr>
              <w:t>A004</w:t>
            </w:r>
            <w:r>
              <w:rPr>
                <w:rFonts w:hint="eastAsia" w:ascii="Times New Roman" w:cs="Times New Roman"/>
                <w:color w:val="000000" w:themeColor="text1"/>
                <w:lang w:bidi="ar"/>
                <w14:textFill>
                  <w14:solidFill>
                    <w14:schemeClr w14:val="tx1"/>
                  </w14:solidFill>
                </w14:textFill>
              </w:rPr>
              <w:t>）排放。</w:t>
            </w:r>
          </w:p>
        </w:tc>
        <w:tc>
          <w:tcPr>
            <w:tcW w:w="207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《大气污染物综合排放标准》（DB 50/418-2016）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pStyle w:val="198"/>
              <w:spacing w:line="240" w:lineRule="auto"/>
              <w:jc w:val="center"/>
              <w:rPr>
                <w:rFonts w:ascii="Times New Roman" w:cs="Times New Roman"/>
                <w:color w:val="000000" w:themeColor="text1"/>
                <w14:textFill>
                  <w14:solidFill>
                    <w14:schemeClr w14:val="tx1"/>
                  </w14:solidFill>
                </w14:textFill>
              </w:rPr>
            </w:pPr>
            <w:r>
              <w:rPr>
                <w:rFonts w:hint="eastAsia" w:ascii="Times New Roman" w:cs="Times New Roman"/>
                <w:color w:val="000000" w:themeColor="text1"/>
                <w14:textFill>
                  <w14:solidFill>
                    <w14:schemeClr w14:val="tx1"/>
                  </w14:solidFill>
                </w14:textFill>
              </w:rPr>
              <w:t>食堂油烟(</w:t>
            </w:r>
            <w:r>
              <w:rPr>
                <w:rFonts w:ascii="Times New Roman" w:cs="Times New Roman"/>
                <w:color w:val="000000" w:themeColor="text1"/>
                <w14:textFill>
                  <w14:solidFill>
                    <w14:schemeClr w14:val="tx1"/>
                  </w14:solidFill>
                </w14:textFill>
              </w:rPr>
              <w:t>DA005)</w:t>
            </w:r>
          </w:p>
        </w:tc>
        <w:tc>
          <w:tcPr>
            <w:tcW w:w="1353" w:type="dxa"/>
            <w:vAlign w:val="center"/>
          </w:tcPr>
          <w:p>
            <w:pPr>
              <w:spacing w:line="240" w:lineRule="auto"/>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油烟、非甲烷总烃</w:t>
            </w:r>
          </w:p>
        </w:tc>
        <w:tc>
          <w:tcPr>
            <w:tcW w:w="2899" w:type="dxa"/>
            <w:vAlign w:val="center"/>
          </w:tcPr>
          <w:p>
            <w:pPr>
              <w:pStyle w:val="198"/>
              <w:spacing w:line="240" w:lineRule="auto"/>
              <w:jc w:val="center"/>
              <w:rPr>
                <w:rFonts w:ascii="Times New Roman" w:cs="Times New Roman"/>
                <w:color w:val="000000" w:themeColor="text1"/>
                <w:lang w:bidi="ar"/>
                <w14:textFill>
                  <w14:solidFill>
                    <w14:schemeClr w14:val="tx1"/>
                  </w14:solidFill>
                </w14:textFill>
              </w:rPr>
            </w:pPr>
            <w:r>
              <w:rPr>
                <w:rFonts w:hint="eastAsia" w:ascii="Times New Roman" w:cs="Times New Roman"/>
                <w:color w:val="000000" w:themeColor="text1"/>
                <w:lang w:bidi="ar"/>
                <w14:textFill>
                  <w14:solidFill>
                    <w14:schemeClr w14:val="tx1"/>
                  </w14:solidFill>
                </w14:textFill>
              </w:rPr>
              <w:t>食堂油烟经1套油烟净化器处理后经1根1</w:t>
            </w:r>
            <w:r>
              <w:rPr>
                <w:rFonts w:ascii="Times New Roman" w:cs="Times New Roman"/>
                <w:color w:val="000000" w:themeColor="text1"/>
                <w:lang w:bidi="ar"/>
                <w14:textFill>
                  <w14:solidFill>
                    <w14:schemeClr w14:val="tx1"/>
                  </w14:solidFill>
                </w14:textFill>
              </w:rPr>
              <w:t>5</w:t>
            </w:r>
            <w:r>
              <w:rPr>
                <w:rFonts w:hint="eastAsia" w:ascii="Times New Roman" w:cs="Times New Roman"/>
                <w:color w:val="000000" w:themeColor="text1"/>
                <w:lang w:bidi="ar"/>
                <w14:textFill>
                  <w14:solidFill>
                    <w14:schemeClr w14:val="tx1"/>
                  </w14:solidFill>
                </w14:textFill>
              </w:rPr>
              <w:t>m高排气筒（D</w:t>
            </w:r>
            <w:r>
              <w:rPr>
                <w:rFonts w:ascii="Times New Roman" w:cs="Times New Roman"/>
                <w:color w:val="000000" w:themeColor="text1"/>
                <w:lang w:bidi="ar"/>
                <w14:textFill>
                  <w14:solidFill>
                    <w14:schemeClr w14:val="tx1"/>
                  </w14:solidFill>
                </w14:textFill>
              </w:rPr>
              <w:t>A005</w:t>
            </w:r>
            <w:r>
              <w:rPr>
                <w:rFonts w:hint="eastAsia" w:ascii="Times New Roman" w:cs="Times New Roman"/>
                <w:color w:val="000000" w:themeColor="text1"/>
                <w:lang w:bidi="ar"/>
                <w14:textFill>
                  <w14:solidFill>
                    <w14:schemeClr w14:val="tx1"/>
                  </w14:solidFill>
                </w14:textFill>
              </w:rPr>
              <w:t>）排放。</w:t>
            </w:r>
          </w:p>
        </w:tc>
        <w:tc>
          <w:tcPr>
            <w:tcW w:w="207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《餐饮业大气污染物排放标准》（DB50/859-2018）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pStyle w:val="198"/>
              <w:spacing w:line="240" w:lineRule="auto"/>
              <w:jc w:val="center"/>
              <w:rPr>
                <w:rFonts w:ascii="Times New Roman" w:cs="Times New Roman"/>
                <w:color w:val="000000" w:themeColor="text1"/>
                <w14:textFill>
                  <w14:solidFill>
                    <w14:schemeClr w14:val="tx1"/>
                  </w14:solidFill>
                </w14:textFill>
              </w:rPr>
            </w:pPr>
            <w:r>
              <w:rPr>
                <w:rFonts w:hint="eastAsia" w:ascii="Times New Roman" w:cs="Times New Roman"/>
                <w:color w:val="000000" w:themeColor="text1"/>
                <w14:textFill>
                  <w14:solidFill>
                    <w14:schemeClr w14:val="tx1"/>
                  </w14:solidFill>
                </w14:textFill>
              </w:rPr>
              <w:t>厂区无组织</w:t>
            </w:r>
          </w:p>
        </w:tc>
        <w:tc>
          <w:tcPr>
            <w:tcW w:w="1353" w:type="dxa"/>
            <w:vAlign w:val="center"/>
          </w:tcPr>
          <w:p>
            <w:pPr>
              <w:spacing w:line="240" w:lineRule="auto"/>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非甲烷总烃、颗粒物、硫化氢、臭气浓度</w:t>
            </w:r>
          </w:p>
        </w:tc>
        <w:tc>
          <w:tcPr>
            <w:tcW w:w="2899" w:type="dxa"/>
            <w:vAlign w:val="center"/>
          </w:tcPr>
          <w:p>
            <w:pPr>
              <w:pStyle w:val="198"/>
              <w:spacing w:line="240" w:lineRule="auto"/>
              <w:jc w:val="center"/>
              <w:rPr>
                <w:rFonts w:ascii="Times New Roman" w:cs="Times New Roman"/>
                <w:color w:val="000000" w:themeColor="text1"/>
                <w:lang w:bidi="ar"/>
                <w14:textFill>
                  <w14:solidFill>
                    <w14:schemeClr w14:val="tx1"/>
                  </w14:solidFill>
                </w14:textFill>
              </w:rPr>
            </w:pPr>
            <w:r>
              <w:rPr>
                <w:rFonts w:hint="eastAsia" w:ascii="Times New Roman" w:cs="Times New Roman"/>
                <w:color w:val="000000" w:themeColor="text1"/>
                <w:lang w:bidi="ar"/>
                <w14:textFill>
                  <w14:solidFill>
                    <w14:schemeClr w14:val="tx1"/>
                  </w14:solidFill>
                </w14:textFill>
              </w:rPr>
              <w:t>/</w:t>
            </w:r>
          </w:p>
        </w:tc>
        <w:tc>
          <w:tcPr>
            <w:tcW w:w="207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《石油化学工业污染物排放标准》（GB31571-2015）、《恶臭污染物排放标准》（GB14554-93）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restart"/>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地表水环境</w:t>
            </w:r>
          </w:p>
        </w:tc>
        <w:tc>
          <w:tcPr>
            <w:tcW w:w="1276" w:type="dxa"/>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生活污水</w:t>
            </w:r>
          </w:p>
        </w:tc>
        <w:tc>
          <w:tcPr>
            <w:tcW w:w="1353" w:type="dxa"/>
            <w:vAlign w:val="center"/>
          </w:tcPr>
          <w:p>
            <w:pPr>
              <w:spacing w:line="240" w:lineRule="auto"/>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COD、氨氮、SS、BOD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、总磷</w:t>
            </w:r>
          </w:p>
        </w:tc>
        <w:tc>
          <w:tcPr>
            <w:tcW w:w="289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经生化池处理后排入市政污水管网。</w:t>
            </w:r>
          </w:p>
        </w:tc>
        <w:tc>
          <w:tcPr>
            <w:tcW w:w="2079" w:type="dxa"/>
            <w:vMerge w:val="restart"/>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《污水综合排放标准》(GB8978-1996)三级标准（石油类达到《石油化学工业污染物排放标准》（GB31571-2015）、氨氮、总磷达到《污水排入城镇下水道水质标准》（GB/T31962-2015）B等级标准）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食堂废水</w:t>
            </w:r>
          </w:p>
        </w:tc>
        <w:tc>
          <w:tcPr>
            <w:tcW w:w="1353" w:type="dxa"/>
            <w:vAlign w:val="center"/>
          </w:tcPr>
          <w:p>
            <w:pPr>
              <w:spacing w:line="240" w:lineRule="auto"/>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COD、氨氮、SS、BOD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、动植物油</w:t>
            </w:r>
          </w:p>
        </w:tc>
        <w:tc>
          <w:tcPr>
            <w:tcW w:w="289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经隔油池预处理后排入厂区生化池。</w:t>
            </w:r>
          </w:p>
        </w:tc>
        <w:tc>
          <w:tcPr>
            <w:tcW w:w="2079" w:type="dxa"/>
            <w:vMerge w:val="continue"/>
            <w:vAlign w:val="center"/>
          </w:tcPr>
          <w:p>
            <w:pPr>
              <w:adjustRightInd w:val="0"/>
              <w:snapToGrid w:val="0"/>
              <w:spacing w:line="240" w:lineRule="auto"/>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地面冲洗废水、脱硫系统废水、初期雨水</w:t>
            </w:r>
          </w:p>
        </w:tc>
        <w:tc>
          <w:tcPr>
            <w:tcW w:w="1353" w:type="dxa"/>
            <w:vAlign w:val="center"/>
          </w:tcPr>
          <w:p>
            <w:pPr>
              <w:spacing w:line="240" w:lineRule="auto"/>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w:t>
            </w:r>
            <w:r>
              <w:rPr>
                <w:color w:val="000000" w:themeColor="text1"/>
                <w:sz w:val="24"/>
                <w14:textFill>
                  <w14:solidFill>
                    <w14:schemeClr w14:val="tx1"/>
                  </w14:solidFill>
                </w14:textFill>
              </w:rPr>
              <w:t>OD</w:t>
            </w:r>
            <w:r>
              <w:rPr>
                <w:rFonts w:hint="eastAsia"/>
                <w:color w:val="000000" w:themeColor="text1"/>
                <w:sz w:val="24"/>
                <w14:textFill>
                  <w14:solidFill>
                    <w14:schemeClr w14:val="tx1"/>
                  </w14:solidFill>
                </w14:textFill>
              </w:rPr>
              <w:t>、S</w:t>
            </w:r>
            <w:r>
              <w:rPr>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、石油类、p</w:t>
            </w:r>
            <w:r>
              <w:rPr>
                <w:color w:val="000000" w:themeColor="text1"/>
                <w:sz w:val="24"/>
                <w14:textFill>
                  <w14:solidFill>
                    <w14:schemeClr w14:val="tx1"/>
                  </w14:solidFill>
                </w14:textFill>
              </w:rPr>
              <w:t>H</w:t>
            </w:r>
          </w:p>
        </w:tc>
        <w:tc>
          <w:tcPr>
            <w:tcW w:w="2899" w:type="dxa"/>
            <w:vAlign w:val="center"/>
          </w:tcPr>
          <w:p>
            <w:pPr>
              <w:adjustRightInd w:val="0"/>
              <w:snapToGrid w:val="0"/>
              <w:spacing w:line="240" w:lineRule="auto"/>
              <w:rPr>
                <w:color w:val="FF0000"/>
                <w:sz w:val="24"/>
              </w:rPr>
            </w:pPr>
            <w:r>
              <w:rPr>
                <w:rFonts w:hint="eastAsia"/>
                <w:color w:val="FF0000"/>
                <w:sz w:val="24"/>
              </w:rPr>
              <w:t>经1套生产废水处理设施，采用“隔油+厌氧反应器+好氧活性污泥法（A/O法）”处理后排入厂区生化池。</w:t>
            </w:r>
          </w:p>
        </w:tc>
        <w:tc>
          <w:tcPr>
            <w:tcW w:w="2079" w:type="dxa"/>
            <w:vMerge w:val="continue"/>
            <w:vAlign w:val="center"/>
          </w:tcPr>
          <w:p>
            <w:pPr>
              <w:adjustRightInd w:val="0"/>
              <w:snapToGrid w:val="0"/>
              <w:spacing w:line="240" w:lineRule="auto"/>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水封罐排水、含油废水</w:t>
            </w:r>
          </w:p>
        </w:tc>
        <w:tc>
          <w:tcPr>
            <w:tcW w:w="1353" w:type="dxa"/>
            <w:vAlign w:val="center"/>
          </w:tcPr>
          <w:p>
            <w:pPr>
              <w:spacing w:line="240" w:lineRule="auto"/>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S</w:t>
            </w:r>
            <w:r>
              <w:rPr>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、石油类</w:t>
            </w:r>
          </w:p>
        </w:tc>
        <w:tc>
          <w:tcPr>
            <w:tcW w:w="289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雾化处理后喷入二燃室燃烧处理。</w:t>
            </w:r>
          </w:p>
        </w:tc>
        <w:tc>
          <w:tcPr>
            <w:tcW w:w="207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满足环保要求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Merge w:val="continue"/>
            <w:vAlign w:val="center"/>
          </w:tcPr>
          <w:p>
            <w:pPr>
              <w:adjustRightInd w:val="0"/>
              <w:snapToGrid w:val="0"/>
              <w:spacing w:line="240" w:lineRule="auto"/>
              <w:jc w:val="center"/>
              <w:rPr>
                <w:color w:val="000000" w:themeColor="text1"/>
                <w:sz w:val="24"/>
                <w14:textFill>
                  <w14:solidFill>
                    <w14:schemeClr w14:val="tx1"/>
                  </w14:solidFill>
                </w14:textFill>
              </w:rPr>
            </w:pPr>
          </w:p>
        </w:tc>
        <w:tc>
          <w:tcPr>
            <w:tcW w:w="1276" w:type="dxa"/>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循环冷却系统排水</w:t>
            </w:r>
          </w:p>
        </w:tc>
        <w:tc>
          <w:tcPr>
            <w:tcW w:w="1353" w:type="dxa"/>
            <w:vAlign w:val="center"/>
          </w:tcPr>
          <w:p>
            <w:pPr>
              <w:spacing w:line="240" w:lineRule="auto"/>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w:t>
            </w:r>
            <w:r>
              <w:rPr>
                <w:color w:val="000000" w:themeColor="text1"/>
                <w:sz w:val="24"/>
                <w14:textFill>
                  <w14:solidFill>
                    <w14:schemeClr w14:val="tx1"/>
                  </w14:solidFill>
                </w14:textFill>
              </w:rPr>
              <w:t>OD</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SS</w:t>
            </w:r>
          </w:p>
        </w:tc>
        <w:tc>
          <w:tcPr>
            <w:tcW w:w="289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排入生化池</w:t>
            </w:r>
          </w:p>
        </w:tc>
        <w:tc>
          <w:tcPr>
            <w:tcW w:w="207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满足环保要求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1276" w:type="dxa"/>
            <w:vAlign w:val="center"/>
          </w:tcPr>
          <w:p>
            <w:pPr>
              <w:adjustRightInd w:val="0"/>
              <w:snapToGrid w:val="0"/>
              <w:spacing w:line="24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生产设备</w:t>
            </w:r>
          </w:p>
        </w:tc>
        <w:tc>
          <w:tcPr>
            <w:tcW w:w="1353"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噪声</w:t>
            </w:r>
          </w:p>
        </w:tc>
        <w:tc>
          <w:tcPr>
            <w:tcW w:w="2899" w:type="dxa"/>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选用低噪设备、基础减振、建筑隔声</w:t>
            </w:r>
          </w:p>
        </w:tc>
        <w:tc>
          <w:tcPr>
            <w:tcW w:w="2079" w:type="dxa"/>
            <w:vAlign w:val="center"/>
          </w:tcPr>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电磁辐射</w:t>
            </w:r>
          </w:p>
        </w:tc>
        <w:tc>
          <w:tcPr>
            <w:tcW w:w="7607" w:type="dxa"/>
            <w:gridSpan w:val="4"/>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w:t>
            </w:r>
          </w:p>
        </w:tc>
        <w:tc>
          <w:tcPr>
            <w:tcW w:w="7607" w:type="dxa"/>
            <w:gridSpan w:val="4"/>
            <w:vAlign w:val="center"/>
          </w:tcPr>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新建</w:t>
            </w:r>
            <w:r>
              <w:rPr>
                <w:color w:val="000000" w:themeColor="text1"/>
                <w:sz w:val="24"/>
                <w14:textFill>
                  <w14:solidFill>
                    <w14:schemeClr w14:val="tx1"/>
                  </w14:solidFill>
                </w14:textFill>
              </w:rPr>
              <w:t>一般工业固废暂存间</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位于</w:t>
            </w:r>
            <w:r>
              <w:rPr>
                <w:rFonts w:hint="eastAsia"/>
                <w:color w:val="000000" w:themeColor="text1"/>
                <w:sz w:val="24"/>
                <w14:textFill>
                  <w14:solidFill>
                    <w14:schemeClr w14:val="tx1"/>
                  </w14:solidFill>
                </w14:textFill>
              </w:rPr>
              <w:t>1#原料破碎车间西北角</w:t>
            </w:r>
            <w:r>
              <w:rPr>
                <w:color w:val="000000" w:themeColor="text1"/>
                <w:sz w:val="24"/>
                <w14:textFill>
                  <w14:solidFill>
                    <w14:schemeClr w14:val="tx1"/>
                  </w14:solidFill>
                </w14:textFill>
              </w:rPr>
              <w:t>，面积约50m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，采</w:t>
            </w:r>
            <w:r>
              <w:rPr>
                <w:rFonts w:hint="eastAsia" w:ascii="宋体" w:hAnsi="宋体" w:cs="宋体"/>
                <w:color w:val="000000" w:themeColor="text1"/>
                <w:sz w:val="24"/>
                <w14:textFill>
                  <w14:solidFill>
                    <w14:schemeClr w14:val="tx1"/>
                  </w14:solidFill>
                </w14:textFill>
              </w:rPr>
              <w:t>取“三防”（防渗漏、防雨淋、防扬尘</w:t>
            </w:r>
            <w:r>
              <w:rPr>
                <w:color w:val="000000" w:themeColor="text1"/>
                <w:sz w:val="24"/>
                <w14:textFill>
                  <w14:solidFill>
                    <w14:schemeClr w14:val="tx1"/>
                  </w14:solidFill>
                </w14:textFill>
              </w:rPr>
              <w:t>）措施，并设置标识标牌。</w:t>
            </w:r>
          </w:p>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新建</w:t>
            </w:r>
            <w:r>
              <w:rPr>
                <w:color w:val="000000" w:themeColor="text1"/>
                <w:sz w:val="24"/>
                <w14:textFill>
                  <w14:solidFill>
                    <w14:schemeClr w14:val="tx1"/>
                  </w14:solidFill>
                </w14:textFill>
              </w:rPr>
              <w:t>危险废物暂存</w:t>
            </w:r>
            <w:r>
              <w:rPr>
                <w:rFonts w:hint="eastAsia"/>
                <w:color w:val="000000" w:themeColor="text1"/>
                <w:sz w:val="24"/>
                <w14:textFill>
                  <w14:solidFill>
                    <w14:schemeClr w14:val="tx1"/>
                  </w14:solidFill>
                </w14:textFill>
              </w:rPr>
              <w:t>间，</w:t>
            </w:r>
            <w:r>
              <w:rPr>
                <w:color w:val="000000" w:themeColor="text1"/>
                <w:sz w:val="24"/>
                <w14:textFill>
                  <w14:solidFill>
                    <w14:schemeClr w14:val="tx1"/>
                  </w14:solidFill>
                </w14:textFill>
              </w:rPr>
              <w:t>位于</w:t>
            </w:r>
            <w:r>
              <w:rPr>
                <w:rFonts w:hint="eastAsia"/>
                <w:color w:val="000000" w:themeColor="text1"/>
                <w:sz w:val="24"/>
                <w14:textFill>
                  <w14:solidFill>
                    <w14:schemeClr w14:val="tx1"/>
                  </w14:solidFill>
                </w14:textFill>
              </w:rPr>
              <w:t>裂解车间西北角</w:t>
            </w:r>
            <w:r>
              <w:rPr>
                <w:color w:val="000000" w:themeColor="text1"/>
                <w:sz w:val="24"/>
                <w14:textFill>
                  <w14:solidFill>
                    <w14:schemeClr w14:val="tx1"/>
                  </w14:solidFill>
                </w14:textFill>
              </w:rPr>
              <w:t>，建筑面积</w:t>
            </w:r>
            <w:r>
              <w:rPr>
                <w:rFonts w:hint="eastAsia"/>
                <w:color w:val="000000" w:themeColor="text1"/>
                <w:sz w:val="24"/>
                <w14:textFill>
                  <w14:solidFill>
                    <w14:schemeClr w14:val="tx1"/>
                  </w14:solidFill>
                </w14:textFill>
              </w:rPr>
              <w:t>约</w:t>
            </w:r>
            <w:r>
              <w:rPr>
                <w:color w:val="000000" w:themeColor="text1"/>
                <w:sz w:val="24"/>
                <w14:textFill>
                  <w14:solidFill>
                    <w14:schemeClr w14:val="tx1"/>
                  </w14:solidFill>
                </w14:textFill>
              </w:rPr>
              <w:t>10m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，做好</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四防</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（防风、防雨、防晒、防渗漏）措施，并设置标识标牌。</w:t>
            </w:r>
          </w:p>
          <w:p>
            <w:pPr>
              <w:pStyle w:val="75"/>
              <w:spacing w:line="240" w:lineRule="auto"/>
              <w:ind w:firstLine="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3.</w:t>
            </w:r>
            <w:r>
              <w:rPr>
                <w:rFonts w:hint="eastAsia" w:ascii="Times New Roman" w:hAnsi="Times New Roman" w:cs="Times New Roman"/>
                <w:color w:val="000000" w:themeColor="text1"/>
                <w:szCs w:val="24"/>
                <w14:textFill>
                  <w14:solidFill>
                    <w14:schemeClr w14:val="tx1"/>
                  </w14:solidFill>
                </w14:textFill>
              </w:rPr>
              <w:t>设置生活垃圾桶，加盖的餐厨垃圾桶。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土壤及地下水污染防治措施</w:t>
            </w:r>
          </w:p>
        </w:tc>
        <w:tc>
          <w:tcPr>
            <w:tcW w:w="7607" w:type="dxa"/>
            <w:gridSpan w:val="4"/>
            <w:vAlign w:val="center"/>
          </w:tcPr>
          <w:p>
            <w:pPr>
              <w:adjustRightInd w:val="0"/>
              <w:snapToGrid w:val="0"/>
              <w:spacing w:line="24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分区防渗，设置必要的检漏时间及周期、厂区下游设1个地下水监控井，定期进行水质跟踪监测。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生态保护措施</w:t>
            </w:r>
          </w:p>
        </w:tc>
        <w:tc>
          <w:tcPr>
            <w:tcW w:w="7607" w:type="dxa"/>
            <w:gridSpan w:val="4"/>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Align w:val="center"/>
          </w:tcPr>
          <w:p>
            <w:pPr>
              <w:adjustRightInd w:val="0"/>
              <w:snapToGrid w:val="0"/>
              <w:spacing w:line="240" w:lineRule="auto"/>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环境风险</w:t>
            </w:r>
          </w:p>
          <w:p>
            <w:pPr>
              <w:adjustRightInd w:val="0"/>
              <w:snapToGrid w:val="0"/>
              <w:spacing w:line="240" w:lineRule="auto"/>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防范措施</w:t>
            </w:r>
          </w:p>
        </w:tc>
        <w:tc>
          <w:tcPr>
            <w:tcW w:w="7607" w:type="dxa"/>
            <w:gridSpan w:val="4"/>
            <w:vAlign w:val="center"/>
          </w:tcPr>
          <w:p>
            <w:pPr>
              <w:adjustRightInd w:val="0"/>
              <w:snapToGrid w:val="0"/>
              <w:spacing w:line="24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油罐区设置1</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m高围堰；每个裂解油暂存罐单独设置围堰（不小于暂存罐最大容积</w:t>
            </w:r>
            <w:r>
              <w:rPr>
                <w:color w:val="000000" w:themeColor="text1"/>
                <w:sz w:val="24"/>
                <w14:textFill>
                  <w14:solidFill>
                    <w14:schemeClr w14:val="tx1"/>
                  </w14:solidFill>
                </w14:textFill>
              </w:rPr>
              <w:t>2.8</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）；氨水储罐设置围堰（不小于储罐容积0</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）；配套消防系统及器材、火灾报警系统；建设事故水池，有效容积不小于</w:t>
            </w:r>
            <w:r>
              <w:rPr>
                <w:color w:val="000000" w:themeColor="text1"/>
                <w:sz w:val="24"/>
                <w14:textFill>
                  <w14:solidFill>
                    <w14:schemeClr w14:val="tx1"/>
                  </w14:solidFill>
                </w14:textFill>
              </w:rPr>
              <w:t>700</w:t>
            </w:r>
            <w:r>
              <w:rPr>
                <w:rFonts w:hint="eastAsia"/>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，配套建设各事故泄漏点至事故水池的导液管（沟）和消防废水收集系统。项目液体及生产废水管线采用明管。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16" w:type="dxa"/>
            <w:vAlign w:val="center"/>
          </w:tcPr>
          <w:p>
            <w:pPr>
              <w:adjustRightInd w:val="0"/>
              <w:snapToGrid w:val="0"/>
              <w:spacing w:line="240" w:lineRule="auto"/>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其他环境</w:t>
            </w:r>
          </w:p>
          <w:p>
            <w:pPr>
              <w:adjustRightInd w:val="0"/>
              <w:snapToGrid w:val="0"/>
              <w:spacing w:line="240" w:lineRule="auto"/>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管理要求</w:t>
            </w:r>
          </w:p>
        </w:tc>
        <w:tc>
          <w:tcPr>
            <w:tcW w:w="7607" w:type="dxa"/>
            <w:gridSpan w:val="4"/>
          </w:tcPr>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（1）环境管理：</w:t>
            </w:r>
            <w:r>
              <w:rPr>
                <w:rFonts w:hint="eastAsia"/>
                <w:color w:val="000000" w:themeColor="text1"/>
                <w:sz w:val="24"/>
                <w14:textFill>
                  <w14:solidFill>
                    <w14:schemeClr w14:val="tx1"/>
                  </w14:solidFill>
                </w14:textFill>
              </w:rPr>
              <w:t>企业环境保护管理应采取总经理负责制，并配备专职或兼职环保管理人员1~</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人，负责项目的环保工作。</w:t>
            </w:r>
          </w:p>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（2）排污口规范：根据国家环保总局《排污口</w:t>
            </w:r>
            <w:r>
              <w:rPr>
                <w:rFonts w:hint="eastAsia"/>
                <w:color w:val="000000" w:themeColor="text1"/>
                <w:sz w:val="24"/>
                <w:lang w:eastAsia="zh-CN"/>
                <w14:textFill>
                  <w14:solidFill>
                    <w14:schemeClr w14:val="tx1"/>
                  </w14:solidFill>
                </w14:textFill>
              </w:rPr>
              <w:t>规范化</w:t>
            </w:r>
            <w:r>
              <w:rPr>
                <w:color w:val="000000" w:themeColor="text1"/>
                <w:sz w:val="24"/>
                <w14:textFill>
                  <w14:solidFill>
                    <w14:schemeClr w14:val="tx1"/>
                  </w14:solidFill>
                </w14:textFill>
              </w:rPr>
              <w:t>整治要求（试行）》文件要求，环保治理设施的排污口规范设置(如图形标志牌、计量装置、监控装置、采样口等)</w:t>
            </w:r>
            <w:r>
              <w:rPr>
                <w:rFonts w:hint="eastAsia"/>
                <w:color w:val="000000" w:themeColor="text1"/>
                <w:sz w:val="24"/>
                <w14:textFill>
                  <w14:solidFill>
                    <w14:schemeClr w14:val="tx1"/>
                  </w14:solidFill>
                </w14:textFill>
              </w:rPr>
              <w:t>。</w:t>
            </w:r>
          </w:p>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企业必须在发生实际排污行为之前申领排污许可证，不得无证或不按证排污，环境影响评价文件及批复中与污染物排放相关的主要内容应当纳入排污许可证。</w:t>
            </w:r>
          </w:p>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（4）运行管理要求：对项目废水、废气污染防治</w:t>
            </w:r>
            <w:r>
              <w:rPr>
                <w:rFonts w:hint="eastAsia"/>
                <w:color w:val="000000" w:themeColor="text1"/>
                <w:sz w:val="24"/>
                <w:lang w:eastAsia="zh-CN"/>
                <w14:textFill>
                  <w14:solidFill>
                    <w14:schemeClr w14:val="tx1"/>
                  </w14:solidFill>
                </w14:textFill>
              </w:rPr>
              <w:t>设施</w:t>
            </w:r>
            <w:r>
              <w:rPr>
                <w:color w:val="000000" w:themeColor="text1"/>
                <w:sz w:val="24"/>
                <w14:textFill>
                  <w14:solidFill>
                    <w14:schemeClr w14:val="tx1"/>
                  </w14:solidFill>
                </w14:textFill>
              </w:rPr>
              <w:t>进行维护和管理，保证设施正常运行；</w:t>
            </w:r>
            <w:r>
              <w:rPr>
                <w:rFonts w:hint="eastAsia"/>
                <w:color w:val="000000" w:themeColor="text1"/>
                <w:sz w:val="24"/>
                <w14:textFill>
                  <w14:solidFill>
                    <w14:schemeClr w14:val="tx1"/>
                  </w14:solidFill>
                </w14:textFill>
              </w:rPr>
              <w:t>落实本项目的监测计划，企业应委托有资质IDE监测单位进行监测，并将监测报告存档，各治理措施前后均应设置监测取样孔。</w:t>
            </w:r>
          </w:p>
          <w:p>
            <w:pPr>
              <w:adjustRightInd w:val="0"/>
              <w:snapToGrid w:val="0"/>
              <w:spacing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5）台账管理要求：建立环境管理台账制度，落实环境管理台账记录负责人，环境管理台账（包括基本信息、生产设施运行管理信息、污染防治设施运行管理信息、监测记录信息、其他环境管理信息）按电子化储存和纸质储存两种方式同步管理</w:t>
            </w:r>
            <w:r>
              <w:rPr>
                <w:rFonts w:hint="eastAsia"/>
                <w:color w:val="000000" w:themeColor="text1"/>
                <w:sz w:val="24"/>
                <w14:textFill>
                  <w14:solidFill>
                    <w14:schemeClr w14:val="tx1"/>
                  </w14:solidFill>
                </w14:textFill>
              </w:rPr>
              <w:t>。</w:t>
            </w:r>
          </w:p>
          <w:p>
            <w:pPr>
              <w:pStyle w:val="2"/>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tc>
      </w:tr>
    </w:tbl>
    <w:p>
      <w:pPr>
        <w:pStyle w:val="32"/>
        <w:spacing w:line="240" w:lineRule="auto"/>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bookmarkStart w:id="14" w:name="_Toc25314"/>
      <w:r>
        <w:rPr>
          <w:rFonts w:ascii="Times New Roman" w:hAnsi="Times New Roman" w:eastAsia="黑体"/>
          <w:snapToGrid w:val="0"/>
          <w:color w:val="000000" w:themeColor="text1"/>
          <w:sz w:val="30"/>
          <w:szCs w:val="30"/>
          <w14:textFill>
            <w14:solidFill>
              <w14:schemeClr w14:val="tx1"/>
            </w14:solidFill>
          </w14:textFill>
        </w:rPr>
        <w:t>六、结论</w:t>
      </w:r>
      <w:bookmarkEnd w:id="14"/>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pStyle w:val="75"/>
              <w:tabs>
                <w:tab w:val="left" w:pos="540"/>
                <w:tab w:val="left" w:pos="1080"/>
                <w:tab w:val="left" w:pos="1800"/>
              </w:tabs>
              <w:ind w:firstLine="480" w:firstLineChars="200"/>
              <w:rPr>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重庆垚鑫再生资源有限公司年加工处理9万吨废旧轮胎综合利用建设项目符合当前国家产业政策要求，选址符合相关规划要求，且通过采取各项完善的污染治理环保措施后，可有效地确保各类污染物达标排放。项目实施后，不会对周围环境产生明显的环境影响。因此，本次评价从环保角度认为，在建设单位认真落实各项污染治理措施，切实做好“三同时”及日常环保管理工</w:t>
            </w:r>
            <w:r>
              <w:rPr>
                <w:rFonts w:hint="eastAsia"/>
                <w:color w:val="000000" w:themeColor="text1"/>
                <w14:textFill>
                  <w14:solidFill>
                    <w14:schemeClr w14:val="tx1"/>
                  </w14:solidFill>
                </w14:textFill>
              </w:rPr>
              <w:t>作，各项污染物在采取有效的“三废”治理措施前提下，该项目的建设是可行的</w:t>
            </w:r>
            <w:r>
              <w:rPr>
                <w:rFonts w:ascii="Times New Roman" w:hAnsi="Times New Roman" w:cs="Times New Roman"/>
                <w:color w:val="000000" w:themeColor="text1"/>
                <w14:textFill>
                  <w14:solidFill>
                    <w14:schemeClr w14:val="tx1"/>
                  </w14:solidFill>
                </w14:textFill>
              </w:rPr>
              <w:t>。</w:t>
            </w:r>
          </w:p>
        </w:tc>
      </w:tr>
    </w:tbl>
    <w:p>
      <w:pPr>
        <w:ind w:firstLine="420"/>
        <w:rPr>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2"/>
        <w:adjustRightInd w:val="0"/>
        <w:snapToGrid w:val="0"/>
        <w:spacing w:before="0" w:beforeAutospacing="0" w:after="0" w:afterAutospacing="0"/>
        <w:ind w:firstLine="640"/>
        <w:outlineLvl w:val="0"/>
        <w:rPr>
          <w:rFonts w:ascii="Times New Roman" w:hAnsi="Times New Roman" w:eastAsia="黑体"/>
          <w:snapToGrid w:val="0"/>
          <w:color w:val="000000" w:themeColor="text1"/>
          <w:sz w:val="32"/>
          <w:szCs w:val="32"/>
          <w14:textFill>
            <w14:solidFill>
              <w14:schemeClr w14:val="tx1"/>
            </w14:solidFill>
          </w14:textFill>
        </w:rPr>
      </w:pPr>
      <w:bookmarkStart w:id="15" w:name="_Toc20271"/>
      <w:r>
        <w:rPr>
          <w:rFonts w:ascii="Times New Roman" w:hAnsi="Times New Roman" w:eastAsia="黑体"/>
          <w:snapToGrid w:val="0"/>
          <w:color w:val="000000" w:themeColor="text1"/>
          <w:sz w:val="32"/>
          <w:szCs w:val="32"/>
          <w14:textFill>
            <w14:solidFill>
              <w14:schemeClr w14:val="tx1"/>
            </w14:solidFill>
          </w14:textFill>
        </w:rPr>
        <w:t>附表</w:t>
      </w:r>
      <w:bookmarkEnd w:id="15"/>
    </w:p>
    <w:p>
      <w:pPr>
        <w:pStyle w:val="32"/>
        <w:adjustRightInd w:val="0"/>
        <w:snapToGrid w:val="0"/>
        <w:spacing w:before="0" w:beforeAutospacing="0" w:after="0" w:afterAutospacing="0" w:line="240" w:lineRule="auto"/>
        <w:jc w:val="center"/>
        <w:outlineLvl w:val="0"/>
        <w:rPr>
          <w:rFonts w:ascii="Times New Roman" w:hAnsi="Times New Roman" w:eastAsia="方正小标宋_GBK"/>
          <w:snapToGrid w:val="0"/>
          <w:color w:val="000000" w:themeColor="text1"/>
          <w:sz w:val="38"/>
          <w:szCs w:val="38"/>
          <w14:textFill>
            <w14:solidFill>
              <w14:schemeClr w14:val="tx1"/>
            </w14:solidFill>
          </w14:textFill>
        </w:rPr>
      </w:pPr>
      <w:bookmarkStart w:id="16" w:name="_Toc25320"/>
      <w:r>
        <w:rPr>
          <w:rFonts w:ascii="Times New Roman" w:hAnsi="Times New Roman" w:eastAsia="方正小标宋_GBK"/>
          <w:snapToGrid w:val="0"/>
          <w:color w:val="000000" w:themeColor="text1"/>
          <w:sz w:val="38"/>
          <w:szCs w:val="38"/>
          <w14:textFill>
            <w14:solidFill>
              <w14:schemeClr w14:val="tx1"/>
            </w14:solidFill>
          </w14:textFill>
        </w:rPr>
        <w:t>建设项目污染物排放量汇总表</w:t>
      </w:r>
      <w:bookmarkEnd w:id="16"/>
    </w:p>
    <w:tbl>
      <w:tblPr>
        <w:tblStyle w:val="3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418"/>
        <w:gridCol w:w="1650"/>
        <w:gridCol w:w="1282"/>
        <w:gridCol w:w="1527"/>
        <w:gridCol w:w="1568"/>
        <w:gridCol w:w="1719"/>
        <w:gridCol w:w="1909"/>
        <w:gridCol w:w="15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56" w:type="dxa"/>
            <w:tcBorders>
              <w:tl2br w:val="single" w:color="auto" w:sz="4" w:space="0"/>
            </w:tcBorders>
            <w:tcMar>
              <w:left w:w="28" w:type="dxa"/>
              <w:right w:w="28" w:type="dxa"/>
            </w:tcMar>
            <w:vAlign w:val="center"/>
          </w:tcPr>
          <w:p>
            <w:pPr>
              <w:pStyle w:val="7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项目</w:t>
            </w:r>
          </w:p>
          <w:p>
            <w:pPr>
              <w:pStyle w:val="7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分类</w:t>
            </w:r>
          </w:p>
        </w:tc>
        <w:tc>
          <w:tcPr>
            <w:tcW w:w="1418" w:type="dxa"/>
            <w:tcMar>
              <w:left w:w="28" w:type="dxa"/>
              <w:right w:w="28" w:type="dxa"/>
            </w:tcMar>
            <w:vAlign w:val="center"/>
          </w:tcPr>
          <w:p>
            <w:pPr>
              <w:pStyle w:val="7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污染物名称</w:t>
            </w:r>
          </w:p>
        </w:tc>
        <w:tc>
          <w:tcPr>
            <w:tcW w:w="1650" w:type="dxa"/>
            <w:tcMar>
              <w:left w:w="28" w:type="dxa"/>
              <w:right w:w="28" w:type="dxa"/>
            </w:tcMar>
            <w:vAlign w:val="center"/>
          </w:tcPr>
          <w:p>
            <w:pPr>
              <w:pStyle w:val="7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pPr>
              <w:pStyle w:val="7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①</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282" w:type="dxa"/>
            <w:tcMar>
              <w:left w:w="28" w:type="dxa"/>
              <w:right w:w="28" w:type="dxa"/>
            </w:tcMar>
            <w:vAlign w:val="center"/>
          </w:tcPr>
          <w:p>
            <w:pPr>
              <w:pStyle w:val="7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pPr>
              <w:pStyle w:val="7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许可排放量</w:t>
            </w:r>
          </w:p>
          <w:p>
            <w:pPr>
              <w:pStyle w:val="7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snapToGrid w:val="0"/>
                <w:color w:val="000000" w:themeColor="text1"/>
                <w:spacing w:val="-6"/>
                <w:kern w:val="21"/>
                <w:szCs w:val="21"/>
                <w14:textFill>
                  <w14:solidFill>
                    <w14:schemeClr w14:val="tx1"/>
                  </w14:solidFill>
                </w14:textFill>
              </w:rPr>
              <w:t>②</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527" w:type="dxa"/>
            <w:tcMar>
              <w:left w:w="28" w:type="dxa"/>
              <w:right w:w="28" w:type="dxa"/>
            </w:tcMar>
            <w:vAlign w:val="center"/>
          </w:tcPr>
          <w:p>
            <w:pPr>
              <w:pStyle w:val="7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在建工程</w:t>
            </w:r>
          </w:p>
          <w:p>
            <w:pPr>
              <w:pStyle w:val="7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③</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568" w:type="dxa"/>
            <w:tcMar>
              <w:left w:w="28" w:type="dxa"/>
              <w:right w:w="28" w:type="dxa"/>
            </w:tcMar>
            <w:vAlign w:val="center"/>
          </w:tcPr>
          <w:p>
            <w:pPr>
              <w:pStyle w:val="7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本项目</w:t>
            </w:r>
          </w:p>
          <w:p>
            <w:pPr>
              <w:pStyle w:val="7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④</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719" w:type="dxa"/>
            <w:tcMar>
              <w:left w:w="28" w:type="dxa"/>
              <w:right w:w="28" w:type="dxa"/>
            </w:tcMar>
            <w:vAlign w:val="center"/>
          </w:tcPr>
          <w:p>
            <w:pPr>
              <w:pStyle w:val="78"/>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以新带老削减量</w:t>
            </w:r>
          </w:p>
          <w:p>
            <w:pPr>
              <w:pStyle w:val="78"/>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（新建项目不填）</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⑤</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1909" w:type="dxa"/>
            <w:tcMar>
              <w:left w:w="28" w:type="dxa"/>
              <w:right w:w="28" w:type="dxa"/>
            </w:tcMar>
            <w:vAlign w:val="center"/>
          </w:tcPr>
          <w:p>
            <w:pPr>
              <w:pStyle w:val="78"/>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本项目建成后</w:t>
            </w:r>
          </w:p>
          <w:p>
            <w:pPr>
              <w:pStyle w:val="78"/>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全厂排放量（固体废物产生量）</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⑥</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1559" w:type="dxa"/>
            <w:tcMar>
              <w:left w:w="28" w:type="dxa"/>
              <w:right w:w="28" w:type="dxa"/>
            </w:tcMar>
            <w:vAlign w:val="center"/>
          </w:tcPr>
          <w:p>
            <w:pPr>
              <w:pStyle w:val="7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变化量</w:t>
            </w:r>
          </w:p>
          <w:p>
            <w:pPr>
              <w:pStyle w:val="7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⑦</w:t>
            </w:r>
            <w:r>
              <w:rPr>
                <w:rFonts w:ascii="Times New Roman" w:eastAsia="黑体"/>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restart"/>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废气</w:t>
            </w:r>
          </w:p>
        </w:tc>
        <w:tc>
          <w:tcPr>
            <w:tcW w:w="1418"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颗粒物</w:t>
            </w:r>
          </w:p>
        </w:tc>
        <w:tc>
          <w:tcPr>
            <w:tcW w:w="1650" w:type="dxa"/>
            <w:vAlign w:val="center"/>
          </w:tcPr>
          <w:p>
            <w:pPr>
              <w:pStyle w:val="26"/>
              <w:spacing w:line="240" w:lineRule="auto"/>
              <w:jc w:val="center"/>
              <w:rPr>
                <w:rFonts w:ascii="Times New Roman" w:hAnsi="Times New Roman" w:cs="Times New Roman"/>
                <w:b w:val="0"/>
                <w:bCs w:val="0"/>
                <w:color w:val="000000" w:themeColor="text1"/>
                <w:kern w:val="0"/>
                <w:szCs w:val="21"/>
                <w:lang w:bidi="ar"/>
                <w14:textFill>
                  <w14:solidFill>
                    <w14:schemeClr w14:val="tx1"/>
                  </w14:solidFill>
                </w14:textFill>
              </w:rPr>
            </w:pPr>
            <w:r>
              <w:rPr>
                <w:rFonts w:hint="eastAsia" w:ascii="Times New Roman" w:hAnsi="Times New Roman" w:cs="Times New Roman"/>
                <w:b w:val="0"/>
                <w:bCs w:val="0"/>
                <w:color w:val="000000" w:themeColor="text1"/>
                <w:kern w:val="0"/>
                <w:szCs w:val="21"/>
                <w:lang w:bidi="ar"/>
                <w14:textFill>
                  <w14:solidFill>
                    <w14:schemeClr w14:val="tx1"/>
                  </w14:solidFill>
                </w14:textFill>
              </w:rPr>
              <w:t>/</w:t>
            </w:r>
          </w:p>
        </w:tc>
        <w:tc>
          <w:tcPr>
            <w:tcW w:w="1282" w:type="dxa"/>
            <w:vAlign w:val="center"/>
          </w:tcPr>
          <w:p>
            <w:pPr>
              <w:pStyle w:val="26"/>
              <w:spacing w:line="240" w:lineRule="auto"/>
              <w:jc w:val="center"/>
              <w:rPr>
                <w:rFonts w:ascii="Times New Roman" w:hAnsi="Times New Roman" w:cs="Times New Roman"/>
                <w:b w:val="0"/>
                <w:bCs w:val="0"/>
                <w:color w:val="000000" w:themeColor="text1"/>
                <w:kern w:val="0"/>
                <w:szCs w:val="21"/>
                <w:lang w:bidi="ar"/>
                <w14:textFill>
                  <w14:solidFill>
                    <w14:schemeClr w14:val="tx1"/>
                  </w14:solidFill>
                </w14:textFill>
              </w:rPr>
            </w:pPr>
            <w:r>
              <w:rPr>
                <w:rFonts w:hint="eastAsia" w:ascii="Times New Roman" w:hAnsi="Times New Roman" w:cs="Times New Roman"/>
                <w:b w:val="0"/>
                <w:bCs w:val="0"/>
                <w:color w:val="000000" w:themeColor="text1"/>
                <w:kern w:val="0"/>
                <w:szCs w:val="21"/>
                <w:lang w:bidi="ar"/>
                <w14:textFill>
                  <w14:solidFill>
                    <w14:schemeClr w14:val="tx1"/>
                  </w14:solidFill>
                </w14:textFill>
              </w:rPr>
              <w:t>/</w:t>
            </w:r>
          </w:p>
        </w:tc>
        <w:tc>
          <w:tcPr>
            <w:tcW w:w="1527" w:type="dxa"/>
            <w:vAlign w:val="center"/>
          </w:tcPr>
          <w:p>
            <w:pPr>
              <w:spacing w:line="240" w:lineRule="auto"/>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568" w:type="dxa"/>
            <w:vAlign w:val="center"/>
          </w:tcPr>
          <w:p>
            <w:pPr>
              <w:spacing w:line="240" w:lineRule="auto"/>
              <w:jc w:val="center"/>
              <w:rPr>
                <w:rFonts w:eastAsia="等线"/>
                <w:color w:val="000000"/>
                <w:szCs w:val="21"/>
              </w:rPr>
            </w:pPr>
            <w:r>
              <w:rPr>
                <w:rFonts w:eastAsia="等线"/>
                <w:color w:val="000000"/>
                <w:szCs w:val="21"/>
              </w:rPr>
              <w:t>2.525</w:t>
            </w:r>
          </w:p>
        </w:tc>
        <w:tc>
          <w:tcPr>
            <w:tcW w:w="1719" w:type="dxa"/>
            <w:vAlign w:val="center"/>
          </w:tcPr>
          <w:p>
            <w:pPr>
              <w:pStyle w:val="26"/>
              <w:spacing w:line="240" w:lineRule="auto"/>
              <w:jc w:val="center"/>
              <w:rPr>
                <w:rFonts w:ascii="Times New Roman" w:hAnsi="Times New Roman" w:cs="Times New Roman"/>
                <w:b w:val="0"/>
                <w:bCs w:val="0"/>
                <w:color w:val="000000" w:themeColor="text1"/>
                <w:kern w:val="0"/>
                <w:szCs w:val="21"/>
                <w:lang w:bidi="ar"/>
                <w14:textFill>
                  <w14:solidFill>
                    <w14:schemeClr w14:val="tx1"/>
                  </w14:solidFill>
                </w14:textFill>
              </w:rPr>
            </w:pPr>
            <w:r>
              <w:rPr>
                <w:rFonts w:hint="eastAsia" w:ascii="Times New Roman" w:hAnsi="Times New Roman" w:cs="Times New Roman"/>
                <w:b w:val="0"/>
                <w:bCs w:val="0"/>
                <w:color w:val="000000" w:themeColor="text1"/>
                <w:kern w:val="0"/>
                <w:szCs w:val="21"/>
                <w:lang w:bidi="ar"/>
                <w14:textFill>
                  <w14:solidFill>
                    <w14:schemeClr w14:val="tx1"/>
                  </w14:solidFill>
                </w14:textFill>
              </w:rPr>
              <w:t>/</w:t>
            </w:r>
          </w:p>
        </w:tc>
        <w:tc>
          <w:tcPr>
            <w:tcW w:w="1909" w:type="dxa"/>
            <w:vAlign w:val="center"/>
          </w:tcPr>
          <w:p>
            <w:pPr>
              <w:spacing w:line="240" w:lineRule="auto"/>
              <w:jc w:val="center"/>
              <w:rPr>
                <w:rFonts w:eastAsia="等线"/>
                <w:color w:val="000000"/>
                <w:szCs w:val="21"/>
              </w:rPr>
            </w:pPr>
            <w:r>
              <w:rPr>
                <w:rFonts w:eastAsia="等线"/>
                <w:color w:val="000000"/>
                <w:szCs w:val="21"/>
              </w:rPr>
              <w:t>2.525</w:t>
            </w:r>
          </w:p>
        </w:tc>
        <w:tc>
          <w:tcPr>
            <w:tcW w:w="1559" w:type="dxa"/>
            <w:vAlign w:val="center"/>
          </w:tcPr>
          <w:p>
            <w:pPr>
              <w:pStyle w:val="26"/>
              <w:spacing w:line="240" w:lineRule="auto"/>
              <w:jc w:val="center"/>
              <w:rPr>
                <w:rFonts w:ascii="Times New Roman" w:hAnsi="Times New Roman" w:cs="Times New Roman"/>
                <w:b w:val="0"/>
                <w:bCs w:val="0"/>
                <w:snapToGrid w:val="0"/>
                <w:color w:val="000000" w:themeColor="text1"/>
                <w:kern w:val="21"/>
                <w:szCs w:val="21"/>
                <w14:textFill>
                  <w14:solidFill>
                    <w14:schemeClr w14:val="tx1"/>
                  </w14:solidFill>
                </w14:textFill>
              </w:rPr>
            </w:pPr>
            <w:r>
              <w:rPr>
                <w:rFonts w:hint="eastAsia" w:ascii="Times New Roman" w:hAnsi="Times New Roman" w:cs="Times New Roman"/>
                <w:b w:val="0"/>
                <w:bCs w:val="0"/>
                <w:snapToGrid w:val="0"/>
                <w:color w:val="000000" w:themeColor="text1"/>
                <w:kern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氮氧化物</w:t>
            </w:r>
          </w:p>
        </w:tc>
        <w:tc>
          <w:tcPr>
            <w:tcW w:w="1650" w:type="dxa"/>
            <w:vAlign w:val="center"/>
          </w:tcPr>
          <w:p>
            <w:pPr>
              <w:pStyle w:val="26"/>
              <w:spacing w:line="240" w:lineRule="auto"/>
              <w:jc w:val="center"/>
              <w:rPr>
                <w:rFonts w:ascii="Times New Roman" w:hAnsi="Times New Roman" w:cs="Times New Roman"/>
                <w:b w:val="0"/>
                <w:bCs w:val="0"/>
                <w:color w:val="000000" w:themeColor="text1"/>
                <w:kern w:val="0"/>
                <w:szCs w:val="21"/>
                <w:lang w:bidi="ar"/>
                <w14:textFill>
                  <w14:solidFill>
                    <w14:schemeClr w14:val="tx1"/>
                  </w14:solidFill>
                </w14:textFill>
              </w:rPr>
            </w:pPr>
            <w:r>
              <w:rPr>
                <w:rFonts w:hint="eastAsia" w:ascii="Times New Roman" w:hAnsi="Times New Roman" w:cs="Times New Roman"/>
                <w:b w:val="0"/>
                <w:bCs w:val="0"/>
                <w:color w:val="000000" w:themeColor="text1"/>
                <w:kern w:val="0"/>
                <w:szCs w:val="21"/>
                <w:lang w:bidi="ar"/>
                <w14:textFill>
                  <w14:solidFill>
                    <w14:schemeClr w14:val="tx1"/>
                  </w14:solidFill>
                </w14:textFill>
              </w:rPr>
              <w:t>/</w:t>
            </w:r>
          </w:p>
        </w:tc>
        <w:tc>
          <w:tcPr>
            <w:tcW w:w="1282" w:type="dxa"/>
            <w:vAlign w:val="center"/>
          </w:tcPr>
          <w:p>
            <w:pPr>
              <w:pStyle w:val="26"/>
              <w:spacing w:line="240" w:lineRule="auto"/>
              <w:jc w:val="center"/>
              <w:rPr>
                <w:rFonts w:ascii="Times New Roman" w:hAnsi="Times New Roman" w:cs="Times New Roman"/>
                <w:b w:val="0"/>
                <w:bCs w:val="0"/>
                <w:color w:val="000000" w:themeColor="text1"/>
                <w:kern w:val="0"/>
                <w:szCs w:val="21"/>
                <w:lang w:bidi="ar"/>
                <w14:textFill>
                  <w14:solidFill>
                    <w14:schemeClr w14:val="tx1"/>
                  </w14:solidFill>
                </w14:textFill>
              </w:rPr>
            </w:pPr>
            <w:r>
              <w:rPr>
                <w:rFonts w:hint="eastAsia" w:ascii="Times New Roman" w:hAnsi="Times New Roman" w:cs="Times New Roman"/>
                <w:b w:val="0"/>
                <w:bCs w:val="0"/>
                <w:color w:val="000000" w:themeColor="text1"/>
                <w:kern w:val="0"/>
                <w:szCs w:val="21"/>
                <w:lang w:bidi="ar"/>
                <w14:textFill>
                  <w14:solidFill>
                    <w14:schemeClr w14:val="tx1"/>
                  </w14:solidFill>
                </w14:textFill>
              </w:rPr>
              <w:t>/</w:t>
            </w:r>
          </w:p>
        </w:tc>
        <w:tc>
          <w:tcPr>
            <w:tcW w:w="1527" w:type="dxa"/>
            <w:vAlign w:val="center"/>
          </w:tcPr>
          <w:p>
            <w:pPr>
              <w:spacing w:line="240" w:lineRule="auto"/>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568" w:type="dxa"/>
            <w:vAlign w:val="center"/>
          </w:tcPr>
          <w:p>
            <w:pPr>
              <w:spacing w:line="240" w:lineRule="auto"/>
              <w:jc w:val="center"/>
              <w:rPr>
                <w:rFonts w:eastAsia="等线"/>
                <w:color w:val="000000"/>
                <w:szCs w:val="21"/>
              </w:rPr>
            </w:pPr>
            <w:r>
              <w:rPr>
                <w:rFonts w:eastAsia="等线"/>
                <w:color w:val="000000"/>
                <w:szCs w:val="21"/>
              </w:rPr>
              <w:t>10.8</w:t>
            </w:r>
          </w:p>
        </w:tc>
        <w:tc>
          <w:tcPr>
            <w:tcW w:w="1719" w:type="dxa"/>
            <w:vAlign w:val="center"/>
          </w:tcPr>
          <w:p>
            <w:pPr>
              <w:pStyle w:val="26"/>
              <w:spacing w:line="240" w:lineRule="auto"/>
              <w:jc w:val="center"/>
              <w:rPr>
                <w:rFonts w:ascii="Times New Roman" w:hAnsi="Times New Roman" w:cs="Times New Roman"/>
                <w:b w:val="0"/>
                <w:bCs w:val="0"/>
                <w:color w:val="000000" w:themeColor="text1"/>
                <w:kern w:val="0"/>
                <w:szCs w:val="21"/>
                <w:lang w:bidi="ar"/>
                <w14:textFill>
                  <w14:solidFill>
                    <w14:schemeClr w14:val="tx1"/>
                  </w14:solidFill>
                </w14:textFill>
              </w:rPr>
            </w:pPr>
            <w:r>
              <w:rPr>
                <w:rFonts w:hint="eastAsia" w:ascii="Times New Roman" w:hAnsi="Times New Roman" w:cs="Times New Roman"/>
                <w:b w:val="0"/>
                <w:bCs w:val="0"/>
                <w:color w:val="000000" w:themeColor="text1"/>
                <w:kern w:val="0"/>
                <w:szCs w:val="21"/>
                <w:lang w:bidi="ar"/>
                <w14:textFill>
                  <w14:solidFill>
                    <w14:schemeClr w14:val="tx1"/>
                  </w14:solidFill>
                </w14:textFill>
              </w:rPr>
              <w:t>/</w:t>
            </w:r>
          </w:p>
        </w:tc>
        <w:tc>
          <w:tcPr>
            <w:tcW w:w="1909" w:type="dxa"/>
            <w:vAlign w:val="center"/>
          </w:tcPr>
          <w:p>
            <w:pPr>
              <w:spacing w:line="240" w:lineRule="auto"/>
              <w:jc w:val="center"/>
              <w:rPr>
                <w:rFonts w:eastAsia="等线"/>
                <w:color w:val="000000"/>
                <w:szCs w:val="21"/>
              </w:rPr>
            </w:pPr>
            <w:r>
              <w:rPr>
                <w:rFonts w:eastAsia="等线"/>
                <w:color w:val="000000"/>
                <w:szCs w:val="21"/>
              </w:rPr>
              <w:t>10.8</w:t>
            </w:r>
          </w:p>
        </w:tc>
        <w:tc>
          <w:tcPr>
            <w:tcW w:w="1559" w:type="dxa"/>
            <w:vAlign w:val="center"/>
          </w:tcPr>
          <w:p>
            <w:pPr>
              <w:pStyle w:val="26"/>
              <w:spacing w:line="240" w:lineRule="auto"/>
              <w:jc w:val="center"/>
              <w:rPr>
                <w:rFonts w:ascii="Times New Roman" w:hAnsi="Times New Roman" w:cs="Times New Roman"/>
                <w:b w:val="0"/>
                <w:bCs w:val="0"/>
                <w:color w:val="000000" w:themeColor="text1"/>
                <w:kern w:val="0"/>
                <w:szCs w:val="21"/>
                <w:lang w:bidi="ar"/>
                <w14:textFill>
                  <w14:solidFill>
                    <w14:schemeClr w14:val="tx1"/>
                  </w14:solidFill>
                </w14:textFill>
              </w:rPr>
            </w:pPr>
            <w:r>
              <w:rPr>
                <w:rFonts w:hint="eastAsia" w:ascii="Times New Roman" w:hAnsi="Times New Roman" w:cs="Times New Roman"/>
                <w:b w:val="0"/>
                <w:bCs w:val="0"/>
                <w:color w:val="000000" w:themeColor="text1"/>
                <w:kern w:val="0"/>
                <w:szCs w:val="21"/>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二氧化硫</w:t>
            </w:r>
          </w:p>
        </w:tc>
        <w:tc>
          <w:tcPr>
            <w:tcW w:w="1650" w:type="dxa"/>
            <w:vAlign w:val="center"/>
          </w:tcPr>
          <w:p>
            <w:pPr>
              <w:pStyle w:val="26"/>
              <w:spacing w:line="240" w:lineRule="auto"/>
              <w:jc w:val="center"/>
              <w:rPr>
                <w:rFonts w:ascii="Times New Roman" w:hAnsi="Times New Roman" w:cs="Times New Roman"/>
                <w:b w:val="0"/>
                <w:bCs w:val="0"/>
                <w:color w:val="000000" w:themeColor="text1"/>
                <w:kern w:val="0"/>
                <w:szCs w:val="21"/>
                <w:lang w:bidi="ar"/>
                <w14:textFill>
                  <w14:solidFill>
                    <w14:schemeClr w14:val="tx1"/>
                  </w14:solidFill>
                </w14:textFill>
              </w:rPr>
            </w:pPr>
            <w:r>
              <w:rPr>
                <w:rFonts w:hint="eastAsia" w:ascii="Times New Roman" w:hAnsi="Times New Roman" w:cs="Times New Roman"/>
                <w:b w:val="0"/>
                <w:bCs w:val="0"/>
                <w:color w:val="000000" w:themeColor="text1"/>
                <w:kern w:val="0"/>
                <w:szCs w:val="21"/>
                <w:lang w:bidi="ar"/>
                <w14:textFill>
                  <w14:solidFill>
                    <w14:schemeClr w14:val="tx1"/>
                  </w14:solidFill>
                </w14:textFill>
              </w:rPr>
              <w:t>/</w:t>
            </w:r>
          </w:p>
        </w:tc>
        <w:tc>
          <w:tcPr>
            <w:tcW w:w="1282" w:type="dxa"/>
            <w:vAlign w:val="center"/>
          </w:tcPr>
          <w:p>
            <w:pPr>
              <w:pStyle w:val="26"/>
              <w:spacing w:line="240" w:lineRule="auto"/>
              <w:jc w:val="center"/>
              <w:rPr>
                <w:rFonts w:ascii="Times New Roman" w:hAnsi="Times New Roman" w:cs="Times New Roman"/>
                <w:b w:val="0"/>
                <w:bCs w:val="0"/>
                <w:color w:val="000000" w:themeColor="text1"/>
                <w:kern w:val="0"/>
                <w:szCs w:val="21"/>
                <w:lang w:bidi="ar"/>
                <w14:textFill>
                  <w14:solidFill>
                    <w14:schemeClr w14:val="tx1"/>
                  </w14:solidFill>
                </w14:textFill>
              </w:rPr>
            </w:pPr>
            <w:r>
              <w:rPr>
                <w:rFonts w:hint="eastAsia" w:ascii="Times New Roman" w:hAnsi="Times New Roman" w:cs="Times New Roman"/>
                <w:b w:val="0"/>
                <w:bCs w:val="0"/>
                <w:color w:val="000000" w:themeColor="text1"/>
                <w:kern w:val="0"/>
                <w:szCs w:val="21"/>
                <w:lang w:bidi="ar"/>
                <w14:textFill>
                  <w14:solidFill>
                    <w14:schemeClr w14:val="tx1"/>
                  </w14:solidFill>
                </w14:textFill>
              </w:rPr>
              <w:t>/</w:t>
            </w:r>
          </w:p>
        </w:tc>
        <w:tc>
          <w:tcPr>
            <w:tcW w:w="1527" w:type="dxa"/>
            <w:vAlign w:val="center"/>
          </w:tcPr>
          <w:p>
            <w:pPr>
              <w:spacing w:line="240" w:lineRule="auto"/>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568" w:type="dxa"/>
            <w:vAlign w:val="center"/>
          </w:tcPr>
          <w:p>
            <w:pPr>
              <w:spacing w:line="240" w:lineRule="auto"/>
              <w:jc w:val="center"/>
              <w:rPr>
                <w:rFonts w:eastAsia="等线"/>
                <w:color w:val="000000"/>
                <w:szCs w:val="21"/>
              </w:rPr>
            </w:pPr>
            <w:r>
              <w:rPr>
                <w:rFonts w:eastAsia="等线"/>
                <w:color w:val="000000"/>
                <w:szCs w:val="21"/>
              </w:rPr>
              <w:t>5.308</w:t>
            </w:r>
          </w:p>
        </w:tc>
        <w:tc>
          <w:tcPr>
            <w:tcW w:w="1719" w:type="dxa"/>
            <w:vAlign w:val="center"/>
          </w:tcPr>
          <w:p>
            <w:pPr>
              <w:pStyle w:val="26"/>
              <w:spacing w:line="240" w:lineRule="auto"/>
              <w:jc w:val="center"/>
              <w:rPr>
                <w:rFonts w:ascii="Times New Roman" w:hAnsi="Times New Roman" w:cs="Times New Roman"/>
                <w:b w:val="0"/>
                <w:bCs w:val="0"/>
                <w:color w:val="000000" w:themeColor="text1"/>
                <w:kern w:val="0"/>
                <w:szCs w:val="21"/>
                <w:lang w:bidi="ar"/>
                <w14:textFill>
                  <w14:solidFill>
                    <w14:schemeClr w14:val="tx1"/>
                  </w14:solidFill>
                </w14:textFill>
              </w:rPr>
            </w:pPr>
            <w:r>
              <w:rPr>
                <w:rFonts w:hint="eastAsia" w:ascii="Times New Roman" w:hAnsi="Times New Roman" w:cs="Times New Roman"/>
                <w:b w:val="0"/>
                <w:bCs w:val="0"/>
                <w:color w:val="000000" w:themeColor="text1"/>
                <w:kern w:val="0"/>
                <w:szCs w:val="21"/>
                <w:lang w:bidi="ar"/>
                <w14:textFill>
                  <w14:solidFill>
                    <w14:schemeClr w14:val="tx1"/>
                  </w14:solidFill>
                </w14:textFill>
              </w:rPr>
              <w:t>/</w:t>
            </w:r>
          </w:p>
        </w:tc>
        <w:tc>
          <w:tcPr>
            <w:tcW w:w="1909" w:type="dxa"/>
            <w:vAlign w:val="center"/>
          </w:tcPr>
          <w:p>
            <w:pPr>
              <w:spacing w:line="240" w:lineRule="auto"/>
              <w:jc w:val="center"/>
              <w:rPr>
                <w:rFonts w:eastAsia="等线"/>
                <w:color w:val="000000"/>
                <w:szCs w:val="21"/>
              </w:rPr>
            </w:pPr>
            <w:r>
              <w:rPr>
                <w:rFonts w:eastAsia="等线"/>
                <w:color w:val="000000"/>
                <w:szCs w:val="21"/>
              </w:rPr>
              <w:t>5.308</w:t>
            </w:r>
          </w:p>
        </w:tc>
        <w:tc>
          <w:tcPr>
            <w:tcW w:w="1559" w:type="dxa"/>
            <w:vAlign w:val="center"/>
          </w:tcPr>
          <w:p>
            <w:pPr>
              <w:pStyle w:val="26"/>
              <w:spacing w:line="240" w:lineRule="auto"/>
              <w:jc w:val="center"/>
              <w:rPr>
                <w:rFonts w:ascii="Times New Roman" w:hAnsi="Times New Roman" w:cs="Times New Roman"/>
                <w:b w:val="0"/>
                <w:bCs w:val="0"/>
                <w:color w:val="000000" w:themeColor="text1"/>
                <w:kern w:val="0"/>
                <w:szCs w:val="21"/>
                <w:lang w:bidi="ar"/>
                <w14:textFill>
                  <w14:solidFill>
                    <w14:schemeClr w14:val="tx1"/>
                  </w14:solidFill>
                </w14:textFill>
              </w:rPr>
            </w:pPr>
            <w:r>
              <w:rPr>
                <w:rFonts w:hint="eastAsia" w:ascii="Times New Roman" w:hAnsi="Times New Roman" w:cs="Times New Roman"/>
                <w:b w:val="0"/>
                <w:bCs w:val="0"/>
                <w:color w:val="000000" w:themeColor="text1"/>
                <w:kern w:val="0"/>
                <w:szCs w:val="21"/>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硫化氢</w:t>
            </w:r>
          </w:p>
        </w:tc>
        <w:tc>
          <w:tcPr>
            <w:tcW w:w="1650"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282"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527" w:type="dxa"/>
            <w:vAlign w:val="center"/>
          </w:tcPr>
          <w:p>
            <w:pPr>
              <w:spacing w:line="240" w:lineRule="auto"/>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568" w:type="dxa"/>
            <w:vAlign w:val="center"/>
          </w:tcPr>
          <w:p>
            <w:pPr>
              <w:spacing w:line="240" w:lineRule="auto"/>
              <w:jc w:val="center"/>
              <w:rPr>
                <w:rFonts w:eastAsia="等线"/>
                <w:color w:val="000000"/>
                <w:szCs w:val="21"/>
              </w:rPr>
            </w:pPr>
            <w:r>
              <w:rPr>
                <w:rFonts w:hint="eastAsia" w:eastAsia="等线"/>
                <w:color w:val="000000"/>
                <w:szCs w:val="21"/>
              </w:rPr>
              <w:t>0</w:t>
            </w:r>
            <w:r>
              <w:rPr>
                <w:rFonts w:eastAsia="等线"/>
                <w:color w:val="000000"/>
                <w:szCs w:val="21"/>
              </w:rPr>
              <w:t>.285</w:t>
            </w:r>
          </w:p>
        </w:tc>
        <w:tc>
          <w:tcPr>
            <w:tcW w:w="1719"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909" w:type="dxa"/>
            <w:vAlign w:val="center"/>
          </w:tcPr>
          <w:p>
            <w:pPr>
              <w:spacing w:line="240" w:lineRule="auto"/>
              <w:jc w:val="center"/>
              <w:rPr>
                <w:rFonts w:eastAsia="等线"/>
                <w:color w:val="000000"/>
                <w:szCs w:val="21"/>
              </w:rPr>
            </w:pPr>
            <w:r>
              <w:rPr>
                <w:rFonts w:hint="eastAsia" w:eastAsia="等线"/>
                <w:color w:val="000000"/>
                <w:szCs w:val="21"/>
              </w:rPr>
              <w:t>0</w:t>
            </w:r>
            <w:r>
              <w:rPr>
                <w:rFonts w:eastAsia="等线"/>
                <w:color w:val="000000"/>
                <w:szCs w:val="21"/>
              </w:rPr>
              <w:t>.285</w:t>
            </w:r>
          </w:p>
        </w:tc>
        <w:tc>
          <w:tcPr>
            <w:tcW w:w="1559"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非甲烷总烃</w:t>
            </w:r>
          </w:p>
        </w:tc>
        <w:tc>
          <w:tcPr>
            <w:tcW w:w="1650"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282"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527" w:type="dxa"/>
            <w:vAlign w:val="center"/>
          </w:tcPr>
          <w:p>
            <w:pPr>
              <w:spacing w:line="240" w:lineRule="auto"/>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568" w:type="dxa"/>
            <w:vAlign w:val="center"/>
          </w:tcPr>
          <w:p>
            <w:pPr>
              <w:spacing w:line="240" w:lineRule="auto"/>
              <w:jc w:val="center"/>
              <w:rPr>
                <w:rFonts w:eastAsia="等线"/>
                <w:color w:val="000000"/>
                <w:szCs w:val="21"/>
              </w:rPr>
            </w:pPr>
            <w:r>
              <w:rPr>
                <w:rFonts w:hint="eastAsia" w:eastAsia="等线"/>
                <w:color w:val="000000"/>
                <w:szCs w:val="21"/>
              </w:rPr>
              <w:t>1</w:t>
            </w:r>
            <w:r>
              <w:rPr>
                <w:rFonts w:eastAsia="等线"/>
                <w:color w:val="000000"/>
                <w:szCs w:val="21"/>
              </w:rPr>
              <w:t>.447</w:t>
            </w:r>
          </w:p>
        </w:tc>
        <w:tc>
          <w:tcPr>
            <w:tcW w:w="1719"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909" w:type="dxa"/>
            <w:vAlign w:val="center"/>
          </w:tcPr>
          <w:p>
            <w:pPr>
              <w:spacing w:line="240" w:lineRule="auto"/>
              <w:jc w:val="center"/>
              <w:rPr>
                <w:rFonts w:eastAsia="等线"/>
                <w:color w:val="000000"/>
                <w:szCs w:val="21"/>
              </w:rPr>
            </w:pPr>
            <w:r>
              <w:rPr>
                <w:rFonts w:hint="eastAsia" w:eastAsia="等线"/>
                <w:color w:val="000000"/>
                <w:szCs w:val="21"/>
              </w:rPr>
              <w:t>1</w:t>
            </w:r>
            <w:r>
              <w:rPr>
                <w:rFonts w:eastAsia="等线"/>
                <w:color w:val="000000"/>
                <w:szCs w:val="21"/>
              </w:rPr>
              <w:t>.447</w:t>
            </w:r>
          </w:p>
        </w:tc>
        <w:tc>
          <w:tcPr>
            <w:tcW w:w="1559"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甲苯</w:t>
            </w:r>
          </w:p>
        </w:tc>
        <w:tc>
          <w:tcPr>
            <w:tcW w:w="1650"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282"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527" w:type="dxa"/>
            <w:vAlign w:val="center"/>
          </w:tcPr>
          <w:p>
            <w:pPr>
              <w:spacing w:line="240" w:lineRule="auto"/>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568" w:type="dxa"/>
            <w:vAlign w:val="center"/>
          </w:tcPr>
          <w:p>
            <w:pPr>
              <w:spacing w:line="240" w:lineRule="auto"/>
              <w:jc w:val="center"/>
              <w:rPr>
                <w:color w:val="000000"/>
                <w:spacing w:val="-10"/>
                <w:kern w:val="0"/>
                <w:szCs w:val="21"/>
              </w:rPr>
            </w:pPr>
            <w:r>
              <w:rPr>
                <w:rFonts w:hint="eastAsia"/>
                <w:color w:val="000000"/>
                <w:spacing w:val="-10"/>
                <w:kern w:val="0"/>
                <w:szCs w:val="21"/>
              </w:rPr>
              <w:t>0</w:t>
            </w:r>
            <w:r>
              <w:rPr>
                <w:color w:val="000000"/>
                <w:spacing w:val="-10"/>
                <w:kern w:val="0"/>
                <w:szCs w:val="21"/>
              </w:rPr>
              <w:t>.047</w:t>
            </w:r>
          </w:p>
        </w:tc>
        <w:tc>
          <w:tcPr>
            <w:tcW w:w="1719"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909" w:type="dxa"/>
            <w:vAlign w:val="center"/>
          </w:tcPr>
          <w:p>
            <w:pPr>
              <w:spacing w:line="240" w:lineRule="auto"/>
              <w:jc w:val="center"/>
              <w:rPr>
                <w:color w:val="000000"/>
                <w:spacing w:val="-10"/>
                <w:kern w:val="0"/>
                <w:szCs w:val="21"/>
              </w:rPr>
            </w:pPr>
            <w:r>
              <w:rPr>
                <w:rFonts w:hint="eastAsia"/>
                <w:color w:val="000000"/>
                <w:spacing w:val="-10"/>
                <w:kern w:val="0"/>
                <w:szCs w:val="21"/>
              </w:rPr>
              <w:t>0</w:t>
            </w:r>
            <w:r>
              <w:rPr>
                <w:color w:val="000000"/>
                <w:spacing w:val="-10"/>
                <w:kern w:val="0"/>
                <w:szCs w:val="21"/>
              </w:rPr>
              <w:t>.047</w:t>
            </w:r>
          </w:p>
        </w:tc>
        <w:tc>
          <w:tcPr>
            <w:tcW w:w="1559" w:type="dxa"/>
            <w:vAlign w:val="center"/>
          </w:tcPr>
          <w:p>
            <w:pPr>
              <w:spacing w:line="240" w:lineRule="auto"/>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二甲苯</w:t>
            </w:r>
          </w:p>
        </w:tc>
        <w:tc>
          <w:tcPr>
            <w:tcW w:w="1650"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282"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527" w:type="dxa"/>
            <w:vAlign w:val="center"/>
          </w:tcPr>
          <w:p>
            <w:pPr>
              <w:spacing w:line="240" w:lineRule="auto"/>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568" w:type="dxa"/>
            <w:vAlign w:val="center"/>
          </w:tcPr>
          <w:p>
            <w:pPr>
              <w:spacing w:line="240" w:lineRule="auto"/>
              <w:jc w:val="center"/>
              <w:rPr>
                <w:color w:val="000000"/>
                <w:spacing w:val="-10"/>
                <w:kern w:val="0"/>
                <w:szCs w:val="21"/>
              </w:rPr>
            </w:pPr>
            <w:r>
              <w:rPr>
                <w:rFonts w:hint="eastAsia"/>
                <w:color w:val="000000"/>
                <w:spacing w:val="-10"/>
                <w:kern w:val="0"/>
                <w:szCs w:val="21"/>
              </w:rPr>
              <w:t>0</w:t>
            </w:r>
            <w:r>
              <w:rPr>
                <w:color w:val="000000"/>
                <w:spacing w:val="-10"/>
                <w:kern w:val="0"/>
                <w:szCs w:val="21"/>
              </w:rPr>
              <w:t>.044</w:t>
            </w:r>
          </w:p>
        </w:tc>
        <w:tc>
          <w:tcPr>
            <w:tcW w:w="1719"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909" w:type="dxa"/>
            <w:vAlign w:val="center"/>
          </w:tcPr>
          <w:p>
            <w:pPr>
              <w:spacing w:line="240" w:lineRule="auto"/>
              <w:jc w:val="center"/>
              <w:rPr>
                <w:color w:val="000000"/>
                <w:spacing w:val="-10"/>
                <w:kern w:val="0"/>
                <w:szCs w:val="21"/>
              </w:rPr>
            </w:pPr>
            <w:r>
              <w:rPr>
                <w:rFonts w:hint="eastAsia"/>
                <w:color w:val="000000"/>
                <w:spacing w:val="-10"/>
                <w:kern w:val="0"/>
                <w:szCs w:val="21"/>
              </w:rPr>
              <w:t>0</w:t>
            </w:r>
            <w:r>
              <w:rPr>
                <w:color w:val="000000"/>
                <w:spacing w:val="-10"/>
                <w:kern w:val="0"/>
                <w:szCs w:val="21"/>
              </w:rPr>
              <w:t>.044</w:t>
            </w:r>
          </w:p>
        </w:tc>
        <w:tc>
          <w:tcPr>
            <w:tcW w:w="1559" w:type="dxa"/>
            <w:vAlign w:val="center"/>
          </w:tcPr>
          <w:p>
            <w:pPr>
              <w:spacing w:line="240" w:lineRule="auto"/>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二噁英类</w:t>
            </w:r>
          </w:p>
        </w:tc>
        <w:tc>
          <w:tcPr>
            <w:tcW w:w="1650"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282"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527" w:type="dxa"/>
            <w:vAlign w:val="center"/>
          </w:tcPr>
          <w:p>
            <w:pPr>
              <w:spacing w:line="240" w:lineRule="auto"/>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568" w:type="dxa"/>
            <w:vAlign w:val="center"/>
          </w:tcPr>
          <w:p>
            <w:pPr>
              <w:spacing w:line="240" w:lineRule="auto"/>
              <w:jc w:val="center"/>
              <w:rPr>
                <w:rFonts w:ascii="宋体" w:hAnsi="宋体" w:cs="宋体"/>
                <w:color w:val="000000"/>
                <w:szCs w:val="21"/>
              </w:rPr>
            </w:pPr>
            <w:r>
              <w:rPr>
                <w:rFonts w:hint="eastAsia"/>
                <w:color w:val="000000"/>
                <w:szCs w:val="21"/>
              </w:rPr>
              <w:t>0.0</w:t>
            </w:r>
            <w:r>
              <w:rPr>
                <w:color w:val="000000"/>
                <w:szCs w:val="21"/>
              </w:rPr>
              <w:t>06g</w:t>
            </w:r>
            <w:r>
              <w:rPr>
                <w:rFonts w:hint="eastAsia"/>
                <w:color w:val="000000"/>
                <w:szCs w:val="21"/>
              </w:rPr>
              <w:t>-</w:t>
            </w:r>
            <w:r>
              <w:rPr>
                <w:color w:val="000000"/>
                <w:szCs w:val="21"/>
              </w:rPr>
              <w:t>TEQ/a</w:t>
            </w:r>
          </w:p>
        </w:tc>
        <w:tc>
          <w:tcPr>
            <w:tcW w:w="1719"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909" w:type="dxa"/>
            <w:vAlign w:val="center"/>
          </w:tcPr>
          <w:p>
            <w:pPr>
              <w:spacing w:line="240" w:lineRule="auto"/>
              <w:jc w:val="center"/>
              <w:rPr>
                <w:rFonts w:ascii="宋体" w:hAnsi="宋体" w:cs="宋体"/>
                <w:color w:val="000000"/>
                <w:szCs w:val="21"/>
              </w:rPr>
            </w:pPr>
            <w:r>
              <w:rPr>
                <w:rFonts w:hint="eastAsia"/>
                <w:color w:val="000000"/>
                <w:szCs w:val="21"/>
              </w:rPr>
              <w:t>0.0</w:t>
            </w:r>
            <w:r>
              <w:rPr>
                <w:color w:val="000000"/>
                <w:szCs w:val="21"/>
              </w:rPr>
              <w:t>06g</w:t>
            </w:r>
            <w:r>
              <w:rPr>
                <w:rFonts w:hint="eastAsia"/>
                <w:color w:val="000000"/>
                <w:szCs w:val="21"/>
              </w:rPr>
              <w:t>-</w:t>
            </w:r>
            <w:r>
              <w:rPr>
                <w:color w:val="000000"/>
                <w:szCs w:val="21"/>
              </w:rPr>
              <w:t>TEQ/a</w:t>
            </w:r>
          </w:p>
        </w:tc>
        <w:tc>
          <w:tcPr>
            <w:tcW w:w="1559" w:type="dxa"/>
            <w:vAlign w:val="center"/>
          </w:tcPr>
          <w:p>
            <w:pPr>
              <w:spacing w:line="240" w:lineRule="auto"/>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臭气浓度</w:t>
            </w:r>
          </w:p>
        </w:tc>
        <w:tc>
          <w:tcPr>
            <w:tcW w:w="1650"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282"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527" w:type="dxa"/>
            <w:vAlign w:val="center"/>
          </w:tcPr>
          <w:p>
            <w:pPr>
              <w:spacing w:line="240" w:lineRule="auto"/>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568" w:type="dxa"/>
            <w:vAlign w:val="center"/>
          </w:tcPr>
          <w:p>
            <w:pPr>
              <w:spacing w:line="240" w:lineRule="auto"/>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少量</w:t>
            </w:r>
          </w:p>
        </w:tc>
        <w:tc>
          <w:tcPr>
            <w:tcW w:w="1719"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909" w:type="dxa"/>
            <w:vAlign w:val="center"/>
          </w:tcPr>
          <w:p>
            <w:pPr>
              <w:spacing w:line="240" w:lineRule="auto"/>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少量</w:t>
            </w:r>
          </w:p>
        </w:tc>
        <w:tc>
          <w:tcPr>
            <w:tcW w:w="1559" w:type="dxa"/>
            <w:vAlign w:val="center"/>
          </w:tcPr>
          <w:p>
            <w:pPr>
              <w:spacing w:line="240" w:lineRule="auto"/>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林格曼黑度</w:t>
            </w:r>
          </w:p>
        </w:tc>
        <w:tc>
          <w:tcPr>
            <w:tcW w:w="1650"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282"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14:textFill>
                  <w14:solidFill>
                    <w14:schemeClr w14:val="tx1"/>
                  </w14:solidFill>
                </w14:textFill>
              </w:rPr>
              <w:t>/</w:t>
            </w:r>
          </w:p>
        </w:tc>
        <w:tc>
          <w:tcPr>
            <w:tcW w:w="1527" w:type="dxa"/>
            <w:vAlign w:val="center"/>
          </w:tcPr>
          <w:p>
            <w:pPr>
              <w:spacing w:line="240" w:lineRule="auto"/>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568" w:type="dxa"/>
            <w:vAlign w:val="center"/>
          </w:tcPr>
          <w:p>
            <w:pPr>
              <w:spacing w:line="240" w:lineRule="auto"/>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≤1级</w:t>
            </w:r>
          </w:p>
        </w:tc>
        <w:tc>
          <w:tcPr>
            <w:tcW w:w="1719"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ascii="Times New Roman" w:hAnsi="Times New Roman" w:cs="Times New Roman"/>
                <w:b w:val="0"/>
                <w:bCs w:val="0"/>
                <w:color w:val="000000" w:themeColor="text1"/>
                <w:szCs w:val="21"/>
                <w14:textFill>
                  <w14:solidFill>
                    <w14:schemeClr w14:val="tx1"/>
                  </w14:solidFill>
                </w14:textFill>
              </w:rPr>
              <w:t>/</w:t>
            </w:r>
          </w:p>
        </w:tc>
        <w:tc>
          <w:tcPr>
            <w:tcW w:w="1909" w:type="dxa"/>
            <w:vAlign w:val="center"/>
          </w:tcPr>
          <w:p>
            <w:pPr>
              <w:spacing w:line="240" w:lineRule="auto"/>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≤1级</w:t>
            </w:r>
          </w:p>
        </w:tc>
        <w:tc>
          <w:tcPr>
            <w:tcW w:w="1559" w:type="dxa"/>
            <w:vAlign w:val="center"/>
          </w:tcPr>
          <w:p>
            <w:pPr>
              <w:pStyle w:val="26"/>
              <w:spacing w:line="240" w:lineRule="auto"/>
              <w:jc w:val="center"/>
              <w:rPr>
                <w:rFonts w:ascii="Times New Roman" w:hAnsi="Times New Roman" w:cs="Times New Roman"/>
                <w:b w:val="0"/>
                <w:bCs w:val="0"/>
                <w:color w:val="000000" w:themeColor="text1"/>
                <w:szCs w:val="21"/>
                <w14:textFill>
                  <w14:solidFill>
                    <w14:schemeClr w14:val="tx1"/>
                  </w14:solidFill>
                </w14:textFill>
              </w:rPr>
            </w:pPr>
            <w:r>
              <w:rPr>
                <w:rFonts w:ascii="Times New Roman" w:hAnsi="Times New Roman" w:cs="Times New Roman"/>
                <w:b w:val="0"/>
                <w:bCs w:val="0"/>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restart"/>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废水</w:t>
            </w:r>
          </w:p>
        </w:tc>
        <w:tc>
          <w:tcPr>
            <w:tcW w:w="1418"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color w:val="000000" w:themeColor="text1"/>
                <w:kern w:val="0"/>
                <w:szCs w:val="21"/>
                <w:lang w:bidi="ar"/>
                <w14:textFill>
                  <w14:solidFill>
                    <w14:schemeClr w14:val="tx1"/>
                  </w14:solidFill>
                </w14:textFill>
              </w:rPr>
              <w:t>COD</w:t>
            </w:r>
          </w:p>
        </w:tc>
        <w:tc>
          <w:tcPr>
            <w:tcW w:w="1650"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282"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527"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68" w:type="dxa"/>
            <w:vAlign w:val="center"/>
          </w:tcPr>
          <w:p>
            <w:pPr>
              <w:spacing w:line="240" w:lineRule="auto"/>
              <w:jc w:val="center"/>
              <w:rPr>
                <w:rFonts w:eastAsia="等线"/>
                <w:color w:val="000000"/>
                <w:szCs w:val="21"/>
              </w:rPr>
            </w:pPr>
            <w:r>
              <w:rPr>
                <w:rFonts w:eastAsia="等线"/>
                <w:color w:val="000000"/>
                <w:szCs w:val="21"/>
              </w:rPr>
              <w:t>0.465</w:t>
            </w:r>
          </w:p>
        </w:tc>
        <w:tc>
          <w:tcPr>
            <w:tcW w:w="1719"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909" w:type="dxa"/>
            <w:vAlign w:val="center"/>
          </w:tcPr>
          <w:p>
            <w:pPr>
              <w:spacing w:line="240" w:lineRule="auto"/>
              <w:jc w:val="center"/>
              <w:rPr>
                <w:rFonts w:eastAsia="等线"/>
                <w:color w:val="000000"/>
                <w:szCs w:val="21"/>
              </w:rPr>
            </w:pPr>
            <w:r>
              <w:rPr>
                <w:rFonts w:eastAsia="等线"/>
                <w:color w:val="000000"/>
                <w:szCs w:val="21"/>
              </w:rPr>
              <w:t>0.465</w:t>
            </w:r>
          </w:p>
        </w:tc>
        <w:tc>
          <w:tcPr>
            <w:tcW w:w="1559" w:type="dxa"/>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p</w:t>
            </w:r>
            <w:r>
              <w:rPr>
                <w:color w:val="000000" w:themeColor="text1"/>
                <w:kern w:val="0"/>
                <w:szCs w:val="21"/>
                <w:lang w:bidi="ar"/>
                <w14:textFill>
                  <w14:solidFill>
                    <w14:schemeClr w14:val="tx1"/>
                  </w14:solidFill>
                </w14:textFill>
              </w:rPr>
              <w:t>H</w:t>
            </w:r>
          </w:p>
        </w:tc>
        <w:tc>
          <w:tcPr>
            <w:tcW w:w="1650"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282"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527"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68" w:type="dxa"/>
            <w:vAlign w:val="center"/>
          </w:tcPr>
          <w:p>
            <w:pPr>
              <w:spacing w:line="240" w:lineRule="auto"/>
              <w:jc w:val="center"/>
              <w:rPr>
                <w:rFonts w:eastAsia="等线"/>
                <w:color w:val="000000"/>
                <w:szCs w:val="21"/>
              </w:rPr>
            </w:pPr>
            <w:r>
              <w:rPr>
                <w:rFonts w:eastAsia="等线"/>
                <w:color w:val="000000"/>
                <w:szCs w:val="21"/>
              </w:rPr>
              <w:t>/</w:t>
            </w:r>
          </w:p>
        </w:tc>
        <w:tc>
          <w:tcPr>
            <w:tcW w:w="1719"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909" w:type="dxa"/>
            <w:vAlign w:val="center"/>
          </w:tcPr>
          <w:p>
            <w:pPr>
              <w:spacing w:line="240" w:lineRule="auto"/>
              <w:jc w:val="center"/>
              <w:rPr>
                <w:rFonts w:eastAsia="等线"/>
                <w:color w:val="000000"/>
                <w:szCs w:val="21"/>
              </w:rPr>
            </w:pPr>
            <w:r>
              <w:rPr>
                <w:rFonts w:eastAsia="等线"/>
                <w:color w:val="000000"/>
                <w:szCs w:val="21"/>
              </w:rPr>
              <w:t>/</w:t>
            </w:r>
          </w:p>
        </w:tc>
        <w:tc>
          <w:tcPr>
            <w:tcW w:w="1559" w:type="dxa"/>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color w:val="000000" w:themeColor="text1"/>
                <w:kern w:val="0"/>
                <w:szCs w:val="21"/>
                <w:lang w:bidi="ar"/>
                <w14:textFill>
                  <w14:solidFill>
                    <w14:schemeClr w14:val="tx1"/>
                  </w14:solidFill>
                </w14:textFill>
              </w:rPr>
              <w:t>BOD</w:t>
            </w:r>
            <w:r>
              <w:rPr>
                <w:color w:val="000000" w:themeColor="text1"/>
                <w:kern w:val="0"/>
                <w:szCs w:val="21"/>
                <w:vertAlign w:val="subscript"/>
                <w:lang w:bidi="ar"/>
                <w14:textFill>
                  <w14:solidFill>
                    <w14:schemeClr w14:val="tx1"/>
                  </w14:solidFill>
                </w14:textFill>
              </w:rPr>
              <w:t>5</w:t>
            </w:r>
          </w:p>
        </w:tc>
        <w:tc>
          <w:tcPr>
            <w:tcW w:w="1650"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282"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527"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68" w:type="dxa"/>
            <w:vAlign w:val="center"/>
          </w:tcPr>
          <w:p>
            <w:pPr>
              <w:spacing w:line="240" w:lineRule="auto"/>
              <w:jc w:val="center"/>
              <w:rPr>
                <w:rFonts w:eastAsia="等线"/>
                <w:color w:val="000000"/>
                <w:szCs w:val="21"/>
              </w:rPr>
            </w:pPr>
            <w:r>
              <w:rPr>
                <w:rFonts w:eastAsia="等线"/>
                <w:color w:val="000000"/>
                <w:szCs w:val="21"/>
              </w:rPr>
              <w:t>0.093</w:t>
            </w:r>
          </w:p>
        </w:tc>
        <w:tc>
          <w:tcPr>
            <w:tcW w:w="1719"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909" w:type="dxa"/>
            <w:vAlign w:val="center"/>
          </w:tcPr>
          <w:p>
            <w:pPr>
              <w:spacing w:line="240" w:lineRule="auto"/>
              <w:jc w:val="center"/>
              <w:rPr>
                <w:rFonts w:eastAsia="等线"/>
                <w:color w:val="000000"/>
                <w:szCs w:val="21"/>
              </w:rPr>
            </w:pPr>
            <w:r>
              <w:rPr>
                <w:rFonts w:eastAsia="等线"/>
                <w:color w:val="000000"/>
                <w:szCs w:val="21"/>
              </w:rPr>
              <w:t>0.093</w:t>
            </w:r>
          </w:p>
        </w:tc>
        <w:tc>
          <w:tcPr>
            <w:tcW w:w="1559" w:type="dxa"/>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color w:val="000000" w:themeColor="text1"/>
                <w:kern w:val="0"/>
                <w:szCs w:val="21"/>
                <w:lang w:bidi="ar"/>
                <w14:textFill>
                  <w14:solidFill>
                    <w14:schemeClr w14:val="tx1"/>
                  </w14:solidFill>
                </w14:textFill>
              </w:rPr>
              <w:t>SS</w:t>
            </w:r>
          </w:p>
        </w:tc>
        <w:tc>
          <w:tcPr>
            <w:tcW w:w="1650"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282"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527"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68" w:type="dxa"/>
            <w:vAlign w:val="center"/>
          </w:tcPr>
          <w:p>
            <w:pPr>
              <w:spacing w:line="240" w:lineRule="auto"/>
              <w:jc w:val="center"/>
              <w:rPr>
                <w:rFonts w:eastAsia="等线"/>
                <w:color w:val="000000"/>
                <w:szCs w:val="21"/>
              </w:rPr>
            </w:pPr>
            <w:r>
              <w:rPr>
                <w:rFonts w:eastAsia="等线"/>
                <w:color w:val="000000"/>
                <w:szCs w:val="21"/>
              </w:rPr>
              <w:t>0.093</w:t>
            </w:r>
          </w:p>
        </w:tc>
        <w:tc>
          <w:tcPr>
            <w:tcW w:w="1719"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909" w:type="dxa"/>
            <w:vAlign w:val="center"/>
          </w:tcPr>
          <w:p>
            <w:pPr>
              <w:spacing w:line="240" w:lineRule="auto"/>
              <w:jc w:val="center"/>
              <w:rPr>
                <w:rFonts w:eastAsia="等线"/>
                <w:color w:val="000000"/>
                <w:szCs w:val="21"/>
              </w:rPr>
            </w:pPr>
            <w:r>
              <w:rPr>
                <w:rFonts w:eastAsia="等线"/>
                <w:color w:val="000000"/>
                <w:szCs w:val="21"/>
              </w:rPr>
              <w:t>0.093</w:t>
            </w:r>
          </w:p>
        </w:tc>
        <w:tc>
          <w:tcPr>
            <w:tcW w:w="1559" w:type="dxa"/>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spacing w:line="240" w:lineRule="auto"/>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NH</w:t>
            </w:r>
            <w:r>
              <w:rPr>
                <w:color w:val="000000" w:themeColor="text1"/>
                <w:kern w:val="0"/>
                <w:szCs w:val="21"/>
                <w:vertAlign w:val="subscript"/>
                <w:lang w:bidi="ar"/>
                <w14:textFill>
                  <w14:solidFill>
                    <w14:schemeClr w14:val="tx1"/>
                  </w14:solidFill>
                </w14:textFill>
              </w:rPr>
              <w:t>3</w:t>
            </w:r>
            <w:r>
              <w:rPr>
                <w:color w:val="000000" w:themeColor="text1"/>
                <w:kern w:val="0"/>
                <w:szCs w:val="21"/>
                <w:lang w:bidi="ar"/>
                <w14:textFill>
                  <w14:solidFill>
                    <w14:schemeClr w14:val="tx1"/>
                  </w14:solidFill>
                </w14:textFill>
              </w:rPr>
              <w:t>-N</w:t>
            </w:r>
          </w:p>
        </w:tc>
        <w:tc>
          <w:tcPr>
            <w:tcW w:w="1650"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282"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527"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68" w:type="dxa"/>
            <w:vAlign w:val="center"/>
          </w:tcPr>
          <w:p>
            <w:pPr>
              <w:spacing w:line="240" w:lineRule="auto"/>
              <w:jc w:val="center"/>
              <w:rPr>
                <w:rFonts w:eastAsia="等线"/>
                <w:color w:val="000000"/>
                <w:szCs w:val="21"/>
              </w:rPr>
            </w:pPr>
            <w:r>
              <w:rPr>
                <w:rFonts w:eastAsia="等线"/>
                <w:color w:val="000000"/>
                <w:szCs w:val="21"/>
              </w:rPr>
              <w:t xml:space="preserve">0.046 </w:t>
            </w:r>
          </w:p>
        </w:tc>
        <w:tc>
          <w:tcPr>
            <w:tcW w:w="1719"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909" w:type="dxa"/>
            <w:vAlign w:val="center"/>
          </w:tcPr>
          <w:p>
            <w:pPr>
              <w:spacing w:line="240" w:lineRule="auto"/>
              <w:jc w:val="center"/>
              <w:rPr>
                <w:rFonts w:eastAsia="等线"/>
                <w:color w:val="000000"/>
                <w:szCs w:val="21"/>
              </w:rPr>
            </w:pPr>
            <w:r>
              <w:rPr>
                <w:rFonts w:eastAsia="等线"/>
                <w:color w:val="000000"/>
                <w:szCs w:val="21"/>
              </w:rPr>
              <w:t xml:space="preserve">0.046 </w:t>
            </w:r>
          </w:p>
        </w:tc>
        <w:tc>
          <w:tcPr>
            <w:tcW w:w="1559" w:type="dxa"/>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动植物油</w:t>
            </w:r>
          </w:p>
        </w:tc>
        <w:tc>
          <w:tcPr>
            <w:tcW w:w="1650" w:type="dxa"/>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82" w:type="dxa"/>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27"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68" w:type="dxa"/>
            <w:vAlign w:val="center"/>
          </w:tcPr>
          <w:p>
            <w:pPr>
              <w:spacing w:line="240" w:lineRule="auto"/>
              <w:jc w:val="center"/>
              <w:rPr>
                <w:rFonts w:eastAsia="等线"/>
                <w:color w:val="000000"/>
                <w:szCs w:val="21"/>
              </w:rPr>
            </w:pPr>
            <w:r>
              <w:rPr>
                <w:rFonts w:eastAsia="等线"/>
                <w:color w:val="000000"/>
                <w:szCs w:val="21"/>
              </w:rPr>
              <w:t xml:space="preserve">0.009 </w:t>
            </w:r>
          </w:p>
        </w:tc>
        <w:tc>
          <w:tcPr>
            <w:tcW w:w="1719"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909" w:type="dxa"/>
            <w:vAlign w:val="center"/>
          </w:tcPr>
          <w:p>
            <w:pPr>
              <w:spacing w:line="240" w:lineRule="auto"/>
              <w:jc w:val="center"/>
              <w:rPr>
                <w:rFonts w:eastAsia="等线"/>
                <w:color w:val="000000"/>
                <w:szCs w:val="21"/>
              </w:rPr>
            </w:pPr>
            <w:r>
              <w:rPr>
                <w:rFonts w:eastAsia="等线"/>
                <w:color w:val="000000"/>
                <w:szCs w:val="21"/>
              </w:rPr>
              <w:t xml:space="preserve">0.009 </w:t>
            </w:r>
          </w:p>
        </w:tc>
        <w:tc>
          <w:tcPr>
            <w:tcW w:w="1559" w:type="dxa"/>
            <w:vAlign w:val="center"/>
          </w:tcPr>
          <w:p>
            <w:pPr>
              <w:spacing w:line="240" w:lineRule="auto"/>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总磷</w:t>
            </w:r>
          </w:p>
        </w:tc>
        <w:tc>
          <w:tcPr>
            <w:tcW w:w="1650"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282"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527"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68" w:type="dxa"/>
            <w:vAlign w:val="center"/>
          </w:tcPr>
          <w:p>
            <w:pPr>
              <w:spacing w:line="240" w:lineRule="auto"/>
              <w:jc w:val="center"/>
              <w:rPr>
                <w:rFonts w:eastAsia="等线"/>
                <w:color w:val="000000"/>
                <w:szCs w:val="21"/>
              </w:rPr>
            </w:pPr>
            <w:r>
              <w:rPr>
                <w:rFonts w:eastAsia="等线"/>
                <w:color w:val="000000"/>
                <w:szCs w:val="21"/>
              </w:rPr>
              <w:t xml:space="preserve">0.004 </w:t>
            </w:r>
          </w:p>
        </w:tc>
        <w:tc>
          <w:tcPr>
            <w:tcW w:w="1719"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909" w:type="dxa"/>
            <w:vAlign w:val="center"/>
          </w:tcPr>
          <w:p>
            <w:pPr>
              <w:spacing w:line="240" w:lineRule="auto"/>
              <w:jc w:val="center"/>
              <w:rPr>
                <w:rFonts w:eastAsia="等线"/>
                <w:color w:val="000000"/>
                <w:szCs w:val="21"/>
              </w:rPr>
            </w:pPr>
            <w:r>
              <w:rPr>
                <w:rFonts w:eastAsia="等线"/>
                <w:color w:val="000000"/>
                <w:szCs w:val="21"/>
              </w:rPr>
              <w:t xml:space="preserve">0.004 </w:t>
            </w:r>
          </w:p>
        </w:tc>
        <w:tc>
          <w:tcPr>
            <w:tcW w:w="1559" w:type="dxa"/>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石油类</w:t>
            </w:r>
          </w:p>
        </w:tc>
        <w:tc>
          <w:tcPr>
            <w:tcW w:w="1650"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282" w:type="dxa"/>
            <w:vAlign w:val="center"/>
          </w:tcPr>
          <w:p>
            <w:pPr>
              <w:spacing w:line="240" w:lineRule="auto"/>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527"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68" w:type="dxa"/>
            <w:vAlign w:val="center"/>
          </w:tcPr>
          <w:p>
            <w:pPr>
              <w:spacing w:line="240" w:lineRule="auto"/>
              <w:jc w:val="center"/>
              <w:rPr>
                <w:rFonts w:eastAsia="等线"/>
                <w:color w:val="000000"/>
                <w:szCs w:val="21"/>
              </w:rPr>
            </w:pPr>
            <w:r>
              <w:rPr>
                <w:rFonts w:eastAsia="等线"/>
                <w:color w:val="000000"/>
                <w:szCs w:val="21"/>
              </w:rPr>
              <w:t xml:space="preserve">0.009 </w:t>
            </w:r>
          </w:p>
        </w:tc>
        <w:tc>
          <w:tcPr>
            <w:tcW w:w="1719"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909" w:type="dxa"/>
            <w:vAlign w:val="center"/>
          </w:tcPr>
          <w:p>
            <w:pPr>
              <w:spacing w:line="240" w:lineRule="auto"/>
              <w:jc w:val="center"/>
              <w:rPr>
                <w:rFonts w:eastAsia="等线"/>
                <w:color w:val="000000"/>
                <w:szCs w:val="21"/>
              </w:rPr>
            </w:pPr>
            <w:r>
              <w:rPr>
                <w:rFonts w:eastAsia="等线"/>
                <w:color w:val="000000"/>
                <w:szCs w:val="21"/>
              </w:rPr>
              <w:t xml:space="preserve">0.009 </w:t>
            </w:r>
          </w:p>
        </w:tc>
        <w:tc>
          <w:tcPr>
            <w:tcW w:w="1559" w:type="dxa"/>
            <w:vAlign w:val="center"/>
          </w:tcPr>
          <w:p>
            <w:pPr>
              <w:spacing w:line="240" w:lineRule="auto"/>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restart"/>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一般工业</w:t>
            </w:r>
          </w:p>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固体废物</w:t>
            </w:r>
          </w:p>
        </w:tc>
        <w:tc>
          <w:tcPr>
            <w:tcW w:w="1418" w:type="dxa"/>
            <w:vAlign w:val="center"/>
          </w:tcPr>
          <w:p>
            <w:pPr>
              <w:pStyle w:val="242"/>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裂解废气除尘灰</w:t>
            </w:r>
          </w:p>
        </w:tc>
        <w:tc>
          <w:tcPr>
            <w:tcW w:w="1650" w:type="dxa"/>
            <w:vAlign w:val="center"/>
          </w:tcPr>
          <w:p>
            <w:pPr>
              <w:pStyle w:val="241"/>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82" w:type="dxa"/>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w:t>
            </w:r>
          </w:p>
        </w:tc>
        <w:tc>
          <w:tcPr>
            <w:tcW w:w="1527"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68"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5.76</w:t>
            </w:r>
          </w:p>
        </w:tc>
        <w:tc>
          <w:tcPr>
            <w:tcW w:w="1719"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909"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5.76</w:t>
            </w:r>
          </w:p>
        </w:tc>
        <w:tc>
          <w:tcPr>
            <w:tcW w:w="1559"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pStyle w:val="242"/>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生化池污泥</w:t>
            </w:r>
          </w:p>
        </w:tc>
        <w:tc>
          <w:tcPr>
            <w:tcW w:w="1650" w:type="dxa"/>
            <w:vAlign w:val="center"/>
          </w:tcPr>
          <w:p>
            <w:pPr>
              <w:pStyle w:val="241"/>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82" w:type="dxa"/>
            <w:vAlign w:val="center"/>
          </w:tcPr>
          <w:p>
            <w:pPr>
              <w:pStyle w:val="78"/>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w:t>
            </w:r>
          </w:p>
        </w:tc>
        <w:tc>
          <w:tcPr>
            <w:tcW w:w="1527"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68"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20.56</w:t>
            </w:r>
          </w:p>
        </w:tc>
        <w:tc>
          <w:tcPr>
            <w:tcW w:w="1719"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909" w:type="dxa"/>
            <w:vAlign w:val="center"/>
          </w:tcPr>
          <w:p>
            <w:pPr>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20.56</w:t>
            </w:r>
          </w:p>
        </w:tc>
        <w:tc>
          <w:tcPr>
            <w:tcW w:w="1559"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restart"/>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危险废物</w:t>
            </w:r>
          </w:p>
        </w:tc>
        <w:tc>
          <w:tcPr>
            <w:tcW w:w="1418" w:type="dxa"/>
            <w:vAlign w:val="center"/>
          </w:tcPr>
          <w:p>
            <w:pPr>
              <w:pStyle w:val="102"/>
              <w:spacing w:line="240" w:lineRule="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含油废渣</w:t>
            </w:r>
          </w:p>
        </w:tc>
        <w:tc>
          <w:tcPr>
            <w:tcW w:w="1650" w:type="dxa"/>
            <w:vAlign w:val="center"/>
          </w:tcPr>
          <w:p>
            <w:pPr>
              <w:spacing w:line="240" w:lineRule="auto"/>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282" w:type="dxa"/>
            <w:vAlign w:val="center"/>
          </w:tcPr>
          <w:p>
            <w:pPr>
              <w:spacing w:line="240" w:lineRule="auto"/>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527"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68" w:type="dxa"/>
            <w:vAlign w:val="center"/>
          </w:tcPr>
          <w:p>
            <w:pPr>
              <w:pStyle w:val="102"/>
              <w:snapToGrid/>
              <w:spacing w:line="240" w:lineRule="auto"/>
              <w:rPr>
                <w:rFonts w:ascii="Times New Roman" w:hAnsi="Times New Roman"/>
                <w:color w:val="000000" w:themeColor="text1"/>
                <w:kern w:val="0"/>
                <w:sz w:val="21"/>
                <w:lang w:bidi="ar"/>
                <w14:textFill>
                  <w14:solidFill>
                    <w14:schemeClr w14:val="tx1"/>
                  </w14:solidFill>
                </w14:textFill>
              </w:rPr>
            </w:pPr>
            <w:r>
              <w:rPr>
                <w:rFonts w:ascii="Times New Roman" w:hAnsi="Times New Roman"/>
                <w:color w:val="000000" w:themeColor="text1"/>
                <w:kern w:val="0"/>
                <w:sz w:val="21"/>
                <w:lang w:bidi="ar"/>
                <w14:textFill>
                  <w14:solidFill>
                    <w14:schemeClr w14:val="tx1"/>
                  </w14:solidFill>
                </w14:textFill>
              </w:rPr>
              <w:t>0.163</w:t>
            </w:r>
          </w:p>
        </w:tc>
        <w:tc>
          <w:tcPr>
            <w:tcW w:w="1719"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909" w:type="dxa"/>
            <w:vAlign w:val="center"/>
          </w:tcPr>
          <w:p>
            <w:pPr>
              <w:pStyle w:val="102"/>
              <w:snapToGrid/>
              <w:spacing w:line="240" w:lineRule="auto"/>
              <w:rPr>
                <w:rFonts w:ascii="Times New Roman" w:hAnsi="Times New Roman"/>
                <w:color w:val="000000" w:themeColor="text1"/>
                <w:kern w:val="0"/>
                <w:sz w:val="21"/>
                <w:lang w:bidi="ar"/>
                <w14:textFill>
                  <w14:solidFill>
                    <w14:schemeClr w14:val="tx1"/>
                  </w14:solidFill>
                </w14:textFill>
              </w:rPr>
            </w:pPr>
            <w:r>
              <w:rPr>
                <w:rFonts w:ascii="Times New Roman" w:hAnsi="Times New Roman"/>
                <w:color w:val="000000" w:themeColor="text1"/>
                <w:kern w:val="0"/>
                <w:sz w:val="21"/>
                <w:lang w:bidi="ar"/>
                <w14:textFill>
                  <w14:solidFill>
                    <w14:schemeClr w14:val="tx1"/>
                  </w14:solidFill>
                </w14:textFill>
              </w:rPr>
              <w:t>0.163</w:t>
            </w:r>
          </w:p>
        </w:tc>
        <w:tc>
          <w:tcPr>
            <w:tcW w:w="1559" w:type="dxa"/>
            <w:vAlign w:val="center"/>
          </w:tcPr>
          <w:p>
            <w:pPr>
              <w:pStyle w:val="102"/>
              <w:snapToGrid/>
              <w:spacing w:line="240" w:lineRule="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pStyle w:val="102"/>
              <w:spacing w:line="240" w:lineRule="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清罐油泥</w:t>
            </w:r>
          </w:p>
        </w:tc>
        <w:tc>
          <w:tcPr>
            <w:tcW w:w="1650" w:type="dxa"/>
            <w:vAlign w:val="center"/>
          </w:tcPr>
          <w:p>
            <w:pPr>
              <w:spacing w:line="240" w:lineRule="auto"/>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282" w:type="dxa"/>
            <w:vAlign w:val="center"/>
          </w:tcPr>
          <w:p>
            <w:pPr>
              <w:spacing w:line="240" w:lineRule="auto"/>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527"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68" w:type="dxa"/>
            <w:vAlign w:val="center"/>
          </w:tcPr>
          <w:p>
            <w:pPr>
              <w:pStyle w:val="102"/>
              <w:snapToGrid/>
              <w:spacing w:line="240" w:lineRule="auto"/>
              <w:rPr>
                <w:rFonts w:ascii="Times New Roman" w:hAnsi="Times New Roman"/>
                <w:color w:val="000000" w:themeColor="text1"/>
                <w:kern w:val="0"/>
                <w:sz w:val="21"/>
                <w:lang w:bidi="ar"/>
                <w14:textFill>
                  <w14:solidFill>
                    <w14:schemeClr w14:val="tx1"/>
                  </w14:solidFill>
                </w14:textFill>
              </w:rPr>
            </w:pPr>
            <w:r>
              <w:rPr>
                <w:rFonts w:hint="eastAsia" w:ascii="Times New Roman" w:hAnsi="Times New Roman"/>
                <w:color w:val="000000" w:themeColor="text1"/>
                <w:kern w:val="0"/>
                <w:sz w:val="21"/>
                <w:lang w:bidi="ar"/>
                <w14:textFill>
                  <w14:solidFill>
                    <w14:schemeClr w14:val="tx1"/>
                  </w14:solidFill>
                </w14:textFill>
              </w:rPr>
              <w:t>1</w:t>
            </w:r>
            <w:r>
              <w:rPr>
                <w:rFonts w:ascii="Times New Roman" w:hAnsi="Times New Roman"/>
                <w:color w:val="000000" w:themeColor="text1"/>
                <w:kern w:val="0"/>
                <w:sz w:val="21"/>
                <w:lang w:bidi="ar"/>
                <w14:textFill>
                  <w14:solidFill>
                    <w14:schemeClr w14:val="tx1"/>
                  </w14:solidFill>
                </w14:textFill>
              </w:rPr>
              <w:t>0</w:t>
            </w:r>
          </w:p>
        </w:tc>
        <w:tc>
          <w:tcPr>
            <w:tcW w:w="1719"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909" w:type="dxa"/>
            <w:vAlign w:val="center"/>
          </w:tcPr>
          <w:p>
            <w:pPr>
              <w:pStyle w:val="102"/>
              <w:snapToGrid/>
              <w:spacing w:line="240" w:lineRule="auto"/>
              <w:rPr>
                <w:rFonts w:ascii="Times New Roman" w:hAnsi="Times New Roman"/>
                <w:color w:val="000000" w:themeColor="text1"/>
                <w:kern w:val="0"/>
                <w:sz w:val="21"/>
                <w:lang w:bidi="ar"/>
                <w14:textFill>
                  <w14:solidFill>
                    <w14:schemeClr w14:val="tx1"/>
                  </w14:solidFill>
                </w14:textFill>
              </w:rPr>
            </w:pPr>
            <w:r>
              <w:rPr>
                <w:rFonts w:hint="eastAsia" w:ascii="Times New Roman" w:hAnsi="Times New Roman"/>
                <w:color w:val="000000" w:themeColor="text1"/>
                <w:kern w:val="0"/>
                <w:sz w:val="21"/>
                <w:lang w:bidi="ar"/>
                <w14:textFill>
                  <w14:solidFill>
                    <w14:schemeClr w14:val="tx1"/>
                  </w14:solidFill>
                </w14:textFill>
              </w:rPr>
              <w:t>1</w:t>
            </w:r>
            <w:r>
              <w:rPr>
                <w:rFonts w:ascii="Times New Roman" w:hAnsi="Times New Roman"/>
                <w:color w:val="000000" w:themeColor="text1"/>
                <w:kern w:val="0"/>
                <w:sz w:val="21"/>
                <w:lang w:bidi="ar"/>
                <w14:textFill>
                  <w14:solidFill>
                    <w14:schemeClr w14:val="tx1"/>
                  </w14:solidFill>
                </w14:textFill>
              </w:rPr>
              <w:t>0</w:t>
            </w:r>
          </w:p>
        </w:tc>
        <w:tc>
          <w:tcPr>
            <w:tcW w:w="1559" w:type="dxa"/>
          </w:tcPr>
          <w:p>
            <w:pPr>
              <w:pStyle w:val="102"/>
              <w:snapToGrid/>
              <w:spacing w:line="240" w:lineRule="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tcPr>
          <w:p>
            <w:pPr>
              <w:pStyle w:val="102"/>
              <w:spacing w:line="240" w:lineRule="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废含油棉纱手套</w:t>
            </w:r>
          </w:p>
        </w:tc>
        <w:tc>
          <w:tcPr>
            <w:tcW w:w="1650" w:type="dxa"/>
            <w:vAlign w:val="center"/>
          </w:tcPr>
          <w:p>
            <w:pPr>
              <w:spacing w:line="240" w:lineRule="auto"/>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282" w:type="dxa"/>
            <w:vAlign w:val="center"/>
          </w:tcPr>
          <w:p>
            <w:pPr>
              <w:spacing w:line="240" w:lineRule="auto"/>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w:t>
            </w:r>
          </w:p>
        </w:tc>
        <w:tc>
          <w:tcPr>
            <w:tcW w:w="1527"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68" w:type="dxa"/>
            <w:vAlign w:val="center"/>
          </w:tcPr>
          <w:p>
            <w:pPr>
              <w:pStyle w:val="102"/>
              <w:snapToGrid/>
              <w:spacing w:line="240" w:lineRule="auto"/>
              <w:rPr>
                <w:rFonts w:ascii="Times New Roman" w:hAnsi="Times New Roman"/>
                <w:color w:val="000000" w:themeColor="text1"/>
                <w:kern w:val="0"/>
                <w:sz w:val="21"/>
                <w:lang w:bidi="ar"/>
                <w14:textFill>
                  <w14:solidFill>
                    <w14:schemeClr w14:val="tx1"/>
                  </w14:solidFill>
                </w14:textFill>
              </w:rPr>
            </w:pPr>
            <w:r>
              <w:rPr>
                <w:rFonts w:hint="eastAsia" w:ascii="Times New Roman" w:hAnsi="Times New Roman"/>
                <w:color w:val="000000" w:themeColor="text1"/>
                <w:kern w:val="0"/>
                <w:sz w:val="21"/>
                <w:lang w:bidi="ar"/>
                <w14:textFill>
                  <w14:solidFill>
                    <w14:schemeClr w14:val="tx1"/>
                  </w14:solidFill>
                </w14:textFill>
              </w:rPr>
              <w:t>0</w:t>
            </w:r>
            <w:r>
              <w:rPr>
                <w:rFonts w:ascii="Times New Roman" w:hAnsi="Times New Roman"/>
                <w:color w:val="000000" w:themeColor="text1"/>
                <w:kern w:val="0"/>
                <w:sz w:val="21"/>
                <w:lang w:bidi="ar"/>
                <w14:textFill>
                  <w14:solidFill>
                    <w14:schemeClr w14:val="tx1"/>
                  </w14:solidFill>
                </w14:textFill>
              </w:rPr>
              <w:t>.5</w:t>
            </w:r>
          </w:p>
        </w:tc>
        <w:tc>
          <w:tcPr>
            <w:tcW w:w="1719"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909" w:type="dxa"/>
            <w:vAlign w:val="center"/>
          </w:tcPr>
          <w:p>
            <w:pPr>
              <w:pStyle w:val="102"/>
              <w:snapToGrid/>
              <w:spacing w:line="240" w:lineRule="auto"/>
              <w:rPr>
                <w:rFonts w:ascii="Times New Roman" w:hAnsi="Times New Roman"/>
                <w:color w:val="000000" w:themeColor="text1"/>
                <w:kern w:val="0"/>
                <w:sz w:val="21"/>
                <w:lang w:bidi="ar"/>
                <w14:textFill>
                  <w14:solidFill>
                    <w14:schemeClr w14:val="tx1"/>
                  </w14:solidFill>
                </w14:textFill>
              </w:rPr>
            </w:pPr>
            <w:r>
              <w:rPr>
                <w:rFonts w:hint="eastAsia" w:ascii="Times New Roman" w:hAnsi="Times New Roman"/>
                <w:color w:val="000000" w:themeColor="text1"/>
                <w:kern w:val="0"/>
                <w:sz w:val="21"/>
                <w:lang w:bidi="ar"/>
                <w14:textFill>
                  <w14:solidFill>
                    <w14:schemeClr w14:val="tx1"/>
                  </w14:solidFill>
                </w14:textFill>
              </w:rPr>
              <w:t>0</w:t>
            </w:r>
            <w:r>
              <w:rPr>
                <w:rFonts w:ascii="Times New Roman" w:hAnsi="Times New Roman"/>
                <w:color w:val="000000" w:themeColor="text1"/>
                <w:kern w:val="0"/>
                <w:sz w:val="21"/>
                <w:lang w:bidi="ar"/>
                <w14:textFill>
                  <w14:solidFill>
                    <w14:schemeClr w14:val="tx1"/>
                  </w14:solidFill>
                </w14:textFill>
              </w:rPr>
              <w:t>.5</w:t>
            </w:r>
          </w:p>
        </w:tc>
        <w:tc>
          <w:tcPr>
            <w:tcW w:w="1559" w:type="dxa"/>
            <w:vAlign w:val="center"/>
          </w:tcPr>
          <w:p>
            <w:pPr>
              <w:pStyle w:val="102"/>
              <w:snapToGrid/>
              <w:spacing w:line="240" w:lineRule="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废油桶</w:t>
            </w:r>
          </w:p>
        </w:tc>
        <w:tc>
          <w:tcPr>
            <w:tcW w:w="1650"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82"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27"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68"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w:t>
            </w:r>
            <w:r>
              <w:rPr>
                <w:rFonts w:ascii="Times New Roman" w:hAnsi="Times New Roman"/>
                <w:color w:val="000000" w:themeColor="text1"/>
                <w:kern w:val="0"/>
                <w:sz w:val="21"/>
                <w14:textFill>
                  <w14:solidFill>
                    <w14:schemeClr w14:val="tx1"/>
                  </w14:solidFill>
                </w14:textFill>
              </w:rPr>
              <w:t>.01</w:t>
            </w:r>
          </w:p>
        </w:tc>
        <w:tc>
          <w:tcPr>
            <w:tcW w:w="1719"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909"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w:t>
            </w:r>
            <w:r>
              <w:rPr>
                <w:rFonts w:ascii="Times New Roman" w:hAnsi="Times New Roman"/>
                <w:color w:val="000000" w:themeColor="text1"/>
                <w:kern w:val="0"/>
                <w:sz w:val="21"/>
                <w14:textFill>
                  <w14:solidFill>
                    <w14:schemeClr w14:val="tx1"/>
                  </w14:solidFill>
                </w14:textFill>
              </w:rPr>
              <w:t>.01</w:t>
            </w:r>
          </w:p>
        </w:tc>
        <w:tc>
          <w:tcPr>
            <w:tcW w:w="1559"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废催化剂</w:t>
            </w:r>
          </w:p>
        </w:tc>
        <w:tc>
          <w:tcPr>
            <w:tcW w:w="1650"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82"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27"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68"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w:t>
            </w:r>
            <w:r>
              <w:rPr>
                <w:rFonts w:ascii="Times New Roman" w:hAnsi="Times New Roman"/>
                <w:color w:val="000000" w:themeColor="text1"/>
                <w:kern w:val="0"/>
                <w:sz w:val="21"/>
                <w14:textFill>
                  <w14:solidFill>
                    <w14:schemeClr w14:val="tx1"/>
                  </w14:solidFill>
                </w14:textFill>
              </w:rPr>
              <w:t>.01</w:t>
            </w:r>
          </w:p>
        </w:tc>
        <w:tc>
          <w:tcPr>
            <w:tcW w:w="1719"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909"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0</w:t>
            </w:r>
            <w:r>
              <w:rPr>
                <w:rFonts w:ascii="Times New Roman" w:hAnsi="Times New Roman"/>
                <w:color w:val="000000" w:themeColor="text1"/>
                <w:kern w:val="0"/>
                <w:sz w:val="21"/>
                <w14:textFill>
                  <w14:solidFill>
                    <w14:schemeClr w14:val="tx1"/>
                  </w14:solidFill>
                </w14:textFill>
              </w:rPr>
              <w:t>.01</w:t>
            </w:r>
          </w:p>
        </w:tc>
        <w:tc>
          <w:tcPr>
            <w:tcW w:w="1559"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56" w:type="dxa"/>
            <w:vMerge w:val="continue"/>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8" w:type="dxa"/>
            <w:vAlign w:val="center"/>
          </w:tcPr>
          <w:p>
            <w:pPr>
              <w:pStyle w:val="102"/>
              <w:spacing w:line="240" w:lineRule="auto"/>
              <w:rPr>
                <w:rFonts w:ascii="Times New Roman" w:hAnsi="Times New Roman"/>
                <w:color w:val="000000" w:themeColor="text1"/>
                <w:sz w:val="21"/>
                <w14:textFill>
                  <w14:solidFill>
                    <w14:schemeClr w14:val="tx1"/>
                  </w14:solidFill>
                </w14:textFill>
              </w:rPr>
            </w:pPr>
            <w:r>
              <w:rPr>
                <w:rFonts w:hint="eastAsia" w:ascii="Times New Roman" w:hAnsi="Times New Roman"/>
                <w:color w:val="000000" w:themeColor="text1"/>
                <w:sz w:val="21"/>
                <w14:textFill>
                  <w14:solidFill>
                    <w14:schemeClr w14:val="tx1"/>
                  </w14:solidFill>
                </w14:textFill>
              </w:rPr>
              <w:t>废活性炭</w:t>
            </w:r>
          </w:p>
        </w:tc>
        <w:tc>
          <w:tcPr>
            <w:tcW w:w="1650"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82"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27"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68"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ascii="Times New Roman" w:hAnsi="Times New Roman"/>
                <w:color w:val="000000" w:themeColor="text1"/>
                <w:kern w:val="0"/>
                <w:sz w:val="21"/>
                <w14:textFill>
                  <w14:solidFill>
                    <w14:schemeClr w14:val="tx1"/>
                  </w14:solidFill>
                </w14:textFill>
              </w:rPr>
              <w:t>20.341</w:t>
            </w:r>
          </w:p>
        </w:tc>
        <w:tc>
          <w:tcPr>
            <w:tcW w:w="1719" w:type="dxa"/>
            <w:vAlign w:val="center"/>
          </w:tcPr>
          <w:p>
            <w:pPr>
              <w:pStyle w:val="7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909"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ascii="Times New Roman" w:hAnsi="Times New Roman"/>
                <w:color w:val="000000" w:themeColor="text1"/>
                <w:kern w:val="0"/>
                <w:sz w:val="21"/>
                <w14:textFill>
                  <w14:solidFill>
                    <w14:schemeClr w14:val="tx1"/>
                  </w14:solidFill>
                </w14:textFill>
              </w:rPr>
              <w:t>20.341</w:t>
            </w:r>
          </w:p>
        </w:tc>
        <w:tc>
          <w:tcPr>
            <w:tcW w:w="1559" w:type="dxa"/>
            <w:vAlign w:val="center"/>
          </w:tcPr>
          <w:p>
            <w:pPr>
              <w:pStyle w:val="102"/>
              <w:snapToGrid/>
              <w:spacing w:line="240" w:lineRule="auto"/>
              <w:rPr>
                <w:rFonts w:ascii="Times New Roman" w:hAnsi="Times New Roman"/>
                <w:color w:val="000000" w:themeColor="text1"/>
                <w:kern w:val="0"/>
                <w:sz w:val="21"/>
                <w14:textFill>
                  <w14:solidFill>
                    <w14:schemeClr w14:val="tx1"/>
                  </w14:solidFill>
                </w14:textFill>
              </w:rPr>
            </w:pPr>
            <w:r>
              <w:rPr>
                <w:rFonts w:hint="eastAsia" w:ascii="Times New Roman" w:hAnsi="Times New Roman"/>
                <w:color w:val="000000" w:themeColor="text1"/>
                <w:kern w:val="0"/>
                <w:sz w:val="21"/>
                <w14:textFill>
                  <w14:solidFill>
                    <w14:schemeClr w14:val="tx1"/>
                  </w14:solidFill>
                </w14:textFill>
              </w:rPr>
              <w:t>/</w:t>
            </w:r>
          </w:p>
        </w:tc>
      </w:tr>
    </w:tbl>
    <w:p>
      <w:pPr>
        <w:ind w:firstLine="420"/>
        <w:rPr>
          <w:color w:val="000000" w:themeColor="text1"/>
          <w14:textFill>
            <w14:solidFill>
              <w14:schemeClr w14:val="tx1"/>
            </w14:solidFill>
          </w14:textFill>
        </w:rPr>
      </w:pPr>
      <w:bookmarkStart w:id="17" w:name="_Toc25680"/>
      <w:r>
        <w:rPr>
          <w:color w:val="000000" w:themeColor="text1"/>
          <w14:textFill>
            <w14:solidFill>
              <w14:schemeClr w14:val="tx1"/>
            </w14:solidFill>
          </w14:textFill>
        </w:rPr>
        <w:t>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6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⑥</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5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⑤</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7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⑦</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6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⑥</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bookmarkEnd w:id="17"/>
    </w:p>
    <w:p>
      <w:pPr>
        <w:ind w:firstLine="420"/>
        <w:rPr>
          <w:color w:val="000000" w:themeColor="text1"/>
          <w14:textFill>
            <w14:solidFill>
              <w14:schemeClr w14:val="tx1"/>
            </w14:solidFill>
          </w14:textFill>
        </w:rPr>
      </w:pPr>
    </w:p>
    <w:p>
      <w:pPr>
        <w:ind w:firstLine="420"/>
        <w:rPr>
          <w:rFonts w:eastAsia="黑体"/>
          <w:color w:val="000000" w:themeColor="text1"/>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pPr>
        <w:pStyle w:val="32"/>
        <w:adjustRightInd w:val="0"/>
        <w:snapToGrid w:val="0"/>
        <w:spacing w:before="0" w:beforeAutospacing="0" w:after="0" w:afterAutospacing="0"/>
        <w:outlineLvl w:val="0"/>
        <w:rPr>
          <w:rFonts w:ascii="Times New Roman" w:hAnsi="Times New Roman" w:eastAsia="黑体"/>
          <w:snapToGrid w:val="0"/>
          <w:color w:val="000000" w:themeColor="text1"/>
          <w:sz w:val="32"/>
          <w:szCs w:val="32"/>
          <w14:textFill>
            <w14:solidFill>
              <w14:schemeClr w14:val="tx1"/>
            </w14:solidFill>
          </w14:textFill>
        </w:rPr>
      </w:pPr>
      <w:bookmarkStart w:id="18" w:name="_Toc4633"/>
      <w:r>
        <w:rPr>
          <w:rFonts w:ascii="Times New Roman" w:hAnsi="Times New Roman" w:eastAsia="黑体"/>
          <w:snapToGrid w:val="0"/>
          <w:color w:val="000000" w:themeColor="text1"/>
          <w:sz w:val="32"/>
          <w:szCs w:val="32"/>
          <w14:textFill>
            <w14:solidFill>
              <w14:schemeClr w14:val="tx1"/>
            </w14:solidFill>
          </w14:textFill>
        </w:rPr>
        <w:t>附图</w:t>
      </w:r>
      <w:bookmarkEnd w:id="18"/>
    </w:p>
    <w:p>
      <w:pPr>
        <w:adjustRightInd w:val="0"/>
        <w:snapToGrid w:val="0"/>
        <w:jc w:val="left"/>
        <w:rPr>
          <w:color w:val="000000" w:themeColor="text1"/>
          <w:sz w:val="24"/>
          <w14:textFill>
            <w14:solidFill>
              <w14:schemeClr w14:val="tx1"/>
            </w14:solidFill>
          </w14:textFill>
        </w:rPr>
      </w:pPr>
      <w:bookmarkStart w:id="19" w:name="_Toc5844"/>
      <w:r>
        <w:rPr>
          <w:color w:val="000000" w:themeColor="text1"/>
          <w:sz w:val="24"/>
          <w14:textFill>
            <w14:solidFill>
              <w14:schemeClr w14:val="tx1"/>
            </w14:solidFill>
          </w14:textFill>
        </w:rPr>
        <w:t>附图1  项目地理位置图</w:t>
      </w:r>
      <w:bookmarkEnd w:id="19"/>
    </w:p>
    <w:p>
      <w:pPr>
        <w:adjustRightInd w:val="0"/>
        <w:snapToGrid w:val="0"/>
        <w:jc w:val="left"/>
        <w:rPr>
          <w:color w:val="000000" w:themeColor="text1"/>
          <w:sz w:val="24"/>
          <w14:textFill>
            <w14:solidFill>
              <w14:schemeClr w14:val="tx1"/>
            </w14:solidFill>
          </w14:textFill>
        </w:rPr>
      </w:pPr>
      <w:bookmarkStart w:id="20" w:name="_Toc29388"/>
      <w:r>
        <w:rPr>
          <w:color w:val="000000" w:themeColor="text1"/>
          <w:sz w:val="24"/>
          <w14:textFill>
            <w14:solidFill>
              <w14:schemeClr w14:val="tx1"/>
            </w14:solidFill>
          </w14:textFill>
        </w:rPr>
        <w:t xml:space="preserve">附图2  </w:t>
      </w:r>
      <w:r>
        <w:rPr>
          <w:rFonts w:hint="eastAsia"/>
          <w:color w:val="000000" w:themeColor="text1"/>
          <w:sz w:val="24"/>
          <w14:textFill>
            <w14:solidFill>
              <w14:schemeClr w14:val="tx1"/>
            </w14:solidFill>
          </w14:textFill>
        </w:rPr>
        <w:t>项目总平面、</w:t>
      </w:r>
      <w:bookmarkEnd w:id="20"/>
      <w:r>
        <w:rPr>
          <w:rFonts w:hint="eastAsia"/>
          <w:color w:val="000000" w:themeColor="text1"/>
          <w:sz w:val="24"/>
          <w14:textFill>
            <w14:solidFill>
              <w14:schemeClr w14:val="tx1"/>
            </w14:solidFill>
          </w14:textFill>
        </w:rPr>
        <w:t>环保设施及雨污管网布置示意图</w:t>
      </w:r>
    </w:p>
    <w:p>
      <w:pPr>
        <w:adjustRightInd w:val="0"/>
        <w:snapToGrid w:val="0"/>
        <w:jc w:val="left"/>
        <w:rPr>
          <w:color w:val="000000" w:themeColor="text1"/>
          <w:sz w:val="24"/>
          <w14:textFill>
            <w14:solidFill>
              <w14:schemeClr w14:val="tx1"/>
            </w14:solidFill>
          </w14:textFill>
        </w:rPr>
      </w:pPr>
      <w:bookmarkStart w:id="21" w:name="_Toc657"/>
      <w:r>
        <w:rPr>
          <w:color w:val="000000" w:themeColor="text1"/>
          <w:sz w:val="24"/>
          <w14:textFill>
            <w14:solidFill>
              <w14:schemeClr w14:val="tx1"/>
            </w14:solidFill>
          </w14:textFill>
        </w:rPr>
        <w:t>附图</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项目外环境关系图</w:t>
      </w:r>
    </w:p>
    <w:bookmarkEnd w:id="21"/>
    <w:p>
      <w:pPr>
        <w:adjustRightInd w:val="0"/>
        <w:snapToGrid w:val="0"/>
        <w:jc w:val="left"/>
        <w:rPr>
          <w:color w:val="000000" w:themeColor="text1"/>
          <w:sz w:val="24"/>
          <w14:textFill>
            <w14:solidFill>
              <w14:schemeClr w14:val="tx1"/>
            </w14:solidFill>
          </w14:textFill>
        </w:rPr>
      </w:pPr>
      <w:bookmarkStart w:id="22" w:name="_Toc8940"/>
      <w:bookmarkStart w:id="23" w:name="_Toc32228"/>
      <w:r>
        <w:rPr>
          <w:color w:val="000000" w:themeColor="text1"/>
          <w:sz w:val="24"/>
          <w14:textFill>
            <w14:solidFill>
              <w14:schemeClr w14:val="tx1"/>
            </w14:solidFill>
          </w14:textFill>
        </w:rPr>
        <w:t>附图</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项目分区防渗图</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附图</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生态红线</w:t>
      </w:r>
      <w:r>
        <w:rPr>
          <w:color w:val="000000" w:themeColor="text1"/>
          <w:sz w:val="24"/>
          <w14:textFill>
            <w14:solidFill>
              <w14:schemeClr w14:val="tx1"/>
            </w14:solidFill>
          </w14:textFill>
        </w:rPr>
        <w:t>图</w:t>
      </w:r>
      <w:bookmarkEnd w:id="22"/>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附图</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项目与大足区环境管控单元位置</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附图</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规划图</w:t>
      </w:r>
      <w:bookmarkEnd w:id="23"/>
    </w:p>
    <w:p>
      <w:pPr>
        <w:pStyle w:val="2"/>
        <w:spacing w:before="0" w:after="0" w:line="360" w:lineRule="auto"/>
        <w:ind w:right="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附图9  项目监测布点示意图</w:t>
      </w:r>
    </w:p>
    <w:p>
      <w:pPr>
        <w:pStyle w:val="32"/>
        <w:adjustRightInd w:val="0"/>
        <w:snapToGrid w:val="0"/>
        <w:spacing w:before="0" w:beforeAutospacing="0" w:after="0" w:afterAutospacing="0"/>
        <w:outlineLvl w:val="0"/>
        <w:rPr>
          <w:rFonts w:ascii="Times New Roman" w:hAnsi="Times New Roman" w:eastAsia="黑体"/>
          <w:snapToGrid w:val="0"/>
          <w:color w:val="000000" w:themeColor="text1"/>
          <w:sz w:val="32"/>
          <w:szCs w:val="32"/>
          <w14:textFill>
            <w14:solidFill>
              <w14:schemeClr w14:val="tx1"/>
            </w14:solidFill>
          </w14:textFill>
        </w:rPr>
      </w:pPr>
      <w:bookmarkStart w:id="24" w:name="_Toc10512"/>
      <w:r>
        <w:rPr>
          <w:rFonts w:ascii="Times New Roman" w:hAnsi="Times New Roman" w:eastAsia="黑体"/>
          <w:snapToGrid w:val="0"/>
          <w:color w:val="000000" w:themeColor="text1"/>
          <w:sz w:val="32"/>
          <w:szCs w:val="32"/>
          <w14:textFill>
            <w14:solidFill>
              <w14:schemeClr w14:val="tx1"/>
            </w14:solidFill>
          </w14:textFill>
        </w:rPr>
        <w:t>附件</w:t>
      </w:r>
      <w:bookmarkEnd w:id="24"/>
    </w:p>
    <w:p>
      <w:pPr>
        <w:adjustRightInd w:val="0"/>
        <w:snapToGrid w:val="0"/>
        <w:jc w:val="left"/>
        <w:rPr>
          <w:color w:val="000000" w:themeColor="text1"/>
          <w:sz w:val="24"/>
          <w14:textFill>
            <w14:solidFill>
              <w14:schemeClr w14:val="tx1"/>
            </w14:solidFill>
          </w14:textFill>
        </w:rPr>
      </w:pPr>
      <w:bookmarkStart w:id="25" w:name="_Toc10708"/>
      <w:r>
        <w:rPr>
          <w:color w:val="000000" w:themeColor="text1"/>
          <w:sz w:val="24"/>
          <w14:textFill>
            <w14:solidFill>
              <w14:schemeClr w14:val="tx1"/>
            </w14:solidFill>
          </w14:textFill>
        </w:rPr>
        <w:t>附件</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 xml:space="preserve">  项目备案证</w:t>
      </w:r>
      <w:bookmarkEnd w:id="25"/>
    </w:p>
    <w:p>
      <w:pPr>
        <w:adjustRightInd w:val="0"/>
        <w:snapToGrid w:val="0"/>
        <w:jc w:val="left"/>
        <w:rPr>
          <w:color w:val="000000" w:themeColor="text1"/>
          <w:sz w:val="24"/>
          <w14:textFill>
            <w14:solidFill>
              <w14:schemeClr w14:val="tx1"/>
            </w14:solidFill>
          </w14:textFill>
        </w:rPr>
      </w:pPr>
      <w:bookmarkStart w:id="26" w:name="_Toc30318"/>
      <w:r>
        <w:rPr>
          <w:color w:val="000000" w:themeColor="text1"/>
          <w:sz w:val="24"/>
          <w14:textFill>
            <w14:solidFill>
              <w14:schemeClr w14:val="tx1"/>
            </w14:solidFill>
          </w14:textFill>
        </w:rPr>
        <w:t>附件</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 xml:space="preserve">  </w:t>
      </w:r>
      <w:bookmarkStart w:id="27" w:name="_Toc15972"/>
      <w:r>
        <w:rPr>
          <w:rFonts w:hint="eastAsia"/>
          <w:color w:val="000000" w:themeColor="text1"/>
          <w:sz w:val="24"/>
          <w14:textFill>
            <w14:solidFill>
              <w14:schemeClr w14:val="tx1"/>
            </w14:solidFill>
          </w14:textFill>
        </w:rPr>
        <w:t>项目投资协议</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附件</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 xml:space="preserve">  </w:t>
      </w:r>
      <w:bookmarkEnd w:id="27"/>
      <w:r>
        <w:rPr>
          <w:rFonts w:hint="eastAsia"/>
          <w:color w:val="000000" w:themeColor="text1"/>
          <w:sz w:val="24"/>
          <w14:textFill>
            <w14:solidFill>
              <w14:schemeClr w14:val="tx1"/>
            </w14:solidFill>
          </w14:textFill>
        </w:rPr>
        <w:t>项目监测报告</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附件4  </w:t>
      </w:r>
      <w:r>
        <w:rPr>
          <w:rFonts w:hint="eastAsia"/>
          <w:color w:val="000000" w:themeColor="text1"/>
          <w:sz w:val="24"/>
          <w14:textFill>
            <w14:solidFill>
              <w14:schemeClr w14:val="tx1"/>
            </w14:solidFill>
          </w14:textFill>
        </w:rPr>
        <w:t>三线一单检测报告</w:t>
      </w:r>
    </w:p>
    <w:bookmarkEnd w:id="26"/>
    <w:p>
      <w:pPr>
        <w:adjustRightInd w:val="0"/>
        <w:snapToGrid w:val="0"/>
        <w:jc w:val="left"/>
        <w:rPr>
          <w:color w:val="000000" w:themeColor="text1"/>
          <w:sz w:val="24"/>
          <w14:textFill>
            <w14:solidFill>
              <w14:schemeClr w14:val="tx1"/>
            </w14:solidFill>
          </w14:textFill>
        </w:rPr>
      </w:pPr>
      <w:bookmarkStart w:id="28" w:name="_Toc28746"/>
      <w:r>
        <w:rPr>
          <w:color w:val="000000" w:themeColor="text1"/>
          <w:sz w:val="24"/>
          <w14:textFill>
            <w14:solidFill>
              <w14:schemeClr w14:val="tx1"/>
            </w14:solidFill>
          </w14:textFill>
        </w:rPr>
        <w:t xml:space="preserve">附件5  </w:t>
      </w:r>
      <w:r>
        <w:rPr>
          <w:rFonts w:hint="eastAsia"/>
          <w:color w:val="000000" w:themeColor="text1"/>
          <w:sz w:val="24"/>
          <w14:textFill>
            <w14:solidFill>
              <w14:schemeClr w14:val="tx1"/>
            </w14:solidFill>
          </w14:textFill>
        </w:rPr>
        <w:t>裂解油参照标准及检测报告</w:t>
      </w:r>
    </w:p>
    <w:p>
      <w:pPr>
        <w:adjustRightInd w:val="0"/>
        <w:snapToGrid w:val="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附件6</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邮亭片区A区</w:t>
      </w:r>
      <w:r>
        <w:rPr>
          <w:color w:val="000000" w:themeColor="text1"/>
          <w:sz w:val="24"/>
          <w14:textFill>
            <w14:solidFill>
              <w14:schemeClr w14:val="tx1"/>
            </w14:solidFill>
          </w14:textFill>
        </w:rPr>
        <w:t>规划</w:t>
      </w:r>
      <w:r>
        <w:rPr>
          <w:rFonts w:hint="eastAsia"/>
          <w:color w:val="000000" w:themeColor="text1"/>
          <w:sz w:val="24"/>
          <w14:textFill>
            <w14:solidFill>
              <w14:schemeClr w14:val="tx1"/>
            </w14:solidFill>
          </w14:textFill>
        </w:rPr>
        <w:t>环评</w:t>
      </w:r>
      <w:r>
        <w:rPr>
          <w:color w:val="000000" w:themeColor="text1"/>
          <w:sz w:val="24"/>
          <w14:textFill>
            <w14:solidFill>
              <w14:schemeClr w14:val="tx1"/>
            </w14:solidFill>
          </w14:textFill>
        </w:rPr>
        <w:t>审查意见</w:t>
      </w:r>
      <w:bookmarkEnd w:id="28"/>
    </w:p>
    <w:p>
      <w:pPr>
        <w:pStyle w:val="2"/>
        <w:spacing w:before="0" w:after="0" w:line="360" w:lineRule="auto"/>
        <w:ind w:right="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附件7</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节能审查告知承诺备案表</w:t>
      </w:r>
    </w:p>
    <w:p>
      <w:pPr>
        <w:adjustRightInd w:val="0"/>
        <w:snapToGrid w:val="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附件8</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裂解油销售合作协议</w:t>
      </w:r>
    </w:p>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monospace">
    <w:altName w:val="微软雅黑"/>
    <w:panose1 w:val="00000000000000000000"/>
    <w:charset w:val="00"/>
    <w:family w:val="auto"/>
    <w:pitch w:val="default"/>
    <w:sig w:usb0="00000000" w:usb1="00000000" w:usb2="00000000" w:usb3="00000000" w:csb0="00040001" w:csb1="00000000"/>
  </w:font>
  <w:font w:name="Dutch801 Rm BT">
    <w:altName w:val="Times New Roman"/>
    <w:panose1 w:val="02020603060505020304"/>
    <w:charset w:val="00"/>
    <w:family w:val="roman"/>
    <w:pitch w:val="default"/>
    <w:sig w:usb0="00000000" w:usb1="00000000" w:usb2="00000000" w:usb3="00000000" w:csb0="0000001B" w:csb1="00000000"/>
  </w:font>
  <w:font w:name="微软雅黑 Bold">
    <w:altName w:val="黑体"/>
    <w:panose1 w:val="020B0703020204020201"/>
    <w:charset w:val="00"/>
    <w:family w:val="auto"/>
    <w:pitch w:val="default"/>
    <w:sig w:usb0="00000000" w:usb1="00000000" w:usb2="00000000" w:usb3="00000000" w:csb0="00040001" w:csb1="00000000"/>
  </w:font>
  <w:font w:name="微软雅黑 Regular">
    <w:altName w:val="黑体"/>
    <w:panose1 w:val="00000000000000000000"/>
    <w:charset w:val="00"/>
    <w:family w:val="auto"/>
    <w:pitch w:val="default"/>
    <w:sig w:usb0="00000000" w:usb1="00000000" w:usb2="00000000"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楷体_GB2312">
    <w:panose1 w:val="02010609030101010101"/>
    <w:charset w:val="86"/>
    <w:family w:val="modern"/>
    <w:pitch w:val="default"/>
    <w:sig w:usb0="00000001" w:usb1="080E0000" w:usb2="00000000" w:usb3="00000000" w:csb0="00040000" w:csb1="00000000"/>
  </w:font>
  <w:font w:name="serif">
    <w:altName w:val="微软雅黑"/>
    <w:panose1 w:val="00000000000000000000"/>
    <w:charset w:val="00"/>
    <w:family w:val="auto"/>
    <w:pitch w:val="default"/>
    <w:sig w:usb0="00000000" w:usb1="00000000" w:usb2="00000000" w:usb3="00000000" w:csb0="00040001"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40"/>
      </w:rPr>
    </w:pPr>
    <w:r>
      <w:fldChar w:fldCharType="begin"/>
    </w:r>
    <w:r>
      <w:rPr>
        <w:rStyle w:val="40"/>
      </w:rPr>
      <w:instrText xml:space="preserve">PAGE  </w:instrText>
    </w:r>
    <w:r>
      <w:fldChar w:fldCharType="end"/>
    </w:r>
  </w:p>
  <w:p>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480"/>
      <w:jc w:val="center"/>
      <w:rPr>
        <w:sz w:val="24"/>
      </w:rPr>
    </w:pPr>
    <w:r>
      <w:rPr>
        <w:rFonts w:hint="eastAsia"/>
        <w:sz w:val="24"/>
      </w:rPr>
      <w:t>—</w:t>
    </w:r>
    <w:r>
      <w:rPr>
        <w:sz w:val="24"/>
      </w:rPr>
      <w:fldChar w:fldCharType="begin"/>
    </w:r>
    <w:r>
      <w:rPr>
        <w:sz w:val="24"/>
      </w:rPr>
      <w:instrText xml:space="preserve">PAGE   \* MERGEFORMAT</w:instrText>
    </w:r>
    <w:r>
      <w:rPr>
        <w:sz w:val="24"/>
      </w:rPr>
      <w:fldChar w:fldCharType="separate"/>
    </w:r>
    <w:r>
      <w:rPr>
        <w:sz w:val="24"/>
        <w:lang w:val="zh-CN"/>
      </w:rPr>
      <w:t>1</w:t>
    </w:r>
    <w:r>
      <w:rPr>
        <w:sz w:val="24"/>
      </w:rPr>
      <w:fldChar w:fldCharType="end"/>
    </w:r>
    <w:r>
      <w:rPr>
        <w:rFonts w:hint="eastAsia"/>
        <w:sz w:val="2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D598F1"/>
    <w:multiLevelType w:val="singleLevel"/>
    <w:tmpl w:val="5DD598F1"/>
    <w:lvl w:ilvl="0" w:tentative="0">
      <w:start w:val="1"/>
      <w:numFmt w:val="bullet"/>
      <w:pStyle w:val="3"/>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2OWQwYWZjY2RmMTRiNGE4NDY1NGZjYWVmN2M5MzYifQ=="/>
  </w:docVars>
  <w:rsids>
    <w:rsidRoot w:val="00A14947"/>
    <w:rsid w:val="00000FE9"/>
    <w:rsid w:val="00001375"/>
    <w:rsid w:val="000018E1"/>
    <w:rsid w:val="0000321A"/>
    <w:rsid w:val="000032A6"/>
    <w:rsid w:val="000033C9"/>
    <w:rsid w:val="00003695"/>
    <w:rsid w:val="000060B3"/>
    <w:rsid w:val="00007FA8"/>
    <w:rsid w:val="00010C2C"/>
    <w:rsid w:val="00010D0C"/>
    <w:rsid w:val="00013E5C"/>
    <w:rsid w:val="00016451"/>
    <w:rsid w:val="0001793C"/>
    <w:rsid w:val="000221BC"/>
    <w:rsid w:val="00023861"/>
    <w:rsid w:val="0002421D"/>
    <w:rsid w:val="00024FED"/>
    <w:rsid w:val="0002677B"/>
    <w:rsid w:val="0002770A"/>
    <w:rsid w:val="00027E31"/>
    <w:rsid w:val="000301C3"/>
    <w:rsid w:val="00034523"/>
    <w:rsid w:val="00034C30"/>
    <w:rsid w:val="00034FEE"/>
    <w:rsid w:val="00036CCA"/>
    <w:rsid w:val="00042313"/>
    <w:rsid w:val="0004251A"/>
    <w:rsid w:val="0004364B"/>
    <w:rsid w:val="00043DA7"/>
    <w:rsid w:val="0004651F"/>
    <w:rsid w:val="00046705"/>
    <w:rsid w:val="000471DF"/>
    <w:rsid w:val="000517AC"/>
    <w:rsid w:val="0005217A"/>
    <w:rsid w:val="00053BEC"/>
    <w:rsid w:val="00056A5E"/>
    <w:rsid w:val="00056DB7"/>
    <w:rsid w:val="000606FC"/>
    <w:rsid w:val="00061B1F"/>
    <w:rsid w:val="000660EE"/>
    <w:rsid w:val="00067A5A"/>
    <w:rsid w:val="00070AC7"/>
    <w:rsid w:val="000733C4"/>
    <w:rsid w:val="00074783"/>
    <w:rsid w:val="000748F2"/>
    <w:rsid w:val="00075F63"/>
    <w:rsid w:val="0008070B"/>
    <w:rsid w:val="00080DF2"/>
    <w:rsid w:val="000810AC"/>
    <w:rsid w:val="00081A02"/>
    <w:rsid w:val="00081E41"/>
    <w:rsid w:val="00081E50"/>
    <w:rsid w:val="00082231"/>
    <w:rsid w:val="00082AC0"/>
    <w:rsid w:val="00082D49"/>
    <w:rsid w:val="000834DD"/>
    <w:rsid w:val="000863A0"/>
    <w:rsid w:val="00087D7C"/>
    <w:rsid w:val="000908F7"/>
    <w:rsid w:val="00091853"/>
    <w:rsid w:val="000926F9"/>
    <w:rsid w:val="00092D09"/>
    <w:rsid w:val="00092D38"/>
    <w:rsid w:val="0009377B"/>
    <w:rsid w:val="00094D65"/>
    <w:rsid w:val="0009520E"/>
    <w:rsid w:val="00095FB8"/>
    <w:rsid w:val="00097CF5"/>
    <w:rsid w:val="000A1650"/>
    <w:rsid w:val="000A20C9"/>
    <w:rsid w:val="000A219D"/>
    <w:rsid w:val="000A4883"/>
    <w:rsid w:val="000A4E10"/>
    <w:rsid w:val="000A61A7"/>
    <w:rsid w:val="000A79E9"/>
    <w:rsid w:val="000B058F"/>
    <w:rsid w:val="000B0C2C"/>
    <w:rsid w:val="000B181A"/>
    <w:rsid w:val="000B2AA3"/>
    <w:rsid w:val="000B34F2"/>
    <w:rsid w:val="000B4467"/>
    <w:rsid w:val="000B4AF6"/>
    <w:rsid w:val="000B4DB9"/>
    <w:rsid w:val="000B527A"/>
    <w:rsid w:val="000B57E6"/>
    <w:rsid w:val="000B598C"/>
    <w:rsid w:val="000B600A"/>
    <w:rsid w:val="000B61A1"/>
    <w:rsid w:val="000C09AC"/>
    <w:rsid w:val="000C1433"/>
    <w:rsid w:val="000C389B"/>
    <w:rsid w:val="000C573B"/>
    <w:rsid w:val="000C6B9D"/>
    <w:rsid w:val="000C767F"/>
    <w:rsid w:val="000C7E1E"/>
    <w:rsid w:val="000D00D6"/>
    <w:rsid w:val="000D2435"/>
    <w:rsid w:val="000D5A44"/>
    <w:rsid w:val="000D67FB"/>
    <w:rsid w:val="000E05C9"/>
    <w:rsid w:val="000E20BF"/>
    <w:rsid w:val="000E26B3"/>
    <w:rsid w:val="000E36AB"/>
    <w:rsid w:val="000E3ED2"/>
    <w:rsid w:val="000E53B1"/>
    <w:rsid w:val="000E630F"/>
    <w:rsid w:val="000E6C33"/>
    <w:rsid w:val="000E6FFC"/>
    <w:rsid w:val="000E7193"/>
    <w:rsid w:val="000F1B82"/>
    <w:rsid w:val="000F1BCD"/>
    <w:rsid w:val="000F22C2"/>
    <w:rsid w:val="000F242E"/>
    <w:rsid w:val="000F3458"/>
    <w:rsid w:val="000F4E3D"/>
    <w:rsid w:val="00102066"/>
    <w:rsid w:val="0010651A"/>
    <w:rsid w:val="00111163"/>
    <w:rsid w:val="0011215A"/>
    <w:rsid w:val="0011353E"/>
    <w:rsid w:val="00114290"/>
    <w:rsid w:val="001161AC"/>
    <w:rsid w:val="00116BCE"/>
    <w:rsid w:val="001171CE"/>
    <w:rsid w:val="001200D7"/>
    <w:rsid w:val="001205D3"/>
    <w:rsid w:val="00120E6C"/>
    <w:rsid w:val="001220D9"/>
    <w:rsid w:val="00124D2E"/>
    <w:rsid w:val="00125FB3"/>
    <w:rsid w:val="0012674A"/>
    <w:rsid w:val="001268DE"/>
    <w:rsid w:val="001312A2"/>
    <w:rsid w:val="00131987"/>
    <w:rsid w:val="00131F42"/>
    <w:rsid w:val="001327CA"/>
    <w:rsid w:val="00134D2B"/>
    <w:rsid w:val="001357F1"/>
    <w:rsid w:val="001371D4"/>
    <w:rsid w:val="00140FA8"/>
    <w:rsid w:val="001411DF"/>
    <w:rsid w:val="001420B2"/>
    <w:rsid w:val="00142FEB"/>
    <w:rsid w:val="00143006"/>
    <w:rsid w:val="00143A2D"/>
    <w:rsid w:val="00143C07"/>
    <w:rsid w:val="00144753"/>
    <w:rsid w:val="00145A41"/>
    <w:rsid w:val="00146B7E"/>
    <w:rsid w:val="00147A6A"/>
    <w:rsid w:val="00147C6D"/>
    <w:rsid w:val="001504D8"/>
    <w:rsid w:val="00151675"/>
    <w:rsid w:val="001520B4"/>
    <w:rsid w:val="00157435"/>
    <w:rsid w:val="00157AC8"/>
    <w:rsid w:val="00160B1E"/>
    <w:rsid w:val="00161211"/>
    <w:rsid w:val="0016155A"/>
    <w:rsid w:val="001638E7"/>
    <w:rsid w:val="00163D03"/>
    <w:rsid w:val="00165772"/>
    <w:rsid w:val="0016627C"/>
    <w:rsid w:val="001674EB"/>
    <w:rsid w:val="001711AC"/>
    <w:rsid w:val="0017246A"/>
    <w:rsid w:val="00173D50"/>
    <w:rsid w:val="0017447A"/>
    <w:rsid w:val="00175016"/>
    <w:rsid w:val="0017504D"/>
    <w:rsid w:val="001754E3"/>
    <w:rsid w:val="0017671A"/>
    <w:rsid w:val="00176E6B"/>
    <w:rsid w:val="00177422"/>
    <w:rsid w:val="00177689"/>
    <w:rsid w:val="0018115C"/>
    <w:rsid w:val="00184590"/>
    <w:rsid w:val="00185E7B"/>
    <w:rsid w:val="001870D1"/>
    <w:rsid w:val="001875B9"/>
    <w:rsid w:val="0018781E"/>
    <w:rsid w:val="00187935"/>
    <w:rsid w:val="00191E06"/>
    <w:rsid w:val="00192167"/>
    <w:rsid w:val="0019262D"/>
    <w:rsid w:val="00194664"/>
    <w:rsid w:val="001958EC"/>
    <w:rsid w:val="001966B6"/>
    <w:rsid w:val="00196962"/>
    <w:rsid w:val="00196EE0"/>
    <w:rsid w:val="00197CCF"/>
    <w:rsid w:val="001A0374"/>
    <w:rsid w:val="001A1B35"/>
    <w:rsid w:val="001A389C"/>
    <w:rsid w:val="001A39BC"/>
    <w:rsid w:val="001A48A2"/>
    <w:rsid w:val="001A6F61"/>
    <w:rsid w:val="001A7580"/>
    <w:rsid w:val="001A75E1"/>
    <w:rsid w:val="001B0FBA"/>
    <w:rsid w:val="001B108F"/>
    <w:rsid w:val="001B27F1"/>
    <w:rsid w:val="001B6FEB"/>
    <w:rsid w:val="001B72B8"/>
    <w:rsid w:val="001C0723"/>
    <w:rsid w:val="001C082B"/>
    <w:rsid w:val="001C0DBE"/>
    <w:rsid w:val="001C33C3"/>
    <w:rsid w:val="001C3D90"/>
    <w:rsid w:val="001C59A1"/>
    <w:rsid w:val="001C5F23"/>
    <w:rsid w:val="001C689A"/>
    <w:rsid w:val="001C69B3"/>
    <w:rsid w:val="001D010D"/>
    <w:rsid w:val="001D0815"/>
    <w:rsid w:val="001D4C29"/>
    <w:rsid w:val="001D52C5"/>
    <w:rsid w:val="001D5595"/>
    <w:rsid w:val="001D6A23"/>
    <w:rsid w:val="001D735B"/>
    <w:rsid w:val="001D7874"/>
    <w:rsid w:val="001D7F22"/>
    <w:rsid w:val="001E05EB"/>
    <w:rsid w:val="001E1C4B"/>
    <w:rsid w:val="001E5587"/>
    <w:rsid w:val="001E6D42"/>
    <w:rsid w:val="001E7827"/>
    <w:rsid w:val="001F0F17"/>
    <w:rsid w:val="001F2944"/>
    <w:rsid w:val="001F3347"/>
    <w:rsid w:val="001F69E4"/>
    <w:rsid w:val="001F71D5"/>
    <w:rsid w:val="001F7D82"/>
    <w:rsid w:val="0020129C"/>
    <w:rsid w:val="002050DE"/>
    <w:rsid w:val="00205D59"/>
    <w:rsid w:val="002067EB"/>
    <w:rsid w:val="00210890"/>
    <w:rsid w:val="00210E1F"/>
    <w:rsid w:val="002125B4"/>
    <w:rsid w:val="00214B0C"/>
    <w:rsid w:val="002155B8"/>
    <w:rsid w:val="002160C1"/>
    <w:rsid w:val="00220E4D"/>
    <w:rsid w:val="0022180F"/>
    <w:rsid w:val="0022253A"/>
    <w:rsid w:val="00224839"/>
    <w:rsid w:val="002249B2"/>
    <w:rsid w:val="00226574"/>
    <w:rsid w:val="00226981"/>
    <w:rsid w:val="0022731C"/>
    <w:rsid w:val="002278EC"/>
    <w:rsid w:val="00230325"/>
    <w:rsid w:val="00230C1F"/>
    <w:rsid w:val="00231102"/>
    <w:rsid w:val="00231110"/>
    <w:rsid w:val="00232406"/>
    <w:rsid w:val="0023280E"/>
    <w:rsid w:val="002377D1"/>
    <w:rsid w:val="002379F9"/>
    <w:rsid w:val="00240A56"/>
    <w:rsid w:val="0024247B"/>
    <w:rsid w:val="002501B6"/>
    <w:rsid w:val="002506BC"/>
    <w:rsid w:val="002515E0"/>
    <w:rsid w:val="00252D3A"/>
    <w:rsid w:val="00253F1F"/>
    <w:rsid w:val="00254345"/>
    <w:rsid w:val="002553E1"/>
    <w:rsid w:val="002559DE"/>
    <w:rsid w:val="00256F77"/>
    <w:rsid w:val="00257015"/>
    <w:rsid w:val="00260470"/>
    <w:rsid w:val="00264557"/>
    <w:rsid w:val="0026470F"/>
    <w:rsid w:val="00266F34"/>
    <w:rsid w:val="00267922"/>
    <w:rsid w:val="00270DE7"/>
    <w:rsid w:val="0027648C"/>
    <w:rsid w:val="00276567"/>
    <w:rsid w:val="00280224"/>
    <w:rsid w:val="002805AB"/>
    <w:rsid w:val="00281E12"/>
    <w:rsid w:val="00284204"/>
    <w:rsid w:val="00290D71"/>
    <w:rsid w:val="00290F80"/>
    <w:rsid w:val="002911C0"/>
    <w:rsid w:val="00291616"/>
    <w:rsid w:val="00291773"/>
    <w:rsid w:val="00294154"/>
    <w:rsid w:val="00296172"/>
    <w:rsid w:val="00296A60"/>
    <w:rsid w:val="002A0C56"/>
    <w:rsid w:val="002A168C"/>
    <w:rsid w:val="002A1FD3"/>
    <w:rsid w:val="002A2F69"/>
    <w:rsid w:val="002A312E"/>
    <w:rsid w:val="002A3DC7"/>
    <w:rsid w:val="002A4405"/>
    <w:rsid w:val="002A6491"/>
    <w:rsid w:val="002A6F3C"/>
    <w:rsid w:val="002A7038"/>
    <w:rsid w:val="002B2495"/>
    <w:rsid w:val="002B2AD7"/>
    <w:rsid w:val="002B49E2"/>
    <w:rsid w:val="002B4E39"/>
    <w:rsid w:val="002B6316"/>
    <w:rsid w:val="002B7B00"/>
    <w:rsid w:val="002B7C44"/>
    <w:rsid w:val="002C1A86"/>
    <w:rsid w:val="002C255F"/>
    <w:rsid w:val="002C2B17"/>
    <w:rsid w:val="002C4AE2"/>
    <w:rsid w:val="002C51AD"/>
    <w:rsid w:val="002C53F8"/>
    <w:rsid w:val="002C60D4"/>
    <w:rsid w:val="002C68C7"/>
    <w:rsid w:val="002D0DC1"/>
    <w:rsid w:val="002D1B62"/>
    <w:rsid w:val="002D25A6"/>
    <w:rsid w:val="002D25B5"/>
    <w:rsid w:val="002D3BAE"/>
    <w:rsid w:val="002D3DD0"/>
    <w:rsid w:val="002D4893"/>
    <w:rsid w:val="002D544C"/>
    <w:rsid w:val="002E0472"/>
    <w:rsid w:val="002E1F3A"/>
    <w:rsid w:val="002E298A"/>
    <w:rsid w:val="002E2A51"/>
    <w:rsid w:val="002F0C20"/>
    <w:rsid w:val="002F0E6E"/>
    <w:rsid w:val="002F25CA"/>
    <w:rsid w:val="002F3596"/>
    <w:rsid w:val="002F3A53"/>
    <w:rsid w:val="002F466A"/>
    <w:rsid w:val="002F4816"/>
    <w:rsid w:val="002F7AE6"/>
    <w:rsid w:val="002F7B87"/>
    <w:rsid w:val="00301978"/>
    <w:rsid w:val="00301CCA"/>
    <w:rsid w:val="00303177"/>
    <w:rsid w:val="0030332C"/>
    <w:rsid w:val="00303BB6"/>
    <w:rsid w:val="003042A7"/>
    <w:rsid w:val="003051C2"/>
    <w:rsid w:val="003057C9"/>
    <w:rsid w:val="003116EB"/>
    <w:rsid w:val="003119B3"/>
    <w:rsid w:val="00311CAF"/>
    <w:rsid w:val="00312296"/>
    <w:rsid w:val="00313160"/>
    <w:rsid w:val="00314F0E"/>
    <w:rsid w:val="00321D8E"/>
    <w:rsid w:val="003229C4"/>
    <w:rsid w:val="00322AA6"/>
    <w:rsid w:val="003234D4"/>
    <w:rsid w:val="00323631"/>
    <w:rsid w:val="003247CD"/>
    <w:rsid w:val="0032562C"/>
    <w:rsid w:val="00325928"/>
    <w:rsid w:val="00331354"/>
    <w:rsid w:val="003326A8"/>
    <w:rsid w:val="00332863"/>
    <w:rsid w:val="00333535"/>
    <w:rsid w:val="003339EC"/>
    <w:rsid w:val="00334663"/>
    <w:rsid w:val="0033523F"/>
    <w:rsid w:val="0033661B"/>
    <w:rsid w:val="0033684D"/>
    <w:rsid w:val="00336EA3"/>
    <w:rsid w:val="00337B42"/>
    <w:rsid w:val="00341B42"/>
    <w:rsid w:val="00342664"/>
    <w:rsid w:val="0034348F"/>
    <w:rsid w:val="00343EE1"/>
    <w:rsid w:val="003453C9"/>
    <w:rsid w:val="00346823"/>
    <w:rsid w:val="00350D08"/>
    <w:rsid w:val="00352AFD"/>
    <w:rsid w:val="00356653"/>
    <w:rsid w:val="003569AE"/>
    <w:rsid w:val="00356B2B"/>
    <w:rsid w:val="0035743F"/>
    <w:rsid w:val="00357BE2"/>
    <w:rsid w:val="00360E35"/>
    <w:rsid w:val="00361597"/>
    <w:rsid w:val="0036170C"/>
    <w:rsid w:val="00364076"/>
    <w:rsid w:val="00364C5C"/>
    <w:rsid w:val="00364DAA"/>
    <w:rsid w:val="00365E39"/>
    <w:rsid w:val="00366E0F"/>
    <w:rsid w:val="00367843"/>
    <w:rsid w:val="00371B70"/>
    <w:rsid w:val="00373510"/>
    <w:rsid w:val="00373995"/>
    <w:rsid w:val="00375B9E"/>
    <w:rsid w:val="00377D98"/>
    <w:rsid w:val="00380008"/>
    <w:rsid w:val="00380376"/>
    <w:rsid w:val="00380507"/>
    <w:rsid w:val="00381036"/>
    <w:rsid w:val="00381A72"/>
    <w:rsid w:val="00383CE0"/>
    <w:rsid w:val="00384676"/>
    <w:rsid w:val="00385D3E"/>
    <w:rsid w:val="0038624B"/>
    <w:rsid w:val="00387BB4"/>
    <w:rsid w:val="00390857"/>
    <w:rsid w:val="003922AB"/>
    <w:rsid w:val="00393A11"/>
    <w:rsid w:val="003946C4"/>
    <w:rsid w:val="00394936"/>
    <w:rsid w:val="0039602E"/>
    <w:rsid w:val="00396D9E"/>
    <w:rsid w:val="00396DE4"/>
    <w:rsid w:val="00397EBC"/>
    <w:rsid w:val="003A1FD0"/>
    <w:rsid w:val="003A2BD3"/>
    <w:rsid w:val="003A46F9"/>
    <w:rsid w:val="003A4BF3"/>
    <w:rsid w:val="003A4DB8"/>
    <w:rsid w:val="003B0B3D"/>
    <w:rsid w:val="003B171A"/>
    <w:rsid w:val="003B2F53"/>
    <w:rsid w:val="003B420D"/>
    <w:rsid w:val="003B5FB2"/>
    <w:rsid w:val="003C0560"/>
    <w:rsid w:val="003C4450"/>
    <w:rsid w:val="003C5910"/>
    <w:rsid w:val="003C6A67"/>
    <w:rsid w:val="003C6C16"/>
    <w:rsid w:val="003C6C6F"/>
    <w:rsid w:val="003C6DF4"/>
    <w:rsid w:val="003D0349"/>
    <w:rsid w:val="003D2D12"/>
    <w:rsid w:val="003D64BD"/>
    <w:rsid w:val="003D794D"/>
    <w:rsid w:val="003E024D"/>
    <w:rsid w:val="003E09A7"/>
    <w:rsid w:val="003E2428"/>
    <w:rsid w:val="003E3058"/>
    <w:rsid w:val="003E41EA"/>
    <w:rsid w:val="003E5F92"/>
    <w:rsid w:val="003E76A9"/>
    <w:rsid w:val="003F0809"/>
    <w:rsid w:val="003F410A"/>
    <w:rsid w:val="003F5A75"/>
    <w:rsid w:val="003F68A9"/>
    <w:rsid w:val="003F6A8C"/>
    <w:rsid w:val="003F72D8"/>
    <w:rsid w:val="003F755C"/>
    <w:rsid w:val="004041AC"/>
    <w:rsid w:val="00404457"/>
    <w:rsid w:val="004057F2"/>
    <w:rsid w:val="00406F01"/>
    <w:rsid w:val="00410F25"/>
    <w:rsid w:val="004143D0"/>
    <w:rsid w:val="00416D50"/>
    <w:rsid w:val="00416FD5"/>
    <w:rsid w:val="00417503"/>
    <w:rsid w:val="00417772"/>
    <w:rsid w:val="00420E6A"/>
    <w:rsid w:val="0042138E"/>
    <w:rsid w:val="00423500"/>
    <w:rsid w:val="00425A9E"/>
    <w:rsid w:val="004261EA"/>
    <w:rsid w:val="00426D6B"/>
    <w:rsid w:val="00427446"/>
    <w:rsid w:val="00430CF8"/>
    <w:rsid w:val="00431E6C"/>
    <w:rsid w:val="00433AAD"/>
    <w:rsid w:val="00433AF6"/>
    <w:rsid w:val="00433CE7"/>
    <w:rsid w:val="00433F24"/>
    <w:rsid w:val="00434473"/>
    <w:rsid w:val="00434E41"/>
    <w:rsid w:val="00440271"/>
    <w:rsid w:val="00440C52"/>
    <w:rsid w:val="00444DDE"/>
    <w:rsid w:val="00450570"/>
    <w:rsid w:val="00451AA8"/>
    <w:rsid w:val="00452738"/>
    <w:rsid w:val="0045474C"/>
    <w:rsid w:val="00456091"/>
    <w:rsid w:val="004631B8"/>
    <w:rsid w:val="004636FD"/>
    <w:rsid w:val="004640E3"/>
    <w:rsid w:val="004646FF"/>
    <w:rsid w:val="00465644"/>
    <w:rsid w:val="00466321"/>
    <w:rsid w:val="00466D0C"/>
    <w:rsid w:val="004675B9"/>
    <w:rsid w:val="00473FD2"/>
    <w:rsid w:val="004752F5"/>
    <w:rsid w:val="00480773"/>
    <w:rsid w:val="00481E8E"/>
    <w:rsid w:val="004833E0"/>
    <w:rsid w:val="00484B9B"/>
    <w:rsid w:val="004855F6"/>
    <w:rsid w:val="00485E5C"/>
    <w:rsid w:val="0048661E"/>
    <w:rsid w:val="0049364C"/>
    <w:rsid w:val="004944E7"/>
    <w:rsid w:val="00494670"/>
    <w:rsid w:val="00494DD4"/>
    <w:rsid w:val="004961EA"/>
    <w:rsid w:val="00496338"/>
    <w:rsid w:val="004972FF"/>
    <w:rsid w:val="004A0285"/>
    <w:rsid w:val="004A1F08"/>
    <w:rsid w:val="004A23FD"/>
    <w:rsid w:val="004A2F9F"/>
    <w:rsid w:val="004A3823"/>
    <w:rsid w:val="004A703C"/>
    <w:rsid w:val="004A70A0"/>
    <w:rsid w:val="004B067E"/>
    <w:rsid w:val="004B189A"/>
    <w:rsid w:val="004B2C17"/>
    <w:rsid w:val="004B507F"/>
    <w:rsid w:val="004B79C7"/>
    <w:rsid w:val="004C46BF"/>
    <w:rsid w:val="004C4BBE"/>
    <w:rsid w:val="004C4C72"/>
    <w:rsid w:val="004D0B92"/>
    <w:rsid w:val="004D0D38"/>
    <w:rsid w:val="004D1FD7"/>
    <w:rsid w:val="004D2423"/>
    <w:rsid w:val="004D262B"/>
    <w:rsid w:val="004D377A"/>
    <w:rsid w:val="004D4179"/>
    <w:rsid w:val="004D497A"/>
    <w:rsid w:val="004D4C2D"/>
    <w:rsid w:val="004D62D2"/>
    <w:rsid w:val="004D7239"/>
    <w:rsid w:val="004D745B"/>
    <w:rsid w:val="004D76BD"/>
    <w:rsid w:val="004E00D7"/>
    <w:rsid w:val="004E14B6"/>
    <w:rsid w:val="004E14D7"/>
    <w:rsid w:val="004E21B3"/>
    <w:rsid w:val="004E6946"/>
    <w:rsid w:val="004F1218"/>
    <w:rsid w:val="004F1AD8"/>
    <w:rsid w:val="004F21CA"/>
    <w:rsid w:val="004F3438"/>
    <w:rsid w:val="004F3BC6"/>
    <w:rsid w:val="004F4BF4"/>
    <w:rsid w:val="004F5308"/>
    <w:rsid w:val="004F7AD6"/>
    <w:rsid w:val="00502D8B"/>
    <w:rsid w:val="00502F08"/>
    <w:rsid w:val="005039CB"/>
    <w:rsid w:val="0050558F"/>
    <w:rsid w:val="00506286"/>
    <w:rsid w:val="0050630D"/>
    <w:rsid w:val="00510405"/>
    <w:rsid w:val="00510785"/>
    <w:rsid w:val="00510813"/>
    <w:rsid w:val="00511990"/>
    <w:rsid w:val="00511DE0"/>
    <w:rsid w:val="00513B8C"/>
    <w:rsid w:val="00513D96"/>
    <w:rsid w:val="00514870"/>
    <w:rsid w:val="00514B9B"/>
    <w:rsid w:val="0051625F"/>
    <w:rsid w:val="00516DB3"/>
    <w:rsid w:val="00517F02"/>
    <w:rsid w:val="005227FC"/>
    <w:rsid w:val="00523D4F"/>
    <w:rsid w:val="00524303"/>
    <w:rsid w:val="005258A2"/>
    <w:rsid w:val="00527DB4"/>
    <w:rsid w:val="00527E7F"/>
    <w:rsid w:val="00530C41"/>
    <w:rsid w:val="00532C08"/>
    <w:rsid w:val="00533B31"/>
    <w:rsid w:val="00535BA3"/>
    <w:rsid w:val="005401AE"/>
    <w:rsid w:val="00542E07"/>
    <w:rsid w:val="00545424"/>
    <w:rsid w:val="00552073"/>
    <w:rsid w:val="00553397"/>
    <w:rsid w:val="00553C3A"/>
    <w:rsid w:val="00554A7B"/>
    <w:rsid w:val="00554B76"/>
    <w:rsid w:val="00555098"/>
    <w:rsid w:val="0055533C"/>
    <w:rsid w:val="00555357"/>
    <w:rsid w:val="0055572C"/>
    <w:rsid w:val="00557746"/>
    <w:rsid w:val="0056106A"/>
    <w:rsid w:val="00561E85"/>
    <w:rsid w:val="00562641"/>
    <w:rsid w:val="00564643"/>
    <w:rsid w:val="00567DCB"/>
    <w:rsid w:val="00570C38"/>
    <w:rsid w:val="00570FC8"/>
    <w:rsid w:val="005720AE"/>
    <w:rsid w:val="00572C8A"/>
    <w:rsid w:val="00573E76"/>
    <w:rsid w:val="00576B92"/>
    <w:rsid w:val="0058052C"/>
    <w:rsid w:val="00583425"/>
    <w:rsid w:val="0058525C"/>
    <w:rsid w:val="00590356"/>
    <w:rsid w:val="00590798"/>
    <w:rsid w:val="00590C3E"/>
    <w:rsid w:val="0059216E"/>
    <w:rsid w:val="00592355"/>
    <w:rsid w:val="00592EF2"/>
    <w:rsid w:val="00594D77"/>
    <w:rsid w:val="00594DC8"/>
    <w:rsid w:val="005962A3"/>
    <w:rsid w:val="005969E4"/>
    <w:rsid w:val="005A06B7"/>
    <w:rsid w:val="005A0911"/>
    <w:rsid w:val="005A1654"/>
    <w:rsid w:val="005A1759"/>
    <w:rsid w:val="005A240B"/>
    <w:rsid w:val="005A4325"/>
    <w:rsid w:val="005A68A7"/>
    <w:rsid w:val="005A749D"/>
    <w:rsid w:val="005B120E"/>
    <w:rsid w:val="005B20B7"/>
    <w:rsid w:val="005B7029"/>
    <w:rsid w:val="005B7C22"/>
    <w:rsid w:val="005C3462"/>
    <w:rsid w:val="005C539A"/>
    <w:rsid w:val="005C5781"/>
    <w:rsid w:val="005C668A"/>
    <w:rsid w:val="005D36AB"/>
    <w:rsid w:val="005D66D3"/>
    <w:rsid w:val="005E02EE"/>
    <w:rsid w:val="005E146F"/>
    <w:rsid w:val="005E2D0A"/>
    <w:rsid w:val="005E7846"/>
    <w:rsid w:val="005F4E4D"/>
    <w:rsid w:val="005F5BD8"/>
    <w:rsid w:val="00602E54"/>
    <w:rsid w:val="006039BA"/>
    <w:rsid w:val="00603F6F"/>
    <w:rsid w:val="006042A9"/>
    <w:rsid w:val="00607949"/>
    <w:rsid w:val="006107A7"/>
    <w:rsid w:val="00612566"/>
    <w:rsid w:val="006136E6"/>
    <w:rsid w:val="00613B2D"/>
    <w:rsid w:val="00613F36"/>
    <w:rsid w:val="00616B05"/>
    <w:rsid w:val="00616CAC"/>
    <w:rsid w:val="00617CC3"/>
    <w:rsid w:val="0062016F"/>
    <w:rsid w:val="006228C2"/>
    <w:rsid w:val="006266F1"/>
    <w:rsid w:val="00627E3B"/>
    <w:rsid w:val="00630A1F"/>
    <w:rsid w:val="00632940"/>
    <w:rsid w:val="006338A0"/>
    <w:rsid w:val="00634C7C"/>
    <w:rsid w:val="00634D66"/>
    <w:rsid w:val="0063543E"/>
    <w:rsid w:val="00635A1F"/>
    <w:rsid w:val="0063772A"/>
    <w:rsid w:val="006377A6"/>
    <w:rsid w:val="00637A3D"/>
    <w:rsid w:val="00640B37"/>
    <w:rsid w:val="006411EF"/>
    <w:rsid w:val="00641F6B"/>
    <w:rsid w:val="00647705"/>
    <w:rsid w:val="00647AFD"/>
    <w:rsid w:val="0065296B"/>
    <w:rsid w:val="006608DC"/>
    <w:rsid w:val="006625E8"/>
    <w:rsid w:val="00664DB1"/>
    <w:rsid w:val="00664E8E"/>
    <w:rsid w:val="00665060"/>
    <w:rsid w:val="006654C6"/>
    <w:rsid w:val="00665596"/>
    <w:rsid w:val="00666685"/>
    <w:rsid w:val="00667B70"/>
    <w:rsid w:val="0067066A"/>
    <w:rsid w:val="00670F18"/>
    <w:rsid w:val="00672107"/>
    <w:rsid w:val="00672D86"/>
    <w:rsid w:val="00674860"/>
    <w:rsid w:val="006748B8"/>
    <w:rsid w:val="006775C3"/>
    <w:rsid w:val="0068002F"/>
    <w:rsid w:val="006817F9"/>
    <w:rsid w:val="00683C5A"/>
    <w:rsid w:val="0068461C"/>
    <w:rsid w:val="006849EE"/>
    <w:rsid w:val="00684AFE"/>
    <w:rsid w:val="00685F5B"/>
    <w:rsid w:val="00686707"/>
    <w:rsid w:val="006913D8"/>
    <w:rsid w:val="006928D3"/>
    <w:rsid w:val="0069290A"/>
    <w:rsid w:val="00695F1C"/>
    <w:rsid w:val="00695F6A"/>
    <w:rsid w:val="0069775A"/>
    <w:rsid w:val="00697813"/>
    <w:rsid w:val="006A0904"/>
    <w:rsid w:val="006A31E2"/>
    <w:rsid w:val="006A3270"/>
    <w:rsid w:val="006A3EE8"/>
    <w:rsid w:val="006A4C83"/>
    <w:rsid w:val="006A72BF"/>
    <w:rsid w:val="006B03F2"/>
    <w:rsid w:val="006B0B7B"/>
    <w:rsid w:val="006B37DC"/>
    <w:rsid w:val="006B4F68"/>
    <w:rsid w:val="006B74F6"/>
    <w:rsid w:val="006C01EA"/>
    <w:rsid w:val="006C0592"/>
    <w:rsid w:val="006C1CED"/>
    <w:rsid w:val="006C2570"/>
    <w:rsid w:val="006C272E"/>
    <w:rsid w:val="006C392F"/>
    <w:rsid w:val="006C3F0E"/>
    <w:rsid w:val="006C4DAC"/>
    <w:rsid w:val="006C5479"/>
    <w:rsid w:val="006C58C9"/>
    <w:rsid w:val="006C5CA1"/>
    <w:rsid w:val="006C6F80"/>
    <w:rsid w:val="006D0AA3"/>
    <w:rsid w:val="006D13B5"/>
    <w:rsid w:val="006D1F51"/>
    <w:rsid w:val="006D26D4"/>
    <w:rsid w:val="006D302D"/>
    <w:rsid w:val="006D491E"/>
    <w:rsid w:val="006D5138"/>
    <w:rsid w:val="006D7049"/>
    <w:rsid w:val="006D73AE"/>
    <w:rsid w:val="006D7AF1"/>
    <w:rsid w:val="006E01AD"/>
    <w:rsid w:val="006E0257"/>
    <w:rsid w:val="006E0B30"/>
    <w:rsid w:val="006E0E95"/>
    <w:rsid w:val="006E12FF"/>
    <w:rsid w:val="006E19FA"/>
    <w:rsid w:val="006E2FC4"/>
    <w:rsid w:val="006E4EC0"/>
    <w:rsid w:val="006E607E"/>
    <w:rsid w:val="006F15AD"/>
    <w:rsid w:val="006F2F14"/>
    <w:rsid w:val="006F4882"/>
    <w:rsid w:val="006F58EA"/>
    <w:rsid w:val="006F5FA3"/>
    <w:rsid w:val="006F7431"/>
    <w:rsid w:val="00702902"/>
    <w:rsid w:val="00706148"/>
    <w:rsid w:val="007068BF"/>
    <w:rsid w:val="00706C5D"/>
    <w:rsid w:val="00707B8B"/>
    <w:rsid w:val="00710A7C"/>
    <w:rsid w:val="00710BCE"/>
    <w:rsid w:val="00712D26"/>
    <w:rsid w:val="00713E4D"/>
    <w:rsid w:val="00715167"/>
    <w:rsid w:val="00715880"/>
    <w:rsid w:val="00715C8B"/>
    <w:rsid w:val="00722D15"/>
    <w:rsid w:val="00725CC9"/>
    <w:rsid w:val="0072715B"/>
    <w:rsid w:val="007276B8"/>
    <w:rsid w:val="0073065D"/>
    <w:rsid w:val="007308D1"/>
    <w:rsid w:val="007309B6"/>
    <w:rsid w:val="00730BDF"/>
    <w:rsid w:val="00731348"/>
    <w:rsid w:val="00732242"/>
    <w:rsid w:val="00732922"/>
    <w:rsid w:val="00734851"/>
    <w:rsid w:val="00734BFB"/>
    <w:rsid w:val="00742FC9"/>
    <w:rsid w:val="00744931"/>
    <w:rsid w:val="0075162E"/>
    <w:rsid w:val="00752A3A"/>
    <w:rsid w:val="00752ED4"/>
    <w:rsid w:val="00753F9C"/>
    <w:rsid w:val="00754034"/>
    <w:rsid w:val="00755AB8"/>
    <w:rsid w:val="00756556"/>
    <w:rsid w:val="007618C4"/>
    <w:rsid w:val="00761B29"/>
    <w:rsid w:val="007639C6"/>
    <w:rsid w:val="00763C5F"/>
    <w:rsid w:val="00764A97"/>
    <w:rsid w:val="007655FD"/>
    <w:rsid w:val="007663AB"/>
    <w:rsid w:val="00766A8D"/>
    <w:rsid w:val="00767980"/>
    <w:rsid w:val="00770B19"/>
    <w:rsid w:val="00772925"/>
    <w:rsid w:val="00773EC3"/>
    <w:rsid w:val="0077449D"/>
    <w:rsid w:val="0077463F"/>
    <w:rsid w:val="00774FE0"/>
    <w:rsid w:val="0077568D"/>
    <w:rsid w:val="007800BA"/>
    <w:rsid w:val="00780623"/>
    <w:rsid w:val="00782944"/>
    <w:rsid w:val="007836EA"/>
    <w:rsid w:val="00784CDA"/>
    <w:rsid w:val="007854A7"/>
    <w:rsid w:val="007866AC"/>
    <w:rsid w:val="00787DF8"/>
    <w:rsid w:val="007906C4"/>
    <w:rsid w:val="00791026"/>
    <w:rsid w:val="00791316"/>
    <w:rsid w:val="00791FF3"/>
    <w:rsid w:val="00792891"/>
    <w:rsid w:val="00792A01"/>
    <w:rsid w:val="007940EA"/>
    <w:rsid w:val="007946A0"/>
    <w:rsid w:val="007967E8"/>
    <w:rsid w:val="007A117F"/>
    <w:rsid w:val="007A178D"/>
    <w:rsid w:val="007A2170"/>
    <w:rsid w:val="007A22BF"/>
    <w:rsid w:val="007A275E"/>
    <w:rsid w:val="007A3323"/>
    <w:rsid w:val="007A6F2F"/>
    <w:rsid w:val="007B33E0"/>
    <w:rsid w:val="007B4F78"/>
    <w:rsid w:val="007B6E29"/>
    <w:rsid w:val="007B72B8"/>
    <w:rsid w:val="007B7A58"/>
    <w:rsid w:val="007C21B5"/>
    <w:rsid w:val="007C21F4"/>
    <w:rsid w:val="007C24DA"/>
    <w:rsid w:val="007C43F9"/>
    <w:rsid w:val="007C45B9"/>
    <w:rsid w:val="007C4695"/>
    <w:rsid w:val="007C5245"/>
    <w:rsid w:val="007C6B93"/>
    <w:rsid w:val="007C7EF3"/>
    <w:rsid w:val="007D4135"/>
    <w:rsid w:val="007D52F7"/>
    <w:rsid w:val="007D58DA"/>
    <w:rsid w:val="007D5C3E"/>
    <w:rsid w:val="007E0B1A"/>
    <w:rsid w:val="007E0CFA"/>
    <w:rsid w:val="007E4BD2"/>
    <w:rsid w:val="007E6834"/>
    <w:rsid w:val="007F1D13"/>
    <w:rsid w:val="007F38E0"/>
    <w:rsid w:val="007F6255"/>
    <w:rsid w:val="007F660B"/>
    <w:rsid w:val="00801393"/>
    <w:rsid w:val="00802822"/>
    <w:rsid w:val="00802F88"/>
    <w:rsid w:val="00805318"/>
    <w:rsid w:val="00805570"/>
    <w:rsid w:val="00805EB5"/>
    <w:rsid w:val="00805F9B"/>
    <w:rsid w:val="00806C12"/>
    <w:rsid w:val="00806FE4"/>
    <w:rsid w:val="00811C1C"/>
    <w:rsid w:val="00811ED1"/>
    <w:rsid w:val="0081293E"/>
    <w:rsid w:val="00812F78"/>
    <w:rsid w:val="00813B18"/>
    <w:rsid w:val="00814B13"/>
    <w:rsid w:val="00815465"/>
    <w:rsid w:val="00815D7F"/>
    <w:rsid w:val="00816925"/>
    <w:rsid w:val="00816B5E"/>
    <w:rsid w:val="00816BA8"/>
    <w:rsid w:val="00817550"/>
    <w:rsid w:val="00817E9A"/>
    <w:rsid w:val="008237C1"/>
    <w:rsid w:val="00826A3B"/>
    <w:rsid w:val="008306BD"/>
    <w:rsid w:val="00831A80"/>
    <w:rsid w:val="008331A0"/>
    <w:rsid w:val="00833743"/>
    <w:rsid w:val="008340A4"/>
    <w:rsid w:val="0083678D"/>
    <w:rsid w:val="00837A05"/>
    <w:rsid w:val="0084155A"/>
    <w:rsid w:val="0084218A"/>
    <w:rsid w:val="008421AA"/>
    <w:rsid w:val="00842A82"/>
    <w:rsid w:val="00842CB2"/>
    <w:rsid w:val="008430BD"/>
    <w:rsid w:val="0084359B"/>
    <w:rsid w:val="00843989"/>
    <w:rsid w:val="0084431C"/>
    <w:rsid w:val="00847693"/>
    <w:rsid w:val="00850068"/>
    <w:rsid w:val="00851DB2"/>
    <w:rsid w:val="0085299F"/>
    <w:rsid w:val="00852B8E"/>
    <w:rsid w:val="008532D8"/>
    <w:rsid w:val="00853E6D"/>
    <w:rsid w:val="00855870"/>
    <w:rsid w:val="00856ADB"/>
    <w:rsid w:val="0086173E"/>
    <w:rsid w:val="00861FAF"/>
    <w:rsid w:val="008637DF"/>
    <w:rsid w:val="00864B23"/>
    <w:rsid w:val="00866F54"/>
    <w:rsid w:val="008671DE"/>
    <w:rsid w:val="00867FFD"/>
    <w:rsid w:val="0087135F"/>
    <w:rsid w:val="00872D94"/>
    <w:rsid w:val="00876AF3"/>
    <w:rsid w:val="00876F4F"/>
    <w:rsid w:val="00880364"/>
    <w:rsid w:val="00881E0C"/>
    <w:rsid w:val="00882FB7"/>
    <w:rsid w:val="0088500C"/>
    <w:rsid w:val="00885208"/>
    <w:rsid w:val="008878D1"/>
    <w:rsid w:val="00891592"/>
    <w:rsid w:val="00891E9E"/>
    <w:rsid w:val="00895CA6"/>
    <w:rsid w:val="00895F82"/>
    <w:rsid w:val="0089713B"/>
    <w:rsid w:val="008A0E39"/>
    <w:rsid w:val="008A27FF"/>
    <w:rsid w:val="008A2A0B"/>
    <w:rsid w:val="008A2F68"/>
    <w:rsid w:val="008A66E1"/>
    <w:rsid w:val="008A6EB6"/>
    <w:rsid w:val="008B0A48"/>
    <w:rsid w:val="008B26B3"/>
    <w:rsid w:val="008B34FF"/>
    <w:rsid w:val="008B42B0"/>
    <w:rsid w:val="008B4FA6"/>
    <w:rsid w:val="008B5282"/>
    <w:rsid w:val="008B5868"/>
    <w:rsid w:val="008B63AA"/>
    <w:rsid w:val="008B7009"/>
    <w:rsid w:val="008B7C17"/>
    <w:rsid w:val="008C1431"/>
    <w:rsid w:val="008C19D7"/>
    <w:rsid w:val="008C2D01"/>
    <w:rsid w:val="008C3BF0"/>
    <w:rsid w:val="008C3CEE"/>
    <w:rsid w:val="008C40E6"/>
    <w:rsid w:val="008C5569"/>
    <w:rsid w:val="008C6807"/>
    <w:rsid w:val="008D0F7A"/>
    <w:rsid w:val="008D16D1"/>
    <w:rsid w:val="008D1941"/>
    <w:rsid w:val="008D1B45"/>
    <w:rsid w:val="008D58D3"/>
    <w:rsid w:val="008D68E4"/>
    <w:rsid w:val="008D6F52"/>
    <w:rsid w:val="008E014E"/>
    <w:rsid w:val="008E0506"/>
    <w:rsid w:val="008E0CFF"/>
    <w:rsid w:val="008E26E6"/>
    <w:rsid w:val="008E5AA6"/>
    <w:rsid w:val="008E5D6B"/>
    <w:rsid w:val="008E61A9"/>
    <w:rsid w:val="008E635F"/>
    <w:rsid w:val="008E6470"/>
    <w:rsid w:val="008E76F0"/>
    <w:rsid w:val="008F15FE"/>
    <w:rsid w:val="008F202D"/>
    <w:rsid w:val="008F2D29"/>
    <w:rsid w:val="008F348D"/>
    <w:rsid w:val="008F38DA"/>
    <w:rsid w:val="008F4F83"/>
    <w:rsid w:val="008F5187"/>
    <w:rsid w:val="008F60D8"/>
    <w:rsid w:val="00900B8D"/>
    <w:rsid w:val="00902240"/>
    <w:rsid w:val="00902727"/>
    <w:rsid w:val="0090312B"/>
    <w:rsid w:val="00903237"/>
    <w:rsid w:val="00904B9B"/>
    <w:rsid w:val="00905220"/>
    <w:rsid w:val="009071DF"/>
    <w:rsid w:val="00907DD8"/>
    <w:rsid w:val="00907FC7"/>
    <w:rsid w:val="009101B9"/>
    <w:rsid w:val="009108CB"/>
    <w:rsid w:val="009124E2"/>
    <w:rsid w:val="00915C21"/>
    <w:rsid w:val="0091736D"/>
    <w:rsid w:val="009176D2"/>
    <w:rsid w:val="00917723"/>
    <w:rsid w:val="00920034"/>
    <w:rsid w:val="00924B43"/>
    <w:rsid w:val="00925423"/>
    <w:rsid w:val="009257F0"/>
    <w:rsid w:val="00925855"/>
    <w:rsid w:val="00925E60"/>
    <w:rsid w:val="0093037A"/>
    <w:rsid w:val="00931295"/>
    <w:rsid w:val="0093384F"/>
    <w:rsid w:val="00937190"/>
    <w:rsid w:val="0094154D"/>
    <w:rsid w:val="00941B5D"/>
    <w:rsid w:val="00942F83"/>
    <w:rsid w:val="009438BF"/>
    <w:rsid w:val="00944F34"/>
    <w:rsid w:val="00945066"/>
    <w:rsid w:val="009466E4"/>
    <w:rsid w:val="00946E10"/>
    <w:rsid w:val="00950ADE"/>
    <w:rsid w:val="0095155F"/>
    <w:rsid w:val="00953CE1"/>
    <w:rsid w:val="00954429"/>
    <w:rsid w:val="009563CE"/>
    <w:rsid w:val="00956F1F"/>
    <w:rsid w:val="0096243A"/>
    <w:rsid w:val="009631A8"/>
    <w:rsid w:val="00965D29"/>
    <w:rsid w:val="00976328"/>
    <w:rsid w:val="009763A0"/>
    <w:rsid w:val="0097663A"/>
    <w:rsid w:val="0097680D"/>
    <w:rsid w:val="00976931"/>
    <w:rsid w:val="00977BAE"/>
    <w:rsid w:val="0098038D"/>
    <w:rsid w:val="00980593"/>
    <w:rsid w:val="0098075E"/>
    <w:rsid w:val="00980C04"/>
    <w:rsid w:val="00982438"/>
    <w:rsid w:val="00982D12"/>
    <w:rsid w:val="00982EC4"/>
    <w:rsid w:val="00983A0B"/>
    <w:rsid w:val="00983EA7"/>
    <w:rsid w:val="0098404C"/>
    <w:rsid w:val="009847DF"/>
    <w:rsid w:val="00984B19"/>
    <w:rsid w:val="00985283"/>
    <w:rsid w:val="00985A3F"/>
    <w:rsid w:val="00985B3A"/>
    <w:rsid w:val="009917E2"/>
    <w:rsid w:val="0099237E"/>
    <w:rsid w:val="00994ED7"/>
    <w:rsid w:val="00995158"/>
    <w:rsid w:val="00995992"/>
    <w:rsid w:val="009A03E5"/>
    <w:rsid w:val="009A0F3B"/>
    <w:rsid w:val="009A1BB4"/>
    <w:rsid w:val="009A2628"/>
    <w:rsid w:val="009A3200"/>
    <w:rsid w:val="009A44CB"/>
    <w:rsid w:val="009A7443"/>
    <w:rsid w:val="009B0897"/>
    <w:rsid w:val="009B10F7"/>
    <w:rsid w:val="009B2FCE"/>
    <w:rsid w:val="009B461D"/>
    <w:rsid w:val="009B74C8"/>
    <w:rsid w:val="009B76BC"/>
    <w:rsid w:val="009B7BD9"/>
    <w:rsid w:val="009C2D92"/>
    <w:rsid w:val="009C335C"/>
    <w:rsid w:val="009C3443"/>
    <w:rsid w:val="009C6BC9"/>
    <w:rsid w:val="009C794D"/>
    <w:rsid w:val="009C7DD5"/>
    <w:rsid w:val="009E227D"/>
    <w:rsid w:val="009E3029"/>
    <w:rsid w:val="009E5019"/>
    <w:rsid w:val="009E5214"/>
    <w:rsid w:val="009F047E"/>
    <w:rsid w:val="009F3BB2"/>
    <w:rsid w:val="009F43C6"/>
    <w:rsid w:val="009F7958"/>
    <w:rsid w:val="00A006F9"/>
    <w:rsid w:val="00A02D29"/>
    <w:rsid w:val="00A035C9"/>
    <w:rsid w:val="00A039CE"/>
    <w:rsid w:val="00A040C3"/>
    <w:rsid w:val="00A040DF"/>
    <w:rsid w:val="00A04F1B"/>
    <w:rsid w:val="00A0501B"/>
    <w:rsid w:val="00A0723A"/>
    <w:rsid w:val="00A10F92"/>
    <w:rsid w:val="00A12E20"/>
    <w:rsid w:val="00A1305D"/>
    <w:rsid w:val="00A13CA5"/>
    <w:rsid w:val="00A14522"/>
    <w:rsid w:val="00A14947"/>
    <w:rsid w:val="00A2165F"/>
    <w:rsid w:val="00A23BB2"/>
    <w:rsid w:val="00A26E3B"/>
    <w:rsid w:val="00A305DC"/>
    <w:rsid w:val="00A32568"/>
    <w:rsid w:val="00A32A83"/>
    <w:rsid w:val="00A34FED"/>
    <w:rsid w:val="00A35D84"/>
    <w:rsid w:val="00A368DB"/>
    <w:rsid w:val="00A40483"/>
    <w:rsid w:val="00A41BC7"/>
    <w:rsid w:val="00A423AA"/>
    <w:rsid w:val="00A44832"/>
    <w:rsid w:val="00A449A5"/>
    <w:rsid w:val="00A449E5"/>
    <w:rsid w:val="00A466B1"/>
    <w:rsid w:val="00A52CFC"/>
    <w:rsid w:val="00A53EC6"/>
    <w:rsid w:val="00A55C0F"/>
    <w:rsid w:val="00A57A7B"/>
    <w:rsid w:val="00A6054F"/>
    <w:rsid w:val="00A61571"/>
    <w:rsid w:val="00A6306F"/>
    <w:rsid w:val="00A674B7"/>
    <w:rsid w:val="00A711FD"/>
    <w:rsid w:val="00A731FA"/>
    <w:rsid w:val="00A80151"/>
    <w:rsid w:val="00A82C21"/>
    <w:rsid w:val="00A833D8"/>
    <w:rsid w:val="00A84069"/>
    <w:rsid w:val="00A8713F"/>
    <w:rsid w:val="00A87E30"/>
    <w:rsid w:val="00A90BA1"/>
    <w:rsid w:val="00A90E6A"/>
    <w:rsid w:val="00A93275"/>
    <w:rsid w:val="00A97A9A"/>
    <w:rsid w:val="00AA0671"/>
    <w:rsid w:val="00AA0CCA"/>
    <w:rsid w:val="00AA124B"/>
    <w:rsid w:val="00AA1F20"/>
    <w:rsid w:val="00AA2531"/>
    <w:rsid w:val="00AA2A4C"/>
    <w:rsid w:val="00AA38C3"/>
    <w:rsid w:val="00AA6C37"/>
    <w:rsid w:val="00AA746A"/>
    <w:rsid w:val="00AA7ADD"/>
    <w:rsid w:val="00AB1E09"/>
    <w:rsid w:val="00AB3249"/>
    <w:rsid w:val="00AB5330"/>
    <w:rsid w:val="00AB731F"/>
    <w:rsid w:val="00AB7747"/>
    <w:rsid w:val="00AC117C"/>
    <w:rsid w:val="00AC14CE"/>
    <w:rsid w:val="00AC2A56"/>
    <w:rsid w:val="00AC3364"/>
    <w:rsid w:val="00AC3E98"/>
    <w:rsid w:val="00AC4A7C"/>
    <w:rsid w:val="00AD055E"/>
    <w:rsid w:val="00AD0BD4"/>
    <w:rsid w:val="00AD2527"/>
    <w:rsid w:val="00AD2C1B"/>
    <w:rsid w:val="00AD3B1D"/>
    <w:rsid w:val="00AD47A7"/>
    <w:rsid w:val="00AD7541"/>
    <w:rsid w:val="00AE0FAF"/>
    <w:rsid w:val="00AE247F"/>
    <w:rsid w:val="00AE2D8F"/>
    <w:rsid w:val="00AE3B66"/>
    <w:rsid w:val="00AE4647"/>
    <w:rsid w:val="00AE548B"/>
    <w:rsid w:val="00AE61BF"/>
    <w:rsid w:val="00AE78AB"/>
    <w:rsid w:val="00AF0CBF"/>
    <w:rsid w:val="00AF161B"/>
    <w:rsid w:val="00AF257F"/>
    <w:rsid w:val="00AF33CF"/>
    <w:rsid w:val="00AF430C"/>
    <w:rsid w:val="00AF4D50"/>
    <w:rsid w:val="00AF5AF9"/>
    <w:rsid w:val="00AF6179"/>
    <w:rsid w:val="00AF627E"/>
    <w:rsid w:val="00AF6A9F"/>
    <w:rsid w:val="00AF7714"/>
    <w:rsid w:val="00B00AF5"/>
    <w:rsid w:val="00B0166A"/>
    <w:rsid w:val="00B01C6E"/>
    <w:rsid w:val="00B05173"/>
    <w:rsid w:val="00B062DE"/>
    <w:rsid w:val="00B10B61"/>
    <w:rsid w:val="00B11571"/>
    <w:rsid w:val="00B12019"/>
    <w:rsid w:val="00B1295A"/>
    <w:rsid w:val="00B1437E"/>
    <w:rsid w:val="00B1497A"/>
    <w:rsid w:val="00B14DE7"/>
    <w:rsid w:val="00B16900"/>
    <w:rsid w:val="00B17C14"/>
    <w:rsid w:val="00B20A45"/>
    <w:rsid w:val="00B20CDE"/>
    <w:rsid w:val="00B22C5C"/>
    <w:rsid w:val="00B22D32"/>
    <w:rsid w:val="00B23DF2"/>
    <w:rsid w:val="00B24BB6"/>
    <w:rsid w:val="00B24F30"/>
    <w:rsid w:val="00B255F1"/>
    <w:rsid w:val="00B26A6B"/>
    <w:rsid w:val="00B300B6"/>
    <w:rsid w:val="00B3060A"/>
    <w:rsid w:val="00B313B0"/>
    <w:rsid w:val="00B31860"/>
    <w:rsid w:val="00B3186F"/>
    <w:rsid w:val="00B31ABF"/>
    <w:rsid w:val="00B33BE3"/>
    <w:rsid w:val="00B34176"/>
    <w:rsid w:val="00B35B51"/>
    <w:rsid w:val="00B41371"/>
    <w:rsid w:val="00B4209D"/>
    <w:rsid w:val="00B42C30"/>
    <w:rsid w:val="00B42C71"/>
    <w:rsid w:val="00B43118"/>
    <w:rsid w:val="00B44E96"/>
    <w:rsid w:val="00B45004"/>
    <w:rsid w:val="00B45709"/>
    <w:rsid w:val="00B45B2B"/>
    <w:rsid w:val="00B50E56"/>
    <w:rsid w:val="00B51E3A"/>
    <w:rsid w:val="00B53B5D"/>
    <w:rsid w:val="00B5459C"/>
    <w:rsid w:val="00B54AA0"/>
    <w:rsid w:val="00B5656D"/>
    <w:rsid w:val="00B6055E"/>
    <w:rsid w:val="00B609BF"/>
    <w:rsid w:val="00B625A7"/>
    <w:rsid w:val="00B6317D"/>
    <w:rsid w:val="00B63FCE"/>
    <w:rsid w:val="00B657FE"/>
    <w:rsid w:val="00B66393"/>
    <w:rsid w:val="00B74388"/>
    <w:rsid w:val="00B749D2"/>
    <w:rsid w:val="00B75BC8"/>
    <w:rsid w:val="00B7723F"/>
    <w:rsid w:val="00B77344"/>
    <w:rsid w:val="00B80534"/>
    <w:rsid w:val="00B80C01"/>
    <w:rsid w:val="00B8243D"/>
    <w:rsid w:val="00B8433C"/>
    <w:rsid w:val="00B87491"/>
    <w:rsid w:val="00B90BCB"/>
    <w:rsid w:val="00B90ED0"/>
    <w:rsid w:val="00B93210"/>
    <w:rsid w:val="00B95965"/>
    <w:rsid w:val="00B97579"/>
    <w:rsid w:val="00B97AFA"/>
    <w:rsid w:val="00BA06CC"/>
    <w:rsid w:val="00BA294A"/>
    <w:rsid w:val="00BA29E9"/>
    <w:rsid w:val="00BA3B38"/>
    <w:rsid w:val="00BA50A5"/>
    <w:rsid w:val="00BA624D"/>
    <w:rsid w:val="00BA7142"/>
    <w:rsid w:val="00BA796F"/>
    <w:rsid w:val="00BB0D65"/>
    <w:rsid w:val="00BB1C97"/>
    <w:rsid w:val="00BB237C"/>
    <w:rsid w:val="00BB23D7"/>
    <w:rsid w:val="00BB3734"/>
    <w:rsid w:val="00BB41A3"/>
    <w:rsid w:val="00BB7756"/>
    <w:rsid w:val="00BC18F7"/>
    <w:rsid w:val="00BC2DF0"/>
    <w:rsid w:val="00BC32DC"/>
    <w:rsid w:val="00BC35B6"/>
    <w:rsid w:val="00BC6BD1"/>
    <w:rsid w:val="00BD0EF9"/>
    <w:rsid w:val="00BD18D4"/>
    <w:rsid w:val="00BD1B51"/>
    <w:rsid w:val="00BD424E"/>
    <w:rsid w:val="00BD4596"/>
    <w:rsid w:val="00BD48D0"/>
    <w:rsid w:val="00BD49A4"/>
    <w:rsid w:val="00BE1405"/>
    <w:rsid w:val="00BE312D"/>
    <w:rsid w:val="00BE428D"/>
    <w:rsid w:val="00BE4B0E"/>
    <w:rsid w:val="00BE6249"/>
    <w:rsid w:val="00BE7ADA"/>
    <w:rsid w:val="00BF133F"/>
    <w:rsid w:val="00BF1B95"/>
    <w:rsid w:val="00BF1C20"/>
    <w:rsid w:val="00BF26C2"/>
    <w:rsid w:val="00BF4C61"/>
    <w:rsid w:val="00BF4DA4"/>
    <w:rsid w:val="00BF5F87"/>
    <w:rsid w:val="00BF7E3A"/>
    <w:rsid w:val="00C00324"/>
    <w:rsid w:val="00C008FF"/>
    <w:rsid w:val="00C00E37"/>
    <w:rsid w:val="00C043C7"/>
    <w:rsid w:val="00C04D6E"/>
    <w:rsid w:val="00C05A93"/>
    <w:rsid w:val="00C10013"/>
    <w:rsid w:val="00C10578"/>
    <w:rsid w:val="00C1155A"/>
    <w:rsid w:val="00C121CE"/>
    <w:rsid w:val="00C135BC"/>
    <w:rsid w:val="00C13F4E"/>
    <w:rsid w:val="00C1472C"/>
    <w:rsid w:val="00C15C95"/>
    <w:rsid w:val="00C16DDA"/>
    <w:rsid w:val="00C17C41"/>
    <w:rsid w:val="00C20917"/>
    <w:rsid w:val="00C21B30"/>
    <w:rsid w:val="00C23B22"/>
    <w:rsid w:val="00C2596A"/>
    <w:rsid w:val="00C26B52"/>
    <w:rsid w:val="00C27537"/>
    <w:rsid w:val="00C304D1"/>
    <w:rsid w:val="00C328FE"/>
    <w:rsid w:val="00C33128"/>
    <w:rsid w:val="00C33507"/>
    <w:rsid w:val="00C361C6"/>
    <w:rsid w:val="00C377F4"/>
    <w:rsid w:val="00C37A35"/>
    <w:rsid w:val="00C37E21"/>
    <w:rsid w:val="00C40C17"/>
    <w:rsid w:val="00C42542"/>
    <w:rsid w:val="00C437E0"/>
    <w:rsid w:val="00C4409D"/>
    <w:rsid w:val="00C44E72"/>
    <w:rsid w:val="00C45A06"/>
    <w:rsid w:val="00C47E5B"/>
    <w:rsid w:val="00C5021B"/>
    <w:rsid w:val="00C5753E"/>
    <w:rsid w:val="00C61D20"/>
    <w:rsid w:val="00C61E4B"/>
    <w:rsid w:val="00C64845"/>
    <w:rsid w:val="00C64BFF"/>
    <w:rsid w:val="00C65122"/>
    <w:rsid w:val="00C661E0"/>
    <w:rsid w:val="00C704E9"/>
    <w:rsid w:val="00C71028"/>
    <w:rsid w:val="00C724A1"/>
    <w:rsid w:val="00C73776"/>
    <w:rsid w:val="00C763C9"/>
    <w:rsid w:val="00C77037"/>
    <w:rsid w:val="00C80057"/>
    <w:rsid w:val="00C82232"/>
    <w:rsid w:val="00C82913"/>
    <w:rsid w:val="00C83D85"/>
    <w:rsid w:val="00C85C7F"/>
    <w:rsid w:val="00C85EB5"/>
    <w:rsid w:val="00C86164"/>
    <w:rsid w:val="00C90F50"/>
    <w:rsid w:val="00C915EB"/>
    <w:rsid w:val="00C94678"/>
    <w:rsid w:val="00C9487B"/>
    <w:rsid w:val="00C95748"/>
    <w:rsid w:val="00C96AE5"/>
    <w:rsid w:val="00C972B1"/>
    <w:rsid w:val="00CA0DA4"/>
    <w:rsid w:val="00CA23A3"/>
    <w:rsid w:val="00CA2649"/>
    <w:rsid w:val="00CA2CCE"/>
    <w:rsid w:val="00CA43FD"/>
    <w:rsid w:val="00CA76F9"/>
    <w:rsid w:val="00CA7EF8"/>
    <w:rsid w:val="00CB1B55"/>
    <w:rsid w:val="00CB1EB4"/>
    <w:rsid w:val="00CB1FBC"/>
    <w:rsid w:val="00CB4E5E"/>
    <w:rsid w:val="00CB69E2"/>
    <w:rsid w:val="00CB6AE5"/>
    <w:rsid w:val="00CC1637"/>
    <w:rsid w:val="00CC2DCC"/>
    <w:rsid w:val="00CC489B"/>
    <w:rsid w:val="00CC6825"/>
    <w:rsid w:val="00CD0F5D"/>
    <w:rsid w:val="00CD1DA9"/>
    <w:rsid w:val="00CD2BCD"/>
    <w:rsid w:val="00CD3A4C"/>
    <w:rsid w:val="00CD5759"/>
    <w:rsid w:val="00CD576B"/>
    <w:rsid w:val="00CD6A78"/>
    <w:rsid w:val="00CD746A"/>
    <w:rsid w:val="00CE04CC"/>
    <w:rsid w:val="00CE10E9"/>
    <w:rsid w:val="00CE2910"/>
    <w:rsid w:val="00CE2B2C"/>
    <w:rsid w:val="00CE3E77"/>
    <w:rsid w:val="00CE5109"/>
    <w:rsid w:val="00CE5393"/>
    <w:rsid w:val="00CE65EB"/>
    <w:rsid w:val="00CE7A39"/>
    <w:rsid w:val="00CF2406"/>
    <w:rsid w:val="00CF36BE"/>
    <w:rsid w:val="00CF5045"/>
    <w:rsid w:val="00CF50C3"/>
    <w:rsid w:val="00CF6000"/>
    <w:rsid w:val="00CF7221"/>
    <w:rsid w:val="00CF7294"/>
    <w:rsid w:val="00CF7D09"/>
    <w:rsid w:val="00D003F3"/>
    <w:rsid w:val="00D00C63"/>
    <w:rsid w:val="00D01278"/>
    <w:rsid w:val="00D012D0"/>
    <w:rsid w:val="00D0364F"/>
    <w:rsid w:val="00D03C15"/>
    <w:rsid w:val="00D0410E"/>
    <w:rsid w:val="00D049D2"/>
    <w:rsid w:val="00D04CB6"/>
    <w:rsid w:val="00D05067"/>
    <w:rsid w:val="00D0650C"/>
    <w:rsid w:val="00D06834"/>
    <w:rsid w:val="00D12B60"/>
    <w:rsid w:val="00D147AC"/>
    <w:rsid w:val="00D148AD"/>
    <w:rsid w:val="00D16414"/>
    <w:rsid w:val="00D23C37"/>
    <w:rsid w:val="00D2629B"/>
    <w:rsid w:val="00D308ED"/>
    <w:rsid w:val="00D31837"/>
    <w:rsid w:val="00D31844"/>
    <w:rsid w:val="00D35AC7"/>
    <w:rsid w:val="00D3672F"/>
    <w:rsid w:val="00D36D86"/>
    <w:rsid w:val="00D376F4"/>
    <w:rsid w:val="00D41425"/>
    <w:rsid w:val="00D41D75"/>
    <w:rsid w:val="00D428AA"/>
    <w:rsid w:val="00D436D2"/>
    <w:rsid w:val="00D459B6"/>
    <w:rsid w:val="00D466EA"/>
    <w:rsid w:val="00D50A34"/>
    <w:rsid w:val="00D514E3"/>
    <w:rsid w:val="00D51CA6"/>
    <w:rsid w:val="00D52432"/>
    <w:rsid w:val="00D53037"/>
    <w:rsid w:val="00D53EFA"/>
    <w:rsid w:val="00D6046E"/>
    <w:rsid w:val="00D63C87"/>
    <w:rsid w:val="00D64E89"/>
    <w:rsid w:val="00D670A8"/>
    <w:rsid w:val="00D67F45"/>
    <w:rsid w:val="00D702C6"/>
    <w:rsid w:val="00D71625"/>
    <w:rsid w:val="00D71E0C"/>
    <w:rsid w:val="00D72B9A"/>
    <w:rsid w:val="00D7663C"/>
    <w:rsid w:val="00D82D47"/>
    <w:rsid w:val="00D830B7"/>
    <w:rsid w:val="00D8397D"/>
    <w:rsid w:val="00D842F7"/>
    <w:rsid w:val="00D90579"/>
    <w:rsid w:val="00D9355E"/>
    <w:rsid w:val="00D94A7C"/>
    <w:rsid w:val="00D94AB1"/>
    <w:rsid w:val="00D94ED3"/>
    <w:rsid w:val="00D952D2"/>
    <w:rsid w:val="00D95896"/>
    <w:rsid w:val="00D95B2A"/>
    <w:rsid w:val="00D9685A"/>
    <w:rsid w:val="00D977C1"/>
    <w:rsid w:val="00DA0F0D"/>
    <w:rsid w:val="00DA23F4"/>
    <w:rsid w:val="00DA4391"/>
    <w:rsid w:val="00DA7043"/>
    <w:rsid w:val="00DB0119"/>
    <w:rsid w:val="00DB1A2C"/>
    <w:rsid w:val="00DB2983"/>
    <w:rsid w:val="00DB4A07"/>
    <w:rsid w:val="00DB55BB"/>
    <w:rsid w:val="00DC1257"/>
    <w:rsid w:val="00DC1373"/>
    <w:rsid w:val="00DC23EF"/>
    <w:rsid w:val="00DC3DC0"/>
    <w:rsid w:val="00DC49AE"/>
    <w:rsid w:val="00DC4E21"/>
    <w:rsid w:val="00DC5B2B"/>
    <w:rsid w:val="00DC6E6A"/>
    <w:rsid w:val="00DC79F3"/>
    <w:rsid w:val="00DD1B29"/>
    <w:rsid w:val="00DD1E0F"/>
    <w:rsid w:val="00DD2CF6"/>
    <w:rsid w:val="00DD318D"/>
    <w:rsid w:val="00DD62BB"/>
    <w:rsid w:val="00DD6DAB"/>
    <w:rsid w:val="00DE1AF3"/>
    <w:rsid w:val="00DE353F"/>
    <w:rsid w:val="00DE5853"/>
    <w:rsid w:val="00DE65AB"/>
    <w:rsid w:val="00DF1B96"/>
    <w:rsid w:val="00DF1E9C"/>
    <w:rsid w:val="00DF2240"/>
    <w:rsid w:val="00DF2E12"/>
    <w:rsid w:val="00DF4236"/>
    <w:rsid w:val="00DF514A"/>
    <w:rsid w:val="00DF5FA7"/>
    <w:rsid w:val="00DF6466"/>
    <w:rsid w:val="00DF6690"/>
    <w:rsid w:val="00DF6804"/>
    <w:rsid w:val="00E00492"/>
    <w:rsid w:val="00E0266D"/>
    <w:rsid w:val="00E0358D"/>
    <w:rsid w:val="00E04323"/>
    <w:rsid w:val="00E06613"/>
    <w:rsid w:val="00E06ED7"/>
    <w:rsid w:val="00E070A2"/>
    <w:rsid w:val="00E10017"/>
    <w:rsid w:val="00E1032A"/>
    <w:rsid w:val="00E10EAF"/>
    <w:rsid w:val="00E11237"/>
    <w:rsid w:val="00E11983"/>
    <w:rsid w:val="00E1262B"/>
    <w:rsid w:val="00E126C7"/>
    <w:rsid w:val="00E13D19"/>
    <w:rsid w:val="00E145EE"/>
    <w:rsid w:val="00E14C5F"/>
    <w:rsid w:val="00E153A8"/>
    <w:rsid w:val="00E1793F"/>
    <w:rsid w:val="00E21333"/>
    <w:rsid w:val="00E2201F"/>
    <w:rsid w:val="00E244E0"/>
    <w:rsid w:val="00E25291"/>
    <w:rsid w:val="00E25643"/>
    <w:rsid w:val="00E25AC7"/>
    <w:rsid w:val="00E2656A"/>
    <w:rsid w:val="00E31B56"/>
    <w:rsid w:val="00E33291"/>
    <w:rsid w:val="00E340B8"/>
    <w:rsid w:val="00E375A7"/>
    <w:rsid w:val="00E412D0"/>
    <w:rsid w:val="00E42C81"/>
    <w:rsid w:val="00E437C6"/>
    <w:rsid w:val="00E465C1"/>
    <w:rsid w:val="00E47411"/>
    <w:rsid w:val="00E47893"/>
    <w:rsid w:val="00E50E1F"/>
    <w:rsid w:val="00E55289"/>
    <w:rsid w:val="00E552DF"/>
    <w:rsid w:val="00E56322"/>
    <w:rsid w:val="00E60982"/>
    <w:rsid w:val="00E60B7F"/>
    <w:rsid w:val="00E60F80"/>
    <w:rsid w:val="00E62C62"/>
    <w:rsid w:val="00E651D1"/>
    <w:rsid w:val="00E654C1"/>
    <w:rsid w:val="00E65D97"/>
    <w:rsid w:val="00E6620E"/>
    <w:rsid w:val="00E67D6E"/>
    <w:rsid w:val="00E708B0"/>
    <w:rsid w:val="00E72A5A"/>
    <w:rsid w:val="00E73354"/>
    <w:rsid w:val="00E77238"/>
    <w:rsid w:val="00E81405"/>
    <w:rsid w:val="00E83FD0"/>
    <w:rsid w:val="00E85B3B"/>
    <w:rsid w:val="00E875A8"/>
    <w:rsid w:val="00E9242D"/>
    <w:rsid w:val="00E9412A"/>
    <w:rsid w:val="00E94994"/>
    <w:rsid w:val="00E9525E"/>
    <w:rsid w:val="00E97511"/>
    <w:rsid w:val="00EA020B"/>
    <w:rsid w:val="00EA0344"/>
    <w:rsid w:val="00EA11E4"/>
    <w:rsid w:val="00EA138E"/>
    <w:rsid w:val="00EA32EE"/>
    <w:rsid w:val="00EA3A71"/>
    <w:rsid w:val="00EA584B"/>
    <w:rsid w:val="00EA6834"/>
    <w:rsid w:val="00EA7672"/>
    <w:rsid w:val="00EB3D10"/>
    <w:rsid w:val="00EB5195"/>
    <w:rsid w:val="00EB5255"/>
    <w:rsid w:val="00EB5B2B"/>
    <w:rsid w:val="00EB5B6F"/>
    <w:rsid w:val="00EB5C47"/>
    <w:rsid w:val="00EB6AC1"/>
    <w:rsid w:val="00EC0289"/>
    <w:rsid w:val="00EC4F83"/>
    <w:rsid w:val="00EC53CF"/>
    <w:rsid w:val="00EC64DC"/>
    <w:rsid w:val="00EC7400"/>
    <w:rsid w:val="00EC7AA1"/>
    <w:rsid w:val="00ED0639"/>
    <w:rsid w:val="00ED09BD"/>
    <w:rsid w:val="00ED1924"/>
    <w:rsid w:val="00ED480D"/>
    <w:rsid w:val="00ED6038"/>
    <w:rsid w:val="00EE2C4B"/>
    <w:rsid w:val="00EE4C9C"/>
    <w:rsid w:val="00EF00CF"/>
    <w:rsid w:val="00EF1900"/>
    <w:rsid w:val="00EF1BDA"/>
    <w:rsid w:val="00EF2C35"/>
    <w:rsid w:val="00EF36D4"/>
    <w:rsid w:val="00EF4755"/>
    <w:rsid w:val="00EF6E6E"/>
    <w:rsid w:val="00EF7135"/>
    <w:rsid w:val="00EF7546"/>
    <w:rsid w:val="00F027DB"/>
    <w:rsid w:val="00F0362F"/>
    <w:rsid w:val="00F102E5"/>
    <w:rsid w:val="00F11B28"/>
    <w:rsid w:val="00F13B24"/>
    <w:rsid w:val="00F141DC"/>
    <w:rsid w:val="00F14A7A"/>
    <w:rsid w:val="00F15EDA"/>
    <w:rsid w:val="00F21D24"/>
    <w:rsid w:val="00F2249F"/>
    <w:rsid w:val="00F22985"/>
    <w:rsid w:val="00F23926"/>
    <w:rsid w:val="00F24B36"/>
    <w:rsid w:val="00F26EE2"/>
    <w:rsid w:val="00F27E89"/>
    <w:rsid w:val="00F30B01"/>
    <w:rsid w:val="00F31AF6"/>
    <w:rsid w:val="00F332E9"/>
    <w:rsid w:val="00F3383E"/>
    <w:rsid w:val="00F34D27"/>
    <w:rsid w:val="00F40062"/>
    <w:rsid w:val="00F41155"/>
    <w:rsid w:val="00F411C3"/>
    <w:rsid w:val="00F415C1"/>
    <w:rsid w:val="00F423F9"/>
    <w:rsid w:val="00F43EE5"/>
    <w:rsid w:val="00F44B45"/>
    <w:rsid w:val="00F465A7"/>
    <w:rsid w:val="00F50B7C"/>
    <w:rsid w:val="00F54D92"/>
    <w:rsid w:val="00F550E6"/>
    <w:rsid w:val="00F60CE9"/>
    <w:rsid w:val="00F6198C"/>
    <w:rsid w:val="00F61EE3"/>
    <w:rsid w:val="00F62856"/>
    <w:rsid w:val="00F63971"/>
    <w:rsid w:val="00F644D6"/>
    <w:rsid w:val="00F66198"/>
    <w:rsid w:val="00F6693D"/>
    <w:rsid w:val="00F70A2C"/>
    <w:rsid w:val="00F7350F"/>
    <w:rsid w:val="00F737CB"/>
    <w:rsid w:val="00F73817"/>
    <w:rsid w:val="00F7431C"/>
    <w:rsid w:val="00F74345"/>
    <w:rsid w:val="00F76C8D"/>
    <w:rsid w:val="00F80871"/>
    <w:rsid w:val="00F80A0A"/>
    <w:rsid w:val="00F8130B"/>
    <w:rsid w:val="00F82B19"/>
    <w:rsid w:val="00F842B2"/>
    <w:rsid w:val="00F86121"/>
    <w:rsid w:val="00F90EC7"/>
    <w:rsid w:val="00F91786"/>
    <w:rsid w:val="00F91E3C"/>
    <w:rsid w:val="00F9212D"/>
    <w:rsid w:val="00F93D9A"/>
    <w:rsid w:val="00F9410C"/>
    <w:rsid w:val="00F9472E"/>
    <w:rsid w:val="00F94F66"/>
    <w:rsid w:val="00F9605A"/>
    <w:rsid w:val="00F965DA"/>
    <w:rsid w:val="00FA06DC"/>
    <w:rsid w:val="00FA194C"/>
    <w:rsid w:val="00FA1EE0"/>
    <w:rsid w:val="00FA1F4A"/>
    <w:rsid w:val="00FA3EB7"/>
    <w:rsid w:val="00FA406A"/>
    <w:rsid w:val="00FA58F5"/>
    <w:rsid w:val="00FB024B"/>
    <w:rsid w:val="00FB1ABC"/>
    <w:rsid w:val="00FB2761"/>
    <w:rsid w:val="00FB284B"/>
    <w:rsid w:val="00FB2D7C"/>
    <w:rsid w:val="00FB37E8"/>
    <w:rsid w:val="00FB503A"/>
    <w:rsid w:val="00FB516C"/>
    <w:rsid w:val="00FB5B3D"/>
    <w:rsid w:val="00FB6C52"/>
    <w:rsid w:val="00FC001D"/>
    <w:rsid w:val="00FC1ADC"/>
    <w:rsid w:val="00FC2535"/>
    <w:rsid w:val="00FC36ED"/>
    <w:rsid w:val="00FC4120"/>
    <w:rsid w:val="00FC46B1"/>
    <w:rsid w:val="00FC5542"/>
    <w:rsid w:val="00FC57B7"/>
    <w:rsid w:val="00FC63A9"/>
    <w:rsid w:val="00FC6983"/>
    <w:rsid w:val="00FC7190"/>
    <w:rsid w:val="00FD0236"/>
    <w:rsid w:val="00FD18F4"/>
    <w:rsid w:val="00FD249F"/>
    <w:rsid w:val="00FD4F45"/>
    <w:rsid w:val="00FD54DB"/>
    <w:rsid w:val="00FD619F"/>
    <w:rsid w:val="00FD699A"/>
    <w:rsid w:val="00FE00A2"/>
    <w:rsid w:val="00FE0D9A"/>
    <w:rsid w:val="00FE198D"/>
    <w:rsid w:val="00FE3A7B"/>
    <w:rsid w:val="00FE4037"/>
    <w:rsid w:val="00FE7F74"/>
    <w:rsid w:val="00FF1247"/>
    <w:rsid w:val="00FF2E2E"/>
    <w:rsid w:val="00FF2F2A"/>
    <w:rsid w:val="00FF4947"/>
    <w:rsid w:val="00FF5E8D"/>
    <w:rsid w:val="00FF5E9B"/>
    <w:rsid w:val="010438DE"/>
    <w:rsid w:val="010943F8"/>
    <w:rsid w:val="010A40A7"/>
    <w:rsid w:val="010C0502"/>
    <w:rsid w:val="010E47B4"/>
    <w:rsid w:val="01172A03"/>
    <w:rsid w:val="01175A88"/>
    <w:rsid w:val="011A56E0"/>
    <w:rsid w:val="011E5755"/>
    <w:rsid w:val="012515C4"/>
    <w:rsid w:val="01290F7E"/>
    <w:rsid w:val="012A6BDB"/>
    <w:rsid w:val="012F6838"/>
    <w:rsid w:val="0137462B"/>
    <w:rsid w:val="013838C7"/>
    <w:rsid w:val="013A33F3"/>
    <w:rsid w:val="013A5AF2"/>
    <w:rsid w:val="013C7685"/>
    <w:rsid w:val="013E01E4"/>
    <w:rsid w:val="01414AB3"/>
    <w:rsid w:val="01415CD2"/>
    <w:rsid w:val="01430C73"/>
    <w:rsid w:val="01473F1E"/>
    <w:rsid w:val="01480ED1"/>
    <w:rsid w:val="014C7037"/>
    <w:rsid w:val="01521C8D"/>
    <w:rsid w:val="01584301"/>
    <w:rsid w:val="015A7EE0"/>
    <w:rsid w:val="015D1E09"/>
    <w:rsid w:val="015D773D"/>
    <w:rsid w:val="01631723"/>
    <w:rsid w:val="01657FFB"/>
    <w:rsid w:val="01681131"/>
    <w:rsid w:val="0169218A"/>
    <w:rsid w:val="016C597C"/>
    <w:rsid w:val="0176643B"/>
    <w:rsid w:val="017B0110"/>
    <w:rsid w:val="017B7436"/>
    <w:rsid w:val="017D4F5C"/>
    <w:rsid w:val="017E4CAA"/>
    <w:rsid w:val="018373FD"/>
    <w:rsid w:val="018E199F"/>
    <w:rsid w:val="01912F15"/>
    <w:rsid w:val="019D7D41"/>
    <w:rsid w:val="01A0156A"/>
    <w:rsid w:val="01A46E69"/>
    <w:rsid w:val="01A735B7"/>
    <w:rsid w:val="01A85D51"/>
    <w:rsid w:val="01AA1AC9"/>
    <w:rsid w:val="01AB00D5"/>
    <w:rsid w:val="01AD762A"/>
    <w:rsid w:val="01AE50DF"/>
    <w:rsid w:val="01B00DBA"/>
    <w:rsid w:val="01B621E8"/>
    <w:rsid w:val="01B82438"/>
    <w:rsid w:val="01BA234F"/>
    <w:rsid w:val="01BB5A85"/>
    <w:rsid w:val="01BC4A52"/>
    <w:rsid w:val="01BE7323"/>
    <w:rsid w:val="01BF2F6D"/>
    <w:rsid w:val="01C11853"/>
    <w:rsid w:val="01C90BCD"/>
    <w:rsid w:val="01D34789"/>
    <w:rsid w:val="01D60B10"/>
    <w:rsid w:val="01D84858"/>
    <w:rsid w:val="01DB7ED5"/>
    <w:rsid w:val="01DE5777"/>
    <w:rsid w:val="01E90844"/>
    <w:rsid w:val="01EB45BC"/>
    <w:rsid w:val="01EE0153"/>
    <w:rsid w:val="01EE718E"/>
    <w:rsid w:val="01F54650"/>
    <w:rsid w:val="01FD163A"/>
    <w:rsid w:val="01FF080C"/>
    <w:rsid w:val="02026263"/>
    <w:rsid w:val="020836D9"/>
    <w:rsid w:val="020B6D83"/>
    <w:rsid w:val="020C62E0"/>
    <w:rsid w:val="020D2505"/>
    <w:rsid w:val="020D6784"/>
    <w:rsid w:val="021027D9"/>
    <w:rsid w:val="021E4B85"/>
    <w:rsid w:val="022038E6"/>
    <w:rsid w:val="022573A2"/>
    <w:rsid w:val="022766A6"/>
    <w:rsid w:val="02290731"/>
    <w:rsid w:val="022A65C3"/>
    <w:rsid w:val="023060DC"/>
    <w:rsid w:val="023226A0"/>
    <w:rsid w:val="023A7CC7"/>
    <w:rsid w:val="023B43AB"/>
    <w:rsid w:val="023C20FF"/>
    <w:rsid w:val="023D0359"/>
    <w:rsid w:val="023D7EE8"/>
    <w:rsid w:val="023F65A5"/>
    <w:rsid w:val="0242253B"/>
    <w:rsid w:val="024509BD"/>
    <w:rsid w:val="024B2C7C"/>
    <w:rsid w:val="024E4B4B"/>
    <w:rsid w:val="02505C06"/>
    <w:rsid w:val="02506A25"/>
    <w:rsid w:val="02510197"/>
    <w:rsid w:val="0253044B"/>
    <w:rsid w:val="02595F48"/>
    <w:rsid w:val="025C1016"/>
    <w:rsid w:val="025F2B56"/>
    <w:rsid w:val="02650658"/>
    <w:rsid w:val="0266002B"/>
    <w:rsid w:val="0267635B"/>
    <w:rsid w:val="026914F0"/>
    <w:rsid w:val="02694441"/>
    <w:rsid w:val="02697903"/>
    <w:rsid w:val="026A1B9B"/>
    <w:rsid w:val="026B1AAA"/>
    <w:rsid w:val="026C6468"/>
    <w:rsid w:val="026E0D49"/>
    <w:rsid w:val="026E2AF7"/>
    <w:rsid w:val="02724FE1"/>
    <w:rsid w:val="027560C1"/>
    <w:rsid w:val="027B5DC4"/>
    <w:rsid w:val="027C16B8"/>
    <w:rsid w:val="027E22C9"/>
    <w:rsid w:val="027E55A7"/>
    <w:rsid w:val="0283427E"/>
    <w:rsid w:val="02844979"/>
    <w:rsid w:val="028A383C"/>
    <w:rsid w:val="02903317"/>
    <w:rsid w:val="02974438"/>
    <w:rsid w:val="029D06E0"/>
    <w:rsid w:val="029D518A"/>
    <w:rsid w:val="02A41330"/>
    <w:rsid w:val="02AF6749"/>
    <w:rsid w:val="02BA21E0"/>
    <w:rsid w:val="02BF0B60"/>
    <w:rsid w:val="02CC5F12"/>
    <w:rsid w:val="02CF443E"/>
    <w:rsid w:val="02D5588F"/>
    <w:rsid w:val="02D56C80"/>
    <w:rsid w:val="02D704BA"/>
    <w:rsid w:val="02D8575C"/>
    <w:rsid w:val="02DC518E"/>
    <w:rsid w:val="02E444CF"/>
    <w:rsid w:val="02EB7C3D"/>
    <w:rsid w:val="02ED7EC0"/>
    <w:rsid w:val="02EF152C"/>
    <w:rsid w:val="02F70D3E"/>
    <w:rsid w:val="02F96569"/>
    <w:rsid w:val="02FE1CB7"/>
    <w:rsid w:val="0303693F"/>
    <w:rsid w:val="030C6624"/>
    <w:rsid w:val="030D6007"/>
    <w:rsid w:val="030F7234"/>
    <w:rsid w:val="03130778"/>
    <w:rsid w:val="031C07A5"/>
    <w:rsid w:val="032275FD"/>
    <w:rsid w:val="032370C8"/>
    <w:rsid w:val="03270CE7"/>
    <w:rsid w:val="032F22D7"/>
    <w:rsid w:val="03330D76"/>
    <w:rsid w:val="03391357"/>
    <w:rsid w:val="034243AF"/>
    <w:rsid w:val="034767ED"/>
    <w:rsid w:val="0349390F"/>
    <w:rsid w:val="034A7FA9"/>
    <w:rsid w:val="034B60C1"/>
    <w:rsid w:val="034C2851"/>
    <w:rsid w:val="03547F3F"/>
    <w:rsid w:val="03563CB7"/>
    <w:rsid w:val="0358029F"/>
    <w:rsid w:val="03676570"/>
    <w:rsid w:val="036B24BC"/>
    <w:rsid w:val="036C7A6C"/>
    <w:rsid w:val="036D4CFA"/>
    <w:rsid w:val="036D7252"/>
    <w:rsid w:val="036E34D9"/>
    <w:rsid w:val="03710AF1"/>
    <w:rsid w:val="037865C9"/>
    <w:rsid w:val="03836A76"/>
    <w:rsid w:val="0388595B"/>
    <w:rsid w:val="038A5CE1"/>
    <w:rsid w:val="038F2C54"/>
    <w:rsid w:val="039029FA"/>
    <w:rsid w:val="03935857"/>
    <w:rsid w:val="039713C6"/>
    <w:rsid w:val="0397607D"/>
    <w:rsid w:val="039D7B38"/>
    <w:rsid w:val="03A635F2"/>
    <w:rsid w:val="03A676C0"/>
    <w:rsid w:val="03A72764"/>
    <w:rsid w:val="03A966D4"/>
    <w:rsid w:val="03B37D2C"/>
    <w:rsid w:val="03B66504"/>
    <w:rsid w:val="03B67CF1"/>
    <w:rsid w:val="03BD5AE4"/>
    <w:rsid w:val="03BF25C0"/>
    <w:rsid w:val="03BF786C"/>
    <w:rsid w:val="03C174D6"/>
    <w:rsid w:val="03D1546E"/>
    <w:rsid w:val="03E1157E"/>
    <w:rsid w:val="03E147E7"/>
    <w:rsid w:val="03E26D1D"/>
    <w:rsid w:val="03E34A4D"/>
    <w:rsid w:val="03E3794D"/>
    <w:rsid w:val="03E53290"/>
    <w:rsid w:val="03EA7B21"/>
    <w:rsid w:val="03EE5E33"/>
    <w:rsid w:val="03EF05C6"/>
    <w:rsid w:val="03EF2A24"/>
    <w:rsid w:val="03F248A9"/>
    <w:rsid w:val="03F87FF9"/>
    <w:rsid w:val="03F90AE6"/>
    <w:rsid w:val="03FC475A"/>
    <w:rsid w:val="03FF60FC"/>
    <w:rsid w:val="03FF640C"/>
    <w:rsid w:val="04101D7C"/>
    <w:rsid w:val="04101DE1"/>
    <w:rsid w:val="042558A4"/>
    <w:rsid w:val="042F2436"/>
    <w:rsid w:val="04301EB8"/>
    <w:rsid w:val="0433241F"/>
    <w:rsid w:val="04370DB1"/>
    <w:rsid w:val="043B4C5B"/>
    <w:rsid w:val="043F299D"/>
    <w:rsid w:val="04426CA3"/>
    <w:rsid w:val="0444647C"/>
    <w:rsid w:val="04455294"/>
    <w:rsid w:val="044D0C63"/>
    <w:rsid w:val="045774EB"/>
    <w:rsid w:val="045E7EDD"/>
    <w:rsid w:val="046260BD"/>
    <w:rsid w:val="046441B2"/>
    <w:rsid w:val="04664A48"/>
    <w:rsid w:val="0466617C"/>
    <w:rsid w:val="046674B4"/>
    <w:rsid w:val="046917C8"/>
    <w:rsid w:val="046A3F1E"/>
    <w:rsid w:val="046B1C12"/>
    <w:rsid w:val="046B632C"/>
    <w:rsid w:val="046C7D6D"/>
    <w:rsid w:val="046E04BE"/>
    <w:rsid w:val="04785555"/>
    <w:rsid w:val="0479266B"/>
    <w:rsid w:val="047E73CD"/>
    <w:rsid w:val="047F68A3"/>
    <w:rsid w:val="04812DD9"/>
    <w:rsid w:val="048C7EA2"/>
    <w:rsid w:val="048E5621"/>
    <w:rsid w:val="0493517F"/>
    <w:rsid w:val="04936DAD"/>
    <w:rsid w:val="049820AD"/>
    <w:rsid w:val="04990943"/>
    <w:rsid w:val="04A40E44"/>
    <w:rsid w:val="04A43B8C"/>
    <w:rsid w:val="04A44EF6"/>
    <w:rsid w:val="04AA171C"/>
    <w:rsid w:val="04AA6011"/>
    <w:rsid w:val="04BC5D9C"/>
    <w:rsid w:val="04C52A1F"/>
    <w:rsid w:val="04C74740"/>
    <w:rsid w:val="04CF3B72"/>
    <w:rsid w:val="04DA2A26"/>
    <w:rsid w:val="04DA4474"/>
    <w:rsid w:val="04DF7CDC"/>
    <w:rsid w:val="04E05DFC"/>
    <w:rsid w:val="04E60D22"/>
    <w:rsid w:val="04E62D71"/>
    <w:rsid w:val="04E92909"/>
    <w:rsid w:val="04EA0547"/>
    <w:rsid w:val="04ED32D3"/>
    <w:rsid w:val="04ED3B60"/>
    <w:rsid w:val="04EE404C"/>
    <w:rsid w:val="04EF266B"/>
    <w:rsid w:val="04F32AC7"/>
    <w:rsid w:val="04FB3165"/>
    <w:rsid w:val="05010512"/>
    <w:rsid w:val="05066DF9"/>
    <w:rsid w:val="050772E9"/>
    <w:rsid w:val="050972FC"/>
    <w:rsid w:val="050B0954"/>
    <w:rsid w:val="050D2A9B"/>
    <w:rsid w:val="050D65F7"/>
    <w:rsid w:val="050E2700"/>
    <w:rsid w:val="05107303"/>
    <w:rsid w:val="05125876"/>
    <w:rsid w:val="05173E06"/>
    <w:rsid w:val="05174F51"/>
    <w:rsid w:val="051C3741"/>
    <w:rsid w:val="052216D9"/>
    <w:rsid w:val="0522283D"/>
    <w:rsid w:val="05227A62"/>
    <w:rsid w:val="05256F93"/>
    <w:rsid w:val="05261FAA"/>
    <w:rsid w:val="052B25AB"/>
    <w:rsid w:val="05347F27"/>
    <w:rsid w:val="05365EB9"/>
    <w:rsid w:val="0538146F"/>
    <w:rsid w:val="05404FEA"/>
    <w:rsid w:val="054270DB"/>
    <w:rsid w:val="054272B6"/>
    <w:rsid w:val="05436DB4"/>
    <w:rsid w:val="054A5D9D"/>
    <w:rsid w:val="054E61B2"/>
    <w:rsid w:val="05584536"/>
    <w:rsid w:val="056266C9"/>
    <w:rsid w:val="05630C87"/>
    <w:rsid w:val="056978A2"/>
    <w:rsid w:val="056B4270"/>
    <w:rsid w:val="056D44AE"/>
    <w:rsid w:val="056F2E0E"/>
    <w:rsid w:val="0571302A"/>
    <w:rsid w:val="05731586"/>
    <w:rsid w:val="05785D0C"/>
    <w:rsid w:val="05795FBB"/>
    <w:rsid w:val="057F2478"/>
    <w:rsid w:val="058340E2"/>
    <w:rsid w:val="0585208C"/>
    <w:rsid w:val="058846E6"/>
    <w:rsid w:val="05890D83"/>
    <w:rsid w:val="058D12E8"/>
    <w:rsid w:val="05921987"/>
    <w:rsid w:val="05957C26"/>
    <w:rsid w:val="05961AD7"/>
    <w:rsid w:val="05992F79"/>
    <w:rsid w:val="059B334A"/>
    <w:rsid w:val="059B4A47"/>
    <w:rsid w:val="05A27E57"/>
    <w:rsid w:val="05A537FD"/>
    <w:rsid w:val="05AD1B88"/>
    <w:rsid w:val="05AE7070"/>
    <w:rsid w:val="05B11678"/>
    <w:rsid w:val="05B17E64"/>
    <w:rsid w:val="05BE7278"/>
    <w:rsid w:val="05C62AEE"/>
    <w:rsid w:val="05C77B35"/>
    <w:rsid w:val="05CA794E"/>
    <w:rsid w:val="05CB64BA"/>
    <w:rsid w:val="05D47E7F"/>
    <w:rsid w:val="05D61CD9"/>
    <w:rsid w:val="05D80518"/>
    <w:rsid w:val="05D90BCF"/>
    <w:rsid w:val="05DB7AFF"/>
    <w:rsid w:val="05DE2681"/>
    <w:rsid w:val="05E80C9C"/>
    <w:rsid w:val="05E83F44"/>
    <w:rsid w:val="05ED309B"/>
    <w:rsid w:val="05F1156C"/>
    <w:rsid w:val="05F83EAE"/>
    <w:rsid w:val="05FB16F7"/>
    <w:rsid w:val="05FB28F4"/>
    <w:rsid w:val="060F5909"/>
    <w:rsid w:val="06113868"/>
    <w:rsid w:val="061576A1"/>
    <w:rsid w:val="061B4D44"/>
    <w:rsid w:val="061C19DC"/>
    <w:rsid w:val="061E01FC"/>
    <w:rsid w:val="0620235A"/>
    <w:rsid w:val="0624635C"/>
    <w:rsid w:val="06293905"/>
    <w:rsid w:val="0629687F"/>
    <w:rsid w:val="062A3C14"/>
    <w:rsid w:val="062B5639"/>
    <w:rsid w:val="062D77BE"/>
    <w:rsid w:val="06302ADA"/>
    <w:rsid w:val="06314567"/>
    <w:rsid w:val="0634787B"/>
    <w:rsid w:val="06372198"/>
    <w:rsid w:val="063B7C72"/>
    <w:rsid w:val="063C0009"/>
    <w:rsid w:val="063E77ED"/>
    <w:rsid w:val="063E7D85"/>
    <w:rsid w:val="064021D2"/>
    <w:rsid w:val="065418BF"/>
    <w:rsid w:val="065734D5"/>
    <w:rsid w:val="06574054"/>
    <w:rsid w:val="0659586C"/>
    <w:rsid w:val="0659714D"/>
    <w:rsid w:val="065E0A23"/>
    <w:rsid w:val="065F10D4"/>
    <w:rsid w:val="0662425C"/>
    <w:rsid w:val="0668026F"/>
    <w:rsid w:val="06685682"/>
    <w:rsid w:val="066D0974"/>
    <w:rsid w:val="06706C99"/>
    <w:rsid w:val="067234DB"/>
    <w:rsid w:val="068436B2"/>
    <w:rsid w:val="068471E5"/>
    <w:rsid w:val="068648B3"/>
    <w:rsid w:val="06873C60"/>
    <w:rsid w:val="06892981"/>
    <w:rsid w:val="068D0DBC"/>
    <w:rsid w:val="068E39F4"/>
    <w:rsid w:val="06917922"/>
    <w:rsid w:val="06930711"/>
    <w:rsid w:val="06935473"/>
    <w:rsid w:val="06982838"/>
    <w:rsid w:val="06994173"/>
    <w:rsid w:val="069B7C33"/>
    <w:rsid w:val="069D4F8F"/>
    <w:rsid w:val="06A05249"/>
    <w:rsid w:val="06A461F2"/>
    <w:rsid w:val="06A47BCF"/>
    <w:rsid w:val="06A7118F"/>
    <w:rsid w:val="06A812BB"/>
    <w:rsid w:val="06AB707D"/>
    <w:rsid w:val="06AC1F59"/>
    <w:rsid w:val="06B5329A"/>
    <w:rsid w:val="06B558F3"/>
    <w:rsid w:val="06B57710"/>
    <w:rsid w:val="06B94731"/>
    <w:rsid w:val="06B9758F"/>
    <w:rsid w:val="06BE2395"/>
    <w:rsid w:val="06C23411"/>
    <w:rsid w:val="06C432F4"/>
    <w:rsid w:val="06C6180A"/>
    <w:rsid w:val="06C75865"/>
    <w:rsid w:val="06CE1DB6"/>
    <w:rsid w:val="06D24ED8"/>
    <w:rsid w:val="06D44292"/>
    <w:rsid w:val="06D45041"/>
    <w:rsid w:val="06D82C35"/>
    <w:rsid w:val="06E057AF"/>
    <w:rsid w:val="06E11AE9"/>
    <w:rsid w:val="06E154AC"/>
    <w:rsid w:val="06E312F2"/>
    <w:rsid w:val="06E45A7E"/>
    <w:rsid w:val="06E4782C"/>
    <w:rsid w:val="06EB5BE5"/>
    <w:rsid w:val="06EF1717"/>
    <w:rsid w:val="06EF34E8"/>
    <w:rsid w:val="06EF78CB"/>
    <w:rsid w:val="06F8436B"/>
    <w:rsid w:val="06FC3C1F"/>
    <w:rsid w:val="06FF6413"/>
    <w:rsid w:val="07013F3A"/>
    <w:rsid w:val="07040643"/>
    <w:rsid w:val="070954E4"/>
    <w:rsid w:val="070F2F32"/>
    <w:rsid w:val="071023CF"/>
    <w:rsid w:val="071029B5"/>
    <w:rsid w:val="07160CCF"/>
    <w:rsid w:val="071E0BC4"/>
    <w:rsid w:val="071F5F07"/>
    <w:rsid w:val="07242AB0"/>
    <w:rsid w:val="072440CC"/>
    <w:rsid w:val="07293586"/>
    <w:rsid w:val="07295285"/>
    <w:rsid w:val="072D06F5"/>
    <w:rsid w:val="0730155B"/>
    <w:rsid w:val="07302A71"/>
    <w:rsid w:val="07384851"/>
    <w:rsid w:val="073C1416"/>
    <w:rsid w:val="073D2DA9"/>
    <w:rsid w:val="074C5EBB"/>
    <w:rsid w:val="07523557"/>
    <w:rsid w:val="075423A9"/>
    <w:rsid w:val="07563BE4"/>
    <w:rsid w:val="07586A53"/>
    <w:rsid w:val="07593D76"/>
    <w:rsid w:val="075F77DC"/>
    <w:rsid w:val="076054CC"/>
    <w:rsid w:val="07606E32"/>
    <w:rsid w:val="07636392"/>
    <w:rsid w:val="07667417"/>
    <w:rsid w:val="07702E6D"/>
    <w:rsid w:val="07763B89"/>
    <w:rsid w:val="07770C56"/>
    <w:rsid w:val="0777244E"/>
    <w:rsid w:val="077946E6"/>
    <w:rsid w:val="077A0FB5"/>
    <w:rsid w:val="077C1812"/>
    <w:rsid w:val="0781507A"/>
    <w:rsid w:val="07854D3E"/>
    <w:rsid w:val="078973B6"/>
    <w:rsid w:val="078B20B2"/>
    <w:rsid w:val="078D0075"/>
    <w:rsid w:val="079052BE"/>
    <w:rsid w:val="079275B4"/>
    <w:rsid w:val="079914BD"/>
    <w:rsid w:val="079A322B"/>
    <w:rsid w:val="079B3952"/>
    <w:rsid w:val="079E3EDD"/>
    <w:rsid w:val="07A33592"/>
    <w:rsid w:val="07A46E85"/>
    <w:rsid w:val="07A64AE1"/>
    <w:rsid w:val="07AC659B"/>
    <w:rsid w:val="07AC7079"/>
    <w:rsid w:val="07B07B29"/>
    <w:rsid w:val="07B33B0D"/>
    <w:rsid w:val="07B436A2"/>
    <w:rsid w:val="07B54BA4"/>
    <w:rsid w:val="07B61B72"/>
    <w:rsid w:val="07B64F79"/>
    <w:rsid w:val="07CC54D4"/>
    <w:rsid w:val="07D04320"/>
    <w:rsid w:val="07DF2568"/>
    <w:rsid w:val="07E065DC"/>
    <w:rsid w:val="07EA7C8A"/>
    <w:rsid w:val="07ED215B"/>
    <w:rsid w:val="07F2368E"/>
    <w:rsid w:val="07F445E7"/>
    <w:rsid w:val="08036B8C"/>
    <w:rsid w:val="08075EF8"/>
    <w:rsid w:val="08091E75"/>
    <w:rsid w:val="080A1514"/>
    <w:rsid w:val="080A32C2"/>
    <w:rsid w:val="080F08D8"/>
    <w:rsid w:val="0814440F"/>
    <w:rsid w:val="08154B60"/>
    <w:rsid w:val="081C17FC"/>
    <w:rsid w:val="08234384"/>
    <w:rsid w:val="08265A16"/>
    <w:rsid w:val="082C6AB8"/>
    <w:rsid w:val="08333615"/>
    <w:rsid w:val="08361D0A"/>
    <w:rsid w:val="0837037B"/>
    <w:rsid w:val="083E103B"/>
    <w:rsid w:val="083E4D1A"/>
    <w:rsid w:val="08454FF6"/>
    <w:rsid w:val="08461D2C"/>
    <w:rsid w:val="08491FD0"/>
    <w:rsid w:val="084C5688"/>
    <w:rsid w:val="084F6F27"/>
    <w:rsid w:val="08584952"/>
    <w:rsid w:val="085973BE"/>
    <w:rsid w:val="085B6DBF"/>
    <w:rsid w:val="08604CD0"/>
    <w:rsid w:val="08610C0D"/>
    <w:rsid w:val="086438FA"/>
    <w:rsid w:val="08663352"/>
    <w:rsid w:val="086E5086"/>
    <w:rsid w:val="08714A57"/>
    <w:rsid w:val="08732C15"/>
    <w:rsid w:val="08746464"/>
    <w:rsid w:val="08762834"/>
    <w:rsid w:val="0876600C"/>
    <w:rsid w:val="08816208"/>
    <w:rsid w:val="088249E2"/>
    <w:rsid w:val="088564EB"/>
    <w:rsid w:val="088C1F29"/>
    <w:rsid w:val="089A1E37"/>
    <w:rsid w:val="089A2898"/>
    <w:rsid w:val="089A61DC"/>
    <w:rsid w:val="08A11479"/>
    <w:rsid w:val="08A12A54"/>
    <w:rsid w:val="08A240EC"/>
    <w:rsid w:val="08A327FB"/>
    <w:rsid w:val="08B561E4"/>
    <w:rsid w:val="08BA4F3B"/>
    <w:rsid w:val="08BC4F40"/>
    <w:rsid w:val="08C94F2B"/>
    <w:rsid w:val="08CC0CB5"/>
    <w:rsid w:val="08CD6D1E"/>
    <w:rsid w:val="08D70A30"/>
    <w:rsid w:val="08DA3F17"/>
    <w:rsid w:val="08DD3747"/>
    <w:rsid w:val="08E73603"/>
    <w:rsid w:val="08E9004C"/>
    <w:rsid w:val="08EC34F2"/>
    <w:rsid w:val="08EF1F24"/>
    <w:rsid w:val="08F77112"/>
    <w:rsid w:val="08F915DF"/>
    <w:rsid w:val="08FC6153"/>
    <w:rsid w:val="09095327"/>
    <w:rsid w:val="090C3231"/>
    <w:rsid w:val="091275D2"/>
    <w:rsid w:val="0919765D"/>
    <w:rsid w:val="091C0B49"/>
    <w:rsid w:val="091D459B"/>
    <w:rsid w:val="092217DD"/>
    <w:rsid w:val="09250F76"/>
    <w:rsid w:val="0926237D"/>
    <w:rsid w:val="0926412B"/>
    <w:rsid w:val="092762CF"/>
    <w:rsid w:val="09283573"/>
    <w:rsid w:val="09373B6C"/>
    <w:rsid w:val="093A7294"/>
    <w:rsid w:val="09404392"/>
    <w:rsid w:val="0946453C"/>
    <w:rsid w:val="094C31B4"/>
    <w:rsid w:val="094E71DE"/>
    <w:rsid w:val="09500780"/>
    <w:rsid w:val="09500B4F"/>
    <w:rsid w:val="0951068D"/>
    <w:rsid w:val="095347F5"/>
    <w:rsid w:val="095742E5"/>
    <w:rsid w:val="095A3948"/>
    <w:rsid w:val="095A3DD5"/>
    <w:rsid w:val="095B4A40"/>
    <w:rsid w:val="09610B3F"/>
    <w:rsid w:val="09643EC2"/>
    <w:rsid w:val="09646A02"/>
    <w:rsid w:val="09652EA6"/>
    <w:rsid w:val="09684744"/>
    <w:rsid w:val="096A5FCE"/>
    <w:rsid w:val="096E0903"/>
    <w:rsid w:val="097053A7"/>
    <w:rsid w:val="097E4F40"/>
    <w:rsid w:val="09804020"/>
    <w:rsid w:val="098041A4"/>
    <w:rsid w:val="098B21E0"/>
    <w:rsid w:val="09955737"/>
    <w:rsid w:val="09992B4F"/>
    <w:rsid w:val="099B7748"/>
    <w:rsid w:val="099E10B0"/>
    <w:rsid w:val="09A339CE"/>
    <w:rsid w:val="09A343D5"/>
    <w:rsid w:val="09A62894"/>
    <w:rsid w:val="09A84B40"/>
    <w:rsid w:val="09AE5387"/>
    <w:rsid w:val="09BA2AC6"/>
    <w:rsid w:val="09BF550A"/>
    <w:rsid w:val="09C15A98"/>
    <w:rsid w:val="09C175AC"/>
    <w:rsid w:val="09C87363"/>
    <w:rsid w:val="09D03F44"/>
    <w:rsid w:val="09D41DD9"/>
    <w:rsid w:val="09D94D52"/>
    <w:rsid w:val="09D973F0"/>
    <w:rsid w:val="09DF2368"/>
    <w:rsid w:val="09E76999"/>
    <w:rsid w:val="09ED2470"/>
    <w:rsid w:val="09F45FD8"/>
    <w:rsid w:val="09F47D86"/>
    <w:rsid w:val="09F54BF1"/>
    <w:rsid w:val="09F773D1"/>
    <w:rsid w:val="09F935EE"/>
    <w:rsid w:val="09FF1247"/>
    <w:rsid w:val="0A031221"/>
    <w:rsid w:val="0A037858"/>
    <w:rsid w:val="0A053D41"/>
    <w:rsid w:val="0A080810"/>
    <w:rsid w:val="0A0F2E11"/>
    <w:rsid w:val="0A1242CA"/>
    <w:rsid w:val="0A12645E"/>
    <w:rsid w:val="0A157CFC"/>
    <w:rsid w:val="0A1978D5"/>
    <w:rsid w:val="0A1B7A08"/>
    <w:rsid w:val="0A1C3DD7"/>
    <w:rsid w:val="0A1E4607"/>
    <w:rsid w:val="0A263993"/>
    <w:rsid w:val="0A2C3BDC"/>
    <w:rsid w:val="0A2D3AC2"/>
    <w:rsid w:val="0A3C3CDD"/>
    <w:rsid w:val="0A3F53EF"/>
    <w:rsid w:val="0A41661E"/>
    <w:rsid w:val="0A4C5883"/>
    <w:rsid w:val="0A55224E"/>
    <w:rsid w:val="0A597619"/>
    <w:rsid w:val="0A5C2514"/>
    <w:rsid w:val="0A5D3B7D"/>
    <w:rsid w:val="0A6C4E8C"/>
    <w:rsid w:val="0A723B5A"/>
    <w:rsid w:val="0A732234"/>
    <w:rsid w:val="0A77467D"/>
    <w:rsid w:val="0A790705"/>
    <w:rsid w:val="0A7A1804"/>
    <w:rsid w:val="0A7A4D50"/>
    <w:rsid w:val="0A7F4769"/>
    <w:rsid w:val="0A805ABD"/>
    <w:rsid w:val="0A8455AD"/>
    <w:rsid w:val="0A886720"/>
    <w:rsid w:val="0A8B082C"/>
    <w:rsid w:val="0A933D6B"/>
    <w:rsid w:val="0A9715AA"/>
    <w:rsid w:val="0A973AF6"/>
    <w:rsid w:val="0A9B6F55"/>
    <w:rsid w:val="0A9B744E"/>
    <w:rsid w:val="0A9E5F43"/>
    <w:rsid w:val="0AA04CAB"/>
    <w:rsid w:val="0AA511B5"/>
    <w:rsid w:val="0AA572D2"/>
    <w:rsid w:val="0AA755DF"/>
    <w:rsid w:val="0AAC7779"/>
    <w:rsid w:val="0AB94C63"/>
    <w:rsid w:val="0ABB6311"/>
    <w:rsid w:val="0ACE5726"/>
    <w:rsid w:val="0AD35069"/>
    <w:rsid w:val="0AD41965"/>
    <w:rsid w:val="0AD64977"/>
    <w:rsid w:val="0ADA341F"/>
    <w:rsid w:val="0ADC1DED"/>
    <w:rsid w:val="0AE22CEE"/>
    <w:rsid w:val="0AEB5CEB"/>
    <w:rsid w:val="0AEC7BE8"/>
    <w:rsid w:val="0AF150D0"/>
    <w:rsid w:val="0AF15462"/>
    <w:rsid w:val="0AFA23E4"/>
    <w:rsid w:val="0AFF4C34"/>
    <w:rsid w:val="0B037800"/>
    <w:rsid w:val="0B064CAC"/>
    <w:rsid w:val="0B0803D6"/>
    <w:rsid w:val="0B0B182B"/>
    <w:rsid w:val="0B110A59"/>
    <w:rsid w:val="0B120D44"/>
    <w:rsid w:val="0B16005A"/>
    <w:rsid w:val="0B1F441B"/>
    <w:rsid w:val="0B20144F"/>
    <w:rsid w:val="0B220922"/>
    <w:rsid w:val="0B23170C"/>
    <w:rsid w:val="0B2823DD"/>
    <w:rsid w:val="0B287B3E"/>
    <w:rsid w:val="0B2A265D"/>
    <w:rsid w:val="0B2F5AB5"/>
    <w:rsid w:val="0B337DC1"/>
    <w:rsid w:val="0B342729"/>
    <w:rsid w:val="0B3706B1"/>
    <w:rsid w:val="0B42167F"/>
    <w:rsid w:val="0B4537BE"/>
    <w:rsid w:val="0B4646C1"/>
    <w:rsid w:val="0B496948"/>
    <w:rsid w:val="0B566475"/>
    <w:rsid w:val="0B5825A3"/>
    <w:rsid w:val="0B5D200D"/>
    <w:rsid w:val="0B602A5E"/>
    <w:rsid w:val="0B674BA2"/>
    <w:rsid w:val="0B754EF6"/>
    <w:rsid w:val="0B757A27"/>
    <w:rsid w:val="0B7A46D4"/>
    <w:rsid w:val="0B7D220A"/>
    <w:rsid w:val="0B7D5D15"/>
    <w:rsid w:val="0B815374"/>
    <w:rsid w:val="0B817802"/>
    <w:rsid w:val="0B830C5E"/>
    <w:rsid w:val="0B872C7C"/>
    <w:rsid w:val="0B920A26"/>
    <w:rsid w:val="0B984783"/>
    <w:rsid w:val="0BA63302"/>
    <w:rsid w:val="0BA76047"/>
    <w:rsid w:val="0BAA3812"/>
    <w:rsid w:val="0BAB1582"/>
    <w:rsid w:val="0BAC5FBB"/>
    <w:rsid w:val="0BB4713C"/>
    <w:rsid w:val="0BB6041E"/>
    <w:rsid w:val="0BB97992"/>
    <w:rsid w:val="0BBA0B5B"/>
    <w:rsid w:val="0BBA4A84"/>
    <w:rsid w:val="0BBC6B39"/>
    <w:rsid w:val="0BC1513B"/>
    <w:rsid w:val="0BC41611"/>
    <w:rsid w:val="0BC769FA"/>
    <w:rsid w:val="0BD04396"/>
    <w:rsid w:val="0BD065D0"/>
    <w:rsid w:val="0BD27BF6"/>
    <w:rsid w:val="0BDB143C"/>
    <w:rsid w:val="0BE04A65"/>
    <w:rsid w:val="0BE0777E"/>
    <w:rsid w:val="0BEA24FB"/>
    <w:rsid w:val="0BEA3687"/>
    <w:rsid w:val="0BED2CDE"/>
    <w:rsid w:val="0BF00A21"/>
    <w:rsid w:val="0BF119DD"/>
    <w:rsid w:val="0BF6301B"/>
    <w:rsid w:val="0BFC1173"/>
    <w:rsid w:val="0BFC5617"/>
    <w:rsid w:val="0C0504C1"/>
    <w:rsid w:val="0C052D84"/>
    <w:rsid w:val="0C0A3FF6"/>
    <w:rsid w:val="0C0C2B32"/>
    <w:rsid w:val="0C0F50FC"/>
    <w:rsid w:val="0C10465A"/>
    <w:rsid w:val="0C173539"/>
    <w:rsid w:val="0C341CEC"/>
    <w:rsid w:val="0C381612"/>
    <w:rsid w:val="0C383F9D"/>
    <w:rsid w:val="0C3B3C7D"/>
    <w:rsid w:val="0C3C0710"/>
    <w:rsid w:val="0C3C2689"/>
    <w:rsid w:val="0C475267"/>
    <w:rsid w:val="0C4B4E04"/>
    <w:rsid w:val="0C4B7FED"/>
    <w:rsid w:val="0C5C00C9"/>
    <w:rsid w:val="0C5F35E9"/>
    <w:rsid w:val="0C671870"/>
    <w:rsid w:val="0C68175E"/>
    <w:rsid w:val="0C6A750D"/>
    <w:rsid w:val="0C6C2991"/>
    <w:rsid w:val="0C6F43A6"/>
    <w:rsid w:val="0C71390F"/>
    <w:rsid w:val="0C753B71"/>
    <w:rsid w:val="0C765516"/>
    <w:rsid w:val="0C774C9E"/>
    <w:rsid w:val="0C7774D8"/>
    <w:rsid w:val="0C784D3F"/>
    <w:rsid w:val="0C7D22B4"/>
    <w:rsid w:val="0C805A60"/>
    <w:rsid w:val="0C8069C5"/>
    <w:rsid w:val="0C8322CB"/>
    <w:rsid w:val="0C841C72"/>
    <w:rsid w:val="0C853045"/>
    <w:rsid w:val="0C871385"/>
    <w:rsid w:val="0C894C6F"/>
    <w:rsid w:val="0C8A677F"/>
    <w:rsid w:val="0C8B2E6B"/>
    <w:rsid w:val="0C8F4D2C"/>
    <w:rsid w:val="0C9870EE"/>
    <w:rsid w:val="0C9A44F0"/>
    <w:rsid w:val="0C9C64B3"/>
    <w:rsid w:val="0C9E536F"/>
    <w:rsid w:val="0C9E64F7"/>
    <w:rsid w:val="0CA3260A"/>
    <w:rsid w:val="0CA4073E"/>
    <w:rsid w:val="0CA6467F"/>
    <w:rsid w:val="0CA85C19"/>
    <w:rsid w:val="0CAB2EAE"/>
    <w:rsid w:val="0CAE4C71"/>
    <w:rsid w:val="0CB952B6"/>
    <w:rsid w:val="0CBC59CD"/>
    <w:rsid w:val="0CBD0903"/>
    <w:rsid w:val="0CBD1845"/>
    <w:rsid w:val="0CBF73F8"/>
    <w:rsid w:val="0CC77BEC"/>
    <w:rsid w:val="0CC81C18"/>
    <w:rsid w:val="0CCD1BC1"/>
    <w:rsid w:val="0CD125C6"/>
    <w:rsid w:val="0CDC37C9"/>
    <w:rsid w:val="0CDD2637"/>
    <w:rsid w:val="0CE8622A"/>
    <w:rsid w:val="0CF30F65"/>
    <w:rsid w:val="0CF71FBF"/>
    <w:rsid w:val="0CF92E02"/>
    <w:rsid w:val="0D004C93"/>
    <w:rsid w:val="0D011384"/>
    <w:rsid w:val="0D046532"/>
    <w:rsid w:val="0D096B82"/>
    <w:rsid w:val="0D0F3256"/>
    <w:rsid w:val="0D122584"/>
    <w:rsid w:val="0D1644B7"/>
    <w:rsid w:val="0D1A321D"/>
    <w:rsid w:val="0D1E23D9"/>
    <w:rsid w:val="0D274B7A"/>
    <w:rsid w:val="0D330860"/>
    <w:rsid w:val="0D3522F7"/>
    <w:rsid w:val="0D3B2383"/>
    <w:rsid w:val="0D3F2982"/>
    <w:rsid w:val="0D3F3541"/>
    <w:rsid w:val="0D416A15"/>
    <w:rsid w:val="0D423886"/>
    <w:rsid w:val="0D4D2141"/>
    <w:rsid w:val="0D4D4FFF"/>
    <w:rsid w:val="0D5154EF"/>
    <w:rsid w:val="0D5523DC"/>
    <w:rsid w:val="0D554C1B"/>
    <w:rsid w:val="0D570106"/>
    <w:rsid w:val="0D59308F"/>
    <w:rsid w:val="0D5B0F0B"/>
    <w:rsid w:val="0D5E0578"/>
    <w:rsid w:val="0D621C7D"/>
    <w:rsid w:val="0D633847"/>
    <w:rsid w:val="0D645222"/>
    <w:rsid w:val="0D675A5F"/>
    <w:rsid w:val="0D6C7D81"/>
    <w:rsid w:val="0D6D3896"/>
    <w:rsid w:val="0D7240DC"/>
    <w:rsid w:val="0D7519FC"/>
    <w:rsid w:val="0D7733AF"/>
    <w:rsid w:val="0D803A9A"/>
    <w:rsid w:val="0D8A33C2"/>
    <w:rsid w:val="0D94691D"/>
    <w:rsid w:val="0D9534CD"/>
    <w:rsid w:val="0DB50E34"/>
    <w:rsid w:val="0DBB2D82"/>
    <w:rsid w:val="0DBE24E9"/>
    <w:rsid w:val="0DC42165"/>
    <w:rsid w:val="0DC5583E"/>
    <w:rsid w:val="0DC75A54"/>
    <w:rsid w:val="0DD233EB"/>
    <w:rsid w:val="0DD36CEE"/>
    <w:rsid w:val="0DD925A0"/>
    <w:rsid w:val="0DD979BE"/>
    <w:rsid w:val="0DE25A9A"/>
    <w:rsid w:val="0DE3117D"/>
    <w:rsid w:val="0DED47C3"/>
    <w:rsid w:val="0DF31735"/>
    <w:rsid w:val="0DF41CC4"/>
    <w:rsid w:val="0DF91E0E"/>
    <w:rsid w:val="0DFE4D47"/>
    <w:rsid w:val="0DFE554D"/>
    <w:rsid w:val="0E036B4C"/>
    <w:rsid w:val="0E087727"/>
    <w:rsid w:val="0E0971C4"/>
    <w:rsid w:val="0E0F2B57"/>
    <w:rsid w:val="0E0F54EB"/>
    <w:rsid w:val="0E13104F"/>
    <w:rsid w:val="0E146C8F"/>
    <w:rsid w:val="0E151942"/>
    <w:rsid w:val="0E157EE5"/>
    <w:rsid w:val="0E23222B"/>
    <w:rsid w:val="0E2341E5"/>
    <w:rsid w:val="0E2B5D40"/>
    <w:rsid w:val="0E2D1AB8"/>
    <w:rsid w:val="0E320403"/>
    <w:rsid w:val="0E40055D"/>
    <w:rsid w:val="0E4017EB"/>
    <w:rsid w:val="0E42322F"/>
    <w:rsid w:val="0E4A6BAC"/>
    <w:rsid w:val="0E4D64D7"/>
    <w:rsid w:val="0E536E9C"/>
    <w:rsid w:val="0E56100F"/>
    <w:rsid w:val="0E5D00BB"/>
    <w:rsid w:val="0E66569F"/>
    <w:rsid w:val="0E671C9B"/>
    <w:rsid w:val="0E6B25E0"/>
    <w:rsid w:val="0E6B4921"/>
    <w:rsid w:val="0E6E120C"/>
    <w:rsid w:val="0E73034D"/>
    <w:rsid w:val="0E75548B"/>
    <w:rsid w:val="0E813EF2"/>
    <w:rsid w:val="0E833DCE"/>
    <w:rsid w:val="0E886315"/>
    <w:rsid w:val="0E8A7650"/>
    <w:rsid w:val="0E8C4A31"/>
    <w:rsid w:val="0E9B223B"/>
    <w:rsid w:val="0E9B7DBA"/>
    <w:rsid w:val="0E9E387E"/>
    <w:rsid w:val="0E9F5862"/>
    <w:rsid w:val="0EA36B64"/>
    <w:rsid w:val="0EA54360"/>
    <w:rsid w:val="0EAB21E1"/>
    <w:rsid w:val="0EAE5B5A"/>
    <w:rsid w:val="0EB06FD4"/>
    <w:rsid w:val="0EB37089"/>
    <w:rsid w:val="0EB67F9D"/>
    <w:rsid w:val="0EB75826"/>
    <w:rsid w:val="0EBE1E7E"/>
    <w:rsid w:val="0EC12847"/>
    <w:rsid w:val="0EC464CF"/>
    <w:rsid w:val="0EC50FE7"/>
    <w:rsid w:val="0EC63D5A"/>
    <w:rsid w:val="0ECA7D6F"/>
    <w:rsid w:val="0ECC7523"/>
    <w:rsid w:val="0ED12083"/>
    <w:rsid w:val="0ED23BCE"/>
    <w:rsid w:val="0ED55585"/>
    <w:rsid w:val="0ED63EFE"/>
    <w:rsid w:val="0ED74D52"/>
    <w:rsid w:val="0ED77A52"/>
    <w:rsid w:val="0EDB32C2"/>
    <w:rsid w:val="0EDE1004"/>
    <w:rsid w:val="0EE16D6C"/>
    <w:rsid w:val="0EEE6853"/>
    <w:rsid w:val="0EF079FC"/>
    <w:rsid w:val="0EF13E3B"/>
    <w:rsid w:val="0EF66D4E"/>
    <w:rsid w:val="0EF90AD0"/>
    <w:rsid w:val="0EFD41D3"/>
    <w:rsid w:val="0EFE111D"/>
    <w:rsid w:val="0EFF05BF"/>
    <w:rsid w:val="0F0071FD"/>
    <w:rsid w:val="0F016EF2"/>
    <w:rsid w:val="0F0466D0"/>
    <w:rsid w:val="0F052A35"/>
    <w:rsid w:val="0F13775A"/>
    <w:rsid w:val="0F2033CB"/>
    <w:rsid w:val="0F262DBE"/>
    <w:rsid w:val="0F291EB6"/>
    <w:rsid w:val="0F2E4F1C"/>
    <w:rsid w:val="0F2E5C24"/>
    <w:rsid w:val="0F2F0171"/>
    <w:rsid w:val="0F310CF2"/>
    <w:rsid w:val="0F3C04D3"/>
    <w:rsid w:val="0F41098E"/>
    <w:rsid w:val="0F4C2412"/>
    <w:rsid w:val="0F4C748E"/>
    <w:rsid w:val="0F4D6567"/>
    <w:rsid w:val="0F500A84"/>
    <w:rsid w:val="0F535BB4"/>
    <w:rsid w:val="0F5372FC"/>
    <w:rsid w:val="0F5645BF"/>
    <w:rsid w:val="0F5F45FE"/>
    <w:rsid w:val="0F636435"/>
    <w:rsid w:val="0F67223B"/>
    <w:rsid w:val="0F706B6F"/>
    <w:rsid w:val="0F717106"/>
    <w:rsid w:val="0F7200CA"/>
    <w:rsid w:val="0F761E6A"/>
    <w:rsid w:val="0F8026E5"/>
    <w:rsid w:val="0F814FE4"/>
    <w:rsid w:val="0F857664"/>
    <w:rsid w:val="0F8676D2"/>
    <w:rsid w:val="0F8E2A2A"/>
    <w:rsid w:val="0F8E3F0F"/>
    <w:rsid w:val="0F900551"/>
    <w:rsid w:val="0F9343FC"/>
    <w:rsid w:val="0F9670A0"/>
    <w:rsid w:val="0F9A112B"/>
    <w:rsid w:val="0F9E4C29"/>
    <w:rsid w:val="0FA341CE"/>
    <w:rsid w:val="0FA638D0"/>
    <w:rsid w:val="0FB00BF3"/>
    <w:rsid w:val="0FB06179"/>
    <w:rsid w:val="0FB11962"/>
    <w:rsid w:val="0FB56BD7"/>
    <w:rsid w:val="0FB87877"/>
    <w:rsid w:val="0FB9281A"/>
    <w:rsid w:val="0FBE3F89"/>
    <w:rsid w:val="0FC107D6"/>
    <w:rsid w:val="0FC43F84"/>
    <w:rsid w:val="0FC54015"/>
    <w:rsid w:val="0FCA5EBC"/>
    <w:rsid w:val="0FCD2DB1"/>
    <w:rsid w:val="0FD0094D"/>
    <w:rsid w:val="0FD05D40"/>
    <w:rsid w:val="0FD14E12"/>
    <w:rsid w:val="0FD70270"/>
    <w:rsid w:val="0FD857C7"/>
    <w:rsid w:val="0FD8584B"/>
    <w:rsid w:val="0FE1047E"/>
    <w:rsid w:val="0FE449DB"/>
    <w:rsid w:val="0FE97C61"/>
    <w:rsid w:val="0FF177BB"/>
    <w:rsid w:val="0FF32CCC"/>
    <w:rsid w:val="0FFB0B01"/>
    <w:rsid w:val="10053E65"/>
    <w:rsid w:val="1005689B"/>
    <w:rsid w:val="100920B1"/>
    <w:rsid w:val="100F5919"/>
    <w:rsid w:val="101B5DB0"/>
    <w:rsid w:val="101D0C26"/>
    <w:rsid w:val="102B21E9"/>
    <w:rsid w:val="102F7CB8"/>
    <w:rsid w:val="10325280"/>
    <w:rsid w:val="10340BFA"/>
    <w:rsid w:val="1039196C"/>
    <w:rsid w:val="103C6EBC"/>
    <w:rsid w:val="103D68ED"/>
    <w:rsid w:val="103D7164"/>
    <w:rsid w:val="10463078"/>
    <w:rsid w:val="10475AFD"/>
    <w:rsid w:val="104C7923"/>
    <w:rsid w:val="104E1806"/>
    <w:rsid w:val="104E1969"/>
    <w:rsid w:val="10531D11"/>
    <w:rsid w:val="1054157E"/>
    <w:rsid w:val="105772C0"/>
    <w:rsid w:val="10594DE6"/>
    <w:rsid w:val="105F7F23"/>
    <w:rsid w:val="106539C4"/>
    <w:rsid w:val="10685029"/>
    <w:rsid w:val="106D2F64"/>
    <w:rsid w:val="10701822"/>
    <w:rsid w:val="10763B33"/>
    <w:rsid w:val="107A53B8"/>
    <w:rsid w:val="107B2FAF"/>
    <w:rsid w:val="107E1F99"/>
    <w:rsid w:val="10841B63"/>
    <w:rsid w:val="10852004"/>
    <w:rsid w:val="10867620"/>
    <w:rsid w:val="10893C2D"/>
    <w:rsid w:val="10896434"/>
    <w:rsid w:val="108E4601"/>
    <w:rsid w:val="10910F07"/>
    <w:rsid w:val="10927217"/>
    <w:rsid w:val="10951730"/>
    <w:rsid w:val="10A35CF6"/>
    <w:rsid w:val="10A5627E"/>
    <w:rsid w:val="10A73CA2"/>
    <w:rsid w:val="10AA09CC"/>
    <w:rsid w:val="10B63710"/>
    <w:rsid w:val="10B65DD3"/>
    <w:rsid w:val="10BF1F18"/>
    <w:rsid w:val="10C64D4B"/>
    <w:rsid w:val="10C77FA2"/>
    <w:rsid w:val="10D71C99"/>
    <w:rsid w:val="10DA097E"/>
    <w:rsid w:val="10DE410E"/>
    <w:rsid w:val="10E612D2"/>
    <w:rsid w:val="10ED3781"/>
    <w:rsid w:val="10F06835"/>
    <w:rsid w:val="10F10820"/>
    <w:rsid w:val="10F57DA7"/>
    <w:rsid w:val="10F6205D"/>
    <w:rsid w:val="10FE598E"/>
    <w:rsid w:val="11032FA4"/>
    <w:rsid w:val="11083A71"/>
    <w:rsid w:val="11086D90"/>
    <w:rsid w:val="110D1427"/>
    <w:rsid w:val="111162A9"/>
    <w:rsid w:val="111C2F7A"/>
    <w:rsid w:val="111C3120"/>
    <w:rsid w:val="111C7193"/>
    <w:rsid w:val="11246A71"/>
    <w:rsid w:val="112E76DF"/>
    <w:rsid w:val="113123F2"/>
    <w:rsid w:val="11312C7B"/>
    <w:rsid w:val="1132392C"/>
    <w:rsid w:val="113524A4"/>
    <w:rsid w:val="1135541B"/>
    <w:rsid w:val="11356EF3"/>
    <w:rsid w:val="113B1662"/>
    <w:rsid w:val="113F3068"/>
    <w:rsid w:val="11401B02"/>
    <w:rsid w:val="1145536B"/>
    <w:rsid w:val="11470986"/>
    <w:rsid w:val="1149766D"/>
    <w:rsid w:val="114F1ADD"/>
    <w:rsid w:val="114F5648"/>
    <w:rsid w:val="115F642C"/>
    <w:rsid w:val="116021A5"/>
    <w:rsid w:val="11605E36"/>
    <w:rsid w:val="11665CA1"/>
    <w:rsid w:val="116A1E96"/>
    <w:rsid w:val="116E041E"/>
    <w:rsid w:val="116F16E5"/>
    <w:rsid w:val="11721BDA"/>
    <w:rsid w:val="117D68B3"/>
    <w:rsid w:val="11825553"/>
    <w:rsid w:val="11851C0B"/>
    <w:rsid w:val="11852AC6"/>
    <w:rsid w:val="11875983"/>
    <w:rsid w:val="11877450"/>
    <w:rsid w:val="11891392"/>
    <w:rsid w:val="118935F2"/>
    <w:rsid w:val="118A4439"/>
    <w:rsid w:val="118D3A34"/>
    <w:rsid w:val="11974899"/>
    <w:rsid w:val="11976BFB"/>
    <w:rsid w:val="11987B90"/>
    <w:rsid w:val="119D0D03"/>
    <w:rsid w:val="11A227BD"/>
    <w:rsid w:val="11A622AD"/>
    <w:rsid w:val="11AC535A"/>
    <w:rsid w:val="11AE0013"/>
    <w:rsid w:val="11B0282C"/>
    <w:rsid w:val="11BF332E"/>
    <w:rsid w:val="11C33CAB"/>
    <w:rsid w:val="11C73C4C"/>
    <w:rsid w:val="11CC281A"/>
    <w:rsid w:val="11D230A2"/>
    <w:rsid w:val="11D92CA0"/>
    <w:rsid w:val="11DF30C9"/>
    <w:rsid w:val="11E93EE6"/>
    <w:rsid w:val="11EF1F01"/>
    <w:rsid w:val="11F0177A"/>
    <w:rsid w:val="11F358DC"/>
    <w:rsid w:val="11F50B26"/>
    <w:rsid w:val="11F51969"/>
    <w:rsid w:val="11F8418B"/>
    <w:rsid w:val="12003CA1"/>
    <w:rsid w:val="12100052"/>
    <w:rsid w:val="12142A87"/>
    <w:rsid w:val="12174036"/>
    <w:rsid w:val="121F1411"/>
    <w:rsid w:val="12271855"/>
    <w:rsid w:val="12271B47"/>
    <w:rsid w:val="122A4C8C"/>
    <w:rsid w:val="122C020A"/>
    <w:rsid w:val="12307DC9"/>
    <w:rsid w:val="12333CFB"/>
    <w:rsid w:val="12353631"/>
    <w:rsid w:val="12362B85"/>
    <w:rsid w:val="12376B78"/>
    <w:rsid w:val="12397959"/>
    <w:rsid w:val="123F4024"/>
    <w:rsid w:val="12441AA8"/>
    <w:rsid w:val="124641C6"/>
    <w:rsid w:val="124B075F"/>
    <w:rsid w:val="124B784C"/>
    <w:rsid w:val="125039A6"/>
    <w:rsid w:val="1252552F"/>
    <w:rsid w:val="125C6E10"/>
    <w:rsid w:val="125E6766"/>
    <w:rsid w:val="12623AEF"/>
    <w:rsid w:val="126561C9"/>
    <w:rsid w:val="12704979"/>
    <w:rsid w:val="12773FB7"/>
    <w:rsid w:val="128756B4"/>
    <w:rsid w:val="128819B3"/>
    <w:rsid w:val="12884464"/>
    <w:rsid w:val="128D5BB0"/>
    <w:rsid w:val="128D6B70"/>
    <w:rsid w:val="129051AA"/>
    <w:rsid w:val="12921313"/>
    <w:rsid w:val="12960435"/>
    <w:rsid w:val="12990E1B"/>
    <w:rsid w:val="12A409FA"/>
    <w:rsid w:val="12B21BE1"/>
    <w:rsid w:val="12B21C25"/>
    <w:rsid w:val="12B427A8"/>
    <w:rsid w:val="12BD1A92"/>
    <w:rsid w:val="12BE5A0E"/>
    <w:rsid w:val="12C22438"/>
    <w:rsid w:val="12C51AA5"/>
    <w:rsid w:val="12C52D58"/>
    <w:rsid w:val="12C865BC"/>
    <w:rsid w:val="12CB499E"/>
    <w:rsid w:val="12CD4308"/>
    <w:rsid w:val="12D01010"/>
    <w:rsid w:val="12D05228"/>
    <w:rsid w:val="12D56D72"/>
    <w:rsid w:val="12D76496"/>
    <w:rsid w:val="12DA6B3E"/>
    <w:rsid w:val="12E370BA"/>
    <w:rsid w:val="12E76EAE"/>
    <w:rsid w:val="12ED0DC6"/>
    <w:rsid w:val="12F157AA"/>
    <w:rsid w:val="12F708E7"/>
    <w:rsid w:val="12FB0056"/>
    <w:rsid w:val="13003AE0"/>
    <w:rsid w:val="130124F3"/>
    <w:rsid w:val="13045CDF"/>
    <w:rsid w:val="130D2E83"/>
    <w:rsid w:val="13111FC7"/>
    <w:rsid w:val="13113756"/>
    <w:rsid w:val="13130973"/>
    <w:rsid w:val="1319085D"/>
    <w:rsid w:val="131F09D1"/>
    <w:rsid w:val="132316DC"/>
    <w:rsid w:val="13246C02"/>
    <w:rsid w:val="1324792E"/>
    <w:rsid w:val="132667D3"/>
    <w:rsid w:val="13290CC8"/>
    <w:rsid w:val="132916FF"/>
    <w:rsid w:val="132A7F13"/>
    <w:rsid w:val="132F0080"/>
    <w:rsid w:val="1331246A"/>
    <w:rsid w:val="1332191F"/>
    <w:rsid w:val="13385860"/>
    <w:rsid w:val="13407A72"/>
    <w:rsid w:val="134358DA"/>
    <w:rsid w:val="1343656D"/>
    <w:rsid w:val="13442602"/>
    <w:rsid w:val="134445E9"/>
    <w:rsid w:val="13451652"/>
    <w:rsid w:val="13491142"/>
    <w:rsid w:val="134D7D82"/>
    <w:rsid w:val="134E39BD"/>
    <w:rsid w:val="13554DDA"/>
    <w:rsid w:val="1356560D"/>
    <w:rsid w:val="135A376A"/>
    <w:rsid w:val="135E2714"/>
    <w:rsid w:val="136123B4"/>
    <w:rsid w:val="13634CEF"/>
    <w:rsid w:val="1369319F"/>
    <w:rsid w:val="13720B82"/>
    <w:rsid w:val="13820155"/>
    <w:rsid w:val="138249BC"/>
    <w:rsid w:val="1383709F"/>
    <w:rsid w:val="138637FD"/>
    <w:rsid w:val="13951726"/>
    <w:rsid w:val="139576C2"/>
    <w:rsid w:val="13971B77"/>
    <w:rsid w:val="1397548A"/>
    <w:rsid w:val="139763E6"/>
    <w:rsid w:val="13982947"/>
    <w:rsid w:val="139920A6"/>
    <w:rsid w:val="13A24CF6"/>
    <w:rsid w:val="13A66595"/>
    <w:rsid w:val="13BA3DEE"/>
    <w:rsid w:val="13BE5548"/>
    <w:rsid w:val="13C06F2A"/>
    <w:rsid w:val="13C62793"/>
    <w:rsid w:val="13C64138"/>
    <w:rsid w:val="13C702B9"/>
    <w:rsid w:val="13C94031"/>
    <w:rsid w:val="13CA1C9E"/>
    <w:rsid w:val="13CA2766"/>
    <w:rsid w:val="13CB4963"/>
    <w:rsid w:val="13D33102"/>
    <w:rsid w:val="13D9618F"/>
    <w:rsid w:val="13DA7BC9"/>
    <w:rsid w:val="13DE24CF"/>
    <w:rsid w:val="13E1620E"/>
    <w:rsid w:val="13E32A76"/>
    <w:rsid w:val="13E452F0"/>
    <w:rsid w:val="13E64BE3"/>
    <w:rsid w:val="13E918B6"/>
    <w:rsid w:val="13EB3944"/>
    <w:rsid w:val="13EE0724"/>
    <w:rsid w:val="13F41CA4"/>
    <w:rsid w:val="140249D3"/>
    <w:rsid w:val="140E48EE"/>
    <w:rsid w:val="14101C60"/>
    <w:rsid w:val="1415250B"/>
    <w:rsid w:val="14172F0F"/>
    <w:rsid w:val="141A488D"/>
    <w:rsid w:val="141B4A8A"/>
    <w:rsid w:val="141D5B53"/>
    <w:rsid w:val="14204B39"/>
    <w:rsid w:val="142D6CF1"/>
    <w:rsid w:val="142E671E"/>
    <w:rsid w:val="14321AB7"/>
    <w:rsid w:val="14396509"/>
    <w:rsid w:val="143D04CE"/>
    <w:rsid w:val="144133AA"/>
    <w:rsid w:val="1444246F"/>
    <w:rsid w:val="144E4536"/>
    <w:rsid w:val="14524026"/>
    <w:rsid w:val="145D29CB"/>
    <w:rsid w:val="14601520"/>
    <w:rsid w:val="146632DD"/>
    <w:rsid w:val="146751D1"/>
    <w:rsid w:val="14681A9C"/>
    <w:rsid w:val="146855F8"/>
    <w:rsid w:val="146A170C"/>
    <w:rsid w:val="14730058"/>
    <w:rsid w:val="147574AC"/>
    <w:rsid w:val="147A532B"/>
    <w:rsid w:val="14834523"/>
    <w:rsid w:val="14842ADA"/>
    <w:rsid w:val="1484626C"/>
    <w:rsid w:val="1485452F"/>
    <w:rsid w:val="148701EE"/>
    <w:rsid w:val="148A4F5C"/>
    <w:rsid w:val="148C5CB6"/>
    <w:rsid w:val="148E2195"/>
    <w:rsid w:val="14910533"/>
    <w:rsid w:val="1496262B"/>
    <w:rsid w:val="149E202D"/>
    <w:rsid w:val="14A01236"/>
    <w:rsid w:val="14A046EA"/>
    <w:rsid w:val="14A14A83"/>
    <w:rsid w:val="14A637B7"/>
    <w:rsid w:val="14AF530F"/>
    <w:rsid w:val="14B2411D"/>
    <w:rsid w:val="14B52056"/>
    <w:rsid w:val="14B7032D"/>
    <w:rsid w:val="14B74B4D"/>
    <w:rsid w:val="14B90188"/>
    <w:rsid w:val="14B93F46"/>
    <w:rsid w:val="14BC7C7A"/>
    <w:rsid w:val="14BD45AD"/>
    <w:rsid w:val="14C50C9C"/>
    <w:rsid w:val="14C667C2"/>
    <w:rsid w:val="14CC1208"/>
    <w:rsid w:val="14CE4A71"/>
    <w:rsid w:val="14CE7645"/>
    <w:rsid w:val="14D0311E"/>
    <w:rsid w:val="14D56A06"/>
    <w:rsid w:val="14D9147C"/>
    <w:rsid w:val="14DD2C3C"/>
    <w:rsid w:val="14E91FEC"/>
    <w:rsid w:val="14EA14D8"/>
    <w:rsid w:val="14ED72C8"/>
    <w:rsid w:val="14F111B2"/>
    <w:rsid w:val="14F43A4C"/>
    <w:rsid w:val="14FB646C"/>
    <w:rsid w:val="14FB6BE0"/>
    <w:rsid w:val="14FE13EC"/>
    <w:rsid w:val="14FE3C03"/>
    <w:rsid w:val="15034A06"/>
    <w:rsid w:val="150A2583"/>
    <w:rsid w:val="150B2DE7"/>
    <w:rsid w:val="150C7E53"/>
    <w:rsid w:val="150E2B9F"/>
    <w:rsid w:val="1516102A"/>
    <w:rsid w:val="151614F8"/>
    <w:rsid w:val="1518310D"/>
    <w:rsid w:val="151D7CE1"/>
    <w:rsid w:val="151F77AB"/>
    <w:rsid w:val="15202377"/>
    <w:rsid w:val="1524786C"/>
    <w:rsid w:val="152732AD"/>
    <w:rsid w:val="1538319B"/>
    <w:rsid w:val="153B246F"/>
    <w:rsid w:val="154A0C01"/>
    <w:rsid w:val="154A51D9"/>
    <w:rsid w:val="154C4F1A"/>
    <w:rsid w:val="155210E7"/>
    <w:rsid w:val="155341CA"/>
    <w:rsid w:val="15575425"/>
    <w:rsid w:val="15610F86"/>
    <w:rsid w:val="15671D54"/>
    <w:rsid w:val="15676A5E"/>
    <w:rsid w:val="156A1FA9"/>
    <w:rsid w:val="156D4E90"/>
    <w:rsid w:val="156E30E2"/>
    <w:rsid w:val="156E5191"/>
    <w:rsid w:val="156E7B1C"/>
    <w:rsid w:val="157062F0"/>
    <w:rsid w:val="1570765E"/>
    <w:rsid w:val="15724254"/>
    <w:rsid w:val="157C029C"/>
    <w:rsid w:val="157D75B6"/>
    <w:rsid w:val="15806971"/>
    <w:rsid w:val="15844C24"/>
    <w:rsid w:val="15875F52"/>
    <w:rsid w:val="158E0C36"/>
    <w:rsid w:val="1593198A"/>
    <w:rsid w:val="15A2107F"/>
    <w:rsid w:val="15A84F25"/>
    <w:rsid w:val="15AC1E3F"/>
    <w:rsid w:val="15AF54A9"/>
    <w:rsid w:val="15B34F99"/>
    <w:rsid w:val="15B36D47"/>
    <w:rsid w:val="15B4672E"/>
    <w:rsid w:val="15B825AF"/>
    <w:rsid w:val="15BD1765"/>
    <w:rsid w:val="15BD2098"/>
    <w:rsid w:val="15C23F19"/>
    <w:rsid w:val="15C61090"/>
    <w:rsid w:val="15C834E4"/>
    <w:rsid w:val="15CA7111"/>
    <w:rsid w:val="15CE0E02"/>
    <w:rsid w:val="15D03F7F"/>
    <w:rsid w:val="15D3472B"/>
    <w:rsid w:val="15D416FF"/>
    <w:rsid w:val="15D86C31"/>
    <w:rsid w:val="15D90B73"/>
    <w:rsid w:val="15DB61A8"/>
    <w:rsid w:val="15DB773D"/>
    <w:rsid w:val="15DD2016"/>
    <w:rsid w:val="15DF5D8E"/>
    <w:rsid w:val="15E21A01"/>
    <w:rsid w:val="15E56BD7"/>
    <w:rsid w:val="15E67FF2"/>
    <w:rsid w:val="15F05802"/>
    <w:rsid w:val="15F70994"/>
    <w:rsid w:val="15F91AD9"/>
    <w:rsid w:val="15FA7D7D"/>
    <w:rsid w:val="15FB7B67"/>
    <w:rsid w:val="15FF6626"/>
    <w:rsid w:val="16043617"/>
    <w:rsid w:val="16060CCA"/>
    <w:rsid w:val="16070EEA"/>
    <w:rsid w:val="16073102"/>
    <w:rsid w:val="16077D6F"/>
    <w:rsid w:val="16087E1D"/>
    <w:rsid w:val="1610280F"/>
    <w:rsid w:val="16127599"/>
    <w:rsid w:val="16154968"/>
    <w:rsid w:val="16255D09"/>
    <w:rsid w:val="162C3611"/>
    <w:rsid w:val="163776D8"/>
    <w:rsid w:val="16395629"/>
    <w:rsid w:val="164314E6"/>
    <w:rsid w:val="16441FD3"/>
    <w:rsid w:val="16445BF1"/>
    <w:rsid w:val="16466E55"/>
    <w:rsid w:val="164726EB"/>
    <w:rsid w:val="164C0B0D"/>
    <w:rsid w:val="164F4B0E"/>
    <w:rsid w:val="164F6F3A"/>
    <w:rsid w:val="16587230"/>
    <w:rsid w:val="165E346A"/>
    <w:rsid w:val="16603147"/>
    <w:rsid w:val="166F3C31"/>
    <w:rsid w:val="16702E8A"/>
    <w:rsid w:val="16771530"/>
    <w:rsid w:val="167F30CD"/>
    <w:rsid w:val="167F4E7B"/>
    <w:rsid w:val="16837029"/>
    <w:rsid w:val="1687472E"/>
    <w:rsid w:val="168B3820"/>
    <w:rsid w:val="168D7397"/>
    <w:rsid w:val="16900E36"/>
    <w:rsid w:val="16922E00"/>
    <w:rsid w:val="16941643"/>
    <w:rsid w:val="16963168"/>
    <w:rsid w:val="169959F8"/>
    <w:rsid w:val="169A3A63"/>
    <w:rsid w:val="169F07F0"/>
    <w:rsid w:val="16A0051E"/>
    <w:rsid w:val="16A101B8"/>
    <w:rsid w:val="16A35DCC"/>
    <w:rsid w:val="16A379F8"/>
    <w:rsid w:val="16A74974"/>
    <w:rsid w:val="16A81E46"/>
    <w:rsid w:val="16AF6B4D"/>
    <w:rsid w:val="16B27B85"/>
    <w:rsid w:val="16BC27D2"/>
    <w:rsid w:val="16C05239"/>
    <w:rsid w:val="16C22A80"/>
    <w:rsid w:val="16C71D32"/>
    <w:rsid w:val="16D43419"/>
    <w:rsid w:val="16D927DD"/>
    <w:rsid w:val="16DB304D"/>
    <w:rsid w:val="16E12658"/>
    <w:rsid w:val="16E3365C"/>
    <w:rsid w:val="16E53DFE"/>
    <w:rsid w:val="16E70ECC"/>
    <w:rsid w:val="16E96950"/>
    <w:rsid w:val="16EF4043"/>
    <w:rsid w:val="16F05D79"/>
    <w:rsid w:val="16F41556"/>
    <w:rsid w:val="16FE0496"/>
    <w:rsid w:val="16FE2C36"/>
    <w:rsid w:val="16FF7D3A"/>
    <w:rsid w:val="17066B2D"/>
    <w:rsid w:val="17067BF9"/>
    <w:rsid w:val="170C3318"/>
    <w:rsid w:val="171C40A7"/>
    <w:rsid w:val="171D1732"/>
    <w:rsid w:val="171E6442"/>
    <w:rsid w:val="172163E8"/>
    <w:rsid w:val="17253C74"/>
    <w:rsid w:val="173503A8"/>
    <w:rsid w:val="1735378C"/>
    <w:rsid w:val="1737390E"/>
    <w:rsid w:val="173F29AA"/>
    <w:rsid w:val="174571CC"/>
    <w:rsid w:val="17460B19"/>
    <w:rsid w:val="17495A28"/>
    <w:rsid w:val="174A2DD8"/>
    <w:rsid w:val="175273C7"/>
    <w:rsid w:val="17537D79"/>
    <w:rsid w:val="17587EA8"/>
    <w:rsid w:val="17591360"/>
    <w:rsid w:val="175B1444"/>
    <w:rsid w:val="175D4030"/>
    <w:rsid w:val="1760195B"/>
    <w:rsid w:val="176C5C53"/>
    <w:rsid w:val="17701D14"/>
    <w:rsid w:val="17735226"/>
    <w:rsid w:val="17754A15"/>
    <w:rsid w:val="17782282"/>
    <w:rsid w:val="177B0796"/>
    <w:rsid w:val="177E0DFE"/>
    <w:rsid w:val="177E53C2"/>
    <w:rsid w:val="17810A74"/>
    <w:rsid w:val="178354E6"/>
    <w:rsid w:val="1789509E"/>
    <w:rsid w:val="178F2401"/>
    <w:rsid w:val="178F478E"/>
    <w:rsid w:val="17900CEE"/>
    <w:rsid w:val="17932650"/>
    <w:rsid w:val="17942BA8"/>
    <w:rsid w:val="17955458"/>
    <w:rsid w:val="179B5CE4"/>
    <w:rsid w:val="17AA3BEE"/>
    <w:rsid w:val="17AF2403"/>
    <w:rsid w:val="17B1305C"/>
    <w:rsid w:val="17B608AF"/>
    <w:rsid w:val="17C35C28"/>
    <w:rsid w:val="17C7251A"/>
    <w:rsid w:val="17CC40F0"/>
    <w:rsid w:val="17D870AB"/>
    <w:rsid w:val="17DF6B30"/>
    <w:rsid w:val="17E4210C"/>
    <w:rsid w:val="17E84D69"/>
    <w:rsid w:val="17E904B8"/>
    <w:rsid w:val="17F4231E"/>
    <w:rsid w:val="17F5177A"/>
    <w:rsid w:val="17F81B7E"/>
    <w:rsid w:val="17FA7EEB"/>
    <w:rsid w:val="17FE72B4"/>
    <w:rsid w:val="18003D99"/>
    <w:rsid w:val="18131D1F"/>
    <w:rsid w:val="18155DF0"/>
    <w:rsid w:val="18182BEB"/>
    <w:rsid w:val="181E53AA"/>
    <w:rsid w:val="1820480C"/>
    <w:rsid w:val="18221F62"/>
    <w:rsid w:val="18271C92"/>
    <w:rsid w:val="18277578"/>
    <w:rsid w:val="182E4DF4"/>
    <w:rsid w:val="18340622"/>
    <w:rsid w:val="183A5651"/>
    <w:rsid w:val="183B127D"/>
    <w:rsid w:val="183B6DB6"/>
    <w:rsid w:val="1841463C"/>
    <w:rsid w:val="18450247"/>
    <w:rsid w:val="18452C6C"/>
    <w:rsid w:val="184655A8"/>
    <w:rsid w:val="184B4E23"/>
    <w:rsid w:val="184B6835"/>
    <w:rsid w:val="184E6EA1"/>
    <w:rsid w:val="18511766"/>
    <w:rsid w:val="1852049A"/>
    <w:rsid w:val="18573CA2"/>
    <w:rsid w:val="185A775D"/>
    <w:rsid w:val="185A7C93"/>
    <w:rsid w:val="185C1918"/>
    <w:rsid w:val="185C58E1"/>
    <w:rsid w:val="1861593B"/>
    <w:rsid w:val="1863075A"/>
    <w:rsid w:val="18642C95"/>
    <w:rsid w:val="18667BAA"/>
    <w:rsid w:val="1867206B"/>
    <w:rsid w:val="18684174"/>
    <w:rsid w:val="186E2B3E"/>
    <w:rsid w:val="18724270"/>
    <w:rsid w:val="1875670A"/>
    <w:rsid w:val="187A1FE6"/>
    <w:rsid w:val="18826EA4"/>
    <w:rsid w:val="188449CB"/>
    <w:rsid w:val="188511FA"/>
    <w:rsid w:val="188A3191"/>
    <w:rsid w:val="188B5919"/>
    <w:rsid w:val="189015C1"/>
    <w:rsid w:val="18983DCC"/>
    <w:rsid w:val="189F624C"/>
    <w:rsid w:val="189F7E38"/>
    <w:rsid w:val="18A754B2"/>
    <w:rsid w:val="18AD73A1"/>
    <w:rsid w:val="18B52DD6"/>
    <w:rsid w:val="18B828C6"/>
    <w:rsid w:val="18BF5A03"/>
    <w:rsid w:val="18C439DD"/>
    <w:rsid w:val="18C51370"/>
    <w:rsid w:val="18CC2760"/>
    <w:rsid w:val="18D10255"/>
    <w:rsid w:val="18D10D95"/>
    <w:rsid w:val="18D1535F"/>
    <w:rsid w:val="18D25736"/>
    <w:rsid w:val="18D25D3C"/>
    <w:rsid w:val="18D26C8E"/>
    <w:rsid w:val="18D37C16"/>
    <w:rsid w:val="18D42952"/>
    <w:rsid w:val="18D86AC4"/>
    <w:rsid w:val="18E107B6"/>
    <w:rsid w:val="18EB4A4A"/>
    <w:rsid w:val="18ED2E08"/>
    <w:rsid w:val="18EF453A"/>
    <w:rsid w:val="18F115D9"/>
    <w:rsid w:val="18F167AC"/>
    <w:rsid w:val="18F32CCF"/>
    <w:rsid w:val="18F356AC"/>
    <w:rsid w:val="18F733EE"/>
    <w:rsid w:val="18F91DF4"/>
    <w:rsid w:val="18F9614C"/>
    <w:rsid w:val="18FF2F37"/>
    <w:rsid w:val="19014ACA"/>
    <w:rsid w:val="19032E20"/>
    <w:rsid w:val="190568B9"/>
    <w:rsid w:val="190A2398"/>
    <w:rsid w:val="19100105"/>
    <w:rsid w:val="191A283A"/>
    <w:rsid w:val="191E6BCD"/>
    <w:rsid w:val="191F64A1"/>
    <w:rsid w:val="19222A2D"/>
    <w:rsid w:val="192B7464"/>
    <w:rsid w:val="192F260A"/>
    <w:rsid w:val="19322678"/>
    <w:rsid w:val="19380494"/>
    <w:rsid w:val="1939323A"/>
    <w:rsid w:val="193C23DA"/>
    <w:rsid w:val="193D02BF"/>
    <w:rsid w:val="1945415A"/>
    <w:rsid w:val="194B54E8"/>
    <w:rsid w:val="194F2165"/>
    <w:rsid w:val="19514257"/>
    <w:rsid w:val="19516FA3"/>
    <w:rsid w:val="195C76F5"/>
    <w:rsid w:val="196856C8"/>
    <w:rsid w:val="196A1AB7"/>
    <w:rsid w:val="196A319C"/>
    <w:rsid w:val="196E6AFF"/>
    <w:rsid w:val="196F567B"/>
    <w:rsid w:val="19766A09"/>
    <w:rsid w:val="1978355D"/>
    <w:rsid w:val="19796E0A"/>
    <w:rsid w:val="197B0BEB"/>
    <w:rsid w:val="197C4682"/>
    <w:rsid w:val="19886DF4"/>
    <w:rsid w:val="19894442"/>
    <w:rsid w:val="198C4155"/>
    <w:rsid w:val="199919A7"/>
    <w:rsid w:val="19A15154"/>
    <w:rsid w:val="19A33E41"/>
    <w:rsid w:val="19A9564B"/>
    <w:rsid w:val="19AA66B3"/>
    <w:rsid w:val="19B34546"/>
    <w:rsid w:val="19B6560D"/>
    <w:rsid w:val="19C02D6F"/>
    <w:rsid w:val="19C16E81"/>
    <w:rsid w:val="19C86A0C"/>
    <w:rsid w:val="19CE05F3"/>
    <w:rsid w:val="19D21766"/>
    <w:rsid w:val="19D35C0A"/>
    <w:rsid w:val="19D572A1"/>
    <w:rsid w:val="19DD25E4"/>
    <w:rsid w:val="19DE29C4"/>
    <w:rsid w:val="19E03E83"/>
    <w:rsid w:val="19E3613F"/>
    <w:rsid w:val="19E40E4D"/>
    <w:rsid w:val="19E51499"/>
    <w:rsid w:val="19F415BB"/>
    <w:rsid w:val="19F61AB7"/>
    <w:rsid w:val="19FC6162"/>
    <w:rsid w:val="19FF615F"/>
    <w:rsid w:val="1A0758C2"/>
    <w:rsid w:val="1A093800"/>
    <w:rsid w:val="1A1645E3"/>
    <w:rsid w:val="1A165800"/>
    <w:rsid w:val="1A18186E"/>
    <w:rsid w:val="1A187F41"/>
    <w:rsid w:val="1A1B4772"/>
    <w:rsid w:val="1A1C65FD"/>
    <w:rsid w:val="1A1C66C0"/>
    <w:rsid w:val="1A1E49AB"/>
    <w:rsid w:val="1A1F2BFD"/>
    <w:rsid w:val="1A200067"/>
    <w:rsid w:val="1A2464B0"/>
    <w:rsid w:val="1A297E6F"/>
    <w:rsid w:val="1A2C7EE6"/>
    <w:rsid w:val="1A332833"/>
    <w:rsid w:val="1A34603F"/>
    <w:rsid w:val="1A3D1A5B"/>
    <w:rsid w:val="1A410359"/>
    <w:rsid w:val="1A42393B"/>
    <w:rsid w:val="1A456A44"/>
    <w:rsid w:val="1A4632D7"/>
    <w:rsid w:val="1A463AE0"/>
    <w:rsid w:val="1A463E79"/>
    <w:rsid w:val="1A49559A"/>
    <w:rsid w:val="1A4B50F8"/>
    <w:rsid w:val="1A4F2EBC"/>
    <w:rsid w:val="1A5328A6"/>
    <w:rsid w:val="1A562000"/>
    <w:rsid w:val="1A5671BE"/>
    <w:rsid w:val="1A585DB7"/>
    <w:rsid w:val="1A5A7FA3"/>
    <w:rsid w:val="1A636766"/>
    <w:rsid w:val="1A657E6F"/>
    <w:rsid w:val="1A667158"/>
    <w:rsid w:val="1A721FA7"/>
    <w:rsid w:val="1A7A7CE9"/>
    <w:rsid w:val="1A813FFE"/>
    <w:rsid w:val="1A832DA4"/>
    <w:rsid w:val="1A8416F8"/>
    <w:rsid w:val="1A872550"/>
    <w:rsid w:val="1A872892"/>
    <w:rsid w:val="1A8831AE"/>
    <w:rsid w:val="1A890C64"/>
    <w:rsid w:val="1A891DA2"/>
    <w:rsid w:val="1A8A41C0"/>
    <w:rsid w:val="1A91517D"/>
    <w:rsid w:val="1A954C6D"/>
    <w:rsid w:val="1A9A2283"/>
    <w:rsid w:val="1A9D023B"/>
    <w:rsid w:val="1AA44EB0"/>
    <w:rsid w:val="1AA544F8"/>
    <w:rsid w:val="1AA5556E"/>
    <w:rsid w:val="1AAB4C41"/>
    <w:rsid w:val="1AAD45DE"/>
    <w:rsid w:val="1AAE3A20"/>
    <w:rsid w:val="1AAE3F81"/>
    <w:rsid w:val="1AAF41B2"/>
    <w:rsid w:val="1AAF5FAC"/>
    <w:rsid w:val="1ABC48F0"/>
    <w:rsid w:val="1AC139A6"/>
    <w:rsid w:val="1AD0039B"/>
    <w:rsid w:val="1AD32329"/>
    <w:rsid w:val="1AD46B4F"/>
    <w:rsid w:val="1AD5192B"/>
    <w:rsid w:val="1AD773C8"/>
    <w:rsid w:val="1ADF0AFB"/>
    <w:rsid w:val="1AE238A6"/>
    <w:rsid w:val="1AE479A2"/>
    <w:rsid w:val="1AE554CA"/>
    <w:rsid w:val="1AEB38F2"/>
    <w:rsid w:val="1AEB3C01"/>
    <w:rsid w:val="1AEF6E26"/>
    <w:rsid w:val="1AF0667A"/>
    <w:rsid w:val="1AF61FD0"/>
    <w:rsid w:val="1AFA75C7"/>
    <w:rsid w:val="1AFF47DC"/>
    <w:rsid w:val="1B0342CC"/>
    <w:rsid w:val="1B046F80"/>
    <w:rsid w:val="1B0A17D0"/>
    <w:rsid w:val="1B1069E9"/>
    <w:rsid w:val="1B117F32"/>
    <w:rsid w:val="1B16169D"/>
    <w:rsid w:val="1B1C538E"/>
    <w:rsid w:val="1B1E2EB4"/>
    <w:rsid w:val="1B270B09"/>
    <w:rsid w:val="1B305349"/>
    <w:rsid w:val="1B3267B5"/>
    <w:rsid w:val="1B352758"/>
    <w:rsid w:val="1B35736B"/>
    <w:rsid w:val="1B3704E7"/>
    <w:rsid w:val="1B395C34"/>
    <w:rsid w:val="1B400D76"/>
    <w:rsid w:val="1B40161D"/>
    <w:rsid w:val="1B4246EE"/>
    <w:rsid w:val="1B441859"/>
    <w:rsid w:val="1B487F31"/>
    <w:rsid w:val="1B4D0131"/>
    <w:rsid w:val="1B53232F"/>
    <w:rsid w:val="1B582759"/>
    <w:rsid w:val="1B58760E"/>
    <w:rsid w:val="1B612F2D"/>
    <w:rsid w:val="1B6606B1"/>
    <w:rsid w:val="1B6A250C"/>
    <w:rsid w:val="1B6A5B0E"/>
    <w:rsid w:val="1B750401"/>
    <w:rsid w:val="1B7F653A"/>
    <w:rsid w:val="1B8550DB"/>
    <w:rsid w:val="1B88543A"/>
    <w:rsid w:val="1B886E82"/>
    <w:rsid w:val="1B8B0277"/>
    <w:rsid w:val="1B937BE6"/>
    <w:rsid w:val="1B943177"/>
    <w:rsid w:val="1B966EEF"/>
    <w:rsid w:val="1B974437"/>
    <w:rsid w:val="1BA15D3E"/>
    <w:rsid w:val="1BA62EAA"/>
    <w:rsid w:val="1BA977ED"/>
    <w:rsid w:val="1BAB571B"/>
    <w:rsid w:val="1BB11F7A"/>
    <w:rsid w:val="1BB12991"/>
    <w:rsid w:val="1BBB06F1"/>
    <w:rsid w:val="1BBB432A"/>
    <w:rsid w:val="1BC55F52"/>
    <w:rsid w:val="1BCC7426"/>
    <w:rsid w:val="1BD22E8F"/>
    <w:rsid w:val="1BDB409A"/>
    <w:rsid w:val="1BDE3D2D"/>
    <w:rsid w:val="1BE128B8"/>
    <w:rsid w:val="1BE340FE"/>
    <w:rsid w:val="1BEB1681"/>
    <w:rsid w:val="1BED2887"/>
    <w:rsid w:val="1BF43C15"/>
    <w:rsid w:val="1BF4733B"/>
    <w:rsid w:val="1BF63E31"/>
    <w:rsid w:val="1BF946AE"/>
    <w:rsid w:val="1BFE7442"/>
    <w:rsid w:val="1BFF7A26"/>
    <w:rsid w:val="1C004B34"/>
    <w:rsid w:val="1C0227D6"/>
    <w:rsid w:val="1C056DCD"/>
    <w:rsid w:val="1C0A2EA0"/>
    <w:rsid w:val="1C111E41"/>
    <w:rsid w:val="1C156D5D"/>
    <w:rsid w:val="1C1D13BE"/>
    <w:rsid w:val="1C1D316C"/>
    <w:rsid w:val="1C246163"/>
    <w:rsid w:val="1C2C76AF"/>
    <w:rsid w:val="1C2D2F43"/>
    <w:rsid w:val="1C2E35CB"/>
    <w:rsid w:val="1C335FB1"/>
    <w:rsid w:val="1C3404B6"/>
    <w:rsid w:val="1C3927E6"/>
    <w:rsid w:val="1C3A6F04"/>
    <w:rsid w:val="1C3C4823"/>
    <w:rsid w:val="1C3E6139"/>
    <w:rsid w:val="1C4122C0"/>
    <w:rsid w:val="1C421454"/>
    <w:rsid w:val="1C441E8E"/>
    <w:rsid w:val="1C455FC4"/>
    <w:rsid w:val="1C47488C"/>
    <w:rsid w:val="1C4A589C"/>
    <w:rsid w:val="1C4D6459"/>
    <w:rsid w:val="1C4E1650"/>
    <w:rsid w:val="1C4E1E20"/>
    <w:rsid w:val="1C5628DD"/>
    <w:rsid w:val="1C56667E"/>
    <w:rsid w:val="1C5823F6"/>
    <w:rsid w:val="1C5C6219"/>
    <w:rsid w:val="1C5D7A0C"/>
    <w:rsid w:val="1C5E7925"/>
    <w:rsid w:val="1C5F3784"/>
    <w:rsid w:val="1C625023"/>
    <w:rsid w:val="1C632B49"/>
    <w:rsid w:val="1C686DDC"/>
    <w:rsid w:val="1C6A4E6C"/>
    <w:rsid w:val="1C6A75FA"/>
    <w:rsid w:val="1C6D02DA"/>
    <w:rsid w:val="1C6E7151"/>
    <w:rsid w:val="1C6E733E"/>
    <w:rsid w:val="1C723820"/>
    <w:rsid w:val="1C752918"/>
    <w:rsid w:val="1C7A236C"/>
    <w:rsid w:val="1C7F02FF"/>
    <w:rsid w:val="1C7F6157"/>
    <w:rsid w:val="1C833D48"/>
    <w:rsid w:val="1C8A0461"/>
    <w:rsid w:val="1C8B38C0"/>
    <w:rsid w:val="1C8F7E24"/>
    <w:rsid w:val="1CA27B15"/>
    <w:rsid w:val="1CA31D82"/>
    <w:rsid w:val="1CA42B29"/>
    <w:rsid w:val="1CA43439"/>
    <w:rsid w:val="1CA5247A"/>
    <w:rsid w:val="1CA72EFC"/>
    <w:rsid w:val="1CA83A79"/>
    <w:rsid w:val="1CAF2463"/>
    <w:rsid w:val="1CB50FA1"/>
    <w:rsid w:val="1CB532E2"/>
    <w:rsid w:val="1CB82E95"/>
    <w:rsid w:val="1CBB040E"/>
    <w:rsid w:val="1CBC1441"/>
    <w:rsid w:val="1CBC42E9"/>
    <w:rsid w:val="1CBF5055"/>
    <w:rsid w:val="1CC15B48"/>
    <w:rsid w:val="1CC161ED"/>
    <w:rsid w:val="1CCB0E1A"/>
    <w:rsid w:val="1CCF06C0"/>
    <w:rsid w:val="1CCF79E7"/>
    <w:rsid w:val="1CD04682"/>
    <w:rsid w:val="1CD26D49"/>
    <w:rsid w:val="1CD37CCF"/>
    <w:rsid w:val="1CD87E52"/>
    <w:rsid w:val="1CDB6A34"/>
    <w:rsid w:val="1CE30F96"/>
    <w:rsid w:val="1CE44078"/>
    <w:rsid w:val="1CE50C39"/>
    <w:rsid w:val="1CE67379"/>
    <w:rsid w:val="1CE95D7E"/>
    <w:rsid w:val="1CF00880"/>
    <w:rsid w:val="1CF32045"/>
    <w:rsid w:val="1CF378F9"/>
    <w:rsid w:val="1CF50C6A"/>
    <w:rsid w:val="1CFB42DE"/>
    <w:rsid w:val="1CFD070F"/>
    <w:rsid w:val="1CFF6A68"/>
    <w:rsid w:val="1D013333"/>
    <w:rsid w:val="1D01483C"/>
    <w:rsid w:val="1D0C4F8F"/>
    <w:rsid w:val="1D0D60DD"/>
    <w:rsid w:val="1D0E367E"/>
    <w:rsid w:val="1D0E3731"/>
    <w:rsid w:val="1D137F3D"/>
    <w:rsid w:val="1D161315"/>
    <w:rsid w:val="1D2A4B01"/>
    <w:rsid w:val="1D2E13A9"/>
    <w:rsid w:val="1D2F75FB"/>
    <w:rsid w:val="1D314D7C"/>
    <w:rsid w:val="1D371E06"/>
    <w:rsid w:val="1D3B3A73"/>
    <w:rsid w:val="1D4666F2"/>
    <w:rsid w:val="1D4B5481"/>
    <w:rsid w:val="1D524FA1"/>
    <w:rsid w:val="1D5B60BE"/>
    <w:rsid w:val="1D5F6196"/>
    <w:rsid w:val="1D6132A5"/>
    <w:rsid w:val="1D614DF0"/>
    <w:rsid w:val="1D6A5F4F"/>
    <w:rsid w:val="1D6B4E0D"/>
    <w:rsid w:val="1D6E01C2"/>
    <w:rsid w:val="1D6E0B08"/>
    <w:rsid w:val="1D6E5E8E"/>
    <w:rsid w:val="1D6F6614"/>
    <w:rsid w:val="1D714939"/>
    <w:rsid w:val="1D716CE1"/>
    <w:rsid w:val="1D74780C"/>
    <w:rsid w:val="1D7E03CA"/>
    <w:rsid w:val="1D8027CE"/>
    <w:rsid w:val="1D8611E5"/>
    <w:rsid w:val="1D886D0B"/>
    <w:rsid w:val="1D8965DF"/>
    <w:rsid w:val="1D8A321C"/>
    <w:rsid w:val="1D8E56D5"/>
    <w:rsid w:val="1D92442E"/>
    <w:rsid w:val="1D93666F"/>
    <w:rsid w:val="1D96525A"/>
    <w:rsid w:val="1D9C4CD5"/>
    <w:rsid w:val="1D9E48F1"/>
    <w:rsid w:val="1DA131FA"/>
    <w:rsid w:val="1DA653E3"/>
    <w:rsid w:val="1DA706D0"/>
    <w:rsid w:val="1DAF4695"/>
    <w:rsid w:val="1DB3095D"/>
    <w:rsid w:val="1DB64D7F"/>
    <w:rsid w:val="1DB91278"/>
    <w:rsid w:val="1DBA1465"/>
    <w:rsid w:val="1DBA49EB"/>
    <w:rsid w:val="1DBC6511"/>
    <w:rsid w:val="1DBE0486"/>
    <w:rsid w:val="1DC04AA4"/>
    <w:rsid w:val="1DC12974"/>
    <w:rsid w:val="1DC562F0"/>
    <w:rsid w:val="1DCD1737"/>
    <w:rsid w:val="1DCD7246"/>
    <w:rsid w:val="1DCE036C"/>
    <w:rsid w:val="1DD15B3A"/>
    <w:rsid w:val="1DD8679C"/>
    <w:rsid w:val="1DD97567"/>
    <w:rsid w:val="1DDA03FA"/>
    <w:rsid w:val="1DDE2DCF"/>
    <w:rsid w:val="1DE021C2"/>
    <w:rsid w:val="1DE162D6"/>
    <w:rsid w:val="1DE51ED2"/>
    <w:rsid w:val="1DED5466"/>
    <w:rsid w:val="1DEF5DEA"/>
    <w:rsid w:val="1DF23E93"/>
    <w:rsid w:val="1DF4614E"/>
    <w:rsid w:val="1DF56343"/>
    <w:rsid w:val="1E004AF3"/>
    <w:rsid w:val="1E026DE5"/>
    <w:rsid w:val="1E0629FB"/>
    <w:rsid w:val="1E0761E7"/>
    <w:rsid w:val="1E081EC2"/>
    <w:rsid w:val="1E0A7E55"/>
    <w:rsid w:val="1E102163"/>
    <w:rsid w:val="1E14771A"/>
    <w:rsid w:val="1E18349C"/>
    <w:rsid w:val="1E1843A6"/>
    <w:rsid w:val="1E1E6140"/>
    <w:rsid w:val="1E227FA0"/>
    <w:rsid w:val="1E2316E5"/>
    <w:rsid w:val="1E236208"/>
    <w:rsid w:val="1E2957F0"/>
    <w:rsid w:val="1E2A6984"/>
    <w:rsid w:val="1E2D2BB4"/>
    <w:rsid w:val="1E336318"/>
    <w:rsid w:val="1E3E386E"/>
    <w:rsid w:val="1E4A670C"/>
    <w:rsid w:val="1E522845"/>
    <w:rsid w:val="1E522E75"/>
    <w:rsid w:val="1E54481C"/>
    <w:rsid w:val="1E56067C"/>
    <w:rsid w:val="1E5608F3"/>
    <w:rsid w:val="1E574460"/>
    <w:rsid w:val="1E5F2DEC"/>
    <w:rsid w:val="1E5F5CBE"/>
    <w:rsid w:val="1E64127F"/>
    <w:rsid w:val="1E641F06"/>
    <w:rsid w:val="1E6421B1"/>
    <w:rsid w:val="1E6432D4"/>
    <w:rsid w:val="1E644DA7"/>
    <w:rsid w:val="1E6B63ED"/>
    <w:rsid w:val="1E707ECB"/>
    <w:rsid w:val="1E763DAD"/>
    <w:rsid w:val="1E7A43DA"/>
    <w:rsid w:val="1E7B061E"/>
    <w:rsid w:val="1E854FF8"/>
    <w:rsid w:val="1E8F06E7"/>
    <w:rsid w:val="1E901623"/>
    <w:rsid w:val="1E904D8D"/>
    <w:rsid w:val="1E911C89"/>
    <w:rsid w:val="1E9606D2"/>
    <w:rsid w:val="1E976959"/>
    <w:rsid w:val="1E9A6CF6"/>
    <w:rsid w:val="1EA23A0A"/>
    <w:rsid w:val="1EA452BF"/>
    <w:rsid w:val="1EA70BD2"/>
    <w:rsid w:val="1EA71038"/>
    <w:rsid w:val="1EAB38E1"/>
    <w:rsid w:val="1EAC25E8"/>
    <w:rsid w:val="1EB07961"/>
    <w:rsid w:val="1EC51EB3"/>
    <w:rsid w:val="1ECC267C"/>
    <w:rsid w:val="1ED17ECA"/>
    <w:rsid w:val="1ED32208"/>
    <w:rsid w:val="1ED63AA6"/>
    <w:rsid w:val="1ED92573"/>
    <w:rsid w:val="1EDA7384"/>
    <w:rsid w:val="1EDB760C"/>
    <w:rsid w:val="1EDE4201"/>
    <w:rsid w:val="1EDF0BAD"/>
    <w:rsid w:val="1EE812E4"/>
    <w:rsid w:val="1EEA2E1A"/>
    <w:rsid w:val="1EF240A5"/>
    <w:rsid w:val="1EF5217E"/>
    <w:rsid w:val="1F034C61"/>
    <w:rsid w:val="1F095C2A"/>
    <w:rsid w:val="1F121162"/>
    <w:rsid w:val="1F1B75C4"/>
    <w:rsid w:val="1F2667DB"/>
    <w:rsid w:val="1F30765A"/>
    <w:rsid w:val="1F332BEF"/>
    <w:rsid w:val="1F336002"/>
    <w:rsid w:val="1F386FFD"/>
    <w:rsid w:val="1F3B5976"/>
    <w:rsid w:val="1F3C06EB"/>
    <w:rsid w:val="1F3D3B8A"/>
    <w:rsid w:val="1F485A26"/>
    <w:rsid w:val="1F4B4687"/>
    <w:rsid w:val="1F532B38"/>
    <w:rsid w:val="1F59733E"/>
    <w:rsid w:val="1F681CDE"/>
    <w:rsid w:val="1F6834B4"/>
    <w:rsid w:val="1F6A015A"/>
    <w:rsid w:val="1F6B0393"/>
    <w:rsid w:val="1F6D240D"/>
    <w:rsid w:val="1F7C289F"/>
    <w:rsid w:val="1F822652"/>
    <w:rsid w:val="1F8D696E"/>
    <w:rsid w:val="1F9432DF"/>
    <w:rsid w:val="1F9A4BFD"/>
    <w:rsid w:val="1F9C0539"/>
    <w:rsid w:val="1FA438AF"/>
    <w:rsid w:val="1FA85442"/>
    <w:rsid w:val="1FAD0F02"/>
    <w:rsid w:val="1FAD6D24"/>
    <w:rsid w:val="1FB75686"/>
    <w:rsid w:val="1FB85D7C"/>
    <w:rsid w:val="1FC3437D"/>
    <w:rsid w:val="1FC40F27"/>
    <w:rsid w:val="1FC7091A"/>
    <w:rsid w:val="1FC81F6C"/>
    <w:rsid w:val="1FCF06C1"/>
    <w:rsid w:val="1FCF794D"/>
    <w:rsid w:val="1FD46FF8"/>
    <w:rsid w:val="1FDB07C5"/>
    <w:rsid w:val="1FDC55CE"/>
    <w:rsid w:val="1FDD7655"/>
    <w:rsid w:val="1FE10422"/>
    <w:rsid w:val="1FE12702"/>
    <w:rsid w:val="1FE16BA6"/>
    <w:rsid w:val="1FE25F9D"/>
    <w:rsid w:val="1FE4583B"/>
    <w:rsid w:val="1FE62659"/>
    <w:rsid w:val="1FE7539E"/>
    <w:rsid w:val="1FE85338"/>
    <w:rsid w:val="1FEA15B7"/>
    <w:rsid w:val="1FED40A4"/>
    <w:rsid w:val="1FEE73BB"/>
    <w:rsid w:val="1FF35DDF"/>
    <w:rsid w:val="1FF36E48"/>
    <w:rsid w:val="20034AE8"/>
    <w:rsid w:val="200D28C9"/>
    <w:rsid w:val="200E5237"/>
    <w:rsid w:val="20111C49"/>
    <w:rsid w:val="20191C70"/>
    <w:rsid w:val="201D300B"/>
    <w:rsid w:val="201E491C"/>
    <w:rsid w:val="202B3CDF"/>
    <w:rsid w:val="203611D9"/>
    <w:rsid w:val="203A2898"/>
    <w:rsid w:val="203B2EA7"/>
    <w:rsid w:val="203B663B"/>
    <w:rsid w:val="204131A1"/>
    <w:rsid w:val="20476A09"/>
    <w:rsid w:val="20496986"/>
    <w:rsid w:val="204A625E"/>
    <w:rsid w:val="20544B13"/>
    <w:rsid w:val="205503AD"/>
    <w:rsid w:val="20563E9D"/>
    <w:rsid w:val="20586E69"/>
    <w:rsid w:val="205A2E8D"/>
    <w:rsid w:val="206219EC"/>
    <w:rsid w:val="2066107B"/>
    <w:rsid w:val="20671BE0"/>
    <w:rsid w:val="20672C08"/>
    <w:rsid w:val="20697F73"/>
    <w:rsid w:val="206A6613"/>
    <w:rsid w:val="206E043A"/>
    <w:rsid w:val="2073078B"/>
    <w:rsid w:val="207B511A"/>
    <w:rsid w:val="207C2063"/>
    <w:rsid w:val="20860ECA"/>
    <w:rsid w:val="208B1C58"/>
    <w:rsid w:val="208E6B03"/>
    <w:rsid w:val="208F03B0"/>
    <w:rsid w:val="20917F22"/>
    <w:rsid w:val="20941A5E"/>
    <w:rsid w:val="20963CB8"/>
    <w:rsid w:val="20A17F65"/>
    <w:rsid w:val="20A35C0A"/>
    <w:rsid w:val="20A81A1B"/>
    <w:rsid w:val="20AB10B0"/>
    <w:rsid w:val="20AE3542"/>
    <w:rsid w:val="20AF140B"/>
    <w:rsid w:val="20B07FB6"/>
    <w:rsid w:val="20B646FB"/>
    <w:rsid w:val="20B7080F"/>
    <w:rsid w:val="20B7495A"/>
    <w:rsid w:val="20BD316F"/>
    <w:rsid w:val="20BF7151"/>
    <w:rsid w:val="20C02806"/>
    <w:rsid w:val="20C32267"/>
    <w:rsid w:val="20C36292"/>
    <w:rsid w:val="20D12B0F"/>
    <w:rsid w:val="20D45D07"/>
    <w:rsid w:val="20D916F1"/>
    <w:rsid w:val="20DD111C"/>
    <w:rsid w:val="20E91C51"/>
    <w:rsid w:val="20F0554C"/>
    <w:rsid w:val="21036F80"/>
    <w:rsid w:val="21070262"/>
    <w:rsid w:val="21086024"/>
    <w:rsid w:val="210A47C9"/>
    <w:rsid w:val="21143397"/>
    <w:rsid w:val="2114416B"/>
    <w:rsid w:val="21201C67"/>
    <w:rsid w:val="21241C83"/>
    <w:rsid w:val="21244694"/>
    <w:rsid w:val="212E7BB2"/>
    <w:rsid w:val="213014F7"/>
    <w:rsid w:val="21303941"/>
    <w:rsid w:val="21327E18"/>
    <w:rsid w:val="213B74B1"/>
    <w:rsid w:val="213F1987"/>
    <w:rsid w:val="21412E2D"/>
    <w:rsid w:val="2142734F"/>
    <w:rsid w:val="21435B36"/>
    <w:rsid w:val="214D2658"/>
    <w:rsid w:val="214D5357"/>
    <w:rsid w:val="21530497"/>
    <w:rsid w:val="21545983"/>
    <w:rsid w:val="215633D2"/>
    <w:rsid w:val="215A2310"/>
    <w:rsid w:val="215E76F7"/>
    <w:rsid w:val="215F6CA8"/>
    <w:rsid w:val="21601DD9"/>
    <w:rsid w:val="2160358D"/>
    <w:rsid w:val="21647DAC"/>
    <w:rsid w:val="2166018A"/>
    <w:rsid w:val="21684F95"/>
    <w:rsid w:val="216B2BAA"/>
    <w:rsid w:val="21763A3F"/>
    <w:rsid w:val="21780E44"/>
    <w:rsid w:val="217A37EB"/>
    <w:rsid w:val="217D7526"/>
    <w:rsid w:val="21823CAE"/>
    <w:rsid w:val="21875758"/>
    <w:rsid w:val="2188552B"/>
    <w:rsid w:val="218A24D1"/>
    <w:rsid w:val="218C669E"/>
    <w:rsid w:val="2190302C"/>
    <w:rsid w:val="21912610"/>
    <w:rsid w:val="21997739"/>
    <w:rsid w:val="21A01B87"/>
    <w:rsid w:val="21A567DA"/>
    <w:rsid w:val="21A575E3"/>
    <w:rsid w:val="21AD6D40"/>
    <w:rsid w:val="21B207FA"/>
    <w:rsid w:val="21B31E7D"/>
    <w:rsid w:val="21C220C1"/>
    <w:rsid w:val="21C62FE3"/>
    <w:rsid w:val="21C83E17"/>
    <w:rsid w:val="21C87435"/>
    <w:rsid w:val="21CE5691"/>
    <w:rsid w:val="21D50045"/>
    <w:rsid w:val="21D96E8D"/>
    <w:rsid w:val="21DE06DB"/>
    <w:rsid w:val="21DE318A"/>
    <w:rsid w:val="21E347AC"/>
    <w:rsid w:val="21E756F1"/>
    <w:rsid w:val="21E93AF0"/>
    <w:rsid w:val="21EF5B80"/>
    <w:rsid w:val="21F4671D"/>
    <w:rsid w:val="21F90C51"/>
    <w:rsid w:val="21F91F85"/>
    <w:rsid w:val="21FA406B"/>
    <w:rsid w:val="21FC0BB8"/>
    <w:rsid w:val="22021BE2"/>
    <w:rsid w:val="220511E8"/>
    <w:rsid w:val="22063B9C"/>
    <w:rsid w:val="22065858"/>
    <w:rsid w:val="220A1348"/>
    <w:rsid w:val="220A225D"/>
    <w:rsid w:val="220C4EFA"/>
    <w:rsid w:val="220D274B"/>
    <w:rsid w:val="220D4CEC"/>
    <w:rsid w:val="2210107D"/>
    <w:rsid w:val="221B1958"/>
    <w:rsid w:val="221B7B45"/>
    <w:rsid w:val="22201FAE"/>
    <w:rsid w:val="222114DC"/>
    <w:rsid w:val="22236CC7"/>
    <w:rsid w:val="22267744"/>
    <w:rsid w:val="222C7E61"/>
    <w:rsid w:val="22390900"/>
    <w:rsid w:val="223E5D1B"/>
    <w:rsid w:val="223F00E6"/>
    <w:rsid w:val="223F0918"/>
    <w:rsid w:val="22476BA5"/>
    <w:rsid w:val="22494779"/>
    <w:rsid w:val="22495605"/>
    <w:rsid w:val="224E0374"/>
    <w:rsid w:val="224F24FD"/>
    <w:rsid w:val="2254306C"/>
    <w:rsid w:val="22562288"/>
    <w:rsid w:val="22576990"/>
    <w:rsid w:val="225C44D8"/>
    <w:rsid w:val="225E7319"/>
    <w:rsid w:val="22632A94"/>
    <w:rsid w:val="2265761B"/>
    <w:rsid w:val="22673393"/>
    <w:rsid w:val="22690815"/>
    <w:rsid w:val="227169F9"/>
    <w:rsid w:val="22732B0F"/>
    <w:rsid w:val="227635D6"/>
    <w:rsid w:val="227B64A8"/>
    <w:rsid w:val="227B6E3E"/>
    <w:rsid w:val="227C4874"/>
    <w:rsid w:val="228A0E2F"/>
    <w:rsid w:val="228B3A8C"/>
    <w:rsid w:val="228E10B7"/>
    <w:rsid w:val="228F28EA"/>
    <w:rsid w:val="2291000C"/>
    <w:rsid w:val="229121BE"/>
    <w:rsid w:val="229C4536"/>
    <w:rsid w:val="229F29D5"/>
    <w:rsid w:val="229F33E4"/>
    <w:rsid w:val="229F586D"/>
    <w:rsid w:val="22A00653"/>
    <w:rsid w:val="22A4396B"/>
    <w:rsid w:val="22A55CF9"/>
    <w:rsid w:val="22A7108A"/>
    <w:rsid w:val="22AB4C68"/>
    <w:rsid w:val="22B801D1"/>
    <w:rsid w:val="22C1073E"/>
    <w:rsid w:val="22C50791"/>
    <w:rsid w:val="22C71D92"/>
    <w:rsid w:val="22C85402"/>
    <w:rsid w:val="22C922A8"/>
    <w:rsid w:val="22C95DFC"/>
    <w:rsid w:val="22CA4041"/>
    <w:rsid w:val="22CA6DDD"/>
    <w:rsid w:val="22D72EC6"/>
    <w:rsid w:val="22DB7AB5"/>
    <w:rsid w:val="22E04EF3"/>
    <w:rsid w:val="22E1309D"/>
    <w:rsid w:val="22E22EE6"/>
    <w:rsid w:val="22E57FA1"/>
    <w:rsid w:val="22E83BB5"/>
    <w:rsid w:val="22EB3463"/>
    <w:rsid w:val="22EF55F8"/>
    <w:rsid w:val="22F13D9F"/>
    <w:rsid w:val="22F47480"/>
    <w:rsid w:val="22F559BC"/>
    <w:rsid w:val="22F63FE9"/>
    <w:rsid w:val="22F64717"/>
    <w:rsid w:val="23024C14"/>
    <w:rsid w:val="23050D7A"/>
    <w:rsid w:val="2306333C"/>
    <w:rsid w:val="230A3B7C"/>
    <w:rsid w:val="230B6D4E"/>
    <w:rsid w:val="230D5671"/>
    <w:rsid w:val="230E380E"/>
    <w:rsid w:val="23154F40"/>
    <w:rsid w:val="23232C6E"/>
    <w:rsid w:val="23284CA7"/>
    <w:rsid w:val="232D6C37"/>
    <w:rsid w:val="232E6051"/>
    <w:rsid w:val="2331574F"/>
    <w:rsid w:val="23347532"/>
    <w:rsid w:val="233D2346"/>
    <w:rsid w:val="234108AA"/>
    <w:rsid w:val="23460E84"/>
    <w:rsid w:val="2350622D"/>
    <w:rsid w:val="23530B41"/>
    <w:rsid w:val="235C0A1E"/>
    <w:rsid w:val="235C1FDC"/>
    <w:rsid w:val="235C309F"/>
    <w:rsid w:val="235D394E"/>
    <w:rsid w:val="236505DE"/>
    <w:rsid w:val="236D15BE"/>
    <w:rsid w:val="23724322"/>
    <w:rsid w:val="23773A65"/>
    <w:rsid w:val="237F57FC"/>
    <w:rsid w:val="23871813"/>
    <w:rsid w:val="23873E92"/>
    <w:rsid w:val="238A7FB4"/>
    <w:rsid w:val="238C4CDE"/>
    <w:rsid w:val="239109FA"/>
    <w:rsid w:val="239115A4"/>
    <w:rsid w:val="23935B17"/>
    <w:rsid w:val="23943760"/>
    <w:rsid w:val="23955CDE"/>
    <w:rsid w:val="239B070F"/>
    <w:rsid w:val="23A51606"/>
    <w:rsid w:val="23A77AAE"/>
    <w:rsid w:val="23AD74CB"/>
    <w:rsid w:val="23AE6D9F"/>
    <w:rsid w:val="23B27028"/>
    <w:rsid w:val="23B87C1E"/>
    <w:rsid w:val="23BA546B"/>
    <w:rsid w:val="23BA6098"/>
    <w:rsid w:val="23BB1E72"/>
    <w:rsid w:val="23BF64BF"/>
    <w:rsid w:val="23C30A9D"/>
    <w:rsid w:val="23D502CB"/>
    <w:rsid w:val="23DE1C48"/>
    <w:rsid w:val="23EA359C"/>
    <w:rsid w:val="23EB1DA2"/>
    <w:rsid w:val="23ED7667"/>
    <w:rsid w:val="23F12EC6"/>
    <w:rsid w:val="23F52C20"/>
    <w:rsid w:val="23FA3D93"/>
    <w:rsid w:val="24015121"/>
    <w:rsid w:val="240210CD"/>
    <w:rsid w:val="24097C1C"/>
    <w:rsid w:val="240A31C5"/>
    <w:rsid w:val="240D2068"/>
    <w:rsid w:val="241237D2"/>
    <w:rsid w:val="24162974"/>
    <w:rsid w:val="241A4435"/>
    <w:rsid w:val="241B4D73"/>
    <w:rsid w:val="242332EA"/>
    <w:rsid w:val="24240693"/>
    <w:rsid w:val="24241983"/>
    <w:rsid w:val="242E787D"/>
    <w:rsid w:val="243342AD"/>
    <w:rsid w:val="24342862"/>
    <w:rsid w:val="243661B3"/>
    <w:rsid w:val="243A388D"/>
    <w:rsid w:val="243E2A54"/>
    <w:rsid w:val="2440590C"/>
    <w:rsid w:val="2443573A"/>
    <w:rsid w:val="24444A08"/>
    <w:rsid w:val="244831CC"/>
    <w:rsid w:val="244A60AC"/>
    <w:rsid w:val="244B45EE"/>
    <w:rsid w:val="244F40DF"/>
    <w:rsid w:val="24571BCB"/>
    <w:rsid w:val="245937CA"/>
    <w:rsid w:val="245E041A"/>
    <w:rsid w:val="24674815"/>
    <w:rsid w:val="246A623D"/>
    <w:rsid w:val="246C7CE7"/>
    <w:rsid w:val="24715A0D"/>
    <w:rsid w:val="2474011B"/>
    <w:rsid w:val="24765B0F"/>
    <w:rsid w:val="24791906"/>
    <w:rsid w:val="247940AC"/>
    <w:rsid w:val="247A6FF1"/>
    <w:rsid w:val="247D2690"/>
    <w:rsid w:val="2481036F"/>
    <w:rsid w:val="248369FA"/>
    <w:rsid w:val="24876A87"/>
    <w:rsid w:val="2489281C"/>
    <w:rsid w:val="248E3411"/>
    <w:rsid w:val="24972562"/>
    <w:rsid w:val="24A563F4"/>
    <w:rsid w:val="24AD7057"/>
    <w:rsid w:val="24AE54C5"/>
    <w:rsid w:val="24B111E2"/>
    <w:rsid w:val="24B417E7"/>
    <w:rsid w:val="24BF09F7"/>
    <w:rsid w:val="24C3446B"/>
    <w:rsid w:val="24C5162A"/>
    <w:rsid w:val="24C70119"/>
    <w:rsid w:val="24C73FFE"/>
    <w:rsid w:val="24CA4EA5"/>
    <w:rsid w:val="24CF6FCD"/>
    <w:rsid w:val="24D040C9"/>
    <w:rsid w:val="24D0520D"/>
    <w:rsid w:val="24D67A1A"/>
    <w:rsid w:val="24D87C77"/>
    <w:rsid w:val="24DA5D3D"/>
    <w:rsid w:val="24DB435A"/>
    <w:rsid w:val="24DE7F6E"/>
    <w:rsid w:val="24E163DC"/>
    <w:rsid w:val="24EB2ECC"/>
    <w:rsid w:val="24EC698F"/>
    <w:rsid w:val="24F31279"/>
    <w:rsid w:val="24F437C1"/>
    <w:rsid w:val="24F71778"/>
    <w:rsid w:val="24FE2D91"/>
    <w:rsid w:val="25003055"/>
    <w:rsid w:val="25031FF3"/>
    <w:rsid w:val="250550E5"/>
    <w:rsid w:val="251B4EFB"/>
    <w:rsid w:val="252272CB"/>
    <w:rsid w:val="252512E3"/>
    <w:rsid w:val="252602E7"/>
    <w:rsid w:val="25284C53"/>
    <w:rsid w:val="252D53FE"/>
    <w:rsid w:val="25304B93"/>
    <w:rsid w:val="25311311"/>
    <w:rsid w:val="253F2022"/>
    <w:rsid w:val="253F4153"/>
    <w:rsid w:val="254309D4"/>
    <w:rsid w:val="25437DDB"/>
    <w:rsid w:val="25481D1A"/>
    <w:rsid w:val="254A0D4A"/>
    <w:rsid w:val="254E2734"/>
    <w:rsid w:val="255503D2"/>
    <w:rsid w:val="25581B05"/>
    <w:rsid w:val="25582AAD"/>
    <w:rsid w:val="255A288D"/>
    <w:rsid w:val="25601E9A"/>
    <w:rsid w:val="256351AC"/>
    <w:rsid w:val="2565339F"/>
    <w:rsid w:val="2565739E"/>
    <w:rsid w:val="25661448"/>
    <w:rsid w:val="25687B28"/>
    <w:rsid w:val="256C49E6"/>
    <w:rsid w:val="25790003"/>
    <w:rsid w:val="257A6996"/>
    <w:rsid w:val="257B5291"/>
    <w:rsid w:val="257B651B"/>
    <w:rsid w:val="257E32F5"/>
    <w:rsid w:val="25825410"/>
    <w:rsid w:val="258613CC"/>
    <w:rsid w:val="25891F8A"/>
    <w:rsid w:val="258E593B"/>
    <w:rsid w:val="25910B0A"/>
    <w:rsid w:val="25951FC5"/>
    <w:rsid w:val="259A582D"/>
    <w:rsid w:val="259D0F2B"/>
    <w:rsid w:val="259D2255"/>
    <w:rsid w:val="259D531E"/>
    <w:rsid w:val="25A07A82"/>
    <w:rsid w:val="25A108D7"/>
    <w:rsid w:val="25AD046A"/>
    <w:rsid w:val="25AE4A2B"/>
    <w:rsid w:val="25B11336"/>
    <w:rsid w:val="25B1271B"/>
    <w:rsid w:val="25B166CE"/>
    <w:rsid w:val="25B67D07"/>
    <w:rsid w:val="25BA13A9"/>
    <w:rsid w:val="25BD776E"/>
    <w:rsid w:val="25BD7EF8"/>
    <w:rsid w:val="25C05438"/>
    <w:rsid w:val="25C130E2"/>
    <w:rsid w:val="25C26B32"/>
    <w:rsid w:val="25CB34E1"/>
    <w:rsid w:val="25CD025E"/>
    <w:rsid w:val="25CD79B1"/>
    <w:rsid w:val="25CF2D4E"/>
    <w:rsid w:val="25DA6708"/>
    <w:rsid w:val="25EC2D81"/>
    <w:rsid w:val="25ED0A9E"/>
    <w:rsid w:val="25F30DBC"/>
    <w:rsid w:val="25F70F50"/>
    <w:rsid w:val="25FA5E5C"/>
    <w:rsid w:val="25FD5565"/>
    <w:rsid w:val="26024DD2"/>
    <w:rsid w:val="26083FB3"/>
    <w:rsid w:val="26087D12"/>
    <w:rsid w:val="260B15F3"/>
    <w:rsid w:val="260C1E5D"/>
    <w:rsid w:val="260C3775"/>
    <w:rsid w:val="26140262"/>
    <w:rsid w:val="26157FFD"/>
    <w:rsid w:val="261C6DC2"/>
    <w:rsid w:val="261D468D"/>
    <w:rsid w:val="262B31BA"/>
    <w:rsid w:val="263A75AC"/>
    <w:rsid w:val="263C038C"/>
    <w:rsid w:val="263D0329"/>
    <w:rsid w:val="263F63D5"/>
    <w:rsid w:val="2644507D"/>
    <w:rsid w:val="2646526D"/>
    <w:rsid w:val="264659B5"/>
    <w:rsid w:val="264834DB"/>
    <w:rsid w:val="26575238"/>
    <w:rsid w:val="265925D2"/>
    <w:rsid w:val="26592706"/>
    <w:rsid w:val="265C2AE3"/>
    <w:rsid w:val="265F778D"/>
    <w:rsid w:val="26655E3B"/>
    <w:rsid w:val="26664CF3"/>
    <w:rsid w:val="2668248F"/>
    <w:rsid w:val="266C3639"/>
    <w:rsid w:val="266F5447"/>
    <w:rsid w:val="267172F8"/>
    <w:rsid w:val="267260ED"/>
    <w:rsid w:val="267442D0"/>
    <w:rsid w:val="26795443"/>
    <w:rsid w:val="2684068F"/>
    <w:rsid w:val="268564DD"/>
    <w:rsid w:val="26864004"/>
    <w:rsid w:val="26865F59"/>
    <w:rsid w:val="26881B2A"/>
    <w:rsid w:val="268C4702"/>
    <w:rsid w:val="268E4EBF"/>
    <w:rsid w:val="268E6918"/>
    <w:rsid w:val="26967501"/>
    <w:rsid w:val="26A34973"/>
    <w:rsid w:val="26A47CEF"/>
    <w:rsid w:val="26AB38E0"/>
    <w:rsid w:val="26B02E2F"/>
    <w:rsid w:val="26B347D3"/>
    <w:rsid w:val="26B96187"/>
    <w:rsid w:val="26C028D2"/>
    <w:rsid w:val="26C32B07"/>
    <w:rsid w:val="26C35B30"/>
    <w:rsid w:val="26CD46B8"/>
    <w:rsid w:val="26CE3D6A"/>
    <w:rsid w:val="26CF64ED"/>
    <w:rsid w:val="26D225BC"/>
    <w:rsid w:val="26D95A57"/>
    <w:rsid w:val="26DF1E3D"/>
    <w:rsid w:val="26EB38C3"/>
    <w:rsid w:val="26EB5F96"/>
    <w:rsid w:val="26F009E2"/>
    <w:rsid w:val="26F20A31"/>
    <w:rsid w:val="26F409A6"/>
    <w:rsid w:val="26F422F0"/>
    <w:rsid w:val="26F61189"/>
    <w:rsid w:val="26F947D6"/>
    <w:rsid w:val="26FC44F7"/>
    <w:rsid w:val="27013C50"/>
    <w:rsid w:val="270218DC"/>
    <w:rsid w:val="27032495"/>
    <w:rsid w:val="270A0791"/>
    <w:rsid w:val="270A42AE"/>
    <w:rsid w:val="27182F87"/>
    <w:rsid w:val="2719714B"/>
    <w:rsid w:val="271D03CD"/>
    <w:rsid w:val="27207FB4"/>
    <w:rsid w:val="27220408"/>
    <w:rsid w:val="27246E29"/>
    <w:rsid w:val="272751DB"/>
    <w:rsid w:val="272946F4"/>
    <w:rsid w:val="272A787E"/>
    <w:rsid w:val="272B1352"/>
    <w:rsid w:val="272C23FA"/>
    <w:rsid w:val="272E26D1"/>
    <w:rsid w:val="2731461A"/>
    <w:rsid w:val="27334142"/>
    <w:rsid w:val="27334DB0"/>
    <w:rsid w:val="27337C8C"/>
    <w:rsid w:val="27474839"/>
    <w:rsid w:val="27480EDA"/>
    <w:rsid w:val="27482C13"/>
    <w:rsid w:val="274A6DDF"/>
    <w:rsid w:val="274B40AC"/>
    <w:rsid w:val="274E68CF"/>
    <w:rsid w:val="274F464E"/>
    <w:rsid w:val="274F7D30"/>
    <w:rsid w:val="275255F9"/>
    <w:rsid w:val="27547C5E"/>
    <w:rsid w:val="27562E57"/>
    <w:rsid w:val="275A0BF2"/>
    <w:rsid w:val="275A131F"/>
    <w:rsid w:val="275D0E59"/>
    <w:rsid w:val="2761289F"/>
    <w:rsid w:val="276408D7"/>
    <w:rsid w:val="27664921"/>
    <w:rsid w:val="276E4CC0"/>
    <w:rsid w:val="27702CEA"/>
    <w:rsid w:val="277057A2"/>
    <w:rsid w:val="27744091"/>
    <w:rsid w:val="277649F3"/>
    <w:rsid w:val="2776732D"/>
    <w:rsid w:val="27776FC5"/>
    <w:rsid w:val="277F4C19"/>
    <w:rsid w:val="27805B9A"/>
    <w:rsid w:val="278247CB"/>
    <w:rsid w:val="278C1E14"/>
    <w:rsid w:val="278C389C"/>
    <w:rsid w:val="278D24A1"/>
    <w:rsid w:val="27992861"/>
    <w:rsid w:val="279B5383"/>
    <w:rsid w:val="279E60C3"/>
    <w:rsid w:val="27A573DC"/>
    <w:rsid w:val="27A60535"/>
    <w:rsid w:val="27B851D0"/>
    <w:rsid w:val="27BA0E9F"/>
    <w:rsid w:val="27C07873"/>
    <w:rsid w:val="27C67874"/>
    <w:rsid w:val="27C70FA4"/>
    <w:rsid w:val="27CA40CD"/>
    <w:rsid w:val="27D37B3D"/>
    <w:rsid w:val="27D455F2"/>
    <w:rsid w:val="27DF5779"/>
    <w:rsid w:val="27E1449C"/>
    <w:rsid w:val="27E203FC"/>
    <w:rsid w:val="27E366C9"/>
    <w:rsid w:val="27E40FE2"/>
    <w:rsid w:val="27E86FCA"/>
    <w:rsid w:val="27EB05C2"/>
    <w:rsid w:val="27F11045"/>
    <w:rsid w:val="27F31225"/>
    <w:rsid w:val="27F3419F"/>
    <w:rsid w:val="27F44196"/>
    <w:rsid w:val="27F86FF3"/>
    <w:rsid w:val="27F93FD8"/>
    <w:rsid w:val="27FA25B3"/>
    <w:rsid w:val="27FA5200"/>
    <w:rsid w:val="27FE337C"/>
    <w:rsid w:val="28034C6D"/>
    <w:rsid w:val="28056B26"/>
    <w:rsid w:val="28071F85"/>
    <w:rsid w:val="280F17FA"/>
    <w:rsid w:val="28121B3C"/>
    <w:rsid w:val="2814246F"/>
    <w:rsid w:val="28180C8B"/>
    <w:rsid w:val="281D5D10"/>
    <w:rsid w:val="282035E6"/>
    <w:rsid w:val="28221C89"/>
    <w:rsid w:val="28287F15"/>
    <w:rsid w:val="282A0356"/>
    <w:rsid w:val="282D305C"/>
    <w:rsid w:val="282E3DFB"/>
    <w:rsid w:val="28357800"/>
    <w:rsid w:val="28373EF6"/>
    <w:rsid w:val="283D21CE"/>
    <w:rsid w:val="28491499"/>
    <w:rsid w:val="284B72B3"/>
    <w:rsid w:val="285223EF"/>
    <w:rsid w:val="285A12A4"/>
    <w:rsid w:val="285E2A19"/>
    <w:rsid w:val="285F2D5E"/>
    <w:rsid w:val="28604E49"/>
    <w:rsid w:val="286276DC"/>
    <w:rsid w:val="28662B4A"/>
    <w:rsid w:val="28722295"/>
    <w:rsid w:val="28757E8C"/>
    <w:rsid w:val="287901E7"/>
    <w:rsid w:val="287C06A3"/>
    <w:rsid w:val="287E3A74"/>
    <w:rsid w:val="287E4F92"/>
    <w:rsid w:val="287F07DD"/>
    <w:rsid w:val="28847071"/>
    <w:rsid w:val="288616D6"/>
    <w:rsid w:val="288822B5"/>
    <w:rsid w:val="288A1B89"/>
    <w:rsid w:val="288D793A"/>
    <w:rsid w:val="289C7A98"/>
    <w:rsid w:val="289D53B7"/>
    <w:rsid w:val="289E5635"/>
    <w:rsid w:val="28A033BA"/>
    <w:rsid w:val="28A74E55"/>
    <w:rsid w:val="28B64661"/>
    <w:rsid w:val="28BD6EB5"/>
    <w:rsid w:val="28C07998"/>
    <w:rsid w:val="28CD7CC8"/>
    <w:rsid w:val="28D338C1"/>
    <w:rsid w:val="28E0326C"/>
    <w:rsid w:val="28E378E0"/>
    <w:rsid w:val="28E514B5"/>
    <w:rsid w:val="28E62AD1"/>
    <w:rsid w:val="28E82D54"/>
    <w:rsid w:val="28F62330"/>
    <w:rsid w:val="28F868B9"/>
    <w:rsid w:val="28FB7053"/>
    <w:rsid w:val="28FC12DC"/>
    <w:rsid w:val="28FD241C"/>
    <w:rsid w:val="28FE1865"/>
    <w:rsid w:val="28FE4325"/>
    <w:rsid w:val="29015BC3"/>
    <w:rsid w:val="29033FD5"/>
    <w:rsid w:val="290343AE"/>
    <w:rsid w:val="2904619B"/>
    <w:rsid w:val="290A4A78"/>
    <w:rsid w:val="290A548F"/>
    <w:rsid w:val="290B1FD5"/>
    <w:rsid w:val="290B259E"/>
    <w:rsid w:val="290B3BBE"/>
    <w:rsid w:val="291312B6"/>
    <w:rsid w:val="291678C1"/>
    <w:rsid w:val="29193A8C"/>
    <w:rsid w:val="291B0A33"/>
    <w:rsid w:val="291D2A3F"/>
    <w:rsid w:val="29206EB8"/>
    <w:rsid w:val="2922242B"/>
    <w:rsid w:val="29297AEE"/>
    <w:rsid w:val="29351193"/>
    <w:rsid w:val="293769A5"/>
    <w:rsid w:val="293F445D"/>
    <w:rsid w:val="2945137C"/>
    <w:rsid w:val="294F2A8C"/>
    <w:rsid w:val="29534671"/>
    <w:rsid w:val="2953641F"/>
    <w:rsid w:val="29552E64"/>
    <w:rsid w:val="2957687A"/>
    <w:rsid w:val="29595666"/>
    <w:rsid w:val="295A4EE7"/>
    <w:rsid w:val="295C3BF2"/>
    <w:rsid w:val="2962296F"/>
    <w:rsid w:val="296521E1"/>
    <w:rsid w:val="296701C3"/>
    <w:rsid w:val="29672EF0"/>
    <w:rsid w:val="296846DE"/>
    <w:rsid w:val="296F2428"/>
    <w:rsid w:val="29740B09"/>
    <w:rsid w:val="29743EDA"/>
    <w:rsid w:val="2976210D"/>
    <w:rsid w:val="2977613F"/>
    <w:rsid w:val="297D349C"/>
    <w:rsid w:val="297D6AB3"/>
    <w:rsid w:val="298011DE"/>
    <w:rsid w:val="29874881"/>
    <w:rsid w:val="298F31CF"/>
    <w:rsid w:val="299A094C"/>
    <w:rsid w:val="299D29C0"/>
    <w:rsid w:val="299F3061"/>
    <w:rsid w:val="29A23BFD"/>
    <w:rsid w:val="29AE7A04"/>
    <w:rsid w:val="29B30012"/>
    <w:rsid w:val="29B577AD"/>
    <w:rsid w:val="29BA649E"/>
    <w:rsid w:val="29BA6819"/>
    <w:rsid w:val="29CE2AC2"/>
    <w:rsid w:val="29CF2AF3"/>
    <w:rsid w:val="29D801B7"/>
    <w:rsid w:val="29D97EA4"/>
    <w:rsid w:val="29DB744E"/>
    <w:rsid w:val="29DD03DE"/>
    <w:rsid w:val="29E325E0"/>
    <w:rsid w:val="29E4357A"/>
    <w:rsid w:val="29E70127"/>
    <w:rsid w:val="29E74FAE"/>
    <w:rsid w:val="29EA508D"/>
    <w:rsid w:val="29EE1C21"/>
    <w:rsid w:val="29EF0492"/>
    <w:rsid w:val="29F53B22"/>
    <w:rsid w:val="29F93E27"/>
    <w:rsid w:val="29FB1AF2"/>
    <w:rsid w:val="29FD45DD"/>
    <w:rsid w:val="29FD649A"/>
    <w:rsid w:val="29FE1972"/>
    <w:rsid w:val="2A001E17"/>
    <w:rsid w:val="2A0103D8"/>
    <w:rsid w:val="2A010B65"/>
    <w:rsid w:val="2A02257D"/>
    <w:rsid w:val="2A0867A8"/>
    <w:rsid w:val="2A1240E7"/>
    <w:rsid w:val="2A153457"/>
    <w:rsid w:val="2A1C4D78"/>
    <w:rsid w:val="2A2258B2"/>
    <w:rsid w:val="2A265AA3"/>
    <w:rsid w:val="2A2808AC"/>
    <w:rsid w:val="2A2A78FC"/>
    <w:rsid w:val="2A2B2EF8"/>
    <w:rsid w:val="2A2E260E"/>
    <w:rsid w:val="2A2F1B5D"/>
    <w:rsid w:val="2A322AAB"/>
    <w:rsid w:val="2A344FA2"/>
    <w:rsid w:val="2A3959BD"/>
    <w:rsid w:val="2A426494"/>
    <w:rsid w:val="2A432F5D"/>
    <w:rsid w:val="2A452503"/>
    <w:rsid w:val="2A5031F0"/>
    <w:rsid w:val="2A5131FA"/>
    <w:rsid w:val="2A525104"/>
    <w:rsid w:val="2A5311CF"/>
    <w:rsid w:val="2A5454E0"/>
    <w:rsid w:val="2A571339"/>
    <w:rsid w:val="2A574690"/>
    <w:rsid w:val="2A5A1EB2"/>
    <w:rsid w:val="2A5A5417"/>
    <w:rsid w:val="2A5B7171"/>
    <w:rsid w:val="2A5E32CD"/>
    <w:rsid w:val="2A645355"/>
    <w:rsid w:val="2A683F69"/>
    <w:rsid w:val="2A6A0EE2"/>
    <w:rsid w:val="2A6B03C5"/>
    <w:rsid w:val="2A6E5CC2"/>
    <w:rsid w:val="2A720B27"/>
    <w:rsid w:val="2A741425"/>
    <w:rsid w:val="2A767449"/>
    <w:rsid w:val="2A79319F"/>
    <w:rsid w:val="2A85694A"/>
    <w:rsid w:val="2A932D53"/>
    <w:rsid w:val="2A970BE3"/>
    <w:rsid w:val="2A97233B"/>
    <w:rsid w:val="2A9E4B3E"/>
    <w:rsid w:val="2A9E5F4E"/>
    <w:rsid w:val="2A9F2D16"/>
    <w:rsid w:val="2A9F7930"/>
    <w:rsid w:val="2AA25735"/>
    <w:rsid w:val="2AA3548A"/>
    <w:rsid w:val="2AA36F32"/>
    <w:rsid w:val="2AB126E5"/>
    <w:rsid w:val="2AB556DF"/>
    <w:rsid w:val="2AB707DB"/>
    <w:rsid w:val="2AB9068A"/>
    <w:rsid w:val="2AB93A5E"/>
    <w:rsid w:val="2AC42B90"/>
    <w:rsid w:val="2AC5773D"/>
    <w:rsid w:val="2ACD52C8"/>
    <w:rsid w:val="2AD01F61"/>
    <w:rsid w:val="2AD4533E"/>
    <w:rsid w:val="2AD76FA9"/>
    <w:rsid w:val="2AE141ED"/>
    <w:rsid w:val="2AEE0CF4"/>
    <w:rsid w:val="2AF53506"/>
    <w:rsid w:val="2AF76522"/>
    <w:rsid w:val="2AF80C6C"/>
    <w:rsid w:val="2AF84CC5"/>
    <w:rsid w:val="2B02634F"/>
    <w:rsid w:val="2B030776"/>
    <w:rsid w:val="2B083B7A"/>
    <w:rsid w:val="2B0E519C"/>
    <w:rsid w:val="2B1378E4"/>
    <w:rsid w:val="2B193698"/>
    <w:rsid w:val="2B195444"/>
    <w:rsid w:val="2B1B00EA"/>
    <w:rsid w:val="2B1C0539"/>
    <w:rsid w:val="2B1C131F"/>
    <w:rsid w:val="2B1C14F5"/>
    <w:rsid w:val="2B1E0CAF"/>
    <w:rsid w:val="2B2206D1"/>
    <w:rsid w:val="2B242521"/>
    <w:rsid w:val="2B250BA0"/>
    <w:rsid w:val="2B2A60AD"/>
    <w:rsid w:val="2B3109E2"/>
    <w:rsid w:val="2B312790"/>
    <w:rsid w:val="2B323021"/>
    <w:rsid w:val="2B340290"/>
    <w:rsid w:val="2B3620AF"/>
    <w:rsid w:val="2B400013"/>
    <w:rsid w:val="2B41472B"/>
    <w:rsid w:val="2B434271"/>
    <w:rsid w:val="2B45138F"/>
    <w:rsid w:val="2B4569F9"/>
    <w:rsid w:val="2B481CB6"/>
    <w:rsid w:val="2B491443"/>
    <w:rsid w:val="2B4D11BC"/>
    <w:rsid w:val="2B520958"/>
    <w:rsid w:val="2B5231A1"/>
    <w:rsid w:val="2B525CA6"/>
    <w:rsid w:val="2B560448"/>
    <w:rsid w:val="2B580B0E"/>
    <w:rsid w:val="2B5B35FA"/>
    <w:rsid w:val="2B5D0A71"/>
    <w:rsid w:val="2B614F4E"/>
    <w:rsid w:val="2B726EE9"/>
    <w:rsid w:val="2B7663F5"/>
    <w:rsid w:val="2B782096"/>
    <w:rsid w:val="2B7A6E36"/>
    <w:rsid w:val="2B812BDA"/>
    <w:rsid w:val="2B820E1F"/>
    <w:rsid w:val="2B8B38D7"/>
    <w:rsid w:val="2B8E0D6E"/>
    <w:rsid w:val="2B8F74B6"/>
    <w:rsid w:val="2B9469D6"/>
    <w:rsid w:val="2B98280F"/>
    <w:rsid w:val="2B982DA6"/>
    <w:rsid w:val="2B9A6426"/>
    <w:rsid w:val="2B9E18BC"/>
    <w:rsid w:val="2BA13016"/>
    <w:rsid w:val="2BA31629"/>
    <w:rsid w:val="2BA44FCF"/>
    <w:rsid w:val="2BA46A9A"/>
    <w:rsid w:val="2BA82B14"/>
    <w:rsid w:val="2BA936A8"/>
    <w:rsid w:val="2BAC1E16"/>
    <w:rsid w:val="2BAD2D1B"/>
    <w:rsid w:val="2BB04AAB"/>
    <w:rsid w:val="2BBB2F48"/>
    <w:rsid w:val="2BC12FCA"/>
    <w:rsid w:val="2BC363E6"/>
    <w:rsid w:val="2BC51FF4"/>
    <w:rsid w:val="2BC5532B"/>
    <w:rsid w:val="2BC573F0"/>
    <w:rsid w:val="2BC86900"/>
    <w:rsid w:val="2BCC32C3"/>
    <w:rsid w:val="2BD04B43"/>
    <w:rsid w:val="2BD14587"/>
    <w:rsid w:val="2BD4687B"/>
    <w:rsid w:val="2BE02FAC"/>
    <w:rsid w:val="2BE17229"/>
    <w:rsid w:val="2BE9711E"/>
    <w:rsid w:val="2BF33EE9"/>
    <w:rsid w:val="2C011951"/>
    <w:rsid w:val="2C0445D1"/>
    <w:rsid w:val="2C0537AD"/>
    <w:rsid w:val="2C071715"/>
    <w:rsid w:val="2C0C4FAB"/>
    <w:rsid w:val="2C0D0D69"/>
    <w:rsid w:val="2C112C87"/>
    <w:rsid w:val="2C114D6B"/>
    <w:rsid w:val="2C1331EE"/>
    <w:rsid w:val="2C163734"/>
    <w:rsid w:val="2C167B7D"/>
    <w:rsid w:val="2C1D23E7"/>
    <w:rsid w:val="2C20279B"/>
    <w:rsid w:val="2C22481C"/>
    <w:rsid w:val="2C2422F5"/>
    <w:rsid w:val="2C260B70"/>
    <w:rsid w:val="2C264216"/>
    <w:rsid w:val="2C271171"/>
    <w:rsid w:val="2C2871AC"/>
    <w:rsid w:val="2C2C389F"/>
    <w:rsid w:val="2C315A5A"/>
    <w:rsid w:val="2C351CF9"/>
    <w:rsid w:val="2C361B6F"/>
    <w:rsid w:val="2C3B2C21"/>
    <w:rsid w:val="2C3C763E"/>
    <w:rsid w:val="2C4049C9"/>
    <w:rsid w:val="2C494ABD"/>
    <w:rsid w:val="2C4B07D6"/>
    <w:rsid w:val="2C4B1C25"/>
    <w:rsid w:val="2C4C12EE"/>
    <w:rsid w:val="2C4E6F5E"/>
    <w:rsid w:val="2C5718E6"/>
    <w:rsid w:val="2C5B5965"/>
    <w:rsid w:val="2C6271F2"/>
    <w:rsid w:val="2C632286"/>
    <w:rsid w:val="2C7C2710"/>
    <w:rsid w:val="2C845EEB"/>
    <w:rsid w:val="2C8763E0"/>
    <w:rsid w:val="2C89285E"/>
    <w:rsid w:val="2C8C32E6"/>
    <w:rsid w:val="2C8D1B10"/>
    <w:rsid w:val="2C8D3141"/>
    <w:rsid w:val="2C932FD6"/>
    <w:rsid w:val="2C9A0A1B"/>
    <w:rsid w:val="2CA30C33"/>
    <w:rsid w:val="2CAB7864"/>
    <w:rsid w:val="2CAE5889"/>
    <w:rsid w:val="2CAE7C0A"/>
    <w:rsid w:val="2CBC116A"/>
    <w:rsid w:val="2CBE441A"/>
    <w:rsid w:val="2CBE75BA"/>
    <w:rsid w:val="2CC21FFF"/>
    <w:rsid w:val="2CC83B72"/>
    <w:rsid w:val="2CC850DE"/>
    <w:rsid w:val="2CC90115"/>
    <w:rsid w:val="2CCA0F80"/>
    <w:rsid w:val="2CCB13F6"/>
    <w:rsid w:val="2CD132FA"/>
    <w:rsid w:val="2CD57A2C"/>
    <w:rsid w:val="2CED6647"/>
    <w:rsid w:val="2CED7EFA"/>
    <w:rsid w:val="2CEE0A10"/>
    <w:rsid w:val="2CF0667B"/>
    <w:rsid w:val="2CF20732"/>
    <w:rsid w:val="2CF2630C"/>
    <w:rsid w:val="2CF7700F"/>
    <w:rsid w:val="2CFE01BE"/>
    <w:rsid w:val="2D020912"/>
    <w:rsid w:val="2D03015C"/>
    <w:rsid w:val="2D0A34F2"/>
    <w:rsid w:val="2D0C2D8C"/>
    <w:rsid w:val="2D0C2F4B"/>
    <w:rsid w:val="2D0E19EA"/>
    <w:rsid w:val="2D1063D5"/>
    <w:rsid w:val="2D116135"/>
    <w:rsid w:val="2D151C3D"/>
    <w:rsid w:val="2D152EB5"/>
    <w:rsid w:val="2D1B36F8"/>
    <w:rsid w:val="2D1F080E"/>
    <w:rsid w:val="2D1F4DC8"/>
    <w:rsid w:val="2D2160A8"/>
    <w:rsid w:val="2D216834"/>
    <w:rsid w:val="2D217CC2"/>
    <w:rsid w:val="2D26587C"/>
    <w:rsid w:val="2D27472A"/>
    <w:rsid w:val="2D404B7D"/>
    <w:rsid w:val="2D4529E9"/>
    <w:rsid w:val="2D495F67"/>
    <w:rsid w:val="2D4B42C4"/>
    <w:rsid w:val="2D500D6C"/>
    <w:rsid w:val="2D5534FA"/>
    <w:rsid w:val="2D571BEB"/>
    <w:rsid w:val="2D5B7EF0"/>
    <w:rsid w:val="2D605CBB"/>
    <w:rsid w:val="2D660EF7"/>
    <w:rsid w:val="2D6B72D5"/>
    <w:rsid w:val="2D6D6A06"/>
    <w:rsid w:val="2D6E3212"/>
    <w:rsid w:val="2D704B4E"/>
    <w:rsid w:val="2D7216E0"/>
    <w:rsid w:val="2D750387"/>
    <w:rsid w:val="2D7A3B78"/>
    <w:rsid w:val="2D7B215C"/>
    <w:rsid w:val="2D801185"/>
    <w:rsid w:val="2D834F48"/>
    <w:rsid w:val="2D84024C"/>
    <w:rsid w:val="2D850B71"/>
    <w:rsid w:val="2D8545F9"/>
    <w:rsid w:val="2D89436C"/>
    <w:rsid w:val="2D8B3E9F"/>
    <w:rsid w:val="2D934F8E"/>
    <w:rsid w:val="2D957987"/>
    <w:rsid w:val="2D9E56F5"/>
    <w:rsid w:val="2DA343BA"/>
    <w:rsid w:val="2DA45D2F"/>
    <w:rsid w:val="2DAB725E"/>
    <w:rsid w:val="2DB1042C"/>
    <w:rsid w:val="2DB264FF"/>
    <w:rsid w:val="2DB61910"/>
    <w:rsid w:val="2DBD030B"/>
    <w:rsid w:val="2DC25921"/>
    <w:rsid w:val="2DC523B7"/>
    <w:rsid w:val="2DC6002C"/>
    <w:rsid w:val="2DC813D3"/>
    <w:rsid w:val="2DCE2518"/>
    <w:rsid w:val="2DDD2AFC"/>
    <w:rsid w:val="2DDE5023"/>
    <w:rsid w:val="2DE7283B"/>
    <w:rsid w:val="2DE81100"/>
    <w:rsid w:val="2DEA131C"/>
    <w:rsid w:val="2DEB3F82"/>
    <w:rsid w:val="2DED5496"/>
    <w:rsid w:val="2DEE4968"/>
    <w:rsid w:val="2DEE57B9"/>
    <w:rsid w:val="2DFF6B75"/>
    <w:rsid w:val="2E06321C"/>
    <w:rsid w:val="2E0768A5"/>
    <w:rsid w:val="2E09491C"/>
    <w:rsid w:val="2E0A6D7D"/>
    <w:rsid w:val="2E146D3D"/>
    <w:rsid w:val="2E185180"/>
    <w:rsid w:val="2E187C37"/>
    <w:rsid w:val="2E1C279B"/>
    <w:rsid w:val="2E1E2366"/>
    <w:rsid w:val="2E1F4FBB"/>
    <w:rsid w:val="2E2C36E3"/>
    <w:rsid w:val="2E2F1EAB"/>
    <w:rsid w:val="2E3711BD"/>
    <w:rsid w:val="2E447245"/>
    <w:rsid w:val="2E465942"/>
    <w:rsid w:val="2E550EF4"/>
    <w:rsid w:val="2E5975C6"/>
    <w:rsid w:val="2E5A27AE"/>
    <w:rsid w:val="2E5D3887"/>
    <w:rsid w:val="2E6115DE"/>
    <w:rsid w:val="2E656E59"/>
    <w:rsid w:val="2E667F96"/>
    <w:rsid w:val="2E68576B"/>
    <w:rsid w:val="2E692939"/>
    <w:rsid w:val="2E6A394E"/>
    <w:rsid w:val="2E6B3833"/>
    <w:rsid w:val="2E6F4D55"/>
    <w:rsid w:val="2E7128CD"/>
    <w:rsid w:val="2E714FF0"/>
    <w:rsid w:val="2E75249D"/>
    <w:rsid w:val="2E796582"/>
    <w:rsid w:val="2E7D74D4"/>
    <w:rsid w:val="2E8157DC"/>
    <w:rsid w:val="2E81758A"/>
    <w:rsid w:val="2E820D15"/>
    <w:rsid w:val="2E8226AB"/>
    <w:rsid w:val="2E833832"/>
    <w:rsid w:val="2E843EEA"/>
    <w:rsid w:val="2E847E03"/>
    <w:rsid w:val="2E986104"/>
    <w:rsid w:val="2E994B43"/>
    <w:rsid w:val="2E9A0EA2"/>
    <w:rsid w:val="2E9F5C62"/>
    <w:rsid w:val="2EA0361E"/>
    <w:rsid w:val="2EA27501"/>
    <w:rsid w:val="2EAD176D"/>
    <w:rsid w:val="2EAE40C7"/>
    <w:rsid w:val="2EB3170E"/>
    <w:rsid w:val="2EBB53AF"/>
    <w:rsid w:val="2EBD5456"/>
    <w:rsid w:val="2EBE106F"/>
    <w:rsid w:val="2EBE6FFF"/>
    <w:rsid w:val="2ECF31CA"/>
    <w:rsid w:val="2ED53F31"/>
    <w:rsid w:val="2ED8230A"/>
    <w:rsid w:val="2ED96AF1"/>
    <w:rsid w:val="2EDE7C7D"/>
    <w:rsid w:val="2EDF2503"/>
    <w:rsid w:val="2EE26636"/>
    <w:rsid w:val="2EE32350"/>
    <w:rsid w:val="2EE3765C"/>
    <w:rsid w:val="2EEA5E86"/>
    <w:rsid w:val="2EEC6A5D"/>
    <w:rsid w:val="2EEE2B70"/>
    <w:rsid w:val="2EEE5754"/>
    <w:rsid w:val="2EF22AA8"/>
    <w:rsid w:val="2EF275EA"/>
    <w:rsid w:val="2EF31DD9"/>
    <w:rsid w:val="2EF3417A"/>
    <w:rsid w:val="2EFB644D"/>
    <w:rsid w:val="2F002678"/>
    <w:rsid w:val="2F017466"/>
    <w:rsid w:val="2F074BBD"/>
    <w:rsid w:val="2F0C29C6"/>
    <w:rsid w:val="2F0C4C2A"/>
    <w:rsid w:val="2F0D52C2"/>
    <w:rsid w:val="2F23477E"/>
    <w:rsid w:val="2F244DCB"/>
    <w:rsid w:val="2F2615FC"/>
    <w:rsid w:val="2F305E28"/>
    <w:rsid w:val="2F3203DE"/>
    <w:rsid w:val="2F32568F"/>
    <w:rsid w:val="2F327B32"/>
    <w:rsid w:val="2F380C3E"/>
    <w:rsid w:val="2F3C7955"/>
    <w:rsid w:val="2F444FB7"/>
    <w:rsid w:val="2F4D54CC"/>
    <w:rsid w:val="2F5437B1"/>
    <w:rsid w:val="2F602A88"/>
    <w:rsid w:val="2F650C5A"/>
    <w:rsid w:val="2F6550C0"/>
    <w:rsid w:val="2F6F7D2B"/>
    <w:rsid w:val="2F790FA8"/>
    <w:rsid w:val="2F7920E3"/>
    <w:rsid w:val="2F81180C"/>
    <w:rsid w:val="2F9102C3"/>
    <w:rsid w:val="2F964B55"/>
    <w:rsid w:val="2F98138E"/>
    <w:rsid w:val="2F98735A"/>
    <w:rsid w:val="2FA24679"/>
    <w:rsid w:val="2FA258B3"/>
    <w:rsid w:val="2FA44EB0"/>
    <w:rsid w:val="2FA47A4F"/>
    <w:rsid w:val="2FB92D54"/>
    <w:rsid w:val="2FBA73A9"/>
    <w:rsid w:val="2FBC12EA"/>
    <w:rsid w:val="2FBD3A21"/>
    <w:rsid w:val="2FC013DE"/>
    <w:rsid w:val="2FC260AC"/>
    <w:rsid w:val="2FC65F20"/>
    <w:rsid w:val="2FC83BD3"/>
    <w:rsid w:val="2FCB359B"/>
    <w:rsid w:val="2FCD6EDA"/>
    <w:rsid w:val="2FD065E6"/>
    <w:rsid w:val="2FD84D4B"/>
    <w:rsid w:val="2FD85881"/>
    <w:rsid w:val="2FD872D7"/>
    <w:rsid w:val="2FD96870"/>
    <w:rsid w:val="2FDA77E7"/>
    <w:rsid w:val="2FDC227C"/>
    <w:rsid w:val="2FE20407"/>
    <w:rsid w:val="2FE438E0"/>
    <w:rsid w:val="2FE671EE"/>
    <w:rsid w:val="2FEB76B4"/>
    <w:rsid w:val="2FF211C3"/>
    <w:rsid w:val="2FF56CFE"/>
    <w:rsid w:val="2FF84DC4"/>
    <w:rsid w:val="2FF8610C"/>
    <w:rsid w:val="2FFA017A"/>
    <w:rsid w:val="30043020"/>
    <w:rsid w:val="30045FCD"/>
    <w:rsid w:val="30071D11"/>
    <w:rsid w:val="30094D7D"/>
    <w:rsid w:val="300C231C"/>
    <w:rsid w:val="300D35BB"/>
    <w:rsid w:val="300E30A0"/>
    <w:rsid w:val="300F2804"/>
    <w:rsid w:val="300F5B49"/>
    <w:rsid w:val="30130927"/>
    <w:rsid w:val="301546E5"/>
    <w:rsid w:val="30162CEB"/>
    <w:rsid w:val="30182170"/>
    <w:rsid w:val="301915E2"/>
    <w:rsid w:val="301B3704"/>
    <w:rsid w:val="302A3C0C"/>
    <w:rsid w:val="302D482A"/>
    <w:rsid w:val="303074BA"/>
    <w:rsid w:val="30330D58"/>
    <w:rsid w:val="303E6F6E"/>
    <w:rsid w:val="303F0D73"/>
    <w:rsid w:val="30412F35"/>
    <w:rsid w:val="30435F95"/>
    <w:rsid w:val="3044266E"/>
    <w:rsid w:val="3049232A"/>
    <w:rsid w:val="304A2AAE"/>
    <w:rsid w:val="30580BC9"/>
    <w:rsid w:val="30586A11"/>
    <w:rsid w:val="30590093"/>
    <w:rsid w:val="30596F25"/>
    <w:rsid w:val="305A6F22"/>
    <w:rsid w:val="305C417D"/>
    <w:rsid w:val="305D200D"/>
    <w:rsid w:val="305E5FFC"/>
    <w:rsid w:val="305F38FB"/>
    <w:rsid w:val="30607673"/>
    <w:rsid w:val="3066541E"/>
    <w:rsid w:val="306E2564"/>
    <w:rsid w:val="30716268"/>
    <w:rsid w:val="307316E3"/>
    <w:rsid w:val="3077560B"/>
    <w:rsid w:val="30784ED7"/>
    <w:rsid w:val="30871D2D"/>
    <w:rsid w:val="308B46F0"/>
    <w:rsid w:val="30960BE3"/>
    <w:rsid w:val="309E4A4D"/>
    <w:rsid w:val="309E5534"/>
    <w:rsid w:val="30A27C8C"/>
    <w:rsid w:val="30A40B25"/>
    <w:rsid w:val="30A734F4"/>
    <w:rsid w:val="30AC68D4"/>
    <w:rsid w:val="30AD13D1"/>
    <w:rsid w:val="30AE7314"/>
    <w:rsid w:val="30B1374C"/>
    <w:rsid w:val="30B45ED1"/>
    <w:rsid w:val="30C942E1"/>
    <w:rsid w:val="30C96FC7"/>
    <w:rsid w:val="30CB71E3"/>
    <w:rsid w:val="30D81F8F"/>
    <w:rsid w:val="30DC27D6"/>
    <w:rsid w:val="30E2371F"/>
    <w:rsid w:val="30E83452"/>
    <w:rsid w:val="30ED2A24"/>
    <w:rsid w:val="30F120D9"/>
    <w:rsid w:val="30F1651D"/>
    <w:rsid w:val="30F2758C"/>
    <w:rsid w:val="30F834A9"/>
    <w:rsid w:val="30FA3DD0"/>
    <w:rsid w:val="30FC4F6C"/>
    <w:rsid w:val="30FD0CC5"/>
    <w:rsid w:val="30FF4C1D"/>
    <w:rsid w:val="310271DC"/>
    <w:rsid w:val="310D520D"/>
    <w:rsid w:val="310F5D67"/>
    <w:rsid w:val="311114E7"/>
    <w:rsid w:val="31111E47"/>
    <w:rsid w:val="3113704A"/>
    <w:rsid w:val="311D316D"/>
    <w:rsid w:val="311E2ED7"/>
    <w:rsid w:val="311E68D6"/>
    <w:rsid w:val="31207873"/>
    <w:rsid w:val="31236C5D"/>
    <w:rsid w:val="312B344D"/>
    <w:rsid w:val="312C2D73"/>
    <w:rsid w:val="31322FCC"/>
    <w:rsid w:val="31330BF0"/>
    <w:rsid w:val="31366562"/>
    <w:rsid w:val="31384CC9"/>
    <w:rsid w:val="313C0531"/>
    <w:rsid w:val="313C778B"/>
    <w:rsid w:val="31401841"/>
    <w:rsid w:val="31466869"/>
    <w:rsid w:val="31476416"/>
    <w:rsid w:val="31482673"/>
    <w:rsid w:val="31532D34"/>
    <w:rsid w:val="31552F50"/>
    <w:rsid w:val="315619EE"/>
    <w:rsid w:val="315C449C"/>
    <w:rsid w:val="31613DF0"/>
    <w:rsid w:val="31634880"/>
    <w:rsid w:val="3163741B"/>
    <w:rsid w:val="31660CB9"/>
    <w:rsid w:val="3166515D"/>
    <w:rsid w:val="316F417D"/>
    <w:rsid w:val="317334B2"/>
    <w:rsid w:val="3179279B"/>
    <w:rsid w:val="317E4255"/>
    <w:rsid w:val="317E74F1"/>
    <w:rsid w:val="31852762"/>
    <w:rsid w:val="31880C30"/>
    <w:rsid w:val="318C0249"/>
    <w:rsid w:val="318D1EDA"/>
    <w:rsid w:val="319366EA"/>
    <w:rsid w:val="31994BEB"/>
    <w:rsid w:val="319F0BCB"/>
    <w:rsid w:val="31A63EF0"/>
    <w:rsid w:val="31A93CFC"/>
    <w:rsid w:val="31AB119B"/>
    <w:rsid w:val="31B20CC9"/>
    <w:rsid w:val="31B41EEC"/>
    <w:rsid w:val="31B52B04"/>
    <w:rsid w:val="31B70861"/>
    <w:rsid w:val="31B82709"/>
    <w:rsid w:val="31B97551"/>
    <w:rsid w:val="31BD5961"/>
    <w:rsid w:val="31C07D03"/>
    <w:rsid w:val="31C95060"/>
    <w:rsid w:val="31CC4FC0"/>
    <w:rsid w:val="31CE1DCA"/>
    <w:rsid w:val="31D01EC7"/>
    <w:rsid w:val="31D05482"/>
    <w:rsid w:val="31D21985"/>
    <w:rsid w:val="31DD5772"/>
    <w:rsid w:val="31E34872"/>
    <w:rsid w:val="31E97577"/>
    <w:rsid w:val="31EF1568"/>
    <w:rsid w:val="31FA3D10"/>
    <w:rsid w:val="31FB015D"/>
    <w:rsid w:val="32054246"/>
    <w:rsid w:val="320807DE"/>
    <w:rsid w:val="320E7A6A"/>
    <w:rsid w:val="32126A87"/>
    <w:rsid w:val="32126CAE"/>
    <w:rsid w:val="321A5BE5"/>
    <w:rsid w:val="321B4AA4"/>
    <w:rsid w:val="321E1594"/>
    <w:rsid w:val="32214672"/>
    <w:rsid w:val="322238AB"/>
    <w:rsid w:val="32290665"/>
    <w:rsid w:val="322A2691"/>
    <w:rsid w:val="322E4863"/>
    <w:rsid w:val="322F0769"/>
    <w:rsid w:val="32366BA0"/>
    <w:rsid w:val="32400B34"/>
    <w:rsid w:val="324059AE"/>
    <w:rsid w:val="32494863"/>
    <w:rsid w:val="324D4C33"/>
    <w:rsid w:val="325558C1"/>
    <w:rsid w:val="325B6344"/>
    <w:rsid w:val="3260395B"/>
    <w:rsid w:val="32667846"/>
    <w:rsid w:val="3267665D"/>
    <w:rsid w:val="326A7E2A"/>
    <w:rsid w:val="326C67A3"/>
    <w:rsid w:val="327016F3"/>
    <w:rsid w:val="32740044"/>
    <w:rsid w:val="32785438"/>
    <w:rsid w:val="327B1152"/>
    <w:rsid w:val="327F2033"/>
    <w:rsid w:val="327F2E0A"/>
    <w:rsid w:val="32805DAB"/>
    <w:rsid w:val="32832118"/>
    <w:rsid w:val="328370B8"/>
    <w:rsid w:val="328A0197"/>
    <w:rsid w:val="3290264D"/>
    <w:rsid w:val="32906150"/>
    <w:rsid w:val="3291620A"/>
    <w:rsid w:val="32953521"/>
    <w:rsid w:val="32983192"/>
    <w:rsid w:val="329E549E"/>
    <w:rsid w:val="329E6876"/>
    <w:rsid w:val="32A12B76"/>
    <w:rsid w:val="32A5157E"/>
    <w:rsid w:val="32AB107A"/>
    <w:rsid w:val="32AB7818"/>
    <w:rsid w:val="32C4038E"/>
    <w:rsid w:val="32C57C62"/>
    <w:rsid w:val="32CD1843"/>
    <w:rsid w:val="32CE4D68"/>
    <w:rsid w:val="32D275A4"/>
    <w:rsid w:val="32D83497"/>
    <w:rsid w:val="32DF6494"/>
    <w:rsid w:val="32E3107B"/>
    <w:rsid w:val="32E333E4"/>
    <w:rsid w:val="32E56E86"/>
    <w:rsid w:val="32E8329C"/>
    <w:rsid w:val="32EB1AA0"/>
    <w:rsid w:val="32F02F31"/>
    <w:rsid w:val="32F57AAB"/>
    <w:rsid w:val="32F718F7"/>
    <w:rsid w:val="32FA2CBE"/>
    <w:rsid w:val="32FB01FE"/>
    <w:rsid w:val="33074547"/>
    <w:rsid w:val="330C7E38"/>
    <w:rsid w:val="330E33B7"/>
    <w:rsid w:val="330E575D"/>
    <w:rsid w:val="330F6465"/>
    <w:rsid w:val="3313658A"/>
    <w:rsid w:val="33136676"/>
    <w:rsid w:val="33142830"/>
    <w:rsid w:val="33217673"/>
    <w:rsid w:val="3323266A"/>
    <w:rsid w:val="332936B5"/>
    <w:rsid w:val="332B568D"/>
    <w:rsid w:val="332D0E3F"/>
    <w:rsid w:val="333015F2"/>
    <w:rsid w:val="33306635"/>
    <w:rsid w:val="33371EB1"/>
    <w:rsid w:val="33415E32"/>
    <w:rsid w:val="3342069F"/>
    <w:rsid w:val="33457098"/>
    <w:rsid w:val="334667AD"/>
    <w:rsid w:val="334963D6"/>
    <w:rsid w:val="334B0167"/>
    <w:rsid w:val="334B6320"/>
    <w:rsid w:val="334E7C57"/>
    <w:rsid w:val="335215C5"/>
    <w:rsid w:val="33570248"/>
    <w:rsid w:val="33591EA0"/>
    <w:rsid w:val="33597844"/>
    <w:rsid w:val="335E7647"/>
    <w:rsid w:val="33630F85"/>
    <w:rsid w:val="33633166"/>
    <w:rsid w:val="33633703"/>
    <w:rsid w:val="3364747B"/>
    <w:rsid w:val="33663C98"/>
    <w:rsid w:val="336814A3"/>
    <w:rsid w:val="3371077E"/>
    <w:rsid w:val="33743B62"/>
    <w:rsid w:val="33791700"/>
    <w:rsid w:val="337A60A5"/>
    <w:rsid w:val="337D153E"/>
    <w:rsid w:val="337F42B4"/>
    <w:rsid w:val="338C7B99"/>
    <w:rsid w:val="3390201E"/>
    <w:rsid w:val="339510C3"/>
    <w:rsid w:val="33993FD0"/>
    <w:rsid w:val="339C7E94"/>
    <w:rsid w:val="339E15DD"/>
    <w:rsid w:val="33A62144"/>
    <w:rsid w:val="33A71B76"/>
    <w:rsid w:val="33B208C1"/>
    <w:rsid w:val="33BD697F"/>
    <w:rsid w:val="33BE01F6"/>
    <w:rsid w:val="33BF1FDE"/>
    <w:rsid w:val="33C05920"/>
    <w:rsid w:val="33C40CEA"/>
    <w:rsid w:val="33CB2443"/>
    <w:rsid w:val="33CC6E92"/>
    <w:rsid w:val="33CD6DCE"/>
    <w:rsid w:val="33CE06AD"/>
    <w:rsid w:val="33D41DD9"/>
    <w:rsid w:val="33D77C4D"/>
    <w:rsid w:val="33D82E7A"/>
    <w:rsid w:val="33D934D4"/>
    <w:rsid w:val="33DB7DF8"/>
    <w:rsid w:val="33DC1707"/>
    <w:rsid w:val="33E01E3C"/>
    <w:rsid w:val="33E17ECD"/>
    <w:rsid w:val="33E74334"/>
    <w:rsid w:val="33E924DE"/>
    <w:rsid w:val="33EA7E91"/>
    <w:rsid w:val="33F00208"/>
    <w:rsid w:val="33F06B31"/>
    <w:rsid w:val="33F22CD8"/>
    <w:rsid w:val="33FC7FA3"/>
    <w:rsid w:val="33FE2F6A"/>
    <w:rsid w:val="340614E8"/>
    <w:rsid w:val="340908EF"/>
    <w:rsid w:val="340B78F6"/>
    <w:rsid w:val="340E07E5"/>
    <w:rsid w:val="340F5638"/>
    <w:rsid w:val="34120C85"/>
    <w:rsid w:val="3421560B"/>
    <w:rsid w:val="34235BF7"/>
    <w:rsid w:val="342402F0"/>
    <w:rsid w:val="34242EC6"/>
    <w:rsid w:val="34273469"/>
    <w:rsid w:val="342A06C4"/>
    <w:rsid w:val="34337579"/>
    <w:rsid w:val="34345FA1"/>
    <w:rsid w:val="34364781"/>
    <w:rsid w:val="34384B8F"/>
    <w:rsid w:val="34391009"/>
    <w:rsid w:val="343926B5"/>
    <w:rsid w:val="343B5652"/>
    <w:rsid w:val="343E5B48"/>
    <w:rsid w:val="343E5F1E"/>
    <w:rsid w:val="344277BC"/>
    <w:rsid w:val="34431A58"/>
    <w:rsid w:val="34461C1C"/>
    <w:rsid w:val="34480B4A"/>
    <w:rsid w:val="34481F80"/>
    <w:rsid w:val="344822F9"/>
    <w:rsid w:val="34490369"/>
    <w:rsid w:val="344B7C5F"/>
    <w:rsid w:val="345117AD"/>
    <w:rsid w:val="345126A4"/>
    <w:rsid w:val="3453718B"/>
    <w:rsid w:val="3467051A"/>
    <w:rsid w:val="346C56FF"/>
    <w:rsid w:val="34740779"/>
    <w:rsid w:val="3475387A"/>
    <w:rsid w:val="34791775"/>
    <w:rsid w:val="34793C54"/>
    <w:rsid w:val="34860BE7"/>
    <w:rsid w:val="34867892"/>
    <w:rsid w:val="348C0A37"/>
    <w:rsid w:val="348C159D"/>
    <w:rsid w:val="34993154"/>
    <w:rsid w:val="349B45FD"/>
    <w:rsid w:val="349F4C0E"/>
    <w:rsid w:val="34A522D6"/>
    <w:rsid w:val="34AB0607"/>
    <w:rsid w:val="34AB78E5"/>
    <w:rsid w:val="34AC1CC7"/>
    <w:rsid w:val="34B85CC3"/>
    <w:rsid w:val="34B85D7F"/>
    <w:rsid w:val="34B955A4"/>
    <w:rsid w:val="34BB756E"/>
    <w:rsid w:val="34BC1C5E"/>
    <w:rsid w:val="34BD136E"/>
    <w:rsid w:val="34C35561"/>
    <w:rsid w:val="34C62D83"/>
    <w:rsid w:val="34D36666"/>
    <w:rsid w:val="34D97B55"/>
    <w:rsid w:val="34DE6AE9"/>
    <w:rsid w:val="34E06CF4"/>
    <w:rsid w:val="34E645EB"/>
    <w:rsid w:val="34E90A57"/>
    <w:rsid w:val="34E95D4C"/>
    <w:rsid w:val="34F263A1"/>
    <w:rsid w:val="34FC27EE"/>
    <w:rsid w:val="350618E0"/>
    <w:rsid w:val="35064C8D"/>
    <w:rsid w:val="350667E1"/>
    <w:rsid w:val="35076310"/>
    <w:rsid w:val="35111F6D"/>
    <w:rsid w:val="35132F06"/>
    <w:rsid w:val="351647A5"/>
    <w:rsid w:val="351F615A"/>
    <w:rsid w:val="3522139B"/>
    <w:rsid w:val="35265D35"/>
    <w:rsid w:val="352A047E"/>
    <w:rsid w:val="353C5A46"/>
    <w:rsid w:val="353F4E2D"/>
    <w:rsid w:val="35404B4A"/>
    <w:rsid w:val="35492DCC"/>
    <w:rsid w:val="354956FE"/>
    <w:rsid w:val="354B05FA"/>
    <w:rsid w:val="354E3E2D"/>
    <w:rsid w:val="35587542"/>
    <w:rsid w:val="355A4323"/>
    <w:rsid w:val="355C43F8"/>
    <w:rsid w:val="355D057A"/>
    <w:rsid w:val="355D111E"/>
    <w:rsid w:val="355E6877"/>
    <w:rsid w:val="35672959"/>
    <w:rsid w:val="35690D78"/>
    <w:rsid w:val="35726D75"/>
    <w:rsid w:val="35770674"/>
    <w:rsid w:val="35775243"/>
    <w:rsid w:val="35777A7B"/>
    <w:rsid w:val="357A4D33"/>
    <w:rsid w:val="357B17FF"/>
    <w:rsid w:val="35830A95"/>
    <w:rsid w:val="35862315"/>
    <w:rsid w:val="358B5193"/>
    <w:rsid w:val="358C5FA8"/>
    <w:rsid w:val="35913AD5"/>
    <w:rsid w:val="35916ED7"/>
    <w:rsid w:val="3598340C"/>
    <w:rsid w:val="359B3687"/>
    <w:rsid w:val="359C5005"/>
    <w:rsid w:val="359C5A0C"/>
    <w:rsid w:val="35A756CA"/>
    <w:rsid w:val="35AA386B"/>
    <w:rsid w:val="35AB1391"/>
    <w:rsid w:val="35AC5B70"/>
    <w:rsid w:val="35B46AEB"/>
    <w:rsid w:val="35BC70FA"/>
    <w:rsid w:val="35C15DF1"/>
    <w:rsid w:val="35C24709"/>
    <w:rsid w:val="35C37172"/>
    <w:rsid w:val="35C66E85"/>
    <w:rsid w:val="35CB61D8"/>
    <w:rsid w:val="35D360B1"/>
    <w:rsid w:val="35D5640E"/>
    <w:rsid w:val="35D777F3"/>
    <w:rsid w:val="35E23EE9"/>
    <w:rsid w:val="35EA159D"/>
    <w:rsid w:val="35EB68E7"/>
    <w:rsid w:val="35F327C6"/>
    <w:rsid w:val="35F965A0"/>
    <w:rsid w:val="35F972FB"/>
    <w:rsid w:val="35FE062D"/>
    <w:rsid w:val="36074A7F"/>
    <w:rsid w:val="360B3288"/>
    <w:rsid w:val="360D204B"/>
    <w:rsid w:val="360F745D"/>
    <w:rsid w:val="3610796F"/>
    <w:rsid w:val="36233880"/>
    <w:rsid w:val="36252EF1"/>
    <w:rsid w:val="362558DD"/>
    <w:rsid w:val="362D1DA6"/>
    <w:rsid w:val="363C1776"/>
    <w:rsid w:val="363F37BC"/>
    <w:rsid w:val="363F3CC0"/>
    <w:rsid w:val="36402C8A"/>
    <w:rsid w:val="364253CA"/>
    <w:rsid w:val="364366CE"/>
    <w:rsid w:val="36445250"/>
    <w:rsid w:val="364937EC"/>
    <w:rsid w:val="364976BE"/>
    <w:rsid w:val="364C66D0"/>
    <w:rsid w:val="36517B6B"/>
    <w:rsid w:val="365260C2"/>
    <w:rsid w:val="365C1963"/>
    <w:rsid w:val="36621A11"/>
    <w:rsid w:val="36627138"/>
    <w:rsid w:val="36630566"/>
    <w:rsid w:val="36643329"/>
    <w:rsid w:val="3664379E"/>
    <w:rsid w:val="36650048"/>
    <w:rsid w:val="36674D7A"/>
    <w:rsid w:val="36690B21"/>
    <w:rsid w:val="366A412A"/>
    <w:rsid w:val="366C6D72"/>
    <w:rsid w:val="36762267"/>
    <w:rsid w:val="367A71F0"/>
    <w:rsid w:val="367B6FB5"/>
    <w:rsid w:val="36830EC2"/>
    <w:rsid w:val="36887EB5"/>
    <w:rsid w:val="368A369C"/>
    <w:rsid w:val="368C4D1E"/>
    <w:rsid w:val="36914C06"/>
    <w:rsid w:val="36923549"/>
    <w:rsid w:val="36985DB9"/>
    <w:rsid w:val="369D33CF"/>
    <w:rsid w:val="36A12543"/>
    <w:rsid w:val="36A408B7"/>
    <w:rsid w:val="36A57142"/>
    <w:rsid w:val="36A63C1E"/>
    <w:rsid w:val="36A67F44"/>
    <w:rsid w:val="36B75FBF"/>
    <w:rsid w:val="36BB77AC"/>
    <w:rsid w:val="36BD0C45"/>
    <w:rsid w:val="36C40873"/>
    <w:rsid w:val="36C62BE9"/>
    <w:rsid w:val="36C84876"/>
    <w:rsid w:val="36C95F72"/>
    <w:rsid w:val="36CA5F9B"/>
    <w:rsid w:val="36CE7908"/>
    <w:rsid w:val="36D466C5"/>
    <w:rsid w:val="36D641EB"/>
    <w:rsid w:val="36D72CAA"/>
    <w:rsid w:val="36DB7FB5"/>
    <w:rsid w:val="36DF2D7F"/>
    <w:rsid w:val="36DF3745"/>
    <w:rsid w:val="36E171E7"/>
    <w:rsid w:val="36E40C72"/>
    <w:rsid w:val="36EB5452"/>
    <w:rsid w:val="36EC7EB3"/>
    <w:rsid w:val="36EF491B"/>
    <w:rsid w:val="36F01751"/>
    <w:rsid w:val="36F34D9D"/>
    <w:rsid w:val="36F741EF"/>
    <w:rsid w:val="36FC0B1D"/>
    <w:rsid w:val="36FF7552"/>
    <w:rsid w:val="37046FAB"/>
    <w:rsid w:val="37047716"/>
    <w:rsid w:val="37096400"/>
    <w:rsid w:val="370C2086"/>
    <w:rsid w:val="370E607B"/>
    <w:rsid w:val="37100FF1"/>
    <w:rsid w:val="3710365D"/>
    <w:rsid w:val="37104E51"/>
    <w:rsid w:val="371231E8"/>
    <w:rsid w:val="3717590E"/>
    <w:rsid w:val="371B51A8"/>
    <w:rsid w:val="371D006C"/>
    <w:rsid w:val="372A670B"/>
    <w:rsid w:val="372E268E"/>
    <w:rsid w:val="372E4027"/>
    <w:rsid w:val="373936EB"/>
    <w:rsid w:val="37396EB8"/>
    <w:rsid w:val="373A29CC"/>
    <w:rsid w:val="373C38AE"/>
    <w:rsid w:val="373F088B"/>
    <w:rsid w:val="37424475"/>
    <w:rsid w:val="374443B0"/>
    <w:rsid w:val="3748313C"/>
    <w:rsid w:val="37492A5D"/>
    <w:rsid w:val="374C5947"/>
    <w:rsid w:val="374F37D3"/>
    <w:rsid w:val="375A6BCB"/>
    <w:rsid w:val="375C6DE7"/>
    <w:rsid w:val="37636270"/>
    <w:rsid w:val="3766026F"/>
    <w:rsid w:val="37667C65"/>
    <w:rsid w:val="37691552"/>
    <w:rsid w:val="37705F55"/>
    <w:rsid w:val="377329D5"/>
    <w:rsid w:val="37732D41"/>
    <w:rsid w:val="377331C3"/>
    <w:rsid w:val="377672DB"/>
    <w:rsid w:val="377771A7"/>
    <w:rsid w:val="37796A0A"/>
    <w:rsid w:val="377C2FE5"/>
    <w:rsid w:val="378105FB"/>
    <w:rsid w:val="378B06B1"/>
    <w:rsid w:val="378E05C1"/>
    <w:rsid w:val="37955E55"/>
    <w:rsid w:val="37AB3330"/>
    <w:rsid w:val="37B00EE0"/>
    <w:rsid w:val="37B11AB9"/>
    <w:rsid w:val="37B36761"/>
    <w:rsid w:val="37B64468"/>
    <w:rsid w:val="37BB7471"/>
    <w:rsid w:val="37C26BA2"/>
    <w:rsid w:val="37C52BDE"/>
    <w:rsid w:val="37C60AA8"/>
    <w:rsid w:val="37CC5A57"/>
    <w:rsid w:val="37CF0DFD"/>
    <w:rsid w:val="37D03135"/>
    <w:rsid w:val="37D040C5"/>
    <w:rsid w:val="37E00298"/>
    <w:rsid w:val="37E02EF4"/>
    <w:rsid w:val="37E54E97"/>
    <w:rsid w:val="37F76B0F"/>
    <w:rsid w:val="38021D4C"/>
    <w:rsid w:val="380320C6"/>
    <w:rsid w:val="380E62F7"/>
    <w:rsid w:val="380F20AB"/>
    <w:rsid w:val="381118CB"/>
    <w:rsid w:val="38180486"/>
    <w:rsid w:val="381A1371"/>
    <w:rsid w:val="381B0537"/>
    <w:rsid w:val="3821077D"/>
    <w:rsid w:val="3821216B"/>
    <w:rsid w:val="3828292E"/>
    <w:rsid w:val="38305B7D"/>
    <w:rsid w:val="3832333E"/>
    <w:rsid w:val="383330A9"/>
    <w:rsid w:val="38347042"/>
    <w:rsid w:val="38353194"/>
    <w:rsid w:val="38363129"/>
    <w:rsid w:val="38393A9E"/>
    <w:rsid w:val="38395288"/>
    <w:rsid w:val="383F2164"/>
    <w:rsid w:val="383F7566"/>
    <w:rsid w:val="38412404"/>
    <w:rsid w:val="3845787B"/>
    <w:rsid w:val="3852412D"/>
    <w:rsid w:val="38611E74"/>
    <w:rsid w:val="38627F84"/>
    <w:rsid w:val="38637D01"/>
    <w:rsid w:val="386A11FA"/>
    <w:rsid w:val="387909A8"/>
    <w:rsid w:val="38796B1C"/>
    <w:rsid w:val="387D07A4"/>
    <w:rsid w:val="387F77CF"/>
    <w:rsid w:val="38930E33"/>
    <w:rsid w:val="3897719F"/>
    <w:rsid w:val="38991974"/>
    <w:rsid w:val="38A10C77"/>
    <w:rsid w:val="38A8463E"/>
    <w:rsid w:val="38AA5930"/>
    <w:rsid w:val="38B1097B"/>
    <w:rsid w:val="38B125B1"/>
    <w:rsid w:val="38B302F9"/>
    <w:rsid w:val="38B46719"/>
    <w:rsid w:val="38B63CD8"/>
    <w:rsid w:val="38B8629F"/>
    <w:rsid w:val="38BF15F7"/>
    <w:rsid w:val="38C1155B"/>
    <w:rsid w:val="38C36AC9"/>
    <w:rsid w:val="38C5276A"/>
    <w:rsid w:val="38CA1A96"/>
    <w:rsid w:val="38CB73BE"/>
    <w:rsid w:val="38CC384D"/>
    <w:rsid w:val="38CE4468"/>
    <w:rsid w:val="38CF5396"/>
    <w:rsid w:val="38D2702D"/>
    <w:rsid w:val="38D727F4"/>
    <w:rsid w:val="38D965C2"/>
    <w:rsid w:val="38DB3D3B"/>
    <w:rsid w:val="38DD7206"/>
    <w:rsid w:val="38E94B95"/>
    <w:rsid w:val="38EB7F1D"/>
    <w:rsid w:val="38F12CD3"/>
    <w:rsid w:val="38F449AF"/>
    <w:rsid w:val="38F94775"/>
    <w:rsid w:val="38F97A1D"/>
    <w:rsid w:val="38FC6AB1"/>
    <w:rsid w:val="390729C3"/>
    <w:rsid w:val="390B0AC4"/>
    <w:rsid w:val="391014AB"/>
    <w:rsid w:val="391517B8"/>
    <w:rsid w:val="39205BF2"/>
    <w:rsid w:val="39241426"/>
    <w:rsid w:val="39274FAC"/>
    <w:rsid w:val="392971ED"/>
    <w:rsid w:val="392C6D9B"/>
    <w:rsid w:val="392D5268"/>
    <w:rsid w:val="39325651"/>
    <w:rsid w:val="39355808"/>
    <w:rsid w:val="39387156"/>
    <w:rsid w:val="393F6C78"/>
    <w:rsid w:val="394A7ED6"/>
    <w:rsid w:val="394B7E6F"/>
    <w:rsid w:val="394E421D"/>
    <w:rsid w:val="3956260D"/>
    <w:rsid w:val="39562951"/>
    <w:rsid w:val="395931E5"/>
    <w:rsid w:val="395C1320"/>
    <w:rsid w:val="395D6E46"/>
    <w:rsid w:val="396075DC"/>
    <w:rsid w:val="39641F82"/>
    <w:rsid w:val="396559AD"/>
    <w:rsid w:val="396B1563"/>
    <w:rsid w:val="39734881"/>
    <w:rsid w:val="39747E33"/>
    <w:rsid w:val="3978732C"/>
    <w:rsid w:val="397C273F"/>
    <w:rsid w:val="397E2A69"/>
    <w:rsid w:val="397F0617"/>
    <w:rsid w:val="39842625"/>
    <w:rsid w:val="39873EC3"/>
    <w:rsid w:val="39997E3A"/>
    <w:rsid w:val="399B34CA"/>
    <w:rsid w:val="39A83987"/>
    <w:rsid w:val="39AC4CCF"/>
    <w:rsid w:val="39AF65F8"/>
    <w:rsid w:val="39B00A18"/>
    <w:rsid w:val="39B70C48"/>
    <w:rsid w:val="39C03980"/>
    <w:rsid w:val="39C07B9C"/>
    <w:rsid w:val="39C35FBC"/>
    <w:rsid w:val="39CB0C5D"/>
    <w:rsid w:val="39D04AFF"/>
    <w:rsid w:val="39E07526"/>
    <w:rsid w:val="39E639E4"/>
    <w:rsid w:val="39E752E0"/>
    <w:rsid w:val="39E9082C"/>
    <w:rsid w:val="39EC537B"/>
    <w:rsid w:val="39ED340B"/>
    <w:rsid w:val="39F30C6D"/>
    <w:rsid w:val="39F97F8A"/>
    <w:rsid w:val="39FC57D3"/>
    <w:rsid w:val="39FE4185"/>
    <w:rsid w:val="3A062564"/>
    <w:rsid w:val="3A0653B0"/>
    <w:rsid w:val="3A076EE7"/>
    <w:rsid w:val="3A094C7A"/>
    <w:rsid w:val="3A0C428D"/>
    <w:rsid w:val="3A0D3443"/>
    <w:rsid w:val="3A1077F4"/>
    <w:rsid w:val="3A117F6D"/>
    <w:rsid w:val="3A127C30"/>
    <w:rsid w:val="3A1439A9"/>
    <w:rsid w:val="3A185382"/>
    <w:rsid w:val="3A217645"/>
    <w:rsid w:val="3A2B0CF2"/>
    <w:rsid w:val="3A2D3C66"/>
    <w:rsid w:val="3A315990"/>
    <w:rsid w:val="3A325BDD"/>
    <w:rsid w:val="3A333CEB"/>
    <w:rsid w:val="3A362026"/>
    <w:rsid w:val="3A3E5B3F"/>
    <w:rsid w:val="3A482F62"/>
    <w:rsid w:val="3A4C4148"/>
    <w:rsid w:val="3A4C5D6C"/>
    <w:rsid w:val="3A4D0C68"/>
    <w:rsid w:val="3A4F678F"/>
    <w:rsid w:val="3A50402F"/>
    <w:rsid w:val="3A623EBF"/>
    <w:rsid w:val="3A63223A"/>
    <w:rsid w:val="3A692AF3"/>
    <w:rsid w:val="3A6C2245"/>
    <w:rsid w:val="3A6C4FE0"/>
    <w:rsid w:val="3A6D4B87"/>
    <w:rsid w:val="3A7D116A"/>
    <w:rsid w:val="3A806A12"/>
    <w:rsid w:val="3A872856"/>
    <w:rsid w:val="3A8B14F8"/>
    <w:rsid w:val="3A910893"/>
    <w:rsid w:val="3A9A3A97"/>
    <w:rsid w:val="3AA06A52"/>
    <w:rsid w:val="3AA47301"/>
    <w:rsid w:val="3AA732DC"/>
    <w:rsid w:val="3AAD4CE3"/>
    <w:rsid w:val="3AAF5ECF"/>
    <w:rsid w:val="3AB0126D"/>
    <w:rsid w:val="3AB2478E"/>
    <w:rsid w:val="3ABB3A50"/>
    <w:rsid w:val="3ABE3914"/>
    <w:rsid w:val="3AC033A3"/>
    <w:rsid w:val="3AC3014C"/>
    <w:rsid w:val="3AC74F0F"/>
    <w:rsid w:val="3ACB1936"/>
    <w:rsid w:val="3AD30833"/>
    <w:rsid w:val="3AD9074E"/>
    <w:rsid w:val="3AE90153"/>
    <w:rsid w:val="3AEB22E5"/>
    <w:rsid w:val="3AEB461C"/>
    <w:rsid w:val="3AED0214"/>
    <w:rsid w:val="3AEF0B26"/>
    <w:rsid w:val="3AFE5C55"/>
    <w:rsid w:val="3B001122"/>
    <w:rsid w:val="3B002481"/>
    <w:rsid w:val="3B005D4D"/>
    <w:rsid w:val="3B0A29DF"/>
    <w:rsid w:val="3B0D2385"/>
    <w:rsid w:val="3B1178D6"/>
    <w:rsid w:val="3B1A19D3"/>
    <w:rsid w:val="3B202742"/>
    <w:rsid w:val="3B251468"/>
    <w:rsid w:val="3B27450D"/>
    <w:rsid w:val="3B2D7FE0"/>
    <w:rsid w:val="3B3763D1"/>
    <w:rsid w:val="3B3B31B7"/>
    <w:rsid w:val="3B3F2CA7"/>
    <w:rsid w:val="3B3F37B8"/>
    <w:rsid w:val="3B44206B"/>
    <w:rsid w:val="3B443337"/>
    <w:rsid w:val="3B4E4357"/>
    <w:rsid w:val="3B4E7D09"/>
    <w:rsid w:val="3B553107"/>
    <w:rsid w:val="3B553596"/>
    <w:rsid w:val="3B581F3D"/>
    <w:rsid w:val="3B5B074D"/>
    <w:rsid w:val="3B5B5607"/>
    <w:rsid w:val="3B5D312D"/>
    <w:rsid w:val="3B631DD1"/>
    <w:rsid w:val="3B6441E2"/>
    <w:rsid w:val="3B644627"/>
    <w:rsid w:val="3B6463A5"/>
    <w:rsid w:val="3B652A23"/>
    <w:rsid w:val="3B6C15C2"/>
    <w:rsid w:val="3B6E0DBB"/>
    <w:rsid w:val="3B721B08"/>
    <w:rsid w:val="3B721C60"/>
    <w:rsid w:val="3B727E08"/>
    <w:rsid w:val="3B732951"/>
    <w:rsid w:val="3B746B95"/>
    <w:rsid w:val="3B7B1291"/>
    <w:rsid w:val="3B800F80"/>
    <w:rsid w:val="3B803CDD"/>
    <w:rsid w:val="3B851BC1"/>
    <w:rsid w:val="3B8F69A1"/>
    <w:rsid w:val="3B913839"/>
    <w:rsid w:val="3B950FA9"/>
    <w:rsid w:val="3B984165"/>
    <w:rsid w:val="3B9C44F4"/>
    <w:rsid w:val="3B9E293B"/>
    <w:rsid w:val="3BA66882"/>
    <w:rsid w:val="3BA76B6D"/>
    <w:rsid w:val="3BAA08EA"/>
    <w:rsid w:val="3BAA420F"/>
    <w:rsid w:val="3BB058F5"/>
    <w:rsid w:val="3BB2010C"/>
    <w:rsid w:val="3BB40838"/>
    <w:rsid w:val="3BB84807"/>
    <w:rsid w:val="3BB92FFD"/>
    <w:rsid w:val="3BBA0580"/>
    <w:rsid w:val="3BBA23D3"/>
    <w:rsid w:val="3BC1546A"/>
    <w:rsid w:val="3BC422A8"/>
    <w:rsid w:val="3BCF1D3E"/>
    <w:rsid w:val="3BD37F8A"/>
    <w:rsid w:val="3BE20803"/>
    <w:rsid w:val="3BF53366"/>
    <w:rsid w:val="3BF821D5"/>
    <w:rsid w:val="3BF866AE"/>
    <w:rsid w:val="3BF95011"/>
    <w:rsid w:val="3C0022B4"/>
    <w:rsid w:val="3C043F5F"/>
    <w:rsid w:val="3C057D36"/>
    <w:rsid w:val="3C0E7321"/>
    <w:rsid w:val="3C110575"/>
    <w:rsid w:val="3C1732DC"/>
    <w:rsid w:val="3C1F22D7"/>
    <w:rsid w:val="3C215330"/>
    <w:rsid w:val="3C25469C"/>
    <w:rsid w:val="3C257432"/>
    <w:rsid w:val="3C2E3FEB"/>
    <w:rsid w:val="3C2F27E4"/>
    <w:rsid w:val="3C2F4A5F"/>
    <w:rsid w:val="3C2F6E1E"/>
    <w:rsid w:val="3C3025F0"/>
    <w:rsid w:val="3C323BEF"/>
    <w:rsid w:val="3C371D72"/>
    <w:rsid w:val="3C3B60CA"/>
    <w:rsid w:val="3C3C7D06"/>
    <w:rsid w:val="3C4147FD"/>
    <w:rsid w:val="3C4A66AA"/>
    <w:rsid w:val="3C4A7875"/>
    <w:rsid w:val="3C4D5F8B"/>
    <w:rsid w:val="3C4F64BA"/>
    <w:rsid w:val="3C51040E"/>
    <w:rsid w:val="3C541FC1"/>
    <w:rsid w:val="3C56625B"/>
    <w:rsid w:val="3C597D99"/>
    <w:rsid w:val="3C5F17D0"/>
    <w:rsid w:val="3C6B2501"/>
    <w:rsid w:val="3C6D1A98"/>
    <w:rsid w:val="3C720398"/>
    <w:rsid w:val="3C73177A"/>
    <w:rsid w:val="3C7A1ABD"/>
    <w:rsid w:val="3C80692F"/>
    <w:rsid w:val="3C8507B0"/>
    <w:rsid w:val="3C862EE8"/>
    <w:rsid w:val="3C873A9F"/>
    <w:rsid w:val="3C8B046F"/>
    <w:rsid w:val="3C8B3C57"/>
    <w:rsid w:val="3C8D3764"/>
    <w:rsid w:val="3C9C72D2"/>
    <w:rsid w:val="3CA1529C"/>
    <w:rsid w:val="3CA60B04"/>
    <w:rsid w:val="3CA8487C"/>
    <w:rsid w:val="3CB21257"/>
    <w:rsid w:val="3CB54E59"/>
    <w:rsid w:val="3CB91B7B"/>
    <w:rsid w:val="3CBD4981"/>
    <w:rsid w:val="3CBD4B4D"/>
    <w:rsid w:val="3CBE5E4E"/>
    <w:rsid w:val="3CBE62EC"/>
    <w:rsid w:val="3CBF6F7B"/>
    <w:rsid w:val="3CC306BB"/>
    <w:rsid w:val="3CC33464"/>
    <w:rsid w:val="3CC37978"/>
    <w:rsid w:val="3CC654A8"/>
    <w:rsid w:val="3CC816A4"/>
    <w:rsid w:val="3CCE552C"/>
    <w:rsid w:val="3CCF06EC"/>
    <w:rsid w:val="3CD242C9"/>
    <w:rsid w:val="3CD42F9B"/>
    <w:rsid w:val="3CD73339"/>
    <w:rsid w:val="3CDA245A"/>
    <w:rsid w:val="3CDC4526"/>
    <w:rsid w:val="3CDE11DD"/>
    <w:rsid w:val="3CE36F49"/>
    <w:rsid w:val="3CE56327"/>
    <w:rsid w:val="3CE564A5"/>
    <w:rsid w:val="3CE8409E"/>
    <w:rsid w:val="3CEA1374"/>
    <w:rsid w:val="3CEA6181"/>
    <w:rsid w:val="3CF01C38"/>
    <w:rsid w:val="3CF418EF"/>
    <w:rsid w:val="3CF63839"/>
    <w:rsid w:val="3CF67D4F"/>
    <w:rsid w:val="3D015547"/>
    <w:rsid w:val="3D0278FE"/>
    <w:rsid w:val="3D0A0C6C"/>
    <w:rsid w:val="3D0B2350"/>
    <w:rsid w:val="3D0E5C36"/>
    <w:rsid w:val="3D0F6FA4"/>
    <w:rsid w:val="3D112421"/>
    <w:rsid w:val="3D121CF5"/>
    <w:rsid w:val="3D136199"/>
    <w:rsid w:val="3D1572C1"/>
    <w:rsid w:val="3D165E0D"/>
    <w:rsid w:val="3D1837B0"/>
    <w:rsid w:val="3D1A4057"/>
    <w:rsid w:val="3D1B01A4"/>
    <w:rsid w:val="3D1E06B7"/>
    <w:rsid w:val="3D1F3A07"/>
    <w:rsid w:val="3D2040C9"/>
    <w:rsid w:val="3D232B0C"/>
    <w:rsid w:val="3D263E9D"/>
    <w:rsid w:val="3D2B29A0"/>
    <w:rsid w:val="3D2E53CB"/>
    <w:rsid w:val="3D3505CA"/>
    <w:rsid w:val="3D393FCE"/>
    <w:rsid w:val="3D396D96"/>
    <w:rsid w:val="3D3A1978"/>
    <w:rsid w:val="3D3B56F0"/>
    <w:rsid w:val="3D4D6C91"/>
    <w:rsid w:val="3D4F0497"/>
    <w:rsid w:val="3D500456"/>
    <w:rsid w:val="3D535B5E"/>
    <w:rsid w:val="3D597924"/>
    <w:rsid w:val="3D5D5666"/>
    <w:rsid w:val="3D600CB3"/>
    <w:rsid w:val="3D602ED2"/>
    <w:rsid w:val="3D611EFF"/>
    <w:rsid w:val="3D6562C9"/>
    <w:rsid w:val="3D66220F"/>
    <w:rsid w:val="3D6D517E"/>
    <w:rsid w:val="3D7B04C5"/>
    <w:rsid w:val="3D7C5D1F"/>
    <w:rsid w:val="3D82464B"/>
    <w:rsid w:val="3D8609F2"/>
    <w:rsid w:val="3D8A5D30"/>
    <w:rsid w:val="3D90279B"/>
    <w:rsid w:val="3D934BB3"/>
    <w:rsid w:val="3D9533ED"/>
    <w:rsid w:val="3D9B25C9"/>
    <w:rsid w:val="3DA0105F"/>
    <w:rsid w:val="3DA04C19"/>
    <w:rsid w:val="3DB86AB8"/>
    <w:rsid w:val="3DB97387"/>
    <w:rsid w:val="3DC01593"/>
    <w:rsid w:val="3DC50286"/>
    <w:rsid w:val="3DCA130F"/>
    <w:rsid w:val="3DDF33E6"/>
    <w:rsid w:val="3DDF59DA"/>
    <w:rsid w:val="3DE20B6C"/>
    <w:rsid w:val="3DF17B5D"/>
    <w:rsid w:val="3DF25C2F"/>
    <w:rsid w:val="3DF3021B"/>
    <w:rsid w:val="3DF344FF"/>
    <w:rsid w:val="3DF77869"/>
    <w:rsid w:val="3DF8029D"/>
    <w:rsid w:val="3DF953A1"/>
    <w:rsid w:val="3DFB0B40"/>
    <w:rsid w:val="3DFC48F9"/>
    <w:rsid w:val="3E0048C8"/>
    <w:rsid w:val="3E030F12"/>
    <w:rsid w:val="3E04134E"/>
    <w:rsid w:val="3E077380"/>
    <w:rsid w:val="3E085567"/>
    <w:rsid w:val="3E110B27"/>
    <w:rsid w:val="3E113B40"/>
    <w:rsid w:val="3E1F2EAE"/>
    <w:rsid w:val="3E224CC7"/>
    <w:rsid w:val="3E2A2A75"/>
    <w:rsid w:val="3E2E0DB1"/>
    <w:rsid w:val="3E2F5206"/>
    <w:rsid w:val="3E3604E3"/>
    <w:rsid w:val="3E3E3A3B"/>
    <w:rsid w:val="3E4147E1"/>
    <w:rsid w:val="3E425548"/>
    <w:rsid w:val="3E467EA9"/>
    <w:rsid w:val="3E511D6D"/>
    <w:rsid w:val="3E5163FC"/>
    <w:rsid w:val="3E5A2628"/>
    <w:rsid w:val="3E5B4125"/>
    <w:rsid w:val="3E5B6677"/>
    <w:rsid w:val="3E5C31AA"/>
    <w:rsid w:val="3E5F0F6A"/>
    <w:rsid w:val="3E66205B"/>
    <w:rsid w:val="3E6B715C"/>
    <w:rsid w:val="3E6C4766"/>
    <w:rsid w:val="3E6C65D8"/>
    <w:rsid w:val="3E752DEE"/>
    <w:rsid w:val="3E771E04"/>
    <w:rsid w:val="3E775493"/>
    <w:rsid w:val="3E7D74C2"/>
    <w:rsid w:val="3E851748"/>
    <w:rsid w:val="3E855DEC"/>
    <w:rsid w:val="3E976229"/>
    <w:rsid w:val="3E9B5DD0"/>
    <w:rsid w:val="3E9D62B4"/>
    <w:rsid w:val="3E9F1272"/>
    <w:rsid w:val="3EAB2402"/>
    <w:rsid w:val="3EB3416F"/>
    <w:rsid w:val="3EB37A9F"/>
    <w:rsid w:val="3EB56AE3"/>
    <w:rsid w:val="3EB63280"/>
    <w:rsid w:val="3EB74ABD"/>
    <w:rsid w:val="3EBB26CC"/>
    <w:rsid w:val="3EBB52C2"/>
    <w:rsid w:val="3EBC710E"/>
    <w:rsid w:val="3EC040FF"/>
    <w:rsid w:val="3EC53FCE"/>
    <w:rsid w:val="3ECB5510"/>
    <w:rsid w:val="3ED67F4E"/>
    <w:rsid w:val="3ED81A1A"/>
    <w:rsid w:val="3EDA0523"/>
    <w:rsid w:val="3EDA2151"/>
    <w:rsid w:val="3EDE311E"/>
    <w:rsid w:val="3EF21DDE"/>
    <w:rsid w:val="3EF50D26"/>
    <w:rsid w:val="3EF80B18"/>
    <w:rsid w:val="3EFA1D37"/>
    <w:rsid w:val="3F001017"/>
    <w:rsid w:val="3F012022"/>
    <w:rsid w:val="3F041D07"/>
    <w:rsid w:val="3F054CCB"/>
    <w:rsid w:val="3F084D3B"/>
    <w:rsid w:val="3F0B34C6"/>
    <w:rsid w:val="3F10731A"/>
    <w:rsid w:val="3F11495A"/>
    <w:rsid w:val="3F145C2D"/>
    <w:rsid w:val="3F1461F9"/>
    <w:rsid w:val="3F1972E8"/>
    <w:rsid w:val="3F1A2276"/>
    <w:rsid w:val="3F267C6F"/>
    <w:rsid w:val="3F277254"/>
    <w:rsid w:val="3F277CDA"/>
    <w:rsid w:val="3F2D363A"/>
    <w:rsid w:val="3F2E142E"/>
    <w:rsid w:val="3F3423F7"/>
    <w:rsid w:val="3F385B7A"/>
    <w:rsid w:val="3F3D179C"/>
    <w:rsid w:val="3F3E521E"/>
    <w:rsid w:val="3F3F0B6E"/>
    <w:rsid w:val="3F3F65D2"/>
    <w:rsid w:val="3F422906"/>
    <w:rsid w:val="3F437A0C"/>
    <w:rsid w:val="3F4C0624"/>
    <w:rsid w:val="3F4F4696"/>
    <w:rsid w:val="3F532C21"/>
    <w:rsid w:val="3F5361A4"/>
    <w:rsid w:val="3F5405B7"/>
    <w:rsid w:val="3F546C9E"/>
    <w:rsid w:val="3F555576"/>
    <w:rsid w:val="3F5731CE"/>
    <w:rsid w:val="3F5C5ED8"/>
    <w:rsid w:val="3F5E2820"/>
    <w:rsid w:val="3F5E58F4"/>
    <w:rsid w:val="3F5F1E91"/>
    <w:rsid w:val="3F623594"/>
    <w:rsid w:val="3F64107A"/>
    <w:rsid w:val="3F6C6325"/>
    <w:rsid w:val="3F6D2D1D"/>
    <w:rsid w:val="3F706359"/>
    <w:rsid w:val="3F80426B"/>
    <w:rsid w:val="3F862599"/>
    <w:rsid w:val="3F8631CB"/>
    <w:rsid w:val="3F866960"/>
    <w:rsid w:val="3F891381"/>
    <w:rsid w:val="3F893E2C"/>
    <w:rsid w:val="3F8A64BB"/>
    <w:rsid w:val="3F8A7B88"/>
    <w:rsid w:val="3F9500F8"/>
    <w:rsid w:val="3F972E18"/>
    <w:rsid w:val="3F9A22A3"/>
    <w:rsid w:val="3F9C0638"/>
    <w:rsid w:val="3FA6019B"/>
    <w:rsid w:val="3FA806EF"/>
    <w:rsid w:val="3FAA5D9E"/>
    <w:rsid w:val="3FB02111"/>
    <w:rsid w:val="3FC96C79"/>
    <w:rsid w:val="3FCB5180"/>
    <w:rsid w:val="3FCE45FA"/>
    <w:rsid w:val="3FCF1C68"/>
    <w:rsid w:val="3FD611C6"/>
    <w:rsid w:val="3FDE4276"/>
    <w:rsid w:val="3FE07E94"/>
    <w:rsid w:val="3FE26E3D"/>
    <w:rsid w:val="3FE92A84"/>
    <w:rsid w:val="3FEB0E6C"/>
    <w:rsid w:val="3FEE0071"/>
    <w:rsid w:val="3FF75026"/>
    <w:rsid w:val="3FFE7446"/>
    <w:rsid w:val="40014B27"/>
    <w:rsid w:val="40044B8D"/>
    <w:rsid w:val="4008422D"/>
    <w:rsid w:val="40100302"/>
    <w:rsid w:val="40104274"/>
    <w:rsid w:val="40124542"/>
    <w:rsid w:val="401A643A"/>
    <w:rsid w:val="40212DC1"/>
    <w:rsid w:val="40267E17"/>
    <w:rsid w:val="40297A84"/>
    <w:rsid w:val="402A14D2"/>
    <w:rsid w:val="402A6E03"/>
    <w:rsid w:val="402C69EA"/>
    <w:rsid w:val="402D37EB"/>
    <w:rsid w:val="403572B3"/>
    <w:rsid w:val="404B17A6"/>
    <w:rsid w:val="40501F93"/>
    <w:rsid w:val="40503261"/>
    <w:rsid w:val="40550BD3"/>
    <w:rsid w:val="40555BBD"/>
    <w:rsid w:val="40561877"/>
    <w:rsid w:val="4059782F"/>
    <w:rsid w:val="405C1C05"/>
    <w:rsid w:val="405F1454"/>
    <w:rsid w:val="405F6A12"/>
    <w:rsid w:val="40616CC1"/>
    <w:rsid w:val="40694333"/>
    <w:rsid w:val="406C29F5"/>
    <w:rsid w:val="406E0974"/>
    <w:rsid w:val="40712CC9"/>
    <w:rsid w:val="40750F19"/>
    <w:rsid w:val="407A6407"/>
    <w:rsid w:val="407A6BCA"/>
    <w:rsid w:val="407C7085"/>
    <w:rsid w:val="40820222"/>
    <w:rsid w:val="40842F0A"/>
    <w:rsid w:val="40844CB8"/>
    <w:rsid w:val="408E5694"/>
    <w:rsid w:val="40906F6D"/>
    <w:rsid w:val="40943F1D"/>
    <w:rsid w:val="409757FE"/>
    <w:rsid w:val="4099122F"/>
    <w:rsid w:val="409D2D79"/>
    <w:rsid w:val="40AD06B3"/>
    <w:rsid w:val="40B0535B"/>
    <w:rsid w:val="40B30123"/>
    <w:rsid w:val="40B732E0"/>
    <w:rsid w:val="40BC6B48"/>
    <w:rsid w:val="40C32056"/>
    <w:rsid w:val="40C94DC1"/>
    <w:rsid w:val="40CA3013"/>
    <w:rsid w:val="40CB1D5D"/>
    <w:rsid w:val="40CD6D36"/>
    <w:rsid w:val="40D21603"/>
    <w:rsid w:val="40D43E92"/>
    <w:rsid w:val="40D72A44"/>
    <w:rsid w:val="40D85363"/>
    <w:rsid w:val="40E1591A"/>
    <w:rsid w:val="40E32289"/>
    <w:rsid w:val="40EA11C7"/>
    <w:rsid w:val="40EA5463"/>
    <w:rsid w:val="40EF5E8D"/>
    <w:rsid w:val="40F0234E"/>
    <w:rsid w:val="40F260C6"/>
    <w:rsid w:val="40F52C6A"/>
    <w:rsid w:val="40FA41E2"/>
    <w:rsid w:val="40FC2433"/>
    <w:rsid w:val="40FE0F0E"/>
    <w:rsid w:val="41016309"/>
    <w:rsid w:val="410269FE"/>
    <w:rsid w:val="4105176D"/>
    <w:rsid w:val="41155A66"/>
    <w:rsid w:val="41175384"/>
    <w:rsid w:val="41225D3C"/>
    <w:rsid w:val="41240792"/>
    <w:rsid w:val="413305A4"/>
    <w:rsid w:val="4133737D"/>
    <w:rsid w:val="4136669C"/>
    <w:rsid w:val="41366EAC"/>
    <w:rsid w:val="41373AF4"/>
    <w:rsid w:val="41481446"/>
    <w:rsid w:val="414C3A28"/>
    <w:rsid w:val="41551AF3"/>
    <w:rsid w:val="415A3828"/>
    <w:rsid w:val="41622767"/>
    <w:rsid w:val="41622A2C"/>
    <w:rsid w:val="41627B5C"/>
    <w:rsid w:val="41740D0B"/>
    <w:rsid w:val="4176677D"/>
    <w:rsid w:val="41790595"/>
    <w:rsid w:val="417B45A6"/>
    <w:rsid w:val="417D0B9D"/>
    <w:rsid w:val="41967E9B"/>
    <w:rsid w:val="41970751"/>
    <w:rsid w:val="419E1A9B"/>
    <w:rsid w:val="41A87DD8"/>
    <w:rsid w:val="41B05078"/>
    <w:rsid w:val="41B24A17"/>
    <w:rsid w:val="41B261ED"/>
    <w:rsid w:val="41BF069E"/>
    <w:rsid w:val="41C2018E"/>
    <w:rsid w:val="41C5004C"/>
    <w:rsid w:val="41C6074D"/>
    <w:rsid w:val="41C77552"/>
    <w:rsid w:val="41CF145D"/>
    <w:rsid w:val="41D42396"/>
    <w:rsid w:val="41DC76FF"/>
    <w:rsid w:val="41E41EB2"/>
    <w:rsid w:val="41E719A3"/>
    <w:rsid w:val="41F00239"/>
    <w:rsid w:val="41F93484"/>
    <w:rsid w:val="41FA7EA6"/>
    <w:rsid w:val="41FB323E"/>
    <w:rsid w:val="41FD2A7F"/>
    <w:rsid w:val="41FF69F6"/>
    <w:rsid w:val="4200449D"/>
    <w:rsid w:val="4201431E"/>
    <w:rsid w:val="42093C01"/>
    <w:rsid w:val="42097EFD"/>
    <w:rsid w:val="420D0CC2"/>
    <w:rsid w:val="420D3C55"/>
    <w:rsid w:val="420D7813"/>
    <w:rsid w:val="42116A20"/>
    <w:rsid w:val="4212328D"/>
    <w:rsid w:val="42156510"/>
    <w:rsid w:val="42163AFD"/>
    <w:rsid w:val="422B32F5"/>
    <w:rsid w:val="422D125F"/>
    <w:rsid w:val="42303106"/>
    <w:rsid w:val="4230334A"/>
    <w:rsid w:val="42310E70"/>
    <w:rsid w:val="42314F40"/>
    <w:rsid w:val="423A03D4"/>
    <w:rsid w:val="423A3BCC"/>
    <w:rsid w:val="423D0684"/>
    <w:rsid w:val="423F0BC9"/>
    <w:rsid w:val="42493C4E"/>
    <w:rsid w:val="424D7CC1"/>
    <w:rsid w:val="424E1701"/>
    <w:rsid w:val="424E57D2"/>
    <w:rsid w:val="425762FF"/>
    <w:rsid w:val="425B27BE"/>
    <w:rsid w:val="426107B0"/>
    <w:rsid w:val="42644243"/>
    <w:rsid w:val="426F5CF8"/>
    <w:rsid w:val="427B6F31"/>
    <w:rsid w:val="4282551A"/>
    <w:rsid w:val="428471F1"/>
    <w:rsid w:val="42856D2B"/>
    <w:rsid w:val="428C03DF"/>
    <w:rsid w:val="42974E32"/>
    <w:rsid w:val="429815D4"/>
    <w:rsid w:val="42A11B51"/>
    <w:rsid w:val="42A208DB"/>
    <w:rsid w:val="42A77C16"/>
    <w:rsid w:val="42AD6748"/>
    <w:rsid w:val="42B018A9"/>
    <w:rsid w:val="42B04A3A"/>
    <w:rsid w:val="42B21FB1"/>
    <w:rsid w:val="42B26C49"/>
    <w:rsid w:val="42B96FF7"/>
    <w:rsid w:val="42BC6B34"/>
    <w:rsid w:val="42BD50D6"/>
    <w:rsid w:val="42C83582"/>
    <w:rsid w:val="42C910A8"/>
    <w:rsid w:val="42C972FA"/>
    <w:rsid w:val="42CF1C80"/>
    <w:rsid w:val="42D00689"/>
    <w:rsid w:val="42D104D4"/>
    <w:rsid w:val="42D87FC3"/>
    <w:rsid w:val="42DA36B2"/>
    <w:rsid w:val="42EE55A3"/>
    <w:rsid w:val="42F67E64"/>
    <w:rsid w:val="42FA3E0A"/>
    <w:rsid w:val="4304679C"/>
    <w:rsid w:val="43192030"/>
    <w:rsid w:val="431B3F09"/>
    <w:rsid w:val="431E52AE"/>
    <w:rsid w:val="432032D1"/>
    <w:rsid w:val="43234C5C"/>
    <w:rsid w:val="432709E8"/>
    <w:rsid w:val="43294C5D"/>
    <w:rsid w:val="432F5FBD"/>
    <w:rsid w:val="43333348"/>
    <w:rsid w:val="43367793"/>
    <w:rsid w:val="433A05B9"/>
    <w:rsid w:val="433A6FE6"/>
    <w:rsid w:val="433C7ACC"/>
    <w:rsid w:val="43480868"/>
    <w:rsid w:val="434835A0"/>
    <w:rsid w:val="434966C0"/>
    <w:rsid w:val="434E6E35"/>
    <w:rsid w:val="434F3FDE"/>
    <w:rsid w:val="4350713C"/>
    <w:rsid w:val="43511E32"/>
    <w:rsid w:val="435766B4"/>
    <w:rsid w:val="435A6DDA"/>
    <w:rsid w:val="435E0E0D"/>
    <w:rsid w:val="436024CC"/>
    <w:rsid w:val="436653E0"/>
    <w:rsid w:val="43670FED"/>
    <w:rsid w:val="436A2FA4"/>
    <w:rsid w:val="436C73A3"/>
    <w:rsid w:val="436E4A05"/>
    <w:rsid w:val="436F1C50"/>
    <w:rsid w:val="43702C5E"/>
    <w:rsid w:val="437454B8"/>
    <w:rsid w:val="437803B3"/>
    <w:rsid w:val="438A0A08"/>
    <w:rsid w:val="438C697A"/>
    <w:rsid w:val="4392392C"/>
    <w:rsid w:val="439275D8"/>
    <w:rsid w:val="439A228C"/>
    <w:rsid w:val="439C52E2"/>
    <w:rsid w:val="439D53B3"/>
    <w:rsid w:val="439F4D31"/>
    <w:rsid w:val="43A00970"/>
    <w:rsid w:val="43A23DD3"/>
    <w:rsid w:val="43AD736A"/>
    <w:rsid w:val="43B56765"/>
    <w:rsid w:val="43B65AD0"/>
    <w:rsid w:val="43BD6C06"/>
    <w:rsid w:val="43C4431A"/>
    <w:rsid w:val="43C45897"/>
    <w:rsid w:val="43C711FC"/>
    <w:rsid w:val="43CE7A46"/>
    <w:rsid w:val="43D64398"/>
    <w:rsid w:val="43D85A47"/>
    <w:rsid w:val="43DD305D"/>
    <w:rsid w:val="43E175C6"/>
    <w:rsid w:val="43E265FF"/>
    <w:rsid w:val="43E268C5"/>
    <w:rsid w:val="43EB73C6"/>
    <w:rsid w:val="43EC31D6"/>
    <w:rsid w:val="43F67107"/>
    <w:rsid w:val="43F825A4"/>
    <w:rsid w:val="43F87E97"/>
    <w:rsid w:val="43F931E5"/>
    <w:rsid w:val="43F96DC0"/>
    <w:rsid w:val="43FE3E70"/>
    <w:rsid w:val="44064256"/>
    <w:rsid w:val="440C39DF"/>
    <w:rsid w:val="440E3217"/>
    <w:rsid w:val="44110CDB"/>
    <w:rsid w:val="441322FB"/>
    <w:rsid w:val="44184095"/>
    <w:rsid w:val="441F28BF"/>
    <w:rsid w:val="4420119C"/>
    <w:rsid w:val="442347E8"/>
    <w:rsid w:val="442758DB"/>
    <w:rsid w:val="442775F0"/>
    <w:rsid w:val="442B5A64"/>
    <w:rsid w:val="442C7F02"/>
    <w:rsid w:val="442E1B0B"/>
    <w:rsid w:val="44373497"/>
    <w:rsid w:val="4439149B"/>
    <w:rsid w:val="443A1F8B"/>
    <w:rsid w:val="44410FCF"/>
    <w:rsid w:val="444A53AB"/>
    <w:rsid w:val="444A7FC7"/>
    <w:rsid w:val="444E3F5B"/>
    <w:rsid w:val="44560643"/>
    <w:rsid w:val="445A46AE"/>
    <w:rsid w:val="445A5A0E"/>
    <w:rsid w:val="445D0E39"/>
    <w:rsid w:val="4466583F"/>
    <w:rsid w:val="446675A4"/>
    <w:rsid w:val="446C7623"/>
    <w:rsid w:val="446D4D0C"/>
    <w:rsid w:val="44743D1C"/>
    <w:rsid w:val="44745F3C"/>
    <w:rsid w:val="44754EFB"/>
    <w:rsid w:val="447D039C"/>
    <w:rsid w:val="447D0F6A"/>
    <w:rsid w:val="447D214A"/>
    <w:rsid w:val="447E4EDC"/>
    <w:rsid w:val="448E19FE"/>
    <w:rsid w:val="448E7A2D"/>
    <w:rsid w:val="448F7C17"/>
    <w:rsid w:val="44A02E59"/>
    <w:rsid w:val="44A17928"/>
    <w:rsid w:val="44A253F0"/>
    <w:rsid w:val="44A27E03"/>
    <w:rsid w:val="44A67D7C"/>
    <w:rsid w:val="44AD1F31"/>
    <w:rsid w:val="44B244EA"/>
    <w:rsid w:val="44B76015"/>
    <w:rsid w:val="44B951CC"/>
    <w:rsid w:val="44BC12AB"/>
    <w:rsid w:val="44BE1330"/>
    <w:rsid w:val="44C068D3"/>
    <w:rsid w:val="44C32A2A"/>
    <w:rsid w:val="44C571BC"/>
    <w:rsid w:val="44C67F95"/>
    <w:rsid w:val="44C8360F"/>
    <w:rsid w:val="44C9538F"/>
    <w:rsid w:val="44CD14E0"/>
    <w:rsid w:val="44D20CFC"/>
    <w:rsid w:val="44D55FC9"/>
    <w:rsid w:val="44D911FA"/>
    <w:rsid w:val="44DB495D"/>
    <w:rsid w:val="44E05E57"/>
    <w:rsid w:val="44E31DA9"/>
    <w:rsid w:val="44EA1F8F"/>
    <w:rsid w:val="44F01980"/>
    <w:rsid w:val="44F20B0B"/>
    <w:rsid w:val="44F248E6"/>
    <w:rsid w:val="44F37211"/>
    <w:rsid w:val="44F653E2"/>
    <w:rsid w:val="44F94595"/>
    <w:rsid w:val="44FA2697"/>
    <w:rsid w:val="45006282"/>
    <w:rsid w:val="45047428"/>
    <w:rsid w:val="45070E29"/>
    <w:rsid w:val="450A3F85"/>
    <w:rsid w:val="451505D5"/>
    <w:rsid w:val="45154338"/>
    <w:rsid w:val="451B67BC"/>
    <w:rsid w:val="451E56DB"/>
    <w:rsid w:val="451E6B63"/>
    <w:rsid w:val="45232576"/>
    <w:rsid w:val="45232CF2"/>
    <w:rsid w:val="4524790E"/>
    <w:rsid w:val="45273740"/>
    <w:rsid w:val="452D591E"/>
    <w:rsid w:val="452E5F4C"/>
    <w:rsid w:val="4531764A"/>
    <w:rsid w:val="45322F35"/>
    <w:rsid w:val="45365BC3"/>
    <w:rsid w:val="4538181C"/>
    <w:rsid w:val="453C3DB3"/>
    <w:rsid w:val="453E3FCF"/>
    <w:rsid w:val="4549656F"/>
    <w:rsid w:val="45506952"/>
    <w:rsid w:val="45541CEF"/>
    <w:rsid w:val="45554336"/>
    <w:rsid w:val="45555217"/>
    <w:rsid w:val="45575091"/>
    <w:rsid w:val="45595EBE"/>
    <w:rsid w:val="455B4444"/>
    <w:rsid w:val="45612018"/>
    <w:rsid w:val="4561381A"/>
    <w:rsid w:val="45621EC7"/>
    <w:rsid w:val="45626AE7"/>
    <w:rsid w:val="4564320C"/>
    <w:rsid w:val="456A4E14"/>
    <w:rsid w:val="456D0519"/>
    <w:rsid w:val="456F05B2"/>
    <w:rsid w:val="4572353C"/>
    <w:rsid w:val="45725CA8"/>
    <w:rsid w:val="457533C8"/>
    <w:rsid w:val="457C4AF8"/>
    <w:rsid w:val="45831B69"/>
    <w:rsid w:val="458447A8"/>
    <w:rsid w:val="458710D4"/>
    <w:rsid w:val="458946E9"/>
    <w:rsid w:val="458D215D"/>
    <w:rsid w:val="4592194D"/>
    <w:rsid w:val="45921C25"/>
    <w:rsid w:val="45996E45"/>
    <w:rsid w:val="459B3E78"/>
    <w:rsid w:val="459B54C7"/>
    <w:rsid w:val="459D36E4"/>
    <w:rsid w:val="45A44BCB"/>
    <w:rsid w:val="45A47C0E"/>
    <w:rsid w:val="45AA1B9F"/>
    <w:rsid w:val="45AC29A6"/>
    <w:rsid w:val="45AD4815"/>
    <w:rsid w:val="45C37C0A"/>
    <w:rsid w:val="45C640A0"/>
    <w:rsid w:val="45C83899"/>
    <w:rsid w:val="45CC15DB"/>
    <w:rsid w:val="45CD3EE2"/>
    <w:rsid w:val="45D14C98"/>
    <w:rsid w:val="45D63573"/>
    <w:rsid w:val="45D7640D"/>
    <w:rsid w:val="45E677D2"/>
    <w:rsid w:val="45E83F3B"/>
    <w:rsid w:val="45E8503A"/>
    <w:rsid w:val="45F01FE7"/>
    <w:rsid w:val="45F4304A"/>
    <w:rsid w:val="45F96F2A"/>
    <w:rsid w:val="46004DE1"/>
    <w:rsid w:val="46026DAB"/>
    <w:rsid w:val="46067834"/>
    <w:rsid w:val="460B1CDA"/>
    <w:rsid w:val="460C51BB"/>
    <w:rsid w:val="4610604E"/>
    <w:rsid w:val="461067B3"/>
    <w:rsid w:val="46217045"/>
    <w:rsid w:val="462627B9"/>
    <w:rsid w:val="46263EBC"/>
    <w:rsid w:val="462A5E47"/>
    <w:rsid w:val="462B0FC3"/>
    <w:rsid w:val="462B528A"/>
    <w:rsid w:val="46327619"/>
    <w:rsid w:val="46386C71"/>
    <w:rsid w:val="463903C0"/>
    <w:rsid w:val="46391045"/>
    <w:rsid w:val="463E7AEC"/>
    <w:rsid w:val="464428BE"/>
    <w:rsid w:val="46445D3B"/>
    <w:rsid w:val="46455E1C"/>
    <w:rsid w:val="4646138E"/>
    <w:rsid w:val="464907A7"/>
    <w:rsid w:val="46494A15"/>
    <w:rsid w:val="464E066E"/>
    <w:rsid w:val="4651096A"/>
    <w:rsid w:val="4655795D"/>
    <w:rsid w:val="46577FD6"/>
    <w:rsid w:val="465807D8"/>
    <w:rsid w:val="46584F9B"/>
    <w:rsid w:val="465A0393"/>
    <w:rsid w:val="465A2475"/>
    <w:rsid w:val="465D397A"/>
    <w:rsid w:val="466955DD"/>
    <w:rsid w:val="466F1628"/>
    <w:rsid w:val="46700B12"/>
    <w:rsid w:val="46762C97"/>
    <w:rsid w:val="46764E21"/>
    <w:rsid w:val="46765FC9"/>
    <w:rsid w:val="46774AB6"/>
    <w:rsid w:val="467D0B27"/>
    <w:rsid w:val="467D3146"/>
    <w:rsid w:val="46811CC3"/>
    <w:rsid w:val="4683266F"/>
    <w:rsid w:val="46853538"/>
    <w:rsid w:val="4686461C"/>
    <w:rsid w:val="468C48C7"/>
    <w:rsid w:val="468C65F9"/>
    <w:rsid w:val="468E063F"/>
    <w:rsid w:val="468E442A"/>
    <w:rsid w:val="469043B7"/>
    <w:rsid w:val="46954A40"/>
    <w:rsid w:val="469612B2"/>
    <w:rsid w:val="469F284C"/>
    <w:rsid w:val="469F2EBC"/>
    <w:rsid w:val="46A00F03"/>
    <w:rsid w:val="46A16CA0"/>
    <w:rsid w:val="46A2058E"/>
    <w:rsid w:val="46B31FC0"/>
    <w:rsid w:val="46B42EB9"/>
    <w:rsid w:val="46B57DA9"/>
    <w:rsid w:val="46B75DE7"/>
    <w:rsid w:val="46BC1650"/>
    <w:rsid w:val="46C34640"/>
    <w:rsid w:val="46C55F82"/>
    <w:rsid w:val="46C8216E"/>
    <w:rsid w:val="46C97984"/>
    <w:rsid w:val="46D955A7"/>
    <w:rsid w:val="46DC4DDA"/>
    <w:rsid w:val="46DD15C6"/>
    <w:rsid w:val="46EC22D2"/>
    <w:rsid w:val="46EE10DD"/>
    <w:rsid w:val="46F000D2"/>
    <w:rsid w:val="46F01CD0"/>
    <w:rsid w:val="46F134AF"/>
    <w:rsid w:val="46F20173"/>
    <w:rsid w:val="46F436F8"/>
    <w:rsid w:val="46F82B76"/>
    <w:rsid w:val="46F87BA3"/>
    <w:rsid w:val="470040A7"/>
    <w:rsid w:val="470062EB"/>
    <w:rsid w:val="47133957"/>
    <w:rsid w:val="471548BC"/>
    <w:rsid w:val="471E5E67"/>
    <w:rsid w:val="47211164"/>
    <w:rsid w:val="472163E3"/>
    <w:rsid w:val="47273D2D"/>
    <w:rsid w:val="472745EF"/>
    <w:rsid w:val="472B10F1"/>
    <w:rsid w:val="472C207C"/>
    <w:rsid w:val="47394F80"/>
    <w:rsid w:val="474B212E"/>
    <w:rsid w:val="474F04EB"/>
    <w:rsid w:val="47503F74"/>
    <w:rsid w:val="47582599"/>
    <w:rsid w:val="47662095"/>
    <w:rsid w:val="4767007B"/>
    <w:rsid w:val="476F34A7"/>
    <w:rsid w:val="47723C16"/>
    <w:rsid w:val="47746644"/>
    <w:rsid w:val="47767A51"/>
    <w:rsid w:val="47775577"/>
    <w:rsid w:val="47781445"/>
    <w:rsid w:val="477929B9"/>
    <w:rsid w:val="47873DC1"/>
    <w:rsid w:val="478A4C34"/>
    <w:rsid w:val="47925A81"/>
    <w:rsid w:val="479F062A"/>
    <w:rsid w:val="47A07E0C"/>
    <w:rsid w:val="47AB1931"/>
    <w:rsid w:val="47B306CD"/>
    <w:rsid w:val="47B73BC5"/>
    <w:rsid w:val="47C55D75"/>
    <w:rsid w:val="47C6205A"/>
    <w:rsid w:val="47CD33E9"/>
    <w:rsid w:val="47CF7161"/>
    <w:rsid w:val="47D11F54"/>
    <w:rsid w:val="47D13B2B"/>
    <w:rsid w:val="47D70EE9"/>
    <w:rsid w:val="47D75C7C"/>
    <w:rsid w:val="47D76015"/>
    <w:rsid w:val="47D7753E"/>
    <w:rsid w:val="47D85B0A"/>
    <w:rsid w:val="47E32C0C"/>
    <w:rsid w:val="47E477EE"/>
    <w:rsid w:val="47EA3F9B"/>
    <w:rsid w:val="47F03C3D"/>
    <w:rsid w:val="47F17C08"/>
    <w:rsid w:val="47F228FA"/>
    <w:rsid w:val="47F73CB8"/>
    <w:rsid w:val="47F941DE"/>
    <w:rsid w:val="47FC4520"/>
    <w:rsid w:val="47FE17F4"/>
    <w:rsid w:val="47FF2F92"/>
    <w:rsid w:val="48027536"/>
    <w:rsid w:val="4804287D"/>
    <w:rsid w:val="48080428"/>
    <w:rsid w:val="480979A1"/>
    <w:rsid w:val="480A2ECC"/>
    <w:rsid w:val="480F57AF"/>
    <w:rsid w:val="4814405E"/>
    <w:rsid w:val="48165432"/>
    <w:rsid w:val="481807CA"/>
    <w:rsid w:val="481C5878"/>
    <w:rsid w:val="48214AC9"/>
    <w:rsid w:val="48254FD3"/>
    <w:rsid w:val="482B3A59"/>
    <w:rsid w:val="482C2532"/>
    <w:rsid w:val="482E606C"/>
    <w:rsid w:val="483277FC"/>
    <w:rsid w:val="48341FFC"/>
    <w:rsid w:val="4838399B"/>
    <w:rsid w:val="48386B72"/>
    <w:rsid w:val="483A1DC6"/>
    <w:rsid w:val="483D4978"/>
    <w:rsid w:val="484557A9"/>
    <w:rsid w:val="484729D7"/>
    <w:rsid w:val="4847319B"/>
    <w:rsid w:val="484C255F"/>
    <w:rsid w:val="484E36C4"/>
    <w:rsid w:val="484E4529"/>
    <w:rsid w:val="48520F6B"/>
    <w:rsid w:val="48543346"/>
    <w:rsid w:val="48561ACF"/>
    <w:rsid w:val="48576D2C"/>
    <w:rsid w:val="485943CF"/>
    <w:rsid w:val="485E00A8"/>
    <w:rsid w:val="485E04E5"/>
    <w:rsid w:val="48653621"/>
    <w:rsid w:val="48687666"/>
    <w:rsid w:val="486929BF"/>
    <w:rsid w:val="486C3576"/>
    <w:rsid w:val="4870272E"/>
    <w:rsid w:val="487220E9"/>
    <w:rsid w:val="48755A36"/>
    <w:rsid w:val="4879615C"/>
    <w:rsid w:val="48931F3C"/>
    <w:rsid w:val="489609D6"/>
    <w:rsid w:val="489B2281"/>
    <w:rsid w:val="489B7B05"/>
    <w:rsid w:val="489D1070"/>
    <w:rsid w:val="489D7E80"/>
    <w:rsid w:val="48A3409D"/>
    <w:rsid w:val="48A44149"/>
    <w:rsid w:val="48A6370F"/>
    <w:rsid w:val="48AB7A98"/>
    <w:rsid w:val="48AE4FC8"/>
    <w:rsid w:val="48B0090B"/>
    <w:rsid w:val="48B00E0E"/>
    <w:rsid w:val="48B9571B"/>
    <w:rsid w:val="48C5218E"/>
    <w:rsid w:val="48C72789"/>
    <w:rsid w:val="48CB77C4"/>
    <w:rsid w:val="48CC7D73"/>
    <w:rsid w:val="48D365B9"/>
    <w:rsid w:val="48DD1CF7"/>
    <w:rsid w:val="48E21116"/>
    <w:rsid w:val="48E54126"/>
    <w:rsid w:val="48EE1ABB"/>
    <w:rsid w:val="48F1686D"/>
    <w:rsid w:val="48F55494"/>
    <w:rsid w:val="48FC21D7"/>
    <w:rsid w:val="4902013C"/>
    <w:rsid w:val="49025F37"/>
    <w:rsid w:val="490304CA"/>
    <w:rsid w:val="49036271"/>
    <w:rsid w:val="490758F4"/>
    <w:rsid w:val="490948F4"/>
    <w:rsid w:val="490C7F41"/>
    <w:rsid w:val="490F3033"/>
    <w:rsid w:val="49100224"/>
    <w:rsid w:val="491868E5"/>
    <w:rsid w:val="491A6126"/>
    <w:rsid w:val="491D057B"/>
    <w:rsid w:val="49240AEB"/>
    <w:rsid w:val="49295FC3"/>
    <w:rsid w:val="492E3AAE"/>
    <w:rsid w:val="493106FD"/>
    <w:rsid w:val="493374DF"/>
    <w:rsid w:val="4934430A"/>
    <w:rsid w:val="49350B41"/>
    <w:rsid w:val="493661E4"/>
    <w:rsid w:val="49375399"/>
    <w:rsid w:val="49386D91"/>
    <w:rsid w:val="49397293"/>
    <w:rsid w:val="493C02E2"/>
    <w:rsid w:val="493F0316"/>
    <w:rsid w:val="493F251F"/>
    <w:rsid w:val="49404F92"/>
    <w:rsid w:val="49414C73"/>
    <w:rsid w:val="49425522"/>
    <w:rsid w:val="49452AAF"/>
    <w:rsid w:val="49543DC1"/>
    <w:rsid w:val="49560255"/>
    <w:rsid w:val="49560676"/>
    <w:rsid w:val="49561A15"/>
    <w:rsid w:val="4967268A"/>
    <w:rsid w:val="496B2A81"/>
    <w:rsid w:val="497210E7"/>
    <w:rsid w:val="497415F5"/>
    <w:rsid w:val="497576BC"/>
    <w:rsid w:val="49765D7F"/>
    <w:rsid w:val="49784DF4"/>
    <w:rsid w:val="497F0DB4"/>
    <w:rsid w:val="498040FC"/>
    <w:rsid w:val="49840A11"/>
    <w:rsid w:val="498C5137"/>
    <w:rsid w:val="49976474"/>
    <w:rsid w:val="499D1BE7"/>
    <w:rsid w:val="499E16E7"/>
    <w:rsid w:val="49A51CA2"/>
    <w:rsid w:val="49A57399"/>
    <w:rsid w:val="49AA24D9"/>
    <w:rsid w:val="49AC029F"/>
    <w:rsid w:val="49AC79AB"/>
    <w:rsid w:val="49B37CB4"/>
    <w:rsid w:val="49B84D29"/>
    <w:rsid w:val="49BB15CB"/>
    <w:rsid w:val="49BE123B"/>
    <w:rsid w:val="49CC57B7"/>
    <w:rsid w:val="49CD421B"/>
    <w:rsid w:val="49CE055E"/>
    <w:rsid w:val="49CE1635"/>
    <w:rsid w:val="49CE1FA6"/>
    <w:rsid w:val="49D04453"/>
    <w:rsid w:val="49D10A90"/>
    <w:rsid w:val="49D141E4"/>
    <w:rsid w:val="49D47E8F"/>
    <w:rsid w:val="49DC7715"/>
    <w:rsid w:val="49E1317B"/>
    <w:rsid w:val="49E310FD"/>
    <w:rsid w:val="49E50EBD"/>
    <w:rsid w:val="49E754E6"/>
    <w:rsid w:val="49EE0845"/>
    <w:rsid w:val="49F20EE5"/>
    <w:rsid w:val="49F23325"/>
    <w:rsid w:val="49F52373"/>
    <w:rsid w:val="49FA7040"/>
    <w:rsid w:val="49FB248F"/>
    <w:rsid w:val="4A023139"/>
    <w:rsid w:val="4A027D4B"/>
    <w:rsid w:val="4A050C18"/>
    <w:rsid w:val="4A07593F"/>
    <w:rsid w:val="4A095BA4"/>
    <w:rsid w:val="4A0B01F8"/>
    <w:rsid w:val="4A0D5E4D"/>
    <w:rsid w:val="4A0F3E6E"/>
    <w:rsid w:val="4A1452FF"/>
    <w:rsid w:val="4A1B39BA"/>
    <w:rsid w:val="4A1E70E4"/>
    <w:rsid w:val="4A1E7C11"/>
    <w:rsid w:val="4A236C85"/>
    <w:rsid w:val="4A2559FA"/>
    <w:rsid w:val="4A31014D"/>
    <w:rsid w:val="4A317F49"/>
    <w:rsid w:val="4A323A22"/>
    <w:rsid w:val="4A325785"/>
    <w:rsid w:val="4A374F69"/>
    <w:rsid w:val="4A3E09FC"/>
    <w:rsid w:val="4A412D97"/>
    <w:rsid w:val="4A4462FA"/>
    <w:rsid w:val="4A454AFD"/>
    <w:rsid w:val="4A47683B"/>
    <w:rsid w:val="4A4C043D"/>
    <w:rsid w:val="4A520B06"/>
    <w:rsid w:val="4A5439B4"/>
    <w:rsid w:val="4A591653"/>
    <w:rsid w:val="4A633B90"/>
    <w:rsid w:val="4A6717D5"/>
    <w:rsid w:val="4A730A98"/>
    <w:rsid w:val="4A774553"/>
    <w:rsid w:val="4A7A7858"/>
    <w:rsid w:val="4A7B576F"/>
    <w:rsid w:val="4A8C1339"/>
    <w:rsid w:val="4A8D0DC3"/>
    <w:rsid w:val="4A8D3941"/>
    <w:rsid w:val="4A9A631A"/>
    <w:rsid w:val="4A9F0D25"/>
    <w:rsid w:val="4A9F72BE"/>
    <w:rsid w:val="4AA010F7"/>
    <w:rsid w:val="4AA13EFB"/>
    <w:rsid w:val="4AA46683"/>
    <w:rsid w:val="4AA50EBA"/>
    <w:rsid w:val="4AA766A5"/>
    <w:rsid w:val="4AAB55FC"/>
    <w:rsid w:val="4AAF6DD6"/>
    <w:rsid w:val="4ABA6BC1"/>
    <w:rsid w:val="4ABB7EF0"/>
    <w:rsid w:val="4AC565F9"/>
    <w:rsid w:val="4AC75EBD"/>
    <w:rsid w:val="4ACA72FB"/>
    <w:rsid w:val="4ACE72BD"/>
    <w:rsid w:val="4ADF2230"/>
    <w:rsid w:val="4AE304BB"/>
    <w:rsid w:val="4AE43758"/>
    <w:rsid w:val="4AE922E8"/>
    <w:rsid w:val="4AF44F71"/>
    <w:rsid w:val="4AF561A9"/>
    <w:rsid w:val="4AF823C5"/>
    <w:rsid w:val="4B0013A3"/>
    <w:rsid w:val="4B060CD3"/>
    <w:rsid w:val="4B08477A"/>
    <w:rsid w:val="4B0C5FD6"/>
    <w:rsid w:val="4B0E3534"/>
    <w:rsid w:val="4B1046B6"/>
    <w:rsid w:val="4B1E2A0A"/>
    <w:rsid w:val="4B1E432D"/>
    <w:rsid w:val="4B1F7293"/>
    <w:rsid w:val="4B217CD3"/>
    <w:rsid w:val="4B2E419E"/>
    <w:rsid w:val="4B3026A8"/>
    <w:rsid w:val="4B3C4B0D"/>
    <w:rsid w:val="4B3F1AAE"/>
    <w:rsid w:val="4B4008AD"/>
    <w:rsid w:val="4B41541A"/>
    <w:rsid w:val="4B524331"/>
    <w:rsid w:val="4B55797D"/>
    <w:rsid w:val="4B5A2235"/>
    <w:rsid w:val="4B5A25F7"/>
    <w:rsid w:val="4B5B663F"/>
    <w:rsid w:val="4B5C1D01"/>
    <w:rsid w:val="4B5C2B84"/>
    <w:rsid w:val="4B612045"/>
    <w:rsid w:val="4B663938"/>
    <w:rsid w:val="4B6A105C"/>
    <w:rsid w:val="4B72052F"/>
    <w:rsid w:val="4B7A5D2B"/>
    <w:rsid w:val="4B831A3D"/>
    <w:rsid w:val="4B8C571D"/>
    <w:rsid w:val="4B8E2E8F"/>
    <w:rsid w:val="4B92670A"/>
    <w:rsid w:val="4B994E68"/>
    <w:rsid w:val="4B9B594A"/>
    <w:rsid w:val="4BA242B4"/>
    <w:rsid w:val="4BB016BF"/>
    <w:rsid w:val="4BBD0446"/>
    <w:rsid w:val="4BBD606D"/>
    <w:rsid w:val="4BBE2505"/>
    <w:rsid w:val="4BC6239D"/>
    <w:rsid w:val="4BCB65C6"/>
    <w:rsid w:val="4BCC2388"/>
    <w:rsid w:val="4BCD451B"/>
    <w:rsid w:val="4BCD57CD"/>
    <w:rsid w:val="4BD44D46"/>
    <w:rsid w:val="4BD81482"/>
    <w:rsid w:val="4BDD3F75"/>
    <w:rsid w:val="4BDD7D6C"/>
    <w:rsid w:val="4BDE6D77"/>
    <w:rsid w:val="4BDF772E"/>
    <w:rsid w:val="4BE33F67"/>
    <w:rsid w:val="4BE62657"/>
    <w:rsid w:val="4BEA5EDA"/>
    <w:rsid w:val="4BEC3C30"/>
    <w:rsid w:val="4BEE392E"/>
    <w:rsid w:val="4BF03B4A"/>
    <w:rsid w:val="4BF06FEA"/>
    <w:rsid w:val="4BF158F6"/>
    <w:rsid w:val="4BF50DC0"/>
    <w:rsid w:val="4BF97EF5"/>
    <w:rsid w:val="4BFD5005"/>
    <w:rsid w:val="4BFE0015"/>
    <w:rsid w:val="4C001FDF"/>
    <w:rsid w:val="4C034387"/>
    <w:rsid w:val="4C0575F5"/>
    <w:rsid w:val="4C0963C7"/>
    <w:rsid w:val="4C0D6895"/>
    <w:rsid w:val="4C0F1EAD"/>
    <w:rsid w:val="4C0F25EB"/>
    <w:rsid w:val="4C170D6B"/>
    <w:rsid w:val="4C181ED2"/>
    <w:rsid w:val="4C23006B"/>
    <w:rsid w:val="4C285091"/>
    <w:rsid w:val="4C2C14A7"/>
    <w:rsid w:val="4C337EB2"/>
    <w:rsid w:val="4C4062D7"/>
    <w:rsid w:val="4C41396F"/>
    <w:rsid w:val="4C433EDF"/>
    <w:rsid w:val="4C462012"/>
    <w:rsid w:val="4C4A0649"/>
    <w:rsid w:val="4C4C6B87"/>
    <w:rsid w:val="4C4D3444"/>
    <w:rsid w:val="4C4D637D"/>
    <w:rsid w:val="4C5104C0"/>
    <w:rsid w:val="4C511C1D"/>
    <w:rsid w:val="4C516BD0"/>
    <w:rsid w:val="4C52788C"/>
    <w:rsid w:val="4C59349D"/>
    <w:rsid w:val="4C5E324D"/>
    <w:rsid w:val="4C64530E"/>
    <w:rsid w:val="4C6A05D6"/>
    <w:rsid w:val="4C6A7458"/>
    <w:rsid w:val="4C6D0CF6"/>
    <w:rsid w:val="4C6D3590"/>
    <w:rsid w:val="4C7470F0"/>
    <w:rsid w:val="4C7708FD"/>
    <w:rsid w:val="4C770CCE"/>
    <w:rsid w:val="4C7E5ECA"/>
    <w:rsid w:val="4C7F21A1"/>
    <w:rsid w:val="4C82348F"/>
    <w:rsid w:val="4C847B5A"/>
    <w:rsid w:val="4C863983"/>
    <w:rsid w:val="4C874FAA"/>
    <w:rsid w:val="4C876AA5"/>
    <w:rsid w:val="4C8979CA"/>
    <w:rsid w:val="4C927E65"/>
    <w:rsid w:val="4C96024D"/>
    <w:rsid w:val="4C993E3C"/>
    <w:rsid w:val="4C9B771E"/>
    <w:rsid w:val="4CA01B77"/>
    <w:rsid w:val="4CA21960"/>
    <w:rsid w:val="4CAB2FBA"/>
    <w:rsid w:val="4CB0215B"/>
    <w:rsid w:val="4CB1696B"/>
    <w:rsid w:val="4CB6636F"/>
    <w:rsid w:val="4CB838ED"/>
    <w:rsid w:val="4CB95D2A"/>
    <w:rsid w:val="4CBB246B"/>
    <w:rsid w:val="4CBC3E31"/>
    <w:rsid w:val="4CC74D5C"/>
    <w:rsid w:val="4CC8503B"/>
    <w:rsid w:val="4CCC3C6F"/>
    <w:rsid w:val="4CCC4D99"/>
    <w:rsid w:val="4CCD4E00"/>
    <w:rsid w:val="4CCF4B57"/>
    <w:rsid w:val="4CDB65A8"/>
    <w:rsid w:val="4CE27936"/>
    <w:rsid w:val="4CE41D3B"/>
    <w:rsid w:val="4CE92E00"/>
    <w:rsid w:val="4CEA0894"/>
    <w:rsid w:val="4CEC795C"/>
    <w:rsid w:val="4CED4EE3"/>
    <w:rsid w:val="4CEE368A"/>
    <w:rsid w:val="4CF3569F"/>
    <w:rsid w:val="4CF7447A"/>
    <w:rsid w:val="4CF871CD"/>
    <w:rsid w:val="4CF9193B"/>
    <w:rsid w:val="4D0504AC"/>
    <w:rsid w:val="4D067A92"/>
    <w:rsid w:val="4D0C075F"/>
    <w:rsid w:val="4D0D580C"/>
    <w:rsid w:val="4D0E00FB"/>
    <w:rsid w:val="4D0E66E5"/>
    <w:rsid w:val="4D113BDE"/>
    <w:rsid w:val="4D115CAC"/>
    <w:rsid w:val="4D1178B8"/>
    <w:rsid w:val="4D1206A2"/>
    <w:rsid w:val="4D171870"/>
    <w:rsid w:val="4D176606"/>
    <w:rsid w:val="4D185CDA"/>
    <w:rsid w:val="4D187B64"/>
    <w:rsid w:val="4D19729C"/>
    <w:rsid w:val="4D2350B2"/>
    <w:rsid w:val="4D242D6A"/>
    <w:rsid w:val="4D245859"/>
    <w:rsid w:val="4D271A8D"/>
    <w:rsid w:val="4D283D9E"/>
    <w:rsid w:val="4D2C0089"/>
    <w:rsid w:val="4D33509D"/>
    <w:rsid w:val="4D3556F8"/>
    <w:rsid w:val="4D36558C"/>
    <w:rsid w:val="4D366FFE"/>
    <w:rsid w:val="4D3674E0"/>
    <w:rsid w:val="4D397A39"/>
    <w:rsid w:val="4D3A507C"/>
    <w:rsid w:val="4D41539D"/>
    <w:rsid w:val="4D471C8C"/>
    <w:rsid w:val="4D5615E2"/>
    <w:rsid w:val="4D5906A9"/>
    <w:rsid w:val="4D5A1CE9"/>
    <w:rsid w:val="4D5D53D7"/>
    <w:rsid w:val="4D62241E"/>
    <w:rsid w:val="4D6356B6"/>
    <w:rsid w:val="4D656C34"/>
    <w:rsid w:val="4D6A6186"/>
    <w:rsid w:val="4D6F123F"/>
    <w:rsid w:val="4D6F6780"/>
    <w:rsid w:val="4D7323BC"/>
    <w:rsid w:val="4D7A191D"/>
    <w:rsid w:val="4D7A635C"/>
    <w:rsid w:val="4D87403A"/>
    <w:rsid w:val="4D894276"/>
    <w:rsid w:val="4D897DB2"/>
    <w:rsid w:val="4D8B192C"/>
    <w:rsid w:val="4D8B3B2A"/>
    <w:rsid w:val="4D8F4465"/>
    <w:rsid w:val="4D923CE0"/>
    <w:rsid w:val="4D926928"/>
    <w:rsid w:val="4D965755"/>
    <w:rsid w:val="4D993810"/>
    <w:rsid w:val="4D9E3119"/>
    <w:rsid w:val="4DA40CD1"/>
    <w:rsid w:val="4DA97C1E"/>
    <w:rsid w:val="4DAC4573"/>
    <w:rsid w:val="4DB0223D"/>
    <w:rsid w:val="4DBD6824"/>
    <w:rsid w:val="4DC42B98"/>
    <w:rsid w:val="4DC63B0C"/>
    <w:rsid w:val="4DC96400"/>
    <w:rsid w:val="4DCD6DF1"/>
    <w:rsid w:val="4DCF2151"/>
    <w:rsid w:val="4DD3110F"/>
    <w:rsid w:val="4DD33F94"/>
    <w:rsid w:val="4DE34C49"/>
    <w:rsid w:val="4DE76CC7"/>
    <w:rsid w:val="4DE80F7C"/>
    <w:rsid w:val="4DEC4FB0"/>
    <w:rsid w:val="4DEF230B"/>
    <w:rsid w:val="4DF07E31"/>
    <w:rsid w:val="4DF12C9D"/>
    <w:rsid w:val="4DF276B6"/>
    <w:rsid w:val="4DF47921"/>
    <w:rsid w:val="4DF95CEB"/>
    <w:rsid w:val="4DFC0FFC"/>
    <w:rsid w:val="4DFE60AA"/>
    <w:rsid w:val="4E055D64"/>
    <w:rsid w:val="4E075AEB"/>
    <w:rsid w:val="4E075D8A"/>
    <w:rsid w:val="4E165368"/>
    <w:rsid w:val="4E1C31D3"/>
    <w:rsid w:val="4E207EAE"/>
    <w:rsid w:val="4E22771F"/>
    <w:rsid w:val="4E243634"/>
    <w:rsid w:val="4E262090"/>
    <w:rsid w:val="4E263853"/>
    <w:rsid w:val="4E274E06"/>
    <w:rsid w:val="4E281212"/>
    <w:rsid w:val="4E2A3464"/>
    <w:rsid w:val="4E2A683A"/>
    <w:rsid w:val="4E3017AD"/>
    <w:rsid w:val="4E336FF1"/>
    <w:rsid w:val="4E345E28"/>
    <w:rsid w:val="4E3A068E"/>
    <w:rsid w:val="4E3C5325"/>
    <w:rsid w:val="4E4168DE"/>
    <w:rsid w:val="4E4976D9"/>
    <w:rsid w:val="4E504734"/>
    <w:rsid w:val="4E52249F"/>
    <w:rsid w:val="4E54008B"/>
    <w:rsid w:val="4E544A76"/>
    <w:rsid w:val="4E576F6E"/>
    <w:rsid w:val="4E5D5B4D"/>
    <w:rsid w:val="4E5E6E2A"/>
    <w:rsid w:val="4E5F7B8D"/>
    <w:rsid w:val="4E60170E"/>
    <w:rsid w:val="4E622DB0"/>
    <w:rsid w:val="4E6334FF"/>
    <w:rsid w:val="4E645452"/>
    <w:rsid w:val="4E654EFC"/>
    <w:rsid w:val="4E6578B5"/>
    <w:rsid w:val="4E6D1482"/>
    <w:rsid w:val="4E703BAC"/>
    <w:rsid w:val="4E762AA3"/>
    <w:rsid w:val="4E7677C9"/>
    <w:rsid w:val="4E780303"/>
    <w:rsid w:val="4E7A0045"/>
    <w:rsid w:val="4E7A597E"/>
    <w:rsid w:val="4E806A1B"/>
    <w:rsid w:val="4E832A53"/>
    <w:rsid w:val="4E920A11"/>
    <w:rsid w:val="4E952F6D"/>
    <w:rsid w:val="4E9559B6"/>
    <w:rsid w:val="4E9C4D8C"/>
    <w:rsid w:val="4EA12ED9"/>
    <w:rsid w:val="4EA6210D"/>
    <w:rsid w:val="4EA930EC"/>
    <w:rsid w:val="4EAA17C4"/>
    <w:rsid w:val="4EAA5C06"/>
    <w:rsid w:val="4EAD7B8D"/>
    <w:rsid w:val="4EB10ED1"/>
    <w:rsid w:val="4EB9400C"/>
    <w:rsid w:val="4EC00FAD"/>
    <w:rsid w:val="4EC118F3"/>
    <w:rsid w:val="4ECD5F10"/>
    <w:rsid w:val="4ECD723E"/>
    <w:rsid w:val="4ED078C9"/>
    <w:rsid w:val="4ED44205"/>
    <w:rsid w:val="4ED77782"/>
    <w:rsid w:val="4ED92673"/>
    <w:rsid w:val="4EDA073A"/>
    <w:rsid w:val="4EDE2145"/>
    <w:rsid w:val="4EDF22B0"/>
    <w:rsid w:val="4EEE499B"/>
    <w:rsid w:val="4EEF38C0"/>
    <w:rsid w:val="4EF13D02"/>
    <w:rsid w:val="4EFD4A05"/>
    <w:rsid w:val="4EFE032C"/>
    <w:rsid w:val="4F0516DF"/>
    <w:rsid w:val="4F0729EA"/>
    <w:rsid w:val="4F0E33F0"/>
    <w:rsid w:val="4F110A6D"/>
    <w:rsid w:val="4F110E0F"/>
    <w:rsid w:val="4F140180"/>
    <w:rsid w:val="4F1446CF"/>
    <w:rsid w:val="4F1A0143"/>
    <w:rsid w:val="4F1F0289"/>
    <w:rsid w:val="4F273E23"/>
    <w:rsid w:val="4F2C04DC"/>
    <w:rsid w:val="4F2C7C17"/>
    <w:rsid w:val="4F2E1A56"/>
    <w:rsid w:val="4F3508F0"/>
    <w:rsid w:val="4F354586"/>
    <w:rsid w:val="4F363F69"/>
    <w:rsid w:val="4F365D17"/>
    <w:rsid w:val="4F3930AE"/>
    <w:rsid w:val="4F3B344D"/>
    <w:rsid w:val="4F3D2C02"/>
    <w:rsid w:val="4F3E7E1E"/>
    <w:rsid w:val="4F420094"/>
    <w:rsid w:val="4F447AA0"/>
    <w:rsid w:val="4F4564F0"/>
    <w:rsid w:val="4F4568FC"/>
    <w:rsid w:val="4F4C0140"/>
    <w:rsid w:val="4F4C7EA4"/>
    <w:rsid w:val="4F5148FF"/>
    <w:rsid w:val="4F531B4F"/>
    <w:rsid w:val="4F570656"/>
    <w:rsid w:val="4F5C733C"/>
    <w:rsid w:val="4F6B3C13"/>
    <w:rsid w:val="4F6C65F8"/>
    <w:rsid w:val="4F6F7A3D"/>
    <w:rsid w:val="4F713D48"/>
    <w:rsid w:val="4F721E66"/>
    <w:rsid w:val="4F756840"/>
    <w:rsid w:val="4F7F669E"/>
    <w:rsid w:val="4F841A89"/>
    <w:rsid w:val="4F876573"/>
    <w:rsid w:val="4F8847C5"/>
    <w:rsid w:val="4F885D1D"/>
    <w:rsid w:val="4F8A2E72"/>
    <w:rsid w:val="4F8B4FA6"/>
    <w:rsid w:val="4F954BB4"/>
    <w:rsid w:val="4F9843DC"/>
    <w:rsid w:val="4F9E3171"/>
    <w:rsid w:val="4F9F38BD"/>
    <w:rsid w:val="4F9F566B"/>
    <w:rsid w:val="4FA47097"/>
    <w:rsid w:val="4FA62945"/>
    <w:rsid w:val="4FA669F9"/>
    <w:rsid w:val="4FAA337D"/>
    <w:rsid w:val="4FAC7B21"/>
    <w:rsid w:val="4FB62F8C"/>
    <w:rsid w:val="4FB733A2"/>
    <w:rsid w:val="4FBA24A4"/>
    <w:rsid w:val="4FC1761E"/>
    <w:rsid w:val="4FC62A8C"/>
    <w:rsid w:val="4FCB222C"/>
    <w:rsid w:val="4FD07F1A"/>
    <w:rsid w:val="4FD72B74"/>
    <w:rsid w:val="4FDD6E27"/>
    <w:rsid w:val="4FDE2637"/>
    <w:rsid w:val="4FDF1F0B"/>
    <w:rsid w:val="4FE01610"/>
    <w:rsid w:val="4FE20F0D"/>
    <w:rsid w:val="4FE40148"/>
    <w:rsid w:val="4FE51552"/>
    <w:rsid w:val="4FE55E48"/>
    <w:rsid w:val="4FEA7613"/>
    <w:rsid w:val="4FED7286"/>
    <w:rsid w:val="4FEE1BB1"/>
    <w:rsid w:val="4FFA6D45"/>
    <w:rsid w:val="4FFB126F"/>
    <w:rsid w:val="4FFF0CBD"/>
    <w:rsid w:val="50021382"/>
    <w:rsid w:val="50054804"/>
    <w:rsid w:val="500748D6"/>
    <w:rsid w:val="500E27F0"/>
    <w:rsid w:val="50190CBC"/>
    <w:rsid w:val="502119D7"/>
    <w:rsid w:val="50231172"/>
    <w:rsid w:val="50233628"/>
    <w:rsid w:val="50242014"/>
    <w:rsid w:val="502617E8"/>
    <w:rsid w:val="502D0137"/>
    <w:rsid w:val="502D61BE"/>
    <w:rsid w:val="5033608B"/>
    <w:rsid w:val="50337406"/>
    <w:rsid w:val="503C1682"/>
    <w:rsid w:val="503C1CFD"/>
    <w:rsid w:val="50447FC0"/>
    <w:rsid w:val="504B4AAA"/>
    <w:rsid w:val="504D7B96"/>
    <w:rsid w:val="504F1A73"/>
    <w:rsid w:val="50504C4B"/>
    <w:rsid w:val="505A34EC"/>
    <w:rsid w:val="505E5821"/>
    <w:rsid w:val="50603C4C"/>
    <w:rsid w:val="50642973"/>
    <w:rsid w:val="5065019E"/>
    <w:rsid w:val="50656BC4"/>
    <w:rsid w:val="50675F9D"/>
    <w:rsid w:val="50686401"/>
    <w:rsid w:val="507604F0"/>
    <w:rsid w:val="50760AC1"/>
    <w:rsid w:val="5076286F"/>
    <w:rsid w:val="507723AC"/>
    <w:rsid w:val="507A7E41"/>
    <w:rsid w:val="507A7F40"/>
    <w:rsid w:val="507B14EB"/>
    <w:rsid w:val="50860D65"/>
    <w:rsid w:val="508D5E0B"/>
    <w:rsid w:val="50903729"/>
    <w:rsid w:val="50975B14"/>
    <w:rsid w:val="50985E17"/>
    <w:rsid w:val="509B4084"/>
    <w:rsid w:val="509C604E"/>
    <w:rsid w:val="509C6E7C"/>
    <w:rsid w:val="509D0B67"/>
    <w:rsid w:val="509D3F80"/>
    <w:rsid w:val="50A029DC"/>
    <w:rsid w:val="50A70C7B"/>
    <w:rsid w:val="50A730CE"/>
    <w:rsid w:val="50AA2519"/>
    <w:rsid w:val="50B45FA5"/>
    <w:rsid w:val="50BB45C2"/>
    <w:rsid w:val="50CD7C19"/>
    <w:rsid w:val="50D13F4A"/>
    <w:rsid w:val="50D17BE8"/>
    <w:rsid w:val="50D740EE"/>
    <w:rsid w:val="50D852D8"/>
    <w:rsid w:val="50DA4706"/>
    <w:rsid w:val="50DB1193"/>
    <w:rsid w:val="50DB26D2"/>
    <w:rsid w:val="50DC6464"/>
    <w:rsid w:val="50E04DEE"/>
    <w:rsid w:val="50E5037B"/>
    <w:rsid w:val="50E53551"/>
    <w:rsid w:val="50EB3DFB"/>
    <w:rsid w:val="50ED0658"/>
    <w:rsid w:val="50ED15D2"/>
    <w:rsid w:val="50ED2406"/>
    <w:rsid w:val="50EF2622"/>
    <w:rsid w:val="50EF6221"/>
    <w:rsid w:val="50F85370"/>
    <w:rsid w:val="50FC334E"/>
    <w:rsid w:val="50FF2D17"/>
    <w:rsid w:val="50FF5382"/>
    <w:rsid w:val="510065DD"/>
    <w:rsid w:val="51071BC9"/>
    <w:rsid w:val="510F0982"/>
    <w:rsid w:val="511867A9"/>
    <w:rsid w:val="511A5BBD"/>
    <w:rsid w:val="511B51C5"/>
    <w:rsid w:val="511B771C"/>
    <w:rsid w:val="51262341"/>
    <w:rsid w:val="512C2F2E"/>
    <w:rsid w:val="512D0455"/>
    <w:rsid w:val="512D3577"/>
    <w:rsid w:val="51316796"/>
    <w:rsid w:val="51326B87"/>
    <w:rsid w:val="51353F5F"/>
    <w:rsid w:val="513A293B"/>
    <w:rsid w:val="513A4CA9"/>
    <w:rsid w:val="513F3CB3"/>
    <w:rsid w:val="51427AAF"/>
    <w:rsid w:val="51444FD6"/>
    <w:rsid w:val="514814DF"/>
    <w:rsid w:val="51497AC0"/>
    <w:rsid w:val="51505DC9"/>
    <w:rsid w:val="5151773D"/>
    <w:rsid w:val="51554D0A"/>
    <w:rsid w:val="51587410"/>
    <w:rsid w:val="515B7CB7"/>
    <w:rsid w:val="5162104E"/>
    <w:rsid w:val="516375DE"/>
    <w:rsid w:val="5168603A"/>
    <w:rsid w:val="516B1C24"/>
    <w:rsid w:val="516E1798"/>
    <w:rsid w:val="516F0EF6"/>
    <w:rsid w:val="517113D3"/>
    <w:rsid w:val="51795705"/>
    <w:rsid w:val="517B0599"/>
    <w:rsid w:val="517B7D81"/>
    <w:rsid w:val="517F11C6"/>
    <w:rsid w:val="51854E6D"/>
    <w:rsid w:val="51867A9A"/>
    <w:rsid w:val="51890380"/>
    <w:rsid w:val="518F170F"/>
    <w:rsid w:val="518F49E9"/>
    <w:rsid w:val="51912F48"/>
    <w:rsid w:val="51932FAD"/>
    <w:rsid w:val="51981E3E"/>
    <w:rsid w:val="519A07DF"/>
    <w:rsid w:val="519C1052"/>
    <w:rsid w:val="519F5DF6"/>
    <w:rsid w:val="51A7569A"/>
    <w:rsid w:val="51A7594C"/>
    <w:rsid w:val="51AE7DE7"/>
    <w:rsid w:val="51B01FF6"/>
    <w:rsid w:val="51C07D04"/>
    <w:rsid w:val="51C3073A"/>
    <w:rsid w:val="51C72B06"/>
    <w:rsid w:val="51CF545D"/>
    <w:rsid w:val="51D73DE2"/>
    <w:rsid w:val="51D7406D"/>
    <w:rsid w:val="51D75E5C"/>
    <w:rsid w:val="51DA3F82"/>
    <w:rsid w:val="51E4433C"/>
    <w:rsid w:val="51E5340D"/>
    <w:rsid w:val="51E952C3"/>
    <w:rsid w:val="51F003FF"/>
    <w:rsid w:val="51F322F9"/>
    <w:rsid w:val="51FA7DD6"/>
    <w:rsid w:val="51FD1891"/>
    <w:rsid w:val="51FD776D"/>
    <w:rsid w:val="52033A9A"/>
    <w:rsid w:val="52084844"/>
    <w:rsid w:val="520A3281"/>
    <w:rsid w:val="520D3049"/>
    <w:rsid w:val="52131E53"/>
    <w:rsid w:val="52147B04"/>
    <w:rsid w:val="522B58DB"/>
    <w:rsid w:val="522D3402"/>
    <w:rsid w:val="522D4AC9"/>
    <w:rsid w:val="522D6895"/>
    <w:rsid w:val="522E2C51"/>
    <w:rsid w:val="52345A3B"/>
    <w:rsid w:val="523971ED"/>
    <w:rsid w:val="523A04D8"/>
    <w:rsid w:val="524745CF"/>
    <w:rsid w:val="5248023B"/>
    <w:rsid w:val="52495726"/>
    <w:rsid w:val="524C60E8"/>
    <w:rsid w:val="525869D9"/>
    <w:rsid w:val="526445EA"/>
    <w:rsid w:val="526504F0"/>
    <w:rsid w:val="5266007F"/>
    <w:rsid w:val="52667D64"/>
    <w:rsid w:val="5270595F"/>
    <w:rsid w:val="5271327A"/>
    <w:rsid w:val="527F2C14"/>
    <w:rsid w:val="528022EC"/>
    <w:rsid w:val="52813BCB"/>
    <w:rsid w:val="52826338"/>
    <w:rsid w:val="52845B17"/>
    <w:rsid w:val="52854ED2"/>
    <w:rsid w:val="52920C42"/>
    <w:rsid w:val="52923265"/>
    <w:rsid w:val="52975B78"/>
    <w:rsid w:val="529B770D"/>
    <w:rsid w:val="52A15601"/>
    <w:rsid w:val="52A72320"/>
    <w:rsid w:val="52AF73A6"/>
    <w:rsid w:val="52B23907"/>
    <w:rsid w:val="52B476D5"/>
    <w:rsid w:val="52BE04FE"/>
    <w:rsid w:val="52BE405A"/>
    <w:rsid w:val="52C7552E"/>
    <w:rsid w:val="52CA2990"/>
    <w:rsid w:val="52D50401"/>
    <w:rsid w:val="52D531F2"/>
    <w:rsid w:val="52E00E1E"/>
    <w:rsid w:val="52E03AA7"/>
    <w:rsid w:val="52E15F9A"/>
    <w:rsid w:val="52E422C4"/>
    <w:rsid w:val="52EB6F85"/>
    <w:rsid w:val="52F45871"/>
    <w:rsid w:val="52F642B1"/>
    <w:rsid w:val="53010525"/>
    <w:rsid w:val="530174FC"/>
    <w:rsid w:val="53071EA5"/>
    <w:rsid w:val="53077090"/>
    <w:rsid w:val="530C6CDE"/>
    <w:rsid w:val="530F48B5"/>
    <w:rsid w:val="53133604"/>
    <w:rsid w:val="53156270"/>
    <w:rsid w:val="53160B5A"/>
    <w:rsid w:val="531D5224"/>
    <w:rsid w:val="531F54C3"/>
    <w:rsid w:val="531F616B"/>
    <w:rsid w:val="5326668F"/>
    <w:rsid w:val="53272EC1"/>
    <w:rsid w:val="53277E51"/>
    <w:rsid w:val="532C5467"/>
    <w:rsid w:val="532E450F"/>
    <w:rsid w:val="533407C0"/>
    <w:rsid w:val="533E7B25"/>
    <w:rsid w:val="534C0E5E"/>
    <w:rsid w:val="534E75FC"/>
    <w:rsid w:val="53504943"/>
    <w:rsid w:val="535617C1"/>
    <w:rsid w:val="53600BAB"/>
    <w:rsid w:val="53626C3A"/>
    <w:rsid w:val="53641782"/>
    <w:rsid w:val="537163ED"/>
    <w:rsid w:val="5374721F"/>
    <w:rsid w:val="53776455"/>
    <w:rsid w:val="53783D91"/>
    <w:rsid w:val="53784B50"/>
    <w:rsid w:val="537E7066"/>
    <w:rsid w:val="538014FC"/>
    <w:rsid w:val="538815B3"/>
    <w:rsid w:val="538C6936"/>
    <w:rsid w:val="53922E18"/>
    <w:rsid w:val="5394125E"/>
    <w:rsid w:val="539C2B5F"/>
    <w:rsid w:val="53A039CC"/>
    <w:rsid w:val="53A1505A"/>
    <w:rsid w:val="53A165B0"/>
    <w:rsid w:val="53A16DA2"/>
    <w:rsid w:val="53A5292E"/>
    <w:rsid w:val="53AB2E24"/>
    <w:rsid w:val="53AC1753"/>
    <w:rsid w:val="53AC32BF"/>
    <w:rsid w:val="53AC47FA"/>
    <w:rsid w:val="53B430F6"/>
    <w:rsid w:val="53BC66D3"/>
    <w:rsid w:val="53C7784D"/>
    <w:rsid w:val="53C83EFB"/>
    <w:rsid w:val="53D14261"/>
    <w:rsid w:val="53DE3CE9"/>
    <w:rsid w:val="53E063FC"/>
    <w:rsid w:val="53E51F0B"/>
    <w:rsid w:val="53E93BF0"/>
    <w:rsid w:val="53EA0BD2"/>
    <w:rsid w:val="53EA4A3A"/>
    <w:rsid w:val="53F71F19"/>
    <w:rsid w:val="53F91E35"/>
    <w:rsid w:val="53FB20EB"/>
    <w:rsid w:val="54002206"/>
    <w:rsid w:val="54063E08"/>
    <w:rsid w:val="54075B92"/>
    <w:rsid w:val="54091643"/>
    <w:rsid w:val="540C7632"/>
    <w:rsid w:val="540D53AD"/>
    <w:rsid w:val="541479EE"/>
    <w:rsid w:val="54182C34"/>
    <w:rsid w:val="541F4143"/>
    <w:rsid w:val="5422105B"/>
    <w:rsid w:val="54241408"/>
    <w:rsid w:val="54255FA1"/>
    <w:rsid w:val="54260D80"/>
    <w:rsid w:val="54285FFE"/>
    <w:rsid w:val="54290EE0"/>
    <w:rsid w:val="542D2275"/>
    <w:rsid w:val="543317E7"/>
    <w:rsid w:val="54334337"/>
    <w:rsid w:val="54340AE8"/>
    <w:rsid w:val="543437E8"/>
    <w:rsid w:val="54343B27"/>
    <w:rsid w:val="543A1E06"/>
    <w:rsid w:val="543E69A2"/>
    <w:rsid w:val="544032D3"/>
    <w:rsid w:val="544D7132"/>
    <w:rsid w:val="544D7D8B"/>
    <w:rsid w:val="54517B9D"/>
    <w:rsid w:val="5455279C"/>
    <w:rsid w:val="54594023"/>
    <w:rsid w:val="545C4B6C"/>
    <w:rsid w:val="545D1618"/>
    <w:rsid w:val="54641558"/>
    <w:rsid w:val="54662BFB"/>
    <w:rsid w:val="54694499"/>
    <w:rsid w:val="546C488E"/>
    <w:rsid w:val="547B4A10"/>
    <w:rsid w:val="547C2005"/>
    <w:rsid w:val="547C5A02"/>
    <w:rsid w:val="547E4BE3"/>
    <w:rsid w:val="5483375C"/>
    <w:rsid w:val="548B00DF"/>
    <w:rsid w:val="548C577C"/>
    <w:rsid w:val="548C5BEF"/>
    <w:rsid w:val="54924657"/>
    <w:rsid w:val="549572CF"/>
    <w:rsid w:val="54977258"/>
    <w:rsid w:val="54982DA4"/>
    <w:rsid w:val="54AB1241"/>
    <w:rsid w:val="54AD0ED9"/>
    <w:rsid w:val="54B73B58"/>
    <w:rsid w:val="54BC4B4D"/>
    <w:rsid w:val="54BF2DCA"/>
    <w:rsid w:val="54C4261F"/>
    <w:rsid w:val="54C74353"/>
    <w:rsid w:val="54CD3263"/>
    <w:rsid w:val="54CD388E"/>
    <w:rsid w:val="54D13BBE"/>
    <w:rsid w:val="54D6703E"/>
    <w:rsid w:val="54EA3102"/>
    <w:rsid w:val="54ED4DE3"/>
    <w:rsid w:val="54F36860"/>
    <w:rsid w:val="54F73313"/>
    <w:rsid w:val="54F80955"/>
    <w:rsid w:val="55035BF5"/>
    <w:rsid w:val="5505063F"/>
    <w:rsid w:val="5506109A"/>
    <w:rsid w:val="55072939"/>
    <w:rsid w:val="550C6672"/>
    <w:rsid w:val="550D1133"/>
    <w:rsid w:val="550E2D5C"/>
    <w:rsid w:val="550F69C9"/>
    <w:rsid w:val="55115E13"/>
    <w:rsid w:val="55125CF2"/>
    <w:rsid w:val="551D6BBC"/>
    <w:rsid w:val="551F3B61"/>
    <w:rsid w:val="55235659"/>
    <w:rsid w:val="552769ED"/>
    <w:rsid w:val="55350D88"/>
    <w:rsid w:val="553A05CE"/>
    <w:rsid w:val="553D00FC"/>
    <w:rsid w:val="553D3B28"/>
    <w:rsid w:val="553F0F3F"/>
    <w:rsid w:val="55455B37"/>
    <w:rsid w:val="554944DC"/>
    <w:rsid w:val="554C1C0B"/>
    <w:rsid w:val="554C4520"/>
    <w:rsid w:val="554E0C89"/>
    <w:rsid w:val="554F3278"/>
    <w:rsid w:val="555170A7"/>
    <w:rsid w:val="55586E2E"/>
    <w:rsid w:val="555A2CFB"/>
    <w:rsid w:val="5562051E"/>
    <w:rsid w:val="556233C2"/>
    <w:rsid w:val="55625611"/>
    <w:rsid w:val="55632FE8"/>
    <w:rsid w:val="55637B8F"/>
    <w:rsid w:val="556F019A"/>
    <w:rsid w:val="557A3DE7"/>
    <w:rsid w:val="5581797E"/>
    <w:rsid w:val="55822163"/>
    <w:rsid w:val="558666E5"/>
    <w:rsid w:val="5587536D"/>
    <w:rsid w:val="558B4B2C"/>
    <w:rsid w:val="558F3D6E"/>
    <w:rsid w:val="559220A2"/>
    <w:rsid w:val="55963095"/>
    <w:rsid w:val="55963F21"/>
    <w:rsid w:val="55977DE7"/>
    <w:rsid w:val="559B174B"/>
    <w:rsid w:val="559B278A"/>
    <w:rsid w:val="559C65FA"/>
    <w:rsid w:val="55A27B6C"/>
    <w:rsid w:val="55A737A6"/>
    <w:rsid w:val="55A76AA9"/>
    <w:rsid w:val="55AA2FBB"/>
    <w:rsid w:val="55AB3CBF"/>
    <w:rsid w:val="55AE4859"/>
    <w:rsid w:val="55B00673"/>
    <w:rsid w:val="55B211DC"/>
    <w:rsid w:val="55B44704"/>
    <w:rsid w:val="55B522BE"/>
    <w:rsid w:val="55B87486"/>
    <w:rsid w:val="55C87864"/>
    <w:rsid w:val="55CC4AEA"/>
    <w:rsid w:val="55CE0CF4"/>
    <w:rsid w:val="55D41DE6"/>
    <w:rsid w:val="55D6790C"/>
    <w:rsid w:val="55DA64C6"/>
    <w:rsid w:val="55DC3D66"/>
    <w:rsid w:val="55DF5F8D"/>
    <w:rsid w:val="55E3328D"/>
    <w:rsid w:val="55E4625D"/>
    <w:rsid w:val="55EC570B"/>
    <w:rsid w:val="55EE2EA8"/>
    <w:rsid w:val="55EE48BC"/>
    <w:rsid w:val="55F304BE"/>
    <w:rsid w:val="55F67FAE"/>
    <w:rsid w:val="55FA04C2"/>
    <w:rsid w:val="55FE39C3"/>
    <w:rsid w:val="56021B6C"/>
    <w:rsid w:val="56024940"/>
    <w:rsid w:val="56095F34"/>
    <w:rsid w:val="56096206"/>
    <w:rsid w:val="56136A09"/>
    <w:rsid w:val="561479EF"/>
    <w:rsid w:val="5615076B"/>
    <w:rsid w:val="56196687"/>
    <w:rsid w:val="561A2200"/>
    <w:rsid w:val="562341D8"/>
    <w:rsid w:val="562B0C1B"/>
    <w:rsid w:val="56311680"/>
    <w:rsid w:val="56326FDF"/>
    <w:rsid w:val="56380973"/>
    <w:rsid w:val="563E2820"/>
    <w:rsid w:val="564927D4"/>
    <w:rsid w:val="564A762E"/>
    <w:rsid w:val="564C7BCE"/>
    <w:rsid w:val="56646FD8"/>
    <w:rsid w:val="566E649D"/>
    <w:rsid w:val="56743F9C"/>
    <w:rsid w:val="56757DB2"/>
    <w:rsid w:val="567B0F6D"/>
    <w:rsid w:val="56803EF4"/>
    <w:rsid w:val="56867AB5"/>
    <w:rsid w:val="569357FD"/>
    <w:rsid w:val="56947E78"/>
    <w:rsid w:val="56973B5B"/>
    <w:rsid w:val="569A5F2D"/>
    <w:rsid w:val="569D19D7"/>
    <w:rsid w:val="569E6DA7"/>
    <w:rsid w:val="56A65771"/>
    <w:rsid w:val="56B0426D"/>
    <w:rsid w:val="56B22A9C"/>
    <w:rsid w:val="56C50CE6"/>
    <w:rsid w:val="56C5269E"/>
    <w:rsid w:val="56C7343B"/>
    <w:rsid w:val="56C9172C"/>
    <w:rsid w:val="56CA1E3B"/>
    <w:rsid w:val="56CB4F97"/>
    <w:rsid w:val="56CC7577"/>
    <w:rsid w:val="56CE3B01"/>
    <w:rsid w:val="56D02231"/>
    <w:rsid w:val="56D171E2"/>
    <w:rsid w:val="56D33328"/>
    <w:rsid w:val="56D4614A"/>
    <w:rsid w:val="56D91391"/>
    <w:rsid w:val="56E626FC"/>
    <w:rsid w:val="56E96D82"/>
    <w:rsid w:val="56EC2210"/>
    <w:rsid w:val="56F84E40"/>
    <w:rsid w:val="56FC0246"/>
    <w:rsid w:val="57065AB3"/>
    <w:rsid w:val="570A5ABF"/>
    <w:rsid w:val="570B7DB9"/>
    <w:rsid w:val="570C5CDB"/>
    <w:rsid w:val="571406EC"/>
    <w:rsid w:val="57160908"/>
    <w:rsid w:val="57214A75"/>
    <w:rsid w:val="572528F9"/>
    <w:rsid w:val="572663FF"/>
    <w:rsid w:val="57281C3C"/>
    <w:rsid w:val="57294B0D"/>
    <w:rsid w:val="572A43B4"/>
    <w:rsid w:val="572E1368"/>
    <w:rsid w:val="57430F60"/>
    <w:rsid w:val="574311F2"/>
    <w:rsid w:val="574742B5"/>
    <w:rsid w:val="574E6F08"/>
    <w:rsid w:val="575431DF"/>
    <w:rsid w:val="57580F21"/>
    <w:rsid w:val="575C02E5"/>
    <w:rsid w:val="575E2DBF"/>
    <w:rsid w:val="5763042C"/>
    <w:rsid w:val="57660B24"/>
    <w:rsid w:val="57691CE6"/>
    <w:rsid w:val="576C502E"/>
    <w:rsid w:val="577073C0"/>
    <w:rsid w:val="57735385"/>
    <w:rsid w:val="577861D6"/>
    <w:rsid w:val="577D7035"/>
    <w:rsid w:val="57811AFA"/>
    <w:rsid w:val="57837FA2"/>
    <w:rsid w:val="578404B4"/>
    <w:rsid w:val="578914D7"/>
    <w:rsid w:val="57904A2D"/>
    <w:rsid w:val="57923D07"/>
    <w:rsid w:val="57931F59"/>
    <w:rsid w:val="57961582"/>
    <w:rsid w:val="57966F13"/>
    <w:rsid w:val="579730CB"/>
    <w:rsid w:val="57A001D2"/>
    <w:rsid w:val="57A124C1"/>
    <w:rsid w:val="57A2219C"/>
    <w:rsid w:val="57A23F4A"/>
    <w:rsid w:val="57A63EE4"/>
    <w:rsid w:val="57AA24DC"/>
    <w:rsid w:val="57AB4F70"/>
    <w:rsid w:val="57B72A76"/>
    <w:rsid w:val="57BD258E"/>
    <w:rsid w:val="57C3426C"/>
    <w:rsid w:val="57C87729"/>
    <w:rsid w:val="57CE1F93"/>
    <w:rsid w:val="57CF2327"/>
    <w:rsid w:val="57D52840"/>
    <w:rsid w:val="57D81B7F"/>
    <w:rsid w:val="57DA0FEA"/>
    <w:rsid w:val="57E37CC1"/>
    <w:rsid w:val="57EE10C2"/>
    <w:rsid w:val="57F8145B"/>
    <w:rsid w:val="580530E5"/>
    <w:rsid w:val="58092D23"/>
    <w:rsid w:val="580A7388"/>
    <w:rsid w:val="580E13F4"/>
    <w:rsid w:val="581751E0"/>
    <w:rsid w:val="58234642"/>
    <w:rsid w:val="582A2586"/>
    <w:rsid w:val="582B2191"/>
    <w:rsid w:val="58301306"/>
    <w:rsid w:val="58305079"/>
    <w:rsid w:val="583740FD"/>
    <w:rsid w:val="583C0A10"/>
    <w:rsid w:val="583F5BF1"/>
    <w:rsid w:val="58426257"/>
    <w:rsid w:val="58435198"/>
    <w:rsid w:val="58442469"/>
    <w:rsid w:val="58444FBB"/>
    <w:rsid w:val="58450D79"/>
    <w:rsid w:val="58484609"/>
    <w:rsid w:val="585051C5"/>
    <w:rsid w:val="58507C69"/>
    <w:rsid w:val="585405B2"/>
    <w:rsid w:val="58563107"/>
    <w:rsid w:val="58590389"/>
    <w:rsid w:val="585C058A"/>
    <w:rsid w:val="5865045B"/>
    <w:rsid w:val="586773F9"/>
    <w:rsid w:val="58690D7B"/>
    <w:rsid w:val="586B220E"/>
    <w:rsid w:val="5875340D"/>
    <w:rsid w:val="58761E1C"/>
    <w:rsid w:val="58772F35"/>
    <w:rsid w:val="5878114F"/>
    <w:rsid w:val="58785537"/>
    <w:rsid w:val="587A6C75"/>
    <w:rsid w:val="58856FA1"/>
    <w:rsid w:val="588743D1"/>
    <w:rsid w:val="5887701A"/>
    <w:rsid w:val="5889510A"/>
    <w:rsid w:val="588F4414"/>
    <w:rsid w:val="5895585D"/>
    <w:rsid w:val="589F492D"/>
    <w:rsid w:val="58A05684"/>
    <w:rsid w:val="58A56257"/>
    <w:rsid w:val="58A57A71"/>
    <w:rsid w:val="58AF283F"/>
    <w:rsid w:val="58AF6AC6"/>
    <w:rsid w:val="58B12C89"/>
    <w:rsid w:val="58B82685"/>
    <w:rsid w:val="58BC2EF3"/>
    <w:rsid w:val="58BD08FD"/>
    <w:rsid w:val="58C0522E"/>
    <w:rsid w:val="58C250DD"/>
    <w:rsid w:val="58C779E0"/>
    <w:rsid w:val="58D05B2D"/>
    <w:rsid w:val="58D24D82"/>
    <w:rsid w:val="58D277BD"/>
    <w:rsid w:val="58D415F7"/>
    <w:rsid w:val="58D47213"/>
    <w:rsid w:val="58D56A01"/>
    <w:rsid w:val="58DF11CE"/>
    <w:rsid w:val="58DF1BF9"/>
    <w:rsid w:val="58E246AD"/>
    <w:rsid w:val="58E5788E"/>
    <w:rsid w:val="58E93DFA"/>
    <w:rsid w:val="58EA08A2"/>
    <w:rsid w:val="58EB528D"/>
    <w:rsid w:val="58ED7447"/>
    <w:rsid w:val="58F06F37"/>
    <w:rsid w:val="58F30846"/>
    <w:rsid w:val="58F35E80"/>
    <w:rsid w:val="58F8320A"/>
    <w:rsid w:val="58F96A40"/>
    <w:rsid w:val="58FA18E8"/>
    <w:rsid w:val="58FC1D80"/>
    <w:rsid w:val="58FC7435"/>
    <w:rsid w:val="5903341C"/>
    <w:rsid w:val="590556D0"/>
    <w:rsid w:val="5906675A"/>
    <w:rsid w:val="590804A7"/>
    <w:rsid w:val="5909709A"/>
    <w:rsid w:val="59122C05"/>
    <w:rsid w:val="59155C19"/>
    <w:rsid w:val="5915706E"/>
    <w:rsid w:val="59186681"/>
    <w:rsid w:val="5919648E"/>
    <w:rsid w:val="592418EF"/>
    <w:rsid w:val="592E68CD"/>
    <w:rsid w:val="59307734"/>
    <w:rsid w:val="5936311F"/>
    <w:rsid w:val="59372DB8"/>
    <w:rsid w:val="59406A7E"/>
    <w:rsid w:val="59413C36"/>
    <w:rsid w:val="59425551"/>
    <w:rsid w:val="5944571F"/>
    <w:rsid w:val="59466D91"/>
    <w:rsid w:val="594F3ADA"/>
    <w:rsid w:val="59500ADD"/>
    <w:rsid w:val="595079D6"/>
    <w:rsid w:val="595A69E1"/>
    <w:rsid w:val="595B0743"/>
    <w:rsid w:val="59637709"/>
    <w:rsid w:val="596A499B"/>
    <w:rsid w:val="596B33A4"/>
    <w:rsid w:val="596C0CB3"/>
    <w:rsid w:val="596D1360"/>
    <w:rsid w:val="596E536D"/>
    <w:rsid w:val="596F722D"/>
    <w:rsid w:val="597535CD"/>
    <w:rsid w:val="59771F1D"/>
    <w:rsid w:val="59783FBD"/>
    <w:rsid w:val="597C0A8D"/>
    <w:rsid w:val="59822430"/>
    <w:rsid w:val="5984098A"/>
    <w:rsid w:val="598B2A0A"/>
    <w:rsid w:val="598C3104"/>
    <w:rsid w:val="599C2C1B"/>
    <w:rsid w:val="599C6873"/>
    <w:rsid w:val="599E2E37"/>
    <w:rsid w:val="59A3165C"/>
    <w:rsid w:val="59B13352"/>
    <w:rsid w:val="59B643F6"/>
    <w:rsid w:val="59B83EF9"/>
    <w:rsid w:val="59B92BB6"/>
    <w:rsid w:val="59C0439F"/>
    <w:rsid w:val="59C81C62"/>
    <w:rsid w:val="59C9012D"/>
    <w:rsid w:val="59CC4864"/>
    <w:rsid w:val="59CE0F51"/>
    <w:rsid w:val="59CF4D9E"/>
    <w:rsid w:val="59D02E02"/>
    <w:rsid w:val="59D30505"/>
    <w:rsid w:val="59D809BF"/>
    <w:rsid w:val="59DD395F"/>
    <w:rsid w:val="59DE5668"/>
    <w:rsid w:val="59E53FCF"/>
    <w:rsid w:val="59E56207"/>
    <w:rsid w:val="59E66104"/>
    <w:rsid w:val="59E8469B"/>
    <w:rsid w:val="59E85E60"/>
    <w:rsid w:val="59EA3064"/>
    <w:rsid w:val="59EB0D56"/>
    <w:rsid w:val="59EB5147"/>
    <w:rsid w:val="59EF598E"/>
    <w:rsid w:val="59F04554"/>
    <w:rsid w:val="59F1756A"/>
    <w:rsid w:val="59FB3DE5"/>
    <w:rsid w:val="59FD190B"/>
    <w:rsid w:val="59FD5DAF"/>
    <w:rsid w:val="59FF558C"/>
    <w:rsid w:val="5A013E3C"/>
    <w:rsid w:val="5A047B0D"/>
    <w:rsid w:val="5A0F2249"/>
    <w:rsid w:val="5A174305"/>
    <w:rsid w:val="5A1D4924"/>
    <w:rsid w:val="5A1E2CF9"/>
    <w:rsid w:val="5A215590"/>
    <w:rsid w:val="5A282C67"/>
    <w:rsid w:val="5A2F2096"/>
    <w:rsid w:val="5A321325"/>
    <w:rsid w:val="5A3609DC"/>
    <w:rsid w:val="5A366BCB"/>
    <w:rsid w:val="5A3764B8"/>
    <w:rsid w:val="5A3931CF"/>
    <w:rsid w:val="5A445771"/>
    <w:rsid w:val="5A4C0FAC"/>
    <w:rsid w:val="5A4D1BC8"/>
    <w:rsid w:val="5A4E5849"/>
    <w:rsid w:val="5A515B8A"/>
    <w:rsid w:val="5A546474"/>
    <w:rsid w:val="5A5B4884"/>
    <w:rsid w:val="5A5D0ECD"/>
    <w:rsid w:val="5A5F5444"/>
    <w:rsid w:val="5A633184"/>
    <w:rsid w:val="5A651DFF"/>
    <w:rsid w:val="5A6B5DCF"/>
    <w:rsid w:val="5A705BAF"/>
    <w:rsid w:val="5A737C5C"/>
    <w:rsid w:val="5A7476F4"/>
    <w:rsid w:val="5A79790A"/>
    <w:rsid w:val="5A7A716F"/>
    <w:rsid w:val="5A7D6E49"/>
    <w:rsid w:val="5A7F60EA"/>
    <w:rsid w:val="5A7F70EA"/>
    <w:rsid w:val="5A813C36"/>
    <w:rsid w:val="5A820063"/>
    <w:rsid w:val="5A841E77"/>
    <w:rsid w:val="5A887FF8"/>
    <w:rsid w:val="5A8A04D9"/>
    <w:rsid w:val="5A8D45E6"/>
    <w:rsid w:val="5A94738D"/>
    <w:rsid w:val="5A996DB1"/>
    <w:rsid w:val="5A9B3B2D"/>
    <w:rsid w:val="5A9D4E9D"/>
    <w:rsid w:val="5A9F4E2E"/>
    <w:rsid w:val="5AA75D1B"/>
    <w:rsid w:val="5AAA7924"/>
    <w:rsid w:val="5AAB1B4F"/>
    <w:rsid w:val="5AAE37C4"/>
    <w:rsid w:val="5AB43C34"/>
    <w:rsid w:val="5AB872CE"/>
    <w:rsid w:val="5ABA15AB"/>
    <w:rsid w:val="5ABB0B29"/>
    <w:rsid w:val="5ABE2233"/>
    <w:rsid w:val="5AC24DC3"/>
    <w:rsid w:val="5AC42636"/>
    <w:rsid w:val="5AC93EE4"/>
    <w:rsid w:val="5ACB3E49"/>
    <w:rsid w:val="5ACB636A"/>
    <w:rsid w:val="5ACD2B82"/>
    <w:rsid w:val="5ACF743B"/>
    <w:rsid w:val="5AD47B9A"/>
    <w:rsid w:val="5ADF2741"/>
    <w:rsid w:val="5AE30150"/>
    <w:rsid w:val="5AE35AD9"/>
    <w:rsid w:val="5AE75411"/>
    <w:rsid w:val="5AE81F44"/>
    <w:rsid w:val="5AE91E90"/>
    <w:rsid w:val="5AE91FC0"/>
    <w:rsid w:val="5AED2291"/>
    <w:rsid w:val="5AF21380"/>
    <w:rsid w:val="5AF919AC"/>
    <w:rsid w:val="5AF953EA"/>
    <w:rsid w:val="5AFE475B"/>
    <w:rsid w:val="5AFF1EA4"/>
    <w:rsid w:val="5B020E9A"/>
    <w:rsid w:val="5B030576"/>
    <w:rsid w:val="5B087679"/>
    <w:rsid w:val="5B0A7E2E"/>
    <w:rsid w:val="5B10566E"/>
    <w:rsid w:val="5B1218C7"/>
    <w:rsid w:val="5B135ABE"/>
    <w:rsid w:val="5B146FB7"/>
    <w:rsid w:val="5B150ED7"/>
    <w:rsid w:val="5B1672F5"/>
    <w:rsid w:val="5B1769FD"/>
    <w:rsid w:val="5B1B48E7"/>
    <w:rsid w:val="5B1D3B73"/>
    <w:rsid w:val="5B245B33"/>
    <w:rsid w:val="5B263C70"/>
    <w:rsid w:val="5B27137B"/>
    <w:rsid w:val="5B2B24A8"/>
    <w:rsid w:val="5B2F2994"/>
    <w:rsid w:val="5B2F4180"/>
    <w:rsid w:val="5B396D04"/>
    <w:rsid w:val="5B453EA0"/>
    <w:rsid w:val="5B485F15"/>
    <w:rsid w:val="5B4B05D0"/>
    <w:rsid w:val="5B4D36AD"/>
    <w:rsid w:val="5B4E5767"/>
    <w:rsid w:val="5B57229A"/>
    <w:rsid w:val="5B5A0A30"/>
    <w:rsid w:val="5B5C6B06"/>
    <w:rsid w:val="5B604E4F"/>
    <w:rsid w:val="5B617C32"/>
    <w:rsid w:val="5B687259"/>
    <w:rsid w:val="5B6A60B6"/>
    <w:rsid w:val="5B6C4D62"/>
    <w:rsid w:val="5B767F39"/>
    <w:rsid w:val="5B774C2C"/>
    <w:rsid w:val="5B7A1EEE"/>
    <w:rsid w:val="5B877CDF"/>
    <w:rsid w:val="5B950EA3"/>
    <w:rsid w:val="5B983BCB"/>
    <w:rsid w:val="5B9A511D"/>
    <w:rsid w:val="5B9E1C43"/>
    <w:rsid w:val="5B9F0C60"/>
    <w:rsid w:val="5BA4652B"/>
    <w:rsid w:val="5BAF4E87"/>
    <w:rsid w:val="5BAF6F11"/>
    <w:rsid w:val="5BB53DCE"/>
    <w:rsid w:val="5BBE156E"/>
    <w:rsid w:val="5BC22691"/>
    <w:rsid w:val="5BC62F58"/>
    <w:rsid w:val="5BC636A9"/>
    <w:rsid w:val="5BC8419B"/>
    <w:rsid w:val="5BC84DDE"/>
    <w:rsid w:val="5BD01669"/>
    <w:rsid w:val="5BD018E2"/>
    <w:rsid w:val="5BD01F02"/>
    <w:rsid w:val="5BD03175"/>
    <w:rsid w:val="5BD56A11"/>
    <w:rsid w:val="5BD757E7"/>
    <w:rsid w:val="5BDF5D95"/>
    <w:rsid w:val="5BE32D83"/>
    <w:rsid w:val="5BE4349F"/>
    <w:rsid w:val="5BF14385"/>
    <w:rsid w:val="5BF40AEC"/>
    <w:rsid w:val="5BF568FF"/>
    <w:rsid w:val="5BF60003"/>
    <w:rsid w:val="5BF85CE2"/>
    <w:rsid w:val="5BFE7528"/>
    <w:rsid w:val="5C03084E"/>
    <w:rsid w:val="5C030B0E"/>
    <w:rsid w:val="5C0D40CF"/>
    <w:rsid w:val="5C1402D4"/>
    <w:rsid w:val="5C1910FA"/>
    <w:rsid w:val="5C1B74C0"/>
    <w:rsid w:val="5C2053F8"/>
    <w:rsid w:val="5C211509"/>
    <w:rsid w:val="5C2124E2"/>
    <w:rsid w:val="5C2A09B2"/>
    <w:rsid w:val="5C31415E"/>
    <w:rsid w:val="5C317F92"/>
    <w:rsid w:val="5C330D79"/>
    <w:rsid w:val="5C381321"/>
    <w:rsid w:val="5C3A5F01"/>
    <w:rsid w:val="5C3D582D"/>
    <w:rsid w:val="5C447475"/>
    <w:rsid w:val="5C496AD3"/>
    <w:rsid w:val="5C4D0240"/>
    <w:rsid w:val="5C5054F6"/>
    <w:rsid w:val="5C534889"/>
    <w:rsid w:val="5C5617A7"/>
    <w:rsid w:val="5C571B18"/>
    <w:rsid w:val="5C581D44"/>
    <w:rsid w:val="5C5C2FCC"/>
    <w:rsid w:val="5C5F5465"/>
    <w:rsid w:val="5C656BE5"/>
    <w:rsid w:val="5C666A5A"/>
    <w:rsid w:val="5C68455A"/>
    <w:rsid w:val="5C6971CB"/>
    <w:rsid w:val="5C6C4B26"/>
    <w:rsid w:val="5C6C5217"/>
    <w:rsid w:val="5C6D0EB5"/>
    <w:rsid w:val="5C6E4D42"/>
    <w:rsid w:val="5C75177C"/>
    <w:rsid w:val="5C795C32"/>
    <w:rsid w:val="5C7C0352"/>
    <w:rsid w:val="5C7C0AFD"/>
    <w:rsid w:val="5C834903"/>
    <w:rsid w:val="5C853E3A"/>
    <w:rsid w:val="5C871428"/>
    <w:rsid w:val="5C8F4B35"/>
    <w:rsid w:val="5C9213FB"/>
    <w:rsid w:val="5C9235BD"/>
    <w:rsid w:val="5C9627BD"/>
    <w:rsid w:val="5C983B6D"/>
    <w:rsid w:val="5C9C338C"/>
    <w:rsid w:val="5C9F2538"/>
    <w:rsid w:val="5CA2266B"/>
    <w:rsid w:val="5CAC3847"/>
    <w:rsid w:val="5CAC6DFA"/>
    <w:rsid w:val="5CAF3EB3"/>
    <w:rsid w:val="5CB3683E"/>
    <w:rsid w:val="5CBB6F82"/>
    <w:rsid w:val="5CBE1EAD"/>
    <w:rsid w:val="5CC93D27"/>
    <w:rsid w:val="5CCE0C98"/>
    <w:rsid w:val="5CD712F1"/>
    <w:rsid w:val="5CD86DCE"/>
    <w:rsid w:val="5CDD5CA9"/>
    <w:rsid w:val="5CDF6386"/>
    <w:rsid w:val="5CE21BA5"/>
    <w:rsid w:val="5CE40B61"/>
    <w:rsid w:val="5CEE378D"/>
    <w:rsid w:val="5CF2045A"/>
    <w:rsid w:val="5CF53BC2"/>
    <w:rsid w:val="5CF579AF"/>
    <w:rsid w:val="5CF80AB0"/>
    <w:rsid w:val="5CF971C6"/>
    <w:rsid w:val="5CFA65D6"/>
    <w:rsid w:val="5CFF599B"/>
    <w:rsid w:val="5CFF74B6"/>
    <w:rsid w:val="5D060A7F"/>
    <w:rsid w:val="5D0E5BDE"/>
    <w:rsid w:val="5D1312ED"/>
    <w:rsid w:val="5D1401A8"/>
    <w:rsid w:val="5D193C68"/>
    <w:rsid w:val="5D1B2797"/>
    <w:rsid w:val="5D1E59B7"/>
    <w:rsid w:val="5D2175AE"/>
    <w:rsid w:val="5D2248A9"/>
    <w:rsid w:val="5D2423C6"/>
    <w:rsid w:val="5D2522E3"/>
    <w:rsid w:val="5D2534BB"/>
    <w:rsid w:val="5D26561D"/>
    <w:rsid w:val="5D2F4577"/>
    <w:rsid w:val="5D301FF8"/>
    <w:rsid w:val="5D306B65"/>
    <w:rsid w:val="5D3466DE"/>
    <w:rsid w:val="5D3513BC"/>
    <w:rsid w:val="5D3C099D"/>
    <w:rsid w:val="5D461D75"/>
    <w:rsid w:val="5D4C1777"/>
    <w:rsid w:val="5D537A94"/>
    <w:rsid w:val="5D576E44"/>
    <w:rsid w:val="5D5850AB"/>
    <w:rsid w:val="5D5C4440"/>
    <w:rsid w:val="5D5E4DB7"/>
    <w:rsid w:val="5D5F788B"/>
    <w:rsid w:val="5D613064"/>
    <w:rsid w:val="5D682C65"/>
    <w:rsid w:val="5D6A14DC"/>
    <w:rsid w:val="5D6D3D43"/>
    <w:rsid w:val="5D6F54B3"/>
    <w:rsid w:val="5D705275"/>
    <w:rsid w:val="5D7176B4"/>
    <w:rsid w:val="5D752101"/>
    <w:rsid w:val="5D7630E5"/>
    <w:rsid w:val="5D794F9B"/>
    <w:rsid w:val="5D7E0FB5"/>
    <w:rsid w:val="5D7E7207"/>
    <w:rsid w:val="5D856533"/>
    <w:rsid w:val="5D882818"/>
    <w:rsid w:val="5D896C09"/>
    <w:rsid w:val="5D8E5DBD"/>
    <w:rsid w:val="5D973629"/>
    <w:rsid w:val="5D9C58DF"/>
    <w:rsid w:val="5DA00050"/>
    <w:rsid w:val="5DA30A1C"/>
    <w:rsid w:val="5DA327CA"/>
    <w:rsid w:val="5DA33B2B"/>
    <w:rsid w:val="5DA523E8"/>
    <w:rsid w:val="5DA622BA"/>
    <w:rsid w:val="5DAC6E75"/>
    <w:rsid w:val="5DB559AC"/>
    <w:rsid w:val="5DB7201F"/>
    <w:rsid w:val="5DBC3043"/>
    <w:rsid w:val="5DBF17D8"/>
    <w:rsid w:val="5DC11393"/>
    <w:rsid w:val="5DC1775A"/>
    <w:rsid w:val="5DC3730F"/>
    <w:rsid w:val="5DC56BE4"/>
    <w:rsid w:val="5DCD2000"/>
    <w:rsid w:val="5DCF35BF"/>
    <w:rsid w:val="5DD01AC4"/>
    <w:rsid w:val="5DD46A95"/>
    <w:rsid w:val="5DDC3855"/>
    <w:rsid w:val="5DDD26D4"/>
    <w:rsid w:val="5E022CE9"/>
    <w:rsid w:val="5E0579C5"/>
    <w:rsid w:val="5E0B6D62"/>
    <w:rsid w:val="5E0D40E7"/>
    <w:rsid w:val="5E115985"/>
    <w:rsid w:val="5E14003E"/>
    <w:rsid w:val="5E144E6D"/>
    <w:rsid w:val="5E1540BD"/>
    <w:rsid w:val="5E175574"/>
    <w:rsid w:val="5E1824AD"/>
    <w:rsid w:val="5E231BA8"/>
    <w:rsid w:val="5E2356B9"/>
    <w:rsid w:val="5E2467F1"/>
    <w:rsid w:val="5E25455B"/>
    <w:rsid w:val="5E276CD2"/>
    <w:rsid w:val="5E2773B9"/>
    <w:rsid w:val="5E2B3333"/>
    <w:rsid w:val="5E2E2006"/>
    <w:rsid w:val="5E34730A"/>
    <w:rsid w:val="5E3B2A02"/>
    <w:rsid w:val="5E3E05C5"/>
    <w:rsid w:val="5E3E6996"/>
    <w:rsid w:val="5E403426"/>
    <w:rsid w:val="5E4035E7"/>
    <w:rsid w:val="5E417D91"/>
    <w:rsid w:val="5E4C1BFF"/>
    <w:rsid w:val="5E513283"/>
    <w:rsid w:val="5E5835B4"/>
    <w:rsid w:val="5E5B30A5"/>
    <w:rsid w:val="5E622F17"/>
    <w:rsid w:val="5E692351"/>
    <w:rsid w:val="5E6A3CAA"/>
    <w:rsid w:val="5E6B64B2"/>
    <w:rsid w:val="5E6D45CA"/>
    <w:rsid w:val="5E721942"/>
    <w:rsid w:val="5E744819"/>
    <w:rsid w:val="5E771B91"/>
    <w:rsid w:val="5E79177D"/>
    <w:rsid w:val="5E792990"/>
    <w:rsid w:val="5E7B576C"/>
    <w:rsid w:val="5E7D301B"/>
    <w:rsid w:val="5E843372"/>
    <w:rsid w:val="5E8928D8"/>
    <w:rsid w:val="5E8A3ED9"/>
    <w:rsid w:val="5E8B4CD5"/>
    <w:rsid w:val="5E9352AC"/>
    <w:rsid w:val="5E942E4B"/>
    <w:rsid w:val="5EA83F26"/>
    <w:rsid w:val="5EB10F16"/>
    <w:rsid w:val="5EB338D1"/>
    <w:rsid w:val="5EB629D1"/>
    <w:rsid w:val="5EBC2F9D"/>
    <w:rsid w:val="5EC0115A"/>
    <w:rsid w:val="5EC14858"/>
    <w:rsid w:val="5EC21376"/>
    <w:rsid w:val="5EC50E57"/>
    <w:rsid w:val="5EC61DF4"/>
    <w:rsid w:val="5ED103C6"/>
    <w:rsid w:val="5ED20ADA"/>
    <w:rsid w:val="5ED2157B"/>
    <w:rsid w:val="5ED804CA"/>
    <w:rsid w:val="5EE906B0"/>
    <w:rsid w:val="5EF46734"/>
    <w:rsid w:val="5EF65637"/>
    <w:rsid w:val="5EFA3B65"/>
    <w:rsid w:val="5F043B70"/>
    <w:rsid w:val="5F052868"/>
    <w:rsid w:val="5F055BDA"/>
    <w:rsid w:val="5F07682B"/>
    <w:rsid w:val="5F0A3279"/>
    <w:rsid w:val="5F0C2429"/>
    <w:rsid w:val="5F1119B5"/>
    <w:rsid w:val="5F1267B2"/>
    <w:rsid w:val="5F176514"/>
    <w:rsid w:val="5F1A2B43"/>
    <w:rsid w:val="5F1F40D2"/>
    <w:rsid w:val="5F202509"/>
    <w:rsid w:val="5F2133BF"/>
    <w:rsid w:val="5F260504"/>
    <w:rsid w:val="5F2D38B8"/>
    <w:rsid w:val="5F3538F6"/>
    <w:rsid w:val="5F36141C"/>
    <w:rsid w:val="5F39195F"/>
    <w:rsid w:val="5F4D37F6"/>
    <w:rsid w:val="5F4D6687"/>
    <w:rsid w:val="5F5009D0"/>
    <w:rsid w:val="5F541078"/>
    <w:rsid w:val="5F5B401F"/>
    <w:rsid w:val="5F5E197E"/>
    <w:rsid w:val="5F6030B0"/>
    <w:rsid w:val="5F645F89"/>
    <w:rsid w:val="5F665E4E"/>
    <w:rsid w:val="5F6A0D2F"/>
    <w:rsid w:val="5F6E3F38"/>
    <w:rsid w:val="5F743E5D"/>
    <w:rsid w:val="5F760CDD"/>
    <w:rsid w:val="5F767B9D"/>
    <w:rsid w:val="5F7D0400"/>
    <w:rsid w:val="5F8E2E0A"/>
    <w:rsid w:val="5F906D7E"/>
    <w:rsid w:val="5F97010C"/>
    <w:rsid w:val="5F9A19AB"/>
    <w:rsid w:val="5F9C73C4"/>
    <w:rsid w:val="5FA24883"/>
    <w:rsid w:val="5FA72CCC"/>
    <w:rsid w:val="5FA76405"/>
    <w:rsid w:val="5FAD22C3"/>
    <w:rsid w:val="5FB0128E"/>
    <w:rsid w:val="5FB140AC"/>
    <w:rsid w:val="5FB316DD"/>
    <w:rsid w:val="5FB75784"/>
    <w:rsid w:val="5FB837BB"/>
    <w:rsid w:val="5FBA725E"/>
    <w:rsid w:val="5FC447F8"/>
    <w:rsid w:val="5FC829BC"/>
    <w:rsid w:val="5FCB425A"/>
    <w:rsid w:val="5FCD45FE"/>
    <w:rsid w:val="5FCF78A6"/>
    <w:rsid w:val="5FD255E8"/>
    <w:rsid w:val="5FD2665D"/>
    <w:rsid w:val="5FD50C35"/>
    <w:rsid w:val="5FD850FB"/>
    <w:rsid w:val="5FDF1381"/>
    <w:rsid w:val="5FE640B9"/>
    <w:rsid w:val="5FE86A3A"/>
    <w:rsid w:val="5FF1286A"/>
    <w:rsid w:val="5FF3286F"/>
    <w:rsid w:val="5FF54645"/>
    <w:rsid w:val="60031766"/>
    <w:rsid w:val="600D3307"/>
    <w:rsid w:val="600D704C"/>
    <w:rsid w:val="601A7F0D"/>
    <w:rsid w:val="602045A6"/>
    <w:rsid w:val="602342CB"/>
    <w:rsid w:val="60250909"/>
    <w:rsid w:val="60265D0B"/>
    <w:rsid w:val="60285208"/>
    <w:rsid w:val="602A6FA9"/>
    <w:rsid w:val="602F7550"/>
    <w:rsid w:val="60380D25"/>
    <w:rsid w:val="603839C7"/>
    <w:rsid w:val="60387B34"/>
    <w:rsid w:val="6054171F"/>
    <w:rsid w:val="60552F7C"/>
    <w:rsid w:val="605A0AF3"/>
    <w:rsid w:val="605F0156"/>
    <w:rsid w:val="60635562"/>
    <w:rsid w:val="606721D5"/>
    <w:rsid w:val="606A75CF"/>
    <w:rsid w:val="606B06A2"/>
    <w:rsid w:val="60711F95"/>
    <w:rsid w:val="60721717"/>
    <w:rsid w:val="60725437"/>
    <w:rsid w:val="607418DA"/>
    <w:rsid w:val="60796DC2"/>
    <w:rsid w:val="607B5B58"/>
    <w:rsid w:val="607C7030"/>
    <w:rsid w:val="60834818"/>
    <w:rsid w:val="60897E0A"/>
    <w:rsid w:val="608A07A5"/>
    <w:rsid w:val="608B0DC0"/>
    <w:rsid w:val="608D5007"/>
    <w:rsid w:val="609111EF"/>
    <w:rsid w:val="60916BAA"/>
    <w:rsid w:val="60935E94"/>
    <w:rsid w:val="6098238E"/>
    <w:rsid w:val="609C02D9"/>
    <w:rsid w:val="60A53A1E"/>
    <w:rsid w:val="60A7401F"/>
    <w:rsid w:val="60A81B03"/>
    <w:rsid w:val="60AD73B9"/>
    <w:rsid w:val="60B028AD"/>
    <w:rsid w:val="60B96C17"/>
    <w:rsid w:val="60BB27FF"/>
    <w:rsid w:val="60BE1030"/>
    <w:rsid w:val="60BF4C0A"/>
    <w:rsid w:val="60C018E5"/>
    <w:rsid w:val="60C44C07"/>
    <w:rsid w:val="60CC028A"/>
    <w:rsid w:val="60CC405A"/>
    <w:rsid w:val="60CC7703"/>
    <w:rsid w:val="60CD4073"/>
    <w:rsid w:val="60CE4806"/>
    <w:rsid w:val="60D27317"/>
    <w:rsid w:val="60D370A5"/>
    <w:rsid w:val="60D557B7"/>
    <w:rsid w:val="60D930B9"/>
    <w:rsid w:val="60DD0BBE"/>
    <w:rsid w:val="60E03083"/>
    <w:rsid w:val="60E2562A"/>
    <w:rsid w:val="60E530F9"/>
    <w:rsid w:val="60E72E0D"/>
    <w:rsid w:val="60EF7934"/>
    <w:rsid w:val="60F05389"/>
    <w:rsid w:val="60F90E21"/>
    <w:rsid w:val="60FF339B"/>
    <w:rsid w:val="61077514"/>
    <w:rsid w:val="6114144C"/>
    <w:rsid w:val="61150052"/>
    <w:rsid w:val="611811AB"/>
    <w:rsid w:val="61190C6A"/>
    <w:rsid w:val="61196693"/>
    <w:rsid w:val="611F3C88"/>
    <w:rsid w:val="612102D2"/>
    <w:rsid w:val="612260FC"/>
    <w:rsid w:val="612A74C1"/>
    <w:rsid w:val="612C7E58"/>
    <w:rsid w:val="612E2CF2"/>
    <w:rsid w:val="613942AD"/>
    <w:rsid w:val="613A6F9A"/>
    <w:rsid w:val="613E75F5"/>
    <w:rsid w:val="61447E20"/>
    <w:rsid w:val="614B62CA"/>
    <w:rsid w:val="614D208F"/>
    <w:rsid w:val="614F0214"/>
    <w:rsid w:val="61584FCD"/>
    <w:rsid w:val="615B775E"/>
    <w:rsid w:val="615D1044"/>
    <w:rsid w:val="615E35D8"/>
    <w:rsid w:val="61634432"/>
    <w:rsid w:val="61665FE8"/>
    <w:rsid w:val="616905D4"/>
    <w:rsid w:val="616F4669"/>
    <w:rsid w:val="61747F98"/>
    <w:rsid w:val="61753376"/>
    <w:rsid w:val="6176116F"/>
    <w:rsid w:val="61776447"/>
    <w:rsid w:val="617B021E"/>
    <w:rsid w:val="618163CD"/>
    <w:rsid w:val="61865FBE"/>
    <w:rsid w:val="61866BE1"/>
    <w:rsid w:val="618B1868"/>
    <w:rsid w:val="618C16A2"/>
    <w:rsid w:val="618C1ADC"/>
    <w:rsid w:val="618C1D0A"/>
    <w:rsid w:val="61950BD3"/>
    <w:rsid w:val="61966CA6"/>
    <w:rsid w:val="619720C4"/>
    <w:rsid w:val="619866BE"/>
    <w:rsid w:val="619A36FE"/>
    <w:rsid w:val="619C04E4"/>
    <w:rsid w:val="619C27C0"/>
    <w:rsid w:val="61A57F07"/>
    <w:rsid w:val="61A84915"/>
    <w:rsid w:val="61AB17AB"/>
    <w:rsid w:val="61AE5BE1"/>
    <w:rsid w:val="61AE798F"/>
    <w:rsid w:val="61AF3E33"/>
    <w:rsid w:val="61B83734"/>
    <w:rsid w:val="61B84863"/>
    <w:rsid w:val="61BA6782"/>
    <w:rsid w:val="61BC24CC"/>
    <w:rsid w:val="61BD395C"/>
    <w:rsid w:val="61C11B40"/>
    <w:rsid w:val="61C410F9"/>
    <w:rsid w:val="61CD6067"/>
    <w:rsid w:val="61D472A5"/>
    <w:rsid w:val="61D701E7"/>
    <w:rsid w:val="61DC2234"/>
    <w:rsid w:val="61E215D8"/>
    <w:rsid w:val="61E23D5D"/>
    <w:rsid w:val="61F914A4"/>
    <w:rsid w:val="61FD3298"/>
    <w:rsid w:val="61FF09F1"/>
    <w:rsid w:val="62045AB6"/>
    <w:rsid w:val="6206745F"/>
    <w:rsid w:val="620A45DB"/>
    <w:rsid w:val="620E5486"/>
    <w:rsid w:val="620E622B"/>
    <w:rsid w:val="62144EC1"/>
    <w:rsid w:val="62191165"/>
    <w:rsid w:val="621B3775"/>
    <w:rsid w:val="62204597"/>
    <w:rsid w:val="622171D5"/>
    <w:rsid w:val="62261B07"/>
    <w:rsid w:val="62292AFB"/>
    <w:rsid w:val="622F3B44"/>
    <w:rsid w:val="62302A4E"/>
    <w:rsid w:val="623622E8"/>
    <w:rsid w:val="62364782"/>
    <w:rsid w:val="62446797"/>
    <w:rsid w:val="6246445C"/>
    <w:rsid w:val="624E35C1"/>
    <w:rsid w:val="625072CC"/>
    <w:rsid w:val="62521A36"/>
    <w:rsid w:val="62526277"/>
    <w:rsid w:val="62593D9F"/>
    <w:rsid w:val="62642590"/>
    <w:rsid w:val="62691EF2"/>
    <w:rsid w:val="626D784A"/>
    <w:rsid w:val="626F06E7"/>
    <w:rsid w:val="62717B6B"/>
    <w:rsid w:val="62783DE2"/>
    <w:rsid w:val="62787227"/>
    <w:rsid w:val="627A36DC"/>
    <w:rsid w:val="627C1E0D"/>
    <w:rsid w:val="627E5FA2"/>
    <w:rsid w:val="627E64B7"/>
    <w:rsid w:val="628506F0"/>
    <w:rsid w:val="62860EB8"/>
    <w:rsid w:val="62866440"/>
    <w:rsid w:val="628801E0"/>
    <w:rsid w:val="628A5999"/>
    <w:rsid w:val="628C2FAE"/>
    <w:rsid w:val="6291281B"/>
    <w:rsid w:val="6293439E"/>
    <w:rsid w:val="62993BB0"/>
    <w:rsid w:val="62AB0025"/>
    <w:rsid w:val="62AD216F"/>
    <w:rsid w:val="62AF5054"/>
    <w:rsid w:val="62B14A28"/>
    <w:rsid w:val="62B87406"/>
    <w:rsid w:val="62BC53CC"/>
    <w:rsid w:val="62C07375"/>
    <w:rsid w:val="62C51434"/>
    <w:rsid w:val="62C64CA4"/>
    <w:rsid w:val="62C84A81"/>
    <w:rsid w:val="62CB60B2"/>
    <w:rsid w:val="62CD69A6"/>
    <w:rsid w:val="62D36191"/>
    <w:rsid w:val="62D553DB"/>
    <w:rsid w:val="62D97F19"/>
    <w:rsid w:val="62ED53A3"/>
    <w:rsid w:val="62F57908"/>
    <w:rsid w:val="62F608E0"/>
    <w:rsid w:val="63080E9E"/>
    <w:rsid w:val="630842EB"/>
    <w:rsid w:val="63086620"/>
    <w:rsid w:val="63097473"/>
    <w:rsid w:val="630979F2"/>
    <w:rsid w:val="630B3FED"/>
    <w:rsid w:val="630E2DDB"/>
    <w:rsid w:val="630E529D"/>
    <w:rsid w:val="6311467A"/>
    <w:rsid w:val="6312021D"/>
    <w:rsid w:val="63212038"/>
    <w:rsid w:val="63276EFB"/>
    <w:rsid w:val="632C14B3"/>
    <w:rsid w:val="632C6DAD"/>
    <w:rsid w:val="633136A1"/>
    <w:rsid w:val="63317DA0"/>
    <w:rsid w:val="633D721D"/>
    <w:rsid w:val="633F4D43"/>
    <w:rsid w:val="63420167"/>
    <w:rsid w:val="634A7415"/>
    <w:rsid w:val="634E2101"/>
    <w:rsid w:val="634F4799"/>
    <w:rsid w:val="63536A40"/>
    <w:rsid w:val="63560E52"/>
    <w:rsid w:val="63572F62"/>
    <w:rsid w:val="63576530"/>
    <w:rsid w:val="635F3BED"/>
    <w:rsid w:val="636C18B0"/>
    <w:rsid w:val="637A221F"/>
    <w:rsid w:val="637B1AF3"/>
    <w:rsid w:val="637D21CC"/>
    <w:rsid w:val="637D22FD"/>
    <w:rsid w:val="637D3ABD"/>
    <w:rsid w:val="637E3465"/>
    <w:rsid w:val="63812FF0"/>
    <w:rsid w:val="6386012C"/>
    <w:rsid w:val="63862972"/>
    <w:rsid w:val="638B13D4"/>
    <w:rsid w:val="638C0A1D"/>
    <w:rsid w:val="639323CE"/>
    <w:rsid w:val="6394356A"/>
    <w:rsid w:val="63997285"/>
    <w:rsid w:val="639B412F"/>
    <w:rsid w:val="63A92F37"/>
    <w:rsid w:val="63AC7619"/>
    <w:rsid w:val="63B8504F"/>
    <w:rsid w:val="63B9468A"/>
    <w:rsid w:val="63C4349A"/>
    <w:rsid w:val="63C61B2C"/>
    <w:rsid w:val="63C86C56"/>
    <w:rsid w:val="63CA7358"/>
    <w:rsid w:val="63D00715"/>
    <w:rsid w:val="63D3192F"/>
    <w:rsid w:val="63D40BE9"/>
    <w:rsid w:val="63D57455"/>
    <w:rsid w:val="63D6515B"/>
    <w:rsid w:val="63D7141F"/>
    <w:rsid w:val="63DD455C"/>
    <w:rsid w:val="63DD630A"/>
    <w:rsid w:val="63DE51D5"/>
    <w:rsid w:val="63E12700"/>
    <w:rsid w:val="63E665ED"/>
    <w:rsid w:val="63E8408E"/>
    <w:rsid w:val="63E950CE"/>
    <w:rsid w:val="63EB0A27"/>
    <w:rsid w:val="63F03B24"/>
    <w:rsid w:val="63F27A2D"/>
    <w:rsid w:val="63F60531"/>
    <w:rsid w:val="63F66DCF"/>
    <w:rsid w:val="63FE69AC"/>
    <w:rsid w:val="640A27DD"/>
    <w:rsid w:val="64102431"/>
    <w:rsid w:val="6411790A"/>
    <w:rsid w:val="641238BC"/>
    <w:rsid w:val="64133100"/>
    <w:rsid w:val="64152099"/>
    <w:rsid w:val="64157753"/>
    <w:rsid w:val="641D5F41"/>
    <w:rsid w:val="641E7392"/>
    <w:rsid w:val="64260047"/>
    <w:rsid w:val="642937ED"/>
    <w:rsid w:val="642B27EA"/>
    <w:rsid w:val="64391096"/>
    <w:rsid w:val="64437279"/>
    <w:rsid w:val="64487C27"/>
    <w:rsid w:val="645002AD"/>
    <w:rsid w:val="645250E3"/>
    <w:rsid w:val="645853BD"/>
    <w:rsid w:val="64766A36"/>
    <w:rsid w:val="64782ECE"/>
    <w:rsid w:val="647A561F"/>
    <w:rsid w:val="647E00C9"/>
    <w:rsid w:val="647F3845"/>
    <w:rsid w:val="6487736D"/>
    <w:rsid w:val="6488096B"/>
    <w:rsid w:val="6499288C"/>
    <w:rsid w:val="64A00315"/>
    <w:rsid w:val="64A04A37"/>
    <w:rsid w:val="64A32B47"/>
    <w:rsid w:val="64A5243A"/>
    <w:rsid w:val="64AB3AC9"/>
    <w:rsid w:val="64B33C3A"/>
    <w:rsid w:val="64B61035"/>
    <w:rsid w:val="64BC23C3"/>
    <w:rsid w:val="64BF6946"/>
    <w:rsid w:val="64C4269B"/>
    <w:rsid w:val="64C95DD2"/>
    <w:rsid w:val="64CA1330"/>
    <w:rsid w:val="64D70FAB"/>
    <w:rsid w:val="64DC4BAA"/>
    <w:rsid w:val="64E00027"/>
    <w:rsid w:val="64E22990"/>
    <w:rsid w:val="64E62AF3"/>
    <w:rsid w:val="64EB1957"/>
    <w:rsid w:val="64EE4C72"/>
    <w:rsid w:val="64EF1EA3"/>
    <w:rsid w:val="64F366D3"/>
    <w:rsid w:val="64F531DE"/>
    <w:rsid w:val="64F61D9A"/>
    <w:rsid w:val="64F63B27"/>
    <w:rsid w:val="64FF4EB2"/>
    <w:rsid w:val="65051FCA"/>
    <w:rsid w:val="651134FE"/>
    <w:rsid w:val="65126CE1"/>
    <w:rsid w:val="65197BF3"/>
    <w:rsid w:val="651A3F3C"/>
    <w:rsid w:val="65204B23"/>
    <w:rsid w:val="6522491C"/>
    <w:rsid w:val="65252F6E"/>
    <w:rsid w:val="65267BE6"/>
    <w:rsid w:val="652A5940"/>
    <w:rsid w:val="652D5FC8"/>
    <w:rsid w:val="65314B5F"/>
    <w:rsid w:val="6531690D"/>
    <w:rsid w:val="65373578"/>
    <w:rsid w:val="65423907"/>
    <w:rsid w:val="6545060B"/>
    <w:rsid w:val="65455BC9"/>
    <w:rsid w:val="65470910"/>
    <w:rsid w:val="65474919"/>
    <w:rsid w:val="65476131"/>
    <w:rsid w:val="65486E00"/>
    <w:rsid w:val="65494F1F"/>
    <w:rsid w:val="65546FD9"/>
    <w:rsid w:val="65552EC9"/>
    <w:rsid w:val="655643B1"/>
    <w:rsid w:val="65573AE4"/>
    <w:rsid w:val="655869CA"/>
    <w:rsid w:val="655A3BDC"/>
    <w:rsid w:val="655A40B6"/>
    <w:rsid w:val="655B1AFC"/>
    <w:rsid w:val="655C1C41"/>
    <w:rsid w:val="655F347A"/>
    <w:rsid w:val="656011CF"/>
    <w:rsid w:val="65610523"/>
    <w:rsid w:val="65673DFA"/>
    <w:rsid w:val="6567778D"/>
    <w:rsid w:val="656B62C3"/>
    <w:rsid w:val="65715980"/>
    <w:rsid w:val="65735178"/>
    <w:rsid w:val="657A02DE"/>
    <w:rsid w:val="65870BE3"/>
    <w:rsid w:val="659535FD"/>
    <w:rsid w:val="659603DE"/>
    <w:rsid w:val="659A1FCB"/>
    <w:rsid w:val="65A11CE5"/>
    <w:rsid w:val="65A11FF0"/>
    <w:rsid w:val="65A218D0"/>
    <w:rsid w:val="65A53A95"/>
    <w:rsid w:val="65AB32BC"/>
    <w:rsid w:val="65AE7618"/>
    <w:rsid w:val="65B03CD6"/>
    <w:rsid w:val="65B77B01"/>
    <w:rsid w:val="65C154B0"/>
    <w:rsid w:val="65CC3C8E"/>
    <w:rsid w:val="65CE66F4"/>
    <w:rsid w:val="65D47220"/>
    <w:rsid w:val="65DC4ACB"/>
    <w:rsid w:val="65DD5EF5"/>
    <w:rsid w:val="65DF586F"/>
    <w:rsid w:val="65F14F61"/>
    <w:rsid w:val="65F20792"/>
    <w:rsid w:val="65F21F0D"/>
    <w:rsid w:val="65FA1E72"/>
    <w:rsid w:val="65FC7A31"/>
    <w:rsid w:val="65FE120F"/>
    <w:rsid w:val="65FE7A26"/>
    <w:rsid w:val="660109D5"/>
    <w:rsid w:val="66014531"/>
    <w:rsid w:val="66037442"/>
    <w:rsid w:val="66067D9A"/>
    <w:rsid w:val="66165741"/>
    <w:rsid w:val="661A55F3"/>
    <w:rsid w:val="661C75BD"/>
    <w:rsid w:val="66287F74"/>
    <w:rsid w:val="662A13C9"/>
    <w:rsid w:val="662D40D0"/>
    <w:rsid w:val="662E0FC6"/>
    <w:rsid w:val="66334468"/>
    <w:rsid w:val="66336278"/>
    <w:rsid w:val="66380E6B"/>
    <w:rsid w:val="663C7C5F"/>
    <w:rsid w:val="663D56C9"/>
    <w:rsid w:val="664E3472"/>
    <w:rsid w:val="66516547"/>
    <w:rsid w:val="66533D2C"/>
    <w:rsid w:val="665511D7"/>
    <w:rsid w:val="665723A3"/>
    <w:rsid w:val="665925BF"/>
    <w:rsid w:val="6659436D"/>
    <w:rsid w:val="665E22B4"/>
    <w:rsid w:val="665F67C1"/>
    <w:rsid w:val="66654DA6"/>
    <w:rsid w:val="66661CB3"/>
    <w:rsid w:val="666F30B6"/>
    <w:rsid w:val="666F58B9"/>
    <w:rsid w:val="66700F49"/>
    <w:rsid w:val="66716295"/>
    <w:rsid w:val="667166D9"/>
    <w:rsid w:val="66732202"/>
    <w:rsid w:val="66735E69"/>
    <w:rsid w:val="66756CCD"/>
    <w:rsid w:val="667904D6"/>
    <w:rsid w:val="667C0D31"/>
    <w:rsid w:val="6680321D"/>
    <w:rsid w:val="66807B4C"/>
    <w:rsid w:val="668C62E3"/>
    <w:rsid w:val="668D2269"/>
    <w:rsid w:val="668E212E"/>
    <w:rsid w:val="668F1B3D"/>
    <w:rsid w:val="668F7D3D"/>
    <w:rsid w:val="6693338F"/>
    <w:rsid w:val="669727D3"/>
    <w:rsid w:val="669730E8"/>
    <w:rsid w:val="66973557"/>
    <w:rsid w:val="6699475A"/>
    <w:rsid w:val="669D38A0"/>
    <w:rsid w:val="669F3493"/>
    <w:rsid w:val="66A575B3"/>
    <w:rsid w:val="66A842F4"/>
    <w:rsid w:val="66AF21DF"/>
    <w:rsid w:val="66B23A7E"/>
    <w:rsid w:val="66B45A48"/>
    <w:rsid w:val="66B86FFE"/>
    <w:rsid w:val="66C6538E"/>
    <w:rsid w:val="66C83922"/>
    <w:rsid w:val="66CA36CB"/>
    <w:rsid w:val="66CB59A7"/>
    <w:rsid w:val="66CC2D91"/>
    <w:rsid w:val="66D24120"/>
    <w:rsid w:val="66D306E7"/>
    <w:rsid w:val="66DB4D83"/>
    <w:rsid w:val="66E139FC"/>
    <w:rsid w:val="66E8749F"/>
    <w:rsid w:val="66EB73EC"/>
    <w:rsid w:val="66EF7B08"/>
    <w:rsid w:val="66F7663D"/>
    <w:rsid w:val="67010DD2"/>
    <w:rsid w:val="67043F12"/>
    <w:rsid w:val="670F3643"/>
    <w:rsid w:val="6711198C"/>
    <w:rsid w:val="67146B4F"/>
    <w:rsid w:val="6715345B"/>
    <w:rsid w:val="671C5D81"/>
    <w:rsid w:val="671E43B7"/>
    <w:rsid w:val="671F124A"/>
    <w:rsid w:val="672106E4"/>
    <w:rsid w:val="672521AF"/>
    <w:rsid w:val="67253585"/>
    <w:rsid w:val="672C4FB7"/>
    <w:rsid w:val="6736645D"/>
    <w:rsid w:val="6738555B"/>
    <w:rsid w:val="67395F4D"/>
    <w:rsid w:val="673E3F04"/>
    <w:rsid w:val="674419F6"/>
    <w:rsid w:val="6745464B"/>
    <w:rsid w:val="67461C66"/>
    <w:rsid w:val="67483637"/>
    <w:rsid w:val="674C29A0"/>
    <w:rsid w:val="675601A5"/>
    <w:rsid w:val="67562C48"/>
    <w:rsid w:val="675A5253"/>
    <w:rsid w:val="676E2501"/>
    <w:rsid w:val="677511FA"/>
    <w:rsid w:val="6775516C"/>
    <w:rsid w:val="677A33C6"/>
    <w:rsid w:val="677B47B7"/>
    <w:rsid w:val="67831CEE"/>
    <w:rsid w:val="678716F6"/>
    <w:rsid w:val="678C2521"/>
    <w:rsid w:val="678D489E"/>
    <w:rsid w:val="6791030A"/>
    <w:rsid w:val="6792143E"/>
    <w:rsid w:val="67966552"/>
    <w:rsid w:val="679B09B6"/>
    <w:rsid w:val="679C303A"/>
    <w:rsid w:val="679D028A"/>
    <w:rsid w:val="679D7C08"/>
    <w:rsid w:val="67A37211"/>
    <w:rsid w:val="67A5683D"/>
    <w:rsid w:val="67A67DA6"/>
    <w:rsid w:val="67A71109"/>
    <w:rsid w:val="67AD4C6F"/>
    <w:rsid w:val="67AE06E9"/>
    <w:rsid w:val="67AE2497"/>
    <w:rsid w:val="67B34E7A"/>
    <w:rsid w:val="67B35CFF"/>
    <w:rsid w:val="67B616A6"/>
    <w:rsid w:val="67C223E6"/>
    <w:rsid w:val="67C62AE7"/>
    <w:rsid w:val="67C96A5E"/>
    <w:rsid w:val="67CB5DCE"/>
    <w:rsid w:val="67CC6DC1"/>
    <w:rsid w:val="67D45EC1"/>
    <w:rsid w:val="67D65090"/>
    <w:rsid w:val="67D85766"/>
    <w:rsid w:val="67DA0714"/>
    <w:rsid w:val="67DD37C6"/>
    <w:rsid w:val="67DE3ED8"/>
    <w:rsid w:val="67DF27CC"/>
    <w:rsid w:val="67E4410B"/>
    <w:rsid w:val="67E91721"/>
    <w:rsid w:val="67ED1140"/>
    <w:rsid w:val="67EE6FFE"/>
    <w:rsid w:val="67F00162"/>
    <w:rsid w:val="67F124B7"/>
    <w:rsid w:val="67F34699"/>
    <w:rsid w:val="67FB3173"/>
    <w:rsid w:val="68011271"/>
    <w:rsid w:val="68015939"/>
    <w:rsid w:val="68085321"/>
    <w:rsid w:val="68102658"/>
    <w:rsid w:val="68102C06"/>
    <w:rsid w:val="681161F2"/>
    <w:rsid w:val="681D7BFC"/>
    <w:rsid w:val="681E1DD0"/>
    <w:rsid w:val="681F5143"/>
    <w:rsid w:val="681F6961"/>
    <w:rsid w:val="68225C25"/>
    <w:rsid w:val="68242759"/>
    <w:rsid w:val="68253F2A"/>
    <w:rsid w:val="68262977"/>
    <w:rsid w:val="68264723"/>
    <w:rsid w:val="68273865"/>
    <w:rsid w:val="682A1294"/>
    <w:rsid w:val="682A1F61"/>
    <w:rsid w:val="682E4552"/>
    <w:rsid w:val="68314B57"/>
    <w:rsid w:val="683650A0"/>
    <w:rsid w:val="683673BF"/>
    <w:rsid w:val="683922E1"/>
    <w:rsid w:val="683B1AD0"/>
    <w:rsid w:val="683B719E"/>
    <w:rsid w:val="683D78D3"/>
    <w:rsid w:val="683E45C5"/>
    <w:rsid w:val="68401FCA"/>
    <w:rsid w:val="68426B85"/>
    <w:rsid w:val="68472D2E"/>
    <w:rsid w:val="68477525"/>
    <w:rsid w:val="68484494"/>
    <w:rsid w:val="684B418A"/>
    <w:rsid w:val="684F3C7A"/>
    <w:rsid w:val="6852376A"/>
    <w:rsid w:val="68543D44"/>
    <w:rsid w:val="685D462E"/>
    <w:rsid w:val="685D5D90"/>
    <w:rsid w:val="68610A2F"/>
    <w:rsid w:val="686B1DCD"/>
    <w:rsid w:val="686B482C"/>
    <w:rsid w:val="686C6FA0"/>
    <w:rsid w:val="686F229E"/>
    <w:rsid w:val="68782F44"/>
    <w:rsid w:val="687E4E96"/>
    <w:rsid w:val="687F2EC8"/>
    <w:rsid w:val="687F5BE1"/>
    <w:rsid w:val="68805514"/>
    <w:rsid w:val="68831B76"/>
    <w:rsid w:val="6885705A"/>
    <w:rsid w:val="688660C0"/>
    <w:rsid w:val="68882CE8"/>
    <w:rsid w:val="68895E55"/>
    <w:rsid w:val="688C5755"/>
    <w:rsid w:val="688F22C8"/>
    <w:rsid w:val="689A13D3"/>
    <w:rsid w:val="689B5E52"/>
    <w:rsid w:val="68A14B41"/>
    <w:rsid w:val="68A208BC"/>
    <w:rsid w:val="68A37B22"/>
    <w:rsid w:val="68A5389A"/>
    <w:rsid w:val="68AB5FEB"/>
    <w:rsid w:val="68AD3BC0"/>
    <w:rsid w:val="68B1004E"/>
    <w:rsid w:val="68B31E9D"/>
    <w:rsid w:val="68B569F5"/>
    <w:rsid w:val="68B95597"/>
    <w:rsid w:val="68B967E8"/>
    <w:rsid w:val="68BB58FC"/>
    <w:rsid w:val="68BD2E8E"/>
    <w:rsid w:val="68BD6144"/>
    <w:rsid w:val="68BE6C34"/>
    <w:rsid w:val="68C55CEA"/>
    <w:rsid w:val="68C5626C"/>
    <w:rsid w:val="68C835DF"/>
    <w:rsid w:val="68CD32D8"/>
    <w:rsid w:val="68D44F7E"/>
    <w:rsid w:val="68D80C80"/>
    <w:rsid w:val="68D856E5"/>
    <w:rsid w:val="68E02B24"/>
    <w:rsid w:val="68E04C27"/>
    <w:rsid w:val="68E23675"/>
    <w:rsid w:val="68EC7375"/>
    <w:rsid w:val="68EC7C8D"/>
    <w:rsid w:val="68F20AA9"/>
    <w:rsid w:val="68F25B98"/>
    <w:rsid w:val="68FC5C04"/>
    <w:rsid w:val="69027E44"/>
    <w:rsid w:val="690345F1"/>
    <w:rsid w:val="690B7B13"/>
    <w:rsid w:val="690E1FDD"/>
    <w:rsid w:val="69146407"/>
    <w:rsid w:val="69147452"/>
    <w:rsid w:val="691E189E"/>
    <w:rsid w:val="69236EB5"/>
    <w:rsid w:val="69243076"/>
    <w:rsid w:val="692873D4"/>
    <w:rsid w:val="692E53B2"/>
    <w:rsid w:val="693041EE"/>
    <w:rsid w:val="6931058B"/>
    <w:rsid w:val="69316E2F"/>
    <w:rsid w:val="69322C5B"/>
    <w:rsid w:val="69382010"/>
    <w:rsid w:val="69395AAB"/>
    <w:rsid w:val="693B5FAC"/>
    <w:rsid w:val="69404983"/>
    <w:rsid w:val="6945507D"/>
    <w:rsid w:val="69463940"/>
    <w:rsid w:val="694E02AE"/>
    <w:rsid w:val="694E2071"/>
    <w:rsid w:val="69514F48"/>
    <w:rsid w:val="69543512"/>
    <w:rsid w:val="69587093"/>
    <w:rsid w:val="695A7844"/>
    <w:rsid w:val="695E18E7"/>
    <w:rsid w:val="69674FF3"/>
    <w:rsid w:val="6968119D"/>
    <w:rsid w:val="69685691"/>
    <w:rsid w:val="697061B2"/>
    <w:rsid w:val="69715E72"/>
    <w:rsid w:val="69746EBF"/>
    <w:rsid w:val="697641D6"/>
    <w:rsid w:val="69766163"/>
    <w:rsid w:val="697A3B33"/>
    <w:rsid w:val="697B3165"/>
    <w:rsid w:val="697F17AD"/>
    <w:rsid w:val="69894F6A"/>
    <w:rsid w:val="69912070"/>
    <w:rsid w:val="69967687"/>
    <w:rsid w:val="699F27E0"/>
    <w:rsid w:val="69A07C16"/>
    <w:rsid w:val="69A16D38"/>
    <w:rsid w:val="69A63458"/>
    <w:rsid w:val="69AB1B2C"/>
    <w:rsid w:val="69AD308E"/>
    <w:rsid w:val="69B44DC0"/>
    <w:rsid w:val="69B838BB"/>
    <w:rsid w:val="69BB7916"/>
    <w:rsid w:val="69BC630B"/>
    <w:rsid w:val="69C066BA"/>
    <w:rsid w:val="69C40261"/>
    <w:rsid w:val="69C47743"/>
    <w:rsid w:val="69C50FAD"/>
    <w:rsid w:val="69CB37D4"/>
    <w:rsid w:val="69CB6F20"/>
    <w:rsid w:val="69CD1BF9"/>
    <w:rsid w:val="69CF4947"/>
    <w:rsid w:val="69D12417"/>
    <w:rsid w:val="69D44760"/>
    <w:rsid w:val="69D72A6C"/>
    <w:rsid w:val="69D81A4D"/>
    <w:rsid w:val="69DA7573"/>
    <w:rsid w:val="69F13E2E"/>
    <w:rsid w:val="69F61ED3"/>
    <w:rsid w:val="69FA19C4"/>
    <w:rsid w:val="69FB0475"/>
    <w:rsid w:val="69FB7FF9"/>
    <w:rsid w:val="69FE6846"/>
    <w:rsid w:val="6A000D28"/>
    <w:rsid w:val="6A010FA4"/>
    <w:rsid w:val="6A035A9B"/>
    <w:rsid w:val="6A0450C4"/>
    <w:rsid w:val="6A050B67"/>
    <w:rsid w:val="6A070115"/>
    <w:rsid w:val="6A0C16F7"/>
    <w:rsid w:val="6A190D6A"/>
    <w:rsid w:val="6A19351E"/>
    <w:rsid w:val="6A195A76"/>
    <w:rsid w:val="6A1F142A"/>
    <w:rsid w:val="6A20674B"/>
    <w:rsid w:val="6A214D70"/>
    <w:rsid w:val="6A2909B7"/>
    <w:rsid w:val="6A366901"/>
    <w:rsid w:val="6A3A6795"/>
    <w:rsid w:val="6A3C7083"/>
    <w:rsid w:val="6A3E749F"/>
    <w:rsid w:val="6A3F387A"/>
    <w:rsid w:val="6A413A96"/>
    <w:rsid w:val="6A4162B8"/>
    <w:rsid w:val="6A425A14"/>
    <w:rsid w:val="6A461018"/>
    <w:rsid w:val="6A49294B"/>
    <w:rsid w:val="6A4F46AD"/>
    <w:rsid w:val="6A520EC7"/>
    <w:rsid w:val="6A523796"/>
    <w:rsid w:val="6A5545B1"/>
    <w:rsid w:val="6A580034"/>
    <w:rsid w:val="6A5A06B9"/>
    <w:rsid w:val="6A5A4B58"/>
    <w:rsid w:val="6A5B2164"/>
    <w:rsid w:val="6A5D4479"/>
    <w:rsid w:val="6A644D6C"/>
    <w:rsid w:val="6A65270D"/>
    <w:rsid w:val="6A6A4F90"/>
    <w:rsid w:val="6A6E4160"/>
    <w:rsid w:val="6A7139C8"/>
    <w:rsid w:val="6A740079"/>
    <w:rsid w:val="6A75729C"/>
    <w:rsid w:val="6A762B94"/>
    <w:rsid w:val="6A79577C"/>
    <w:rsid w:val="6A7C687C"/>
    <w:rsid w:val="6A8114A8"/>
    <w:rsid w:val="6A872468"/>
    <w:rsid w:val="6A883473"/>
    <w:rsid w:val="6A883CBC"/>
    <w:rsid w:val="6A8B3C1E"/>
    <w:rsid w:val="6A8E73F3"/>
    <w:rsid w:val="6A95610E"/>
    <w:rsid w:val="6A974990"/>
    <w:rsid w:val="6A9C2A7B"/>
    <w:rsid w:val="6AAA163C"/>
    <w:rsid w:val="6AAB7162"/>
    <w:rsid w:val="6AAD4819"/>
    <w:rsid w:val="6AAF0A00"/>
    <w:rsid w:val="6AB1487A"/>
    <w:rsid w:val="6ABD2FE8"/>
    <w:rsid w:val="6AC12A02"/>
    <w:rsid w:val="6AC22017"/>
    <w:rsid w:val="6AC41FD2"/>
    <w:rsid w:val="6AC63F78"/>
    <w:rsid w:val="6AD1439C"/>
    <w:rsid w:val="6ADE5B3D"/>
    <w:rsid w:val="6AE6019A"/>
    <w:rsid w:val="6AE65957"/>
    <w:rsid w:val="6AE666B7"/>
    <w:rsid w:val="6AE6695D"/>
    <w:rsid w:val="6AE7181D"/>
    <w:rsid w:val="6AEB6326"/>
    <w:rsid w:val="6AEE496A"/>
    <w:rsid w:val="6AEF34F2"/>
    <w:rsid w:val="6AF503DD"/>
    <w:rsid w:val="6AF61F01"/>
    <w:rsid w:val="6AF705F9"/>
    <w:rsid w:val="6AF87E20"/>
    <w:rsid w:val="6AFB632A"/>
    <w:rsid w:val="6AFD59D5"/>
    <w:rsid w:val="6B0A0E1E"/>
    <w:rsid w:val="6B0F2BA4"/>
    <w:rsid w:val="6B0F5943"/>
    <w:rsid w:val="6B1538BA"/>
    <w:rsid w:val="6B1C3BBC"/>
    <w:rsid w:val="6B1F4B21"/>
    <w:rsid w:val="6B1F4EB1"/>
    <w:rsid w:val="6B20545A"/>
    <w:rsid w:val="6B2111D2"/>
    <w:rsid w:val="6B227BCD"/>
    <w:rsid w:val="6B2B6400"/>
    <w:rsid w:val="6B322639"/>
    <w:rsid w:val="6B3579CF"/>
    <w:rsid w:val="6B361121"/>
    <w:rsid w:val="6B3849EB"/>
    <w:rsid w:val="6B497019"/>
    <w:rsid w:val="6B4A0729"/>
    <w:rsid w:val="6B4B624F"/>
    <w:rsid w:val="6B531349"/>
    <w:rsid w:val="6B5613D6"/>
    <w:rsid w:val="6B5A1D2B"/>
    <w:rsid w:val="6B65663B"/>
    <w:rsid w:val="6B656F00"/>
    <w:rsid w:val="6B6712DB"/>
    <w:rsid w:val="6B676C62"/>
    <w:rsid w:val="6B6B1964"/>
    <w:rsid w:val="6B6C4B43"/>
    <w:rsid w:val="6B7913E3"/>
    <w:rsid w:val="6B7918A2"/>
    <w:rsid w:val="6B7B1060"/>
    <w:rsid w:val="6B7B1AB7"/>
    <w:rsid w:val="6B7B4D86"/>
    <w:rsid w:val="6B7C1F53"/>
    <w:rsid w:val="6B7D53B0"/>
    <w:rsid w:val="6B805CED"/>
    <w:rsid w:val="6B864316"/>
    <w:rsid w:val="6B8C6D34"/>
    <w:rsid w:val="6B8F0831"/>
    <w:rsid w:val="6B933BE4"/>
    <w:rsid w:val="6B96690F"/>
    <w:rsid w:val="6B99345E"/>
    <w:rsid w:val="6B9C21AC"/>
    <w:rsid w:val="6B9E5F62"/>
    <w:rsid w:val="6BA15C3C"/>
    <w:rsid w:val="6BA20565"/>
    <w:rsid w:val="6BA53BB1"/>
    <w:rsid w:val="6BA82E23"/>
    <w:rsid w:val="6BA90B79"/>
    <w:rsid w:val="6BAB0AA8"/>
    <w:rsid w:val="6BBB1618"/>
    <w:rsid w:val="6BBD5FED"/>
    <w:rsid w:val="6BC02799"/>
    <w:rsid w:val="6BC47DB5"/>
    <w:rsid w:val="6BC51006"/>
    <w:rsid w:val="6BCF0C2E"/>
    <w:rsid w:val="6BD13D58"/>
    <w:rsid w:val="6BDD0871"/>
    <w:rsid w:val="6BDD7130"/>
    <w:rsid w:val="6BE566A3"/>
    <w:rsid w:val="6BEA71C9"/>
    <w:rsid w:val="6BF35FA2"/>
    <w:rsid w:val="6BFA3EFD"/>
    <w:rsid w:val="6C0546FA"/>
    <w:rsid w:val="6C063416"/>
    <w:rsid w:val="6C0703C8"/>
    <w:rsid w:val="6C0C0F42"/>
    <w:rsid w:val="6C121AAC"/>
    <w:rsid w:val="6C15429C"/>
    <w:rsid w:val="6C155524"/>
    <w:rsid w:val="6C1825D5"/>
    <w:rsid w:val="6C1B785A"/>
    <w:rsid w:val="6C1E5EED"/>
    <w:rsid w:val="6C1F12C7"/>
    <w:rsid w:val="6C23494A"/>
    <w:rsid w:val="6C2471CC"/>
    <w:rsid w:val="6C2608D9"/>
    <w:rsid w:val="6C272C85"/>
    <w:rsid w:val="6C28143A"/>
    <w:rsid w:val="6C2963DF"/>
    <w:rsid w:val="6C2C5534"/>
    <w:rsid w:val="6C3230E9"/>
    <w:rsid w:val="6C335661"/>
    <w:rsid w:val="6C370AAD"/>
    <w:rsid w:val="6C384A25"/>
    <w:rsid w:val="6C3A459C"/>
    <w:rsid w:val="6C3A69EF"/>
    <w:rsid w:val="6C3B2EAC"/>
    <w:rsid w:val="6C47110C"/>
    <w:rsid w:val="6C484DE8"/>
    <w:rsid w:val="6C4B29AA"/>
    <w:rsid w:val="6C4B6506"/>
    <w:rsid w:val="6C5506B8"/>
    <w:rsid w:val="6C58310F"/>
    <w:rsid w:val="6C5C6347"/>
    <w:rsid w:val="6C5E64B7"/>
    <w:rsid w:val="6C6341B9"/>
    <w:rsid w:val="6C636C38"/>
    <w:rsid w:val="6C6413CE"/>
    <w:rsid w:val="6C647510"/>
    <w:rsid w:val="6C705F6D"/>
    <w:rsid w:val="6C72358B"/>
    <w:rsid w:val="6C757F17"/>
    <w:rsid w:val="6C7812D9"/>
    <w:rsid w:val="6C7E6CEE"/>
    <w:rsid w:val="6C812883"/>
    <w:rsid w:val="6C8859AD"/>
    <w:rsid w:val="6C8B159C"/>
    <w:rsid w:val="6C9003BD"/>
    <w:rsid w:val="6C92330A"/>
    <w:rsid w:val="6C987F8F"/>
    <w:rsid w:val="6C9A0567"/>
    <w:rsid w:val="6C9B436C"/>
    <w:rsid w:val="6C9F2209"/>
    <w:rsid w:val="6C9F672D"/>
    <w:rsid w:val="6CA26C54"/>
    <w:rsid w:val="6CA4558E"/>
    <w:rsid w:val="6CA53C84"/>
    <w:rsid w:val="6CA81596"/>
    <w:rsid w:val="6CAA2738"/>
    <w:rsid w:val="6CAF118B"/>
    <w:rsid w:val="6CB05F8A"/>
    <w:rsid w:val="6CB50CBC"/>
    <w:rsid w:val="6CBE0C9F"/>
    <w:rsid w:val="6CBE3223"/>
    <w:rsid w:val="6CC10C1F"/>
    <w:rsid w:val="6CCA4A24"/>
    <w:rsid w:val="6CCC5BCB"/>
    <w:rsid w:val="6CD15CBB"/>
    <w:rsid w:val="6CE220E4"/>
    <w:rsid w:val="6CE9601A"/>
    <w:rsid w:val="6CEB5F3B"/>
    <w:rsid w:val="6CF05165"/>
    <w:rsid w:val="6CF7043C"/>
    <w:rsid w:val="6CF73EBE"/>
    <w:rsid w:val="6CF87AC4"/>
    <w:rsid w:val="6D022321"/>
    <w:rsid w:val="6D0668D1"/>
    <w:rsid w:val="6D0B038C"/>
    <w:rsid w:val="6D0F39D8"/>
    <w:rsid w:val="6D100BF3"/>
    <w:rsid w:val="6D131F1B"/>
    <w:rsid w:val="6D17594D"/>
    <w:rsid w:val="6D180062"/>
    <w:rsid w:val="6D1A44B4"/>
    <w:rsid w:val="6D210048"/>
    <w:rsid w:val="6D231231"/>
    <w:rsid w:val="6D2427BA"/>
    <w:rsid w:val="6D2539C3"/>
    <w:rsid w:val="6D254FA9"/>
    <w:rsid w:val="6D2B08A1"/>
    <w:rsid w:val="6D2D2FC9"/>
    <w:rsid w:val="6D2D3E5E"/>
    <w:rsid w:val="6D2E32CF"/>
    <w:rsid w:val="6D3175FD"/>
    <w:rsid w:val="6D3439E4"/>
    <w:rsid w:val="6D370745"/>
    <w:rsid w:val="6D372F2F"/>
    <w:rsid w:val="6D390A55"/>
    <w:rsid w:val="6D413DAD"/>
    <w:rsid w:val="6D4266A8"/>
    <w:rsid w:val="6D44132E"/>
    <w:rsid w:val="6D480C98"/>
    <w:rsid w:val="6D4A5C6F"/>
    <w:rsid w:val="6D50378C"/>
    <w:rsid w:val="6D513E95"/>
    <w:rsid w:val="6D5F7FC3"/>
    <w:rsid w:val="6D6B48AF"/>
    <w:rsid w:val="6D6F091A"/>
    <w:rsid w:val="6D6F1887"/>
    <w:rsid w:val="6D6F4508"/>
    <w:rsid w:val="6D740082"/>
    <w:rsid w:val="6D7934E7"/>
    <w:rsid w:val="6D855A48"/>
    <w:rsid w:val="6D8A5E4C"/>
    <w:rsid w:val="6D8C1837"/>
    <w:rsid w:val="6D8C6CB5"/>
    <w:rsid w:val="6D8F1660"/>
    <w:rsid w:val="6D9914F3"/>
    <w:rsid w:val="6D9D74B5"/>
    <w:rsid w:val="6DA01469"/>
    <w:rsid w:val="6DA05A0A"/>
    <w:rsid w:val="6DA2484C"/>
    <w:rsid w:val="6DA34120"/>
    <w:rsid w:val="6DA35951"/>
    <w:rsid w:val="6DB34098"/>
    <w:rsid w:val="6DB545B6"/>
    <w:rsid w:val="6DB8406F"/>
    <w:rsid w:val="6DB8662C"/>
    <w:rsid w:val="6DBA1988"/>
    <w:rsid w:val="6DBA6F1D"/>
    <w:rsid w:val="6DBC14AD"/>
    <w:rsid w:val="6DBE53FE"/>
    <w:rsid w:val="6DBF00D6"/>
    <w:rsid w:val="6DC22E90"/>
    <w:rsid w:val="6DC46799"/>
    <w:rsid w:val="6DCD29E8"/>
    <w:rsid w:val="6DCE0310"/>
    <w:rsid w:val="6DD32AF9"/>
    <w:rsid w:val="6DD34D05"/>
    <w:rsid w:val="6DD8201C"/>
    <w:rsid w:val="6DE02FB4"/>
    <w:rsid w:val="6DE3415E"/>
    <w:rsid w:val="6DE704B1"/>
    <w:rsid w:val="6DE85FCA"/>
    <w:rsid w:val="6DED3996"/>
    <w:rsid w:val="6DF72DBE"/>
    <w:rsid w:val="6DF82E3C"/>
    <w:rsid w:val="6DF8773E"/>
    <w:rsid w:val="6DFC39BA"/>
    <w:rsid w:val="6DFF202C"/>
    <w:rsid w:val="6E0237F2"/>
    <w:rsid w:val="6E0B285A"/>
    <w:rsid w:val="6E0F00B6"/>
    <w:rsid w:val="6E141DD6"/>
    <w:rsid w:val="6E194148"/>
    <w:rsid w:val="6E1B4391"/>
    <w:rsid w:val="6E246130"/>
    <w:rsid w:val="6E276F9F"/>
    <w:rsid w:val="6E2A0529"/>
    <w:rsid w:val="6E2B2A93"/>
    <w:rsid w:val="6E3A0F28"/>
    <w:rsid w:val="6E3B58FE"/>
    <w:rsid w:val="6E4A3E9B"/>
    <w:rsid w:val="6E4C0C5C"/>
    <w:rsid w:val="6E514CED"/>
    <w:rsid w:val="6E53087B"/>
    <w:rsid w:val="6E560BE9"/>
    <w:rsid w:val="6E5A2C4B"/>
    <w:rsid w:val="6E674E45"/>
    <w:rsid w:val="6E677844"/>
    <w:rsid w:val="6E697C6D"/>
    <w:rsid w:val="6E6F2326"/>
    <w:rsid w:val="6E6F41F9"/>
    <w:rsid w:val="6E7823AC"/>
    <w:rsid w:val="6E785076"/>
    <w:rsid w:val="6E7B0AEA"/>
    <w:rsid w:val="6E7E2306"/>
    <w:rsid w:val="6E84411E"/>
    <w:rsid w:val="6E8801C7"/>
    <w:rsid w:val="6E8C6BB7"/>
    <w:rsid w:val="6E8C7780"/>
    <w:rsid w:val="6E8E2040"/>
    <w:rsid w:val="6E8F758B"/>
    <w:rsid w:val="6E9247C6"/>
    <w:rsid w:val="6E932D3B"/>
    <w:rsid w:val="6E99418E"/>
    <w:rsid w:val="6E9B29A7"/>
    <w:rsid w:val="6E9B4A59"/>
    <w:rsid w:val="6E9D1A95"/>
    <w:rsid w:val="6EA26A93"/>
    <w:rsid w:val="6EA67AE7"/>
    <w:rsid w:val="6EA74965"/>
    <w:rsid w:val="6EA929AE"/>
    <w:rsid w:val="6EAE2731"/>
    <w:rsid w:val="6EAE6B68"/>
    <w:rsid w:val="6EB41155"/>
    <w:rsid w:val="6EB51D11"/>
    <w:rsid w:val="6EB563D5"/>
    <w:rsid w:val="6EB83583"/>
    <w:rsid w:val="6EC404A5"/>
    <w:rsid w:val="6EC527E5"/>
    <w:rsid w:val="6EC625E0"/>
    <w:rsid w:val="6EC96D16"/>
    <w:rsid w:val="6ED25ADA"/>
    <w:rsid w:val="6ED3480C"/>
    <w:rsid w:val="6ED43C0F"/>
    <w:rsid w:val="6ED81FBE"/>
    <w:rsid w:val="6ED92677"/>
    <w:rsid w:val="6EE0016B"/>
    <w:rsid w:val="6EE07FAE"/>
    <w:rsid w:val="6EFC69C0"/>
    <w:rsid w:val="6EFC72F3"/>
    <w:rsid w:val="6F00379E"/>
    <w:rsid w:val="6F0532E4"/>
    <w:rsid w:val="6F053DC0"/>
    <w:rsid w:val="6F0B07EB"/>
    <w:rsid w:val="6F0B1575"/>
    <w:rsid w:val="6F134902"/>
    <w:rsid w:val="6F13705A"/>
    <w:rsid w:val="6F163D0D"/>
    <w:rsid w:val="6F1A48B6"/>
    <w:rsid w:val="6F225983"/>
    <w:rsid w:val="6F230DF1"/>
    <w:rsid w:val="6F2A544F"/>
    <w:rsid w:val="6F2F2F2F"/>
    <w:rsid w:val="6F334D6E"/>
    <w:rsid w:val="6F33772C"/>
    <w:rsid w:val="6F345978"/>
    <w:rsid w:val="6F365B54"/>
    <w:rsid w:val="6F3A0AB4"/>
    <w:rsid w:val="6F3F60CB"/>
    <w:rsid w:val="6F432DEE"/>
    <w:rsid w:val="6F4F39FE"/>
    <w:rsid w:val="6F513115"/>
    <w:rsid w:val="6F5404DF"/>
    <w:rsid w:val="6F556565"/>
    <w:rsid w:val="6F5D5646"/>
    <w:rsid w:val="6F5D6CE6"/>
    <w:rsid w:val="6F6B0570"/>
    <w:rsid w:val="6F7052D5"/>
    <w:rsid w:val="6F70532F"/>
    <w:rsid w:val="6F71097A"/>
    <w:rsid w:val="6F7721ED"/>
    <w:rsid w:val="6F79782E"/>
    <w:rsid w:val="6F7D2B0B"/>
    <w:rsid w:val="6F8207A9"/>
    <w:rsid w:val="6F8734B8"/>
    <w:rsid w:val="6F8A37EA"/>
    <w:rsid w:val="6F8C7562"/>
    <w:rsid w:val="6F920A5D"/>
    <w:rsid w:val="6F947E4B"/>
    <w:rsid w:val="6F9620E1"/>
    <w:rsid w:val="6F9644E5"/>
    <w:rsid w:val="6F9B291C"/>
    <w:rsid w:val="6FA03AA2"/>
    <w:rsid w:val="6FA24040"/>
    <w:rsid w:val="6FA32AFD"/>
    <w:rsid w:val="6FA63FD2"/>
    <w:rsid w:val="6FA86BE3"/>
    <w:rsid w:val="6FAB4091"/>
    <w:rsid w:val="6FAC19B2"/>
    <w:rsid w:val="6FAF56E3"/>
    <w:rsid w:val="6FAF69A3"/>
    <w:rsid w:val="6FB1521A"/>
    <w:rsid w:val="6FB16FC8"/>
    <w:rsid w:val="6FB42615"/>
    <w:rsid w:val="6FB71FE5"/>
    <w:rsid w:val="6FB858E5"/>
    <w:rsid w:val="6FBD596D"/>
    <w:rsid w:val="6FC00FB9"/>
    <w:rsid w:val="6FC23A9A"/>
    <w:rsid w:val="6FC833A6"/>
    <w:rsid w:val="6FCC766D"/>
    <w:rsid w:val="6FCF04BB"/>
    <w:rsid w:val="6FD64C81"/>
    <w:rsid w:val="6FE52991"/>
    <w:rsid w:val="6FE71D8E"/>
    <w:rsid w:val="6FEA4288"/>
    <w:rsid w:val="6FEE0C46"/>
    <w:rsid w:val="6FF7404E"/>
    <w:rsid w:val="6FF74C78"/>
    <w:rsid w:val="6FFC5590"/>
    <w:rsid w:val="7000585A"/>
    <w:rsid w:val="700417EE"/>
    <w:rsid w:val="700700DB"/>
    <w:rsid w:val="7008042E"/>
    <w:rsid w:val="70084B90"/>
    <w:rsid w:val="701052FB"/>
    <w:rsid w:val="70113F9C"/>
    <w:rsid w:val="701A60AC"/>
    <w:rsid w:val="701D01BA"/>
    <w:rsid w:val="701F76C7"/>
    <w:rsid w:val="7021199F"/>
    <w:rsid w:val="70343755"/>
    <w:rsid w:val="70370C3E"/>
    <w:rsid w:val="703A6FBE"/>
    <w:rsid w:val="703F15FF"/>
    <w:rsid w:val="70410459"/>
    <w:rsid w:val="70437090"/>
    <w:rsid w:val="704450C1"/>
    <w:rsid w:val="704936A5"/>
    <w:rsid w:val="704E2A69"/>
    <w:rsid w:val="70564E83"/>
    <w:rsid w:val="70683B8F"/>
    <w:rsid w:val="706C335A"/>
    <w:rsid w:val="706D1DD0"/>
    <w:rsid w:val="706D2210"/>
    <w:rsid w:val="70703B86"/>
    <w:rsid w:val="707324D0"/>
    <w:rsid w:val="70790109"/>
    <w:rsid w:val="707F5EB3"/>
    <w:rsid w:val="708117FF"/>
    <w:rsid w:val="7085475D"/>
    <w:rsid w:val="70856B87"/>
    <w:rsid w:val="708648FD"/>
    <w:rsid w:val="70870F7E"/>
    <w:rsid w:val="70877D29"/>
    <w:rsid w:val="70956C02"/>
    <w:rsid w:val="70A14980"/>
    <w:rsid w:val="70AC7790"/>
    <w:rsid w:val="70B16AF1"/>
    <w:rsid w:val="70B974B8"/>
    <w:rsid w:val="70BF7699"/>
    <w:rsid w:val="70C1148D"/>
    <w:rsid w:val="70C74299"/>
    <w:rsid w:val="70C9335B"/>
    <w:rsid w:val="70CA64E3"/>
    <w:rsid w:val="70CE22DC"/>
    <w:rsid w:val="70D10E8D"/>
    <w:rsid w:val="70D25448"/>
    <w:rsid w:val="70D527EE"/>
    <w:rsid w:val="70DC1E23"/>
    <w:rsid w:val="70DF7A21"/>
    <w:rsid w:val="70E5151D"/>
    <w:rsid w:val="70E550D8"/>
    <w:rsid w:val="70E74029"/>
    <w:rsid w:val="70EE0E01"/>
    <w:rsid w:val="70F062C8"/>
    <w:rsid w:val="70F25AEA"/>
    <w:rsid w:val="70F51302"/>
    <w:rsid w:val="70F80C27"/>
    <w:rsid w:val="71061D08"/>
    <w:rsid w:val="710627A7"/>
    <w:rsid w:val="710C3282"/>
    <w:rsid w:val="710F0051"/>
    <w:rsid w:val="711041C2"/>
    <w:rsid w:val="711139C0"/>
    <w:rsid w:val="711461F7"/>
    <w:rsid w:val="71162632"/>
    <w:rsid w:val="7117114A"/>
    <w:rsid w:val="711B3242"/>
    <w:rsid w:val="711E068D"/>
    <w:rsid w:val="711E06D5"/>
    <w:rsid w:val="711F1A8A"/>
    <w:rsid w:val="7120576D"/>
    <w:rsid w:val="71211F2C"/>
    <w:rsid w:val="71266A68"/>
    <w:rsid w:val="71280B0D"/>
    <w:rsid w:val="712832BA"/>
    <w:rsid w:val="712B4B58"/>
    <w:rsid w:val="712D7FF1"/>
    <w:rsid w:val="713217AE"/>
    <w:rsid w:val="7141369D"/>
    <w:rsid w:val="714479A3"/>
    <w:rsid w:val="714A1702"/>
    <w:rsid w:val="714A3CFE"/>
    <w:rsid w:val="71551100"/>
    <w:rsid w:val="71597917"/>
    <w:rsid w:val="715B5300"/>
    <w:rsid w:val="715C63CB"/>
    <w:rsid w:val="71643A1B"/>
    <w:rsid w:val="71653DD0"/>
    <w:rsid w:val="71680CCE"/>
    <w:rsid w:val="71696AEF"/>
    <w:rsid w:val="716B764B"/>
    <w:rsid w:val="71743BA7"/>
    <w:rsid w:val="7177570A"/>
    <w:rsid w:val="7178644A"/>
    <w:rsid w:val="717B17D0"/>
    <w:rsid w:val="717D3EDF"/>
    <w:rsid w:val="71930F83"/>
    <w:rsid w:val="71942241"/>
    <w:rsid w:val="71976470"/>
    <w:rsid w:val="71984D9D"/>
    <w:rsid w:val="71994F66"/>
    <w:rsid w:val="719C3E76"/>
    <w:rsid w:val="71A0700E"/>
    <w:rsid w:val="71A146B9"/>
    <w:rsid w:val="71AA5199"/>
    <w:rsid w:val="71AB2526"/>
    <w:rsid w:val="71B21502"/>
    <w:rsid w:val="71B35335"/>
    <w:rsid w:val="71B44B4E"/>
    <w:rsid w:val="71B44EF4"/>
    <w:rsid w:val="71B9563B"/>
    <w:rsid w:val="71BC1C54"/>
    <w:rsid w:val="71C1726B"/>
    <w:rsid w:val="71CC23C9"/>
    <w:rsid w:val="71CD480E"/>
    <w:rsid w:val="71CD79BE"/>
    <w:rsid w:val="71D20FFC"/>
    <w:rsid w:val="71D26999"/>
    <w:rsid w:val="71D27F8A"/>
    <w:rsid w:val="71D34630"/>
    <w:rsid w:val="71D46371"/>
    <w:rsid w:val="71D60840"/>
    <w:rsid w:val="71D818AE"/>
    <w:rsid w:val="71D8670E"/>
    <w:rsid w:val="71DE712E"/>
    <w:rsid w:val="71E202F1"/>
    <w:rsid w:val="71EE60FA"/>
    <w:rsid w:val="71F15DA2"/>
    <w:rsid w:val="71F4277A"/>
    <w:rsid w:val="71F820B5"/>
    <w:rsid w:val="71FE401B"/>
    <w:rsid w:val="72103DDB"/>
    <w:rsid w:val="72132A22"/>
    <w:rsid w:val="72133CEE"/>
    <w:rsid w:val="72141A90"/>
    <w:rsid w:val="72161365"/>
    <w:rsid w:val="72185D21"/>
    <w:rsid w:val="722241AD"/>
    <w:rsid w:val="7223012D"/>
    <w:rsid w:val="722417A6"/>
    <w:rsid w:val="722570FD"/>
    <w:rsid w:val="72275B9A"/>
    <w:rsid w:val="722A3062"/>
    <w:rsid w:val="72471F9B"/>
    <w:rsid w:val="724C2FD8"/>
    <w:rsid w:val="724E2BEB"/>
    <w:rsid w:val="72553024"/>
    <w:rsid w:val="72563E57"/>
    <w:rsid w:val="725D3437"/>
    <w:rsid w:val="725D7893"/>
    <w:rsid w:val="726174E8"/>
    <w:rsid w:val="7263685F"/>
    <w:rsid w:val="72650D64"/>
    <w:rsid w:val="7265540B"/>
    <w:rsid w:val="72676064"/>
    <w:rsid w:val="726861A6"/>
    <w:rsid w:val="726B5B54"/>
    <w:rsid w:val="726D5CD7"/>
    <w:rsid w:val="72726204"/>
    <w:rsid w:val="72730565"/>
    <w:rsid w:val="72795434"/>
    <w:rsid w:val="728A6AE6"/>
    <w:rsid w:val="7296688F"/>
    <w:rsid w:val="7298763E"/>
    <w:rsid w:val="72993C38"/>
    <w:rsid w:val="729A3DF9"/>
    <w:rsid w:val="729B0908"/>
    <w:rsid w:val="729B6A16"/>
    <w:rsid w:val="729C2FA4"/>
    <w:rsid w:val="729E4FDF"/>
    <w:rsid w:val="729E5396"/>
    <w:rsid w:val="72A43760"/>
    <w:rsid w:val="72A52B84"/>
    <w:rsid w:val="72A93357"/>
    <w:rsid w:val="72A97D1E"/>
    <w:rsid w:val="72BB015E"/>
    <w:rsid w:val="72BE1138"/>
    <w:rsid w:val="72C253CE"/>
    <w:rsid w:val="72D46FFE"/>
    <w:rsid w:val="72D6257F"/>
    <w:rsid w:val="72E0340B"/>
    <w:rsid w:val="72E25BD3"/>
    <w:rsid w:val="72E914B0"/>
    <w:rsid w:val="72EE22E1"/>
    <w:rsid w:val="72F26FB5"/>
    <w:rsid w:val="72F32D2A"/>
    <w:rsid w:val="72F739C1"/>
    <w:rsid w:val="72FC0C83"/>
    <w:rsid w:val="72FC7738"/>
    <w:rsid w:val="73026421"/>
    <w:rsid w:val="7305585B"/>
    <w:rsid w:val="730A51EB"/>
    <w:rsid w:val="730E78B7"/>
    <w:rsid w:val="73110402"/>
    <w:rsid w:val="73122968"/>
    <w:rsid w:val="73157CEE"/>
    <w:rsid w:val="73171838"/>
    <w:rsid w:val="731F5D5E"/>
    <w:rsid w:val="732270F2"/>
    <w:rsid w:val="732A02E2"/>
    <w:rsid w:val="7333140A"/>
    <w:rsid w:val="733749E1"/>
    <w:rsid w:val="73397A01"/>
    <w:rsid w:val="733A6CBD"/>
    <w:rsid w:val="733D0B73"/>
    <w:rsid w:val="733D31FE"/>
    <w:rsid w:val="733D5C01"/>
    <w:rsid w:val="733E505E"/>
    <w:rsid w:val="73420B05"/>
    <w:rsid w:val="734444C7"/>
    <w:rsid w:val="73461DDF"/>
    <w:rsid w:val="734903AA"/>
    <w:rsid w:val="734D65D7"/>
    <w:rsid w:val="73510E47"/>
    <w:rsid w:val="735144AF"/>
    <w:rsid w:val="73514702"/>
    <w:rsid w:val="73581848"/>
    <w:rsid w:val="73591F53"/>
    <w:rsid w:val="735C549D"/>
    <w:rsid w:val="735E0D88"/>
    <w:rsid w:val="73603154"/>
    <w:rsid w:val="736117C8"/>
    <w:rsid w:val="736D6845"/>
    <w:rsid w:val="73757B1C"/>
    <w:rsid w:val="737B3DFA"/>
    <w:rsid w:val="738203D7"/>
    <w:rsid w:val="73856365"/>
    <w:rsid w:val="738D412B"/>
    <w:rsid w:val="738E5DD3"/>
    <w:rsid w:val="739375BB"/>
    <w:rsid w:val="73940F13"/>
    <w:rsid w:val="73970092"/>
    <w:rsid w:val="73985263"/>
    <w:rsid w:val="739A5FC5"/>
    <w:rsid w:val="739E5758"/>
    <w:rsid w:val="73A2486D"/>
    <w:rsid w:val="73A429A0"/>
    <w:rsid w:val="73A63C95"/>
    <w:rsid w:val="73AD2380"/>
    <w:rsid w:val="73AF2063"/>
    <w:rsid w:val="73B96911"/>
    <w:rsid w:val="73C05A2C"/>
    <w:rsid w:val="73C07CFB"/>
    <w:rsid w:val="73C44AAA"/>
    <w:rsid w:val="73C51AD5"/>
    <w:rsid w:val="73CA18F0"/>
    <w:rsid w:val="73CD3FD5"/>
    <w:rsid w:val="73CF3EC1"/>
    <w:rsid w:val="73D645CE"/>
    <w:rsid w:val="73DA4614"/>
    <w:rsid w:val="73DA527B"/>
    <w:rsid w:val="73E36AFF"/>
    <w:rsid w:val="73E536E4"/>
    <w:rsid w:val="73E62FB9"/>
    <w:rsid w:val="73E66247"/>
    <w:rsid w:val="73E70144"/>
    <w:rsid w:val="73F531FC"/>
    <w:rsid w:val="73F8380B"/>
    <w:rsid w:val="7401085F"/>
    <w:rsid w:val="7401207A"/>
    <w:rsid w:val="74035919"/>
    <w:rsid w:val="74085CF5"/>
    <w:rsid w:val="74093EB5"/>
    <w:rsid w:val="741A7221"/>
    <w:rsid w:val="741E51F9"/>
    <w:rsid w:val="741E793C"/>
    <w:rsid w:val="74280EE2"/>
    <w:rsid w:val="7429083F"/>
    <w:rsid w:val="742E0FDD"/>
    <w:rsid w:val="74312A84"/>
    <w:rsid w:val="74316EF9"/>
    <w:rsid w:val="74317E69"/>
    <w:rsid w:val="743F7AFB"/>
    <w:rsid w:val="7444363C"/>
    <w:rsid w:val="74463A57"/>
    <w:rsid w:val="744A6D29"/>
    <w:rsid w:val="744C3764"/>
    <w:rsid w:val="744C72C0"/>
    <w:rsid w:val="744D11B3"/>
    <w:rsid w:val="744D3038"/>
    <w:rsid w:val="744F0B5E"/>
    <w:rsid w:val="744F5002"/>
    <w:rsid w:val="74526B16"/>
    <w:rsid w:val="745E21B1"/>
    <w:rsid w:val="745E3944"/>
    <w:rsid w:val="74602D44"/>
    <w:rsid w:val="74615D5D"/>
    <w:rsid w:val="74624D35"/>
    <w:rsid w:val="746B1B47"/>
    <w:rsid w:val="746E79C9"/>
    <w:rsid w:val="747131CA"/>
    <w:rsid w:val="7476258E"/>
    <w:rsid w:val="7479207F"/>
    <w:rsid w:val="747D4C59"/>
    <w:rsid w:val="748163B3"/>
    <w:rsid w:val="74880144"/>
    <w:rsid w:val="74895730"/>
    <w:rsid w:val="7491269B"/>
    <w:rsid w:val="7491561A"/>
    <w:rsid w:val="7492403D"/>
    <w:rsid w:val="74985672"/>
    <w:rsid w:val="7499627D"/>
    <w:rsid w:val="749C368D"/>
    <w:rsid w:val="749E3893"/>
    <w:rsid w:val="74A0695D"/>
    <w:rsid w:val="74A35848"/>
    <w:rsid w:val="74A4584B"/>
    <w:rsid w:val="74AC4F95"/>
    <w:rsid w:val="74AF5AA0"/>
    <w:rsid w:val="74AF5F64"/>
    <w:rsid w:val="74B408C4"/>
    <w:rsid w:val="74B9509F"/>
    <w:rsid w:val="74BB41DE"/>
    <w:rsid w:val="74BC6FD8"/>
    <w:rsid w:val="74C63631"/>
    <w:rsid w:val="74C6415A"/>
    <w:rsid w:val="74C64A2A"/>
    <w:rsid w:val="74C971BA"/>
    <w:rsid w:val="74CB7450"/>
    <w:rsid w:val="74D22D87"/>
    <w:rsid w:val="74D962FF"/>
    <w:rsid w:val="74DC42A7"/>
    <w:rsid w:val="74DF1EE2"/>
    <w:rsid w:val="74E67F82"/>
    <w:rsid w:val="74E86B35"/>
    <w:rsid w:val="74EC50A5"/>
    <w:rsid w:val="74ED7DB1"/>
    <w:rsid w:val="74EF47D7"/>
    <w:rsid w:val="74F0522C"/>
    <w:rsid w:val="74F05A04"/>
    <w:rsid w:val="74F177A5"/>
    <w:rsid w:val="74F57957"/>
    <w:rsid w:val="74F777E9"/>
    <w:rsid w:val="74F804D2"/>
    <w:rsid w:val="74F811F5"/>
    <w:rsid w:val="74F84F03"/>
    <w:rsid w:val="75032C31"/>
    <w:rsid w:val="750556C0"/>
    <w:rsid w:val="750758DC"/>
    <w:rsid w:val="75091332"/>
    <w:rsid w:val="750D4720"/>
    <w:rsid w:val="7513602F"/>
    <w:rsid w:val="75184B31"/>
    <w:rsid w:val="751C0E1C"/>
    <w:rsid w:val="751D6206"/>
    <w:rsid w:val="751F5B56"/>
    <w:rsid w:val="752244C4"/>
    <w:rsid w:val="75226272"/>
    <w:rsid w:val="75246CE8"/>
    <w:rsid w:val="752A13E6"/>
    <w:rsid w:val="752C7E1B"/>
    <w:rsid w:val="75350668"/>
    <w:rsid w:val="7535244A"/>
    <w:rsid w:val="753A2914"/>
    <w:rsid w:val="753C6A9F"/>
    <w:rsid w:val="7544268D"/>
    <w:rsid w:val="7545572E"/>
    <w:rsid w:val="754937FF"/>
    <w:rsid w:val="754B3A1B"/>
    <w:rsid w:val="75512BFB"/>
    <w:rsid w:val="7556718C"/>
    <w:rsid w:val="755C4C0E"/>
    <w:rsid w:val="756A067B"/>
    <w:rsid w:val="75735E87"/>
    <w:rsid w:val="75736ACE"/>
    <w:rsid w:val="75776C5E"/>
    <w:rsid w:val="75790627"/>
    <w:rsid w:val="758111EB"/>
    <w:rsid w:val="758141FF"/>
    <w:rsid w:val="758365B1"/>
    <w:rsid w:val="7584469F"/>
    <w:rsid w:val="758639D9"/>
    <w:rsid w:val="75885E22"/>
    <w:rsid w:val="758962F1"/>
    <w:rsid w:val="75921F4A"/>
    <w:rsid w:val="75925D97"/>
    <w:rsid w:val="75970A0E"/>
    <w:rsid w:val="759A34D3"/>
    <w:rsid w:val="759F4552"/>
    <w:rsid w:val="75A13889"/>
    <w:rsid w:val="75A36FFC"/>
    <w:rsid w:val="75AB6268"/>
    <w:rsid w:val="75AE3C69"/>
    <w:rsid w:val="75B47698"/>
    <w:rsid w:val="75B64AA5"/>
    <w:rsid w:val="75B74C0D"/>
    <w:rsid w:val="75B91551"/>
    <w:rsid w:val="75BB4988"/>
    <w:rsid w:val="75BE243F"/>
    <w:rsid w:val="75C22290"/>
    <w:rsid w:val="75C603D6"/>
    <w:rsid w:val="75C630A2"/>
    <w:rsid w:val="75C81696"/>
    <w:rsid w:val="75C93356"/>
    <w:rsid w:val="75CA311B"/>
    <w:rsid w:val="75CB10E1"/>
    <w:rsid w:val="75CD4BD9"/>
    <w:rsid w:val="75D0700A"/>
    <w:rsid w:val="75D07339"/>
    <w:rsid w:val="75D21A46"/>
    <w:rsid w:val="75D3193D"/>
    <w:rsid w:val="75D9236E"/>
    <w:rsid w:val="75E07949"/>
    <w:rsid w:val="75E377B2"/>
    <w:rsid w:val="75F605EE"/>
    <w:rsid w:val="76004806"/>
    <w:rsid w:val="76014690"/>
    <w:rsid w:val="7601722A"/>
    <w:rsid w:val="76062829"/>
    <w:rsid w:val="76102FF8"/>
    <w:rsid w:val="76106964"/>
    <w:rsid w:val="76143E0D"/>
    <w:rsid w:val="761958C7"/>
    <w:rsid w:val="761F2A62"/>
    <w:rsid w:val="7621477C"/>
    <w:rsid w:val="76245F4C"/>
    <w:rsid w:val="762521C9"/>
    <w:rsid w:val="763318EA"/>
    <w:rsid w:val="7633660A"/>
    <w:rsid w:val="7635099D"/>
    <w:rsid w:val="763E6C2C"/>
    <w:rsid w:val="76407C8A"/>
    <w:rsid w:val="76457E48"/>
    <w:rsid w:val="764A724A"/>
    <w:rsid w:val="764B340E"/>
    <w:rsid w:val="764D0B6D"/>
    <w:rsid w:val="764D7FCF"/>
    <w:rsid w:val="765C616D"/>
    <w:rsid w:val="765E32DA"/>
    <w:rsid w:val="765E55DC"/>
    <w:rsid w:val="76634520"/>
    <w:rsid w:val="76654669"/>
    <w:rsid w:val="76682FEA"/>
    <w:rsid w:val="766C4783"/>
    <w:rsid w:val="766D79C1"/>
    <w:rsid w:val="766F2B08"/>
    <w:rsid w:val="767223B8"/>
    <w:rsid w:val="76722C9F"/>
    <w:rsid w:val="76726933"/>
    <w:rsid w:val="767D7C04"/>
    <w:rsid w:val="768F16E6"/>
    <w:rsid w:val="769136B0"/>
    <w:rsid w:val="76930E73"/>
    <w:rsid w:val="769431A0"/>
    <w:rsid w:val="769B0B66"/>
    <w:rsid w:val="769E7B7B"/>
    <w:rsid w:val="76A50F09"/>
    <w:rsid w:val="76AA371E"/>
    <w:rsid w:val="76AC06A5"/>
    <w:rsid w:val="76AF2205"/>
    <w:rsid w:val="76C359FB"/>
    <w:rsid w:val="76C72366"/>
    <w:rsid w:val="76C84BF7"/>
    <w:rsid w:val="76D161A2"/>
    <w:rsid w:val="76D84C8B"/>
    <w:rsid w:val="76DF266D"/>
    <w:rsid w:val="76DF7CA3"/>
    <w:rsid w:val="76E01976"/>
    <w:rsid w:val="76E16ACA"/>
    <w:rsid w:val="76E26C18"/>
    <w:rsid w:val="76E3671C"/>
    <w:rsid w:val="76E41B1C"/>
    <w:rsid w:val="76EC08C1"/>
    <w:rsid w:val="76F37EC6"/>
    <w:rsid w:val="76F453D0"/>
    <w:rsid w:val="76F70C2B"/>
    <w:rsid w:val="76F8557C"/>
    <w:rsid w:val="76F94835"/>
    <w:rsid w:val="76FC7987"/>
    <w:rsid w:val="770025E3"/>
    <w:rsid w:val="77046AEB"/>
    <w:rsid w:val="77062CE6"/>
    <w:rsid w:val="77081A52"/>
    <w:rsid w:val="770839E9"/>
    <w:rsid w:val="770E3DDF"/>
    <w:rsid w:val="77101B8D"/>
    <w:rsid w:val="7710270E"/>
    <w:rsid w:val="77114C99"/>
    <w:rsid w:val="771468A8"/>
    <w:rsid w:val="77146D05"/>
    <w:rsid w:val="771A438B"/>
    <w:rsid w:val="771A5453"/>
    <w:rsid w:val="771C242B"/>
    <w:rsid w:val="771E40D8"/>
    <w:rsid w:val="771F6898"/>
    <w:rsid w:val="77212417"/>
    <w:rsid w:val="772649A0"/>
    <w:rsid w:val="772A78E5"/>
    <w:rsid w:val="772D2DD4"/>
    <w:rsid w:val="7731292C"/>
    <w:rsid w:val="77322B45"/>
    <w:rsid w:val="773C1B93"/>
    <w:rsid w:val="773F4EBA"/>
    <w:rsid w:val="774460FD"/>
    <w:rsid w:val="77482739"/>
    <w:rsid w:val="774921DC"/>
    <w:rsid w:val="77493F8A"/>
    <w:rsid w:val="77497B36"/>
    <w:rsid w:val="774A3FE2"/>
    <w:rsid w:val="774D4023"/>
    <w:rsid w:val="77500219"/>
    <w:rsid w:val="77640DC4"/>
    <w:rsid w:val="776C077E"/>
    <w:rsid w:val="77725AF6"/>
    <w:rsid w:val="77752FD1"/>
    <w:rsid w:val="77762421"/>
    <w:rsid w:val="77811976"/>
    <w:rsid w:val="778605A9"/>
    <w:rsid w:val="7786668C"/>
    <w:rsid w:val="778967D1"/>
    <w:rsid w:val="778E7BEF"/>
    <w:rsid w:val="779034DB"/>
    <w:rsid w:val="7792125E"/>
    <w:rsid w:val="77936927"/>
    <w:rsid w:val="779F5E92"/>
    <w:rsid w:val="77A45CA1"/>
    <w:rsid w:val="77A905D8"/>
    <w:rsid w:val="77AB07A1"/>
    <w:rsid w:val="77B202AA"/>
    <w:rsid w:val="77B26EC0"/>
    <w:rsid w:val="77B56B1F"/>
    <w:rsid w:val="77BA4E88"/>
    <w:rsid w:val="77BB700C"/>
    <w:rsid w:val="77BD2F21"/>
    <w:rsid w:val="77BF424C"/>
    <w:rsid w:val="77C0257D"/>
    <w:rsid w:val="77C36F28"/>
    <w:rsid w:val="77C4654B"/>
    <w:rsid w:val="77CA2AA6"/>
    <w:rsid w:val="77CD2513"/>
    <w:rsid w:val="77CE2807"/>
    <w:rsid w:val="77D904E3"/>
    <w:rsid w:val="77D917F3"/>
    <w:rsid w:val="77D9543F"/>
    <w:rsid w:val="77DB45DB"/>
    <w:rsid w:val="77DB6DBF"/>
    <w:rsid w:val="77DC4B79"/>
    <w:rsid w:val="77DE2D9D"/>
    <w:rsid w:val="77E3333B"/>
    <w:rsid w:val="77E72FE7"/>
    <w:rsid w:val="77F1034C"/>
    <w:rsid w:val="77F11FD5"/>
    <w:rsid w:val="77F2691B"/>
    <w:rsid w:val="77F4039A"/>
    <w:rsid w:val="77F64BF4"/>
    <w:rsid w:val="77FA0E48"/>
    <w:rsid w:val="77FB658A"/>
    <w:rsid w:val="77FC6C6C"/>
    <w:rsid w:val="77FF1BE5"/>
    <w:rsid w:val="7801465E"/>
    <w:rsid w:val="78021C8C"/>
    <w:rsid w:val="780D1AF5"/>
    <w:rsid w:val="780F09F4"/>
    <w:rsid w:val="78104057"/>
    <w:rsid w:val="781221CB"/>
    <w:rsid w:val="78145524"/>
    <w:rsid w:val="781C2FB6"/>
    <w:rsid w:val="7822718A"/>
    <w:rsid w:val="78275C19"/>
    <w:rsid w:val="78300CA6"/>
    <w:rsid w:val="78336520"/>
    <w:rsid w:val="78363C17"/>
    <w:rsid w:val="78372035"/>
    <w:rsid w:val="783B13B7"/>
    <w:rsid w:val="783E5890"/>
    <w:rsid w:val="783F0690"/>
    <w:rsid w:val="78420B3F"/>
    <w:rsid w:val="78431599"/>
    <w:rsid w:val="78443FA1"/>
    <w:rsid w:val="78450BF6"/>
    <w:rsid w:val="7849253A"/>
    <w:rsid w:val="78496713"/>
    <w:rsid w:val="784C1F84"/>
    <w:rsid w:val="785023CC"/>
    <w:rsid w:val="785C10B6"/>
    <w:rsid w:val="785F1ED9"/>
    <w:rsid w:val="787024D6"/>
    <w:rsid w:val="78706B5A"/>
    <w:rsid w:val="78716C1D"/>
    <w:rsid w:val="787314A9"/>
    <w:rsid w:val="78741052"/>
    <w:rsid w:val="78744D57"/>
    <w:rsid w:val="787F03E1"/>
    <w:rsid w:val="788259A6"/>
    <w:rsid w:val="78835B78"/>
    <w:rsid w:val="78877B7E"/>
    <w:rsid w:val="788A485A"/>
    <w:rsid w:val="788F0D46"/>
    <w:rsid w:val="789236C2"/>
    <w:rsid w:val="78964FAD"/>
    <w:rsid w:val="78970987"/>
    <w:rsid w:val="78A133FC"/>
    <w:rsid w:val="78A609C8"/>
    <w:rsid w:val="78A7540C"/>
    <w:rsid w:val="78A82F32"/>
    <w:rsid w:val="78A90480"/>
    <w:rsid w:val="78AA5C9B"/>
    <w:rsid w:val="78B60BF2"/>
    <w:rsid w:val="78B930D3"/>
    <w:rsid w:val="78BF3ED6"/>
    <w:rsid w:val="78C0027C"/>
    <w:rsid w:val="78D83818"/>
    <w:rsid w:val="78D84C21"/>
    <w:rsid w:val="78E07A9F"/>
    <w:rsid w:val="78E16960"/>
    <w:rsid w:val="78F14056"/>
    <w:rsid w:val="78F50C83"/>
    <w:rsid w:val="78F64EC7"/>
    <w:rsid w:val="78F86230"/>
    <w:rsid w:val="78F9378E"/>
    <w:rsid w:val="78F93F1C"/>
    <w:rsid w:val="78F97566"/>
    <w:rsid w:val="7900351B"/>
    <w:rsid w:val="790142EB"/>
    <w:rsid w:val="79092014"/>
    <w:rsid w:val="790D0502"/>
    <w:rsid w:val="790D23AC"/>
    <w:rsid w:val="790F4F76"/>
    <w:rsid w:val="79142376"/>
    <w:rsid w:val="791A4C70"/>
    <w:rsid w:val="791D122B"/>
    <w:rsid w:val="792230BA"/>
    <w:rsid w:val="79230F4E"/>
    <w:rsid w:val="79277C94"/>
    <w:rsid w:val="792D6319"/>
    <w:rsid w:val="792F43E6"/>
    <w:rsid w:val="7931626F"/>
    <w:rsid w:val="79370512"/>
    <w:rsid w:val="793F4667"/>
    <w:rsid w:val="79420C91"/>
    <w:rsid w:val="79425135"/>
    <w:rsid w:val="79450781"/>
    <w:rsid w:val="79515378"/>
    <w:rsid w:val="795217FC"/>
    <w:rsid w:val="795565B0"/>
    <w:rsid w:val="795A422D"/>
    <w:rsid w:val="795C56CD"/>
    <w:rsid w:val="795D5ACB"/>
    <w:rsid w:val="79641194"/>
    <w:rsid w:val="79672D06"/>
    <w:rsid w:val="796877B0"/>
    <w:rsid w:val="796C7BDE"/>
    <w:rsid w:val="796F773C"/>
    <w:rsid w:val="797352EE"/>
    <w:rsid w:val="7975450A"/>
    <w:rsid w:val="797626B5"/>
    <w:rsid w:val="79793A93"/>
    <w:rsid w:val="797C1397"/>
    <w:rsid w:val="7985466B"/>
    <w:rsid w:val="7987231D"/>
    <w:rsid w:val="7990528E"/>
    <w:rsid w:val="7997464C"/>
    <w:rsid w:val="79994410"/>
    <w:rsid w:val="799D054B"/>
    <w:rsid w:val="799E680F"/>
    <w:rsid w:val="79A00B63"/>
    <w:rsid w:val="79A1483C"/>
    <w:rsid w:val="79A656C4"/>
    <w:rsid w:val="79AB460C"/>
    <w:rsid w:val="79AE4579"/>
    <w:rsid w:val="79B02630"/>
    <w:rsid w:val="79C171A2"/>
    <w:rsid w:val="79CA0257"/>
    <w:rsid w:val="79CF1185"/>
    <w:rsid w:val="79CF72D6"/>
    <w:rsid w:val="79D102FB"/>
    <w:rsid w:val="79D344C4"/>
    <w:rsid w:val="79D74F47"/>
    <w:rsid w:val="79DE44A3"/>
    <w:rsid w:val="79E42194"/>
    <w:rsid w:val="79EA6628"/>
    <w:rsid w:val="79F77566"/>
    <w:rsid w:val="79FA01BD"/>
    <w:rsid w:val="7A017666"/>
    <w:rsid w:val="7A025170"/>
    <w:rsid w:val="7A0348C4"/>
    <w:rsid w:val="7A06243E"/>
    <w:rsid w:val="7A0767B3"/>
    <w:rsid w:val="7A0802D6"/>
    <w:rsid w:val="7A0917AF"/>
    <w:rsid w:val="7A094B26"/>
    <w:rsid w:val="7A0A78C5"/>
    <w:rsid w:val="7A0F4CBD"/>
    <w:rsid w:val="7A0F68E8"/>
    <w:rsid w:val="7A100D8F"/>
    <w:rsid w:val="7A130334"/>
    <w:rsid w:val="7A1363B1"/>
    <w:rsid w:val="7A1563A6"/>
    <w:rsid w:val="7A1E34AC"/>
    <w:rsid w:val="7A1F4415"/>
    <w:rsid w:val="7A28257D"/>
    <w:rsid w:val="7A2B5BC9"/>
    <w:rsid w:val="7A2D3D42"/>
    <w:rsid w:val="7A2E6E3E"/>
    <w:rsid w:val="7A351ED1"/>
    <w:rsid w:val="7A364017"/>
    <w:rsid w:val="7A3C05DC"/>
    <w:rsid w:val="7A421B50"/>
    <w:rsid w:val="7A444A03"/>
    <w:rsid w:val="7A44638C"/>
    <w:rsid w:val="7A447390"/>
    <w:rsid w:val="7A4858D7"/>
    <w:rsid w:val="7A4B3405"/>
    <w:rsid w:val="7A4C2F56"/>
    <w:rsid w:val="7A521D9F"/>
    <w:rsid w:val="7A594FBA"/>
    <w:rsid w:val="7A5D0D6A"/>
    <w:rsid w:val="7A6064F0"/>
    <w:rsid w:val="7A691FFF"/>
    <w:rsid w:val="7A6A18E3"/>
    <w:rsid w:val="7A6D7C9A"/>
    <w:rsid w:val="7A793BFF"/>
    <w:rsid w:val="7A7D1BEA"/>
    <w:rsid w:val="7A8075AB"/>
    <w:rsid w:val="7A8265E1"/>
    <w:rsid w:val="7A86628F"/>
    <w:rsid w:val="7A887326"/>
    <w:rsid w:val="7A8A21DE"/>
    <w:rsid w:val="7A8A5F45"/>
    <w:rsid w:val="7A923C0B"/>
    <w:rsid w:val="7A933547"/>
    <w:rsid w:val="7A9720EF"/>
    <w:rsid w:val="7A973EC3"/>
    <w:rsid w:val="7A97500D"/>
    <w:rsid w:val="7AA80FC8"/>
    <w:rsid w:val="7AA8546C"/>
    <w:rsid w:val="7AAA3EF0"/>
    <w:rsid w:val="7AAC6D0A"/>
    <w:rsid w:val="7AB83901"/>
    <w:rsid w:val="7ABB16D4"/>
    <w:rsid w:val="7ABB480C"/>
    <w:rsid w:val="7AC2652D"/>
    <w:rsid w:val="7AC3318A"/>
    <w:rsid w:val="7AC54B3A"/>
    <w:rsid w:val="7AC80A67"/>
    <w:rsid w:val="7ACD6C80"/>
    <w:rsid w:val="7ACE638F"/>
    <w:rsid w:val="7AD24297"/>
    <w:rsid w:val="7AD52E64"/>
    <w:rsid w:val="7AD87AFF"/>
    <w:rsid w:val="7AD902A9"/>
    <w:rsid w:val="7ADB2483"/>
    <w:rsid w:val="7ADD6346"/>
    <w:rsid w:val="7ADF03C6"/>
    <w:rsid w:val="7AE9326F"/>
    <w:rsid w:val="7AEC178B"/>
    <w:rsid w:val="7AEF4221"/>
    <w:rsid w:val="7AF71777"/>
    <w:rsid w:val="7AFE32DE"/>
    <w:rsid w:val="7B084597"/>
    <w:rsid w:val="7B1231E7"/>
    <w:rsid w:val="7B137830"/>
    <w:rsid w:val="7B21030F"/>
    <w:rsid w:val="7B216E13"/>
    <w:rsid w:val="7B2767B6"/>
    <w:rsid w:val="7B292109"/>
    <w:rsid w:val="7B2F3DB0"/>
    <w:rsid w:val="7B306E01"/>
    <w:rsid w:val="7B3071E3"/>
    <w:rsid w:val="7B354F51"/>
    <w:rsid w:val="7B3876D4"/>
    <w:rsid w:val="7B3939F9"/>
    <w:rsid w:val="7B3A2568"/>
    <w:rsid w:val="7B3E48AE"/>
    <w:rsid w:val="7B41089B"/>
    <w:rsid w:val="7B41739F"/>
    <w:rsid w:val="7B43102F"/>
    <w:rsid w:val="7B4319D2"/>
    <w:rsid w:val="7B446F42"/>
    <w:rsid w:val="7B4E7DC1"/>
    <w:rsid w:val="7B4F4192"/>
    <w:rsid w:val="7B562B82"/>
    <w:rsid w:val="7B5675F2"/>
    <w:rsid w:val="7B585BC0"/>
    <w:rsid w:val="7B5908A1"/>
    <w:rsid w:val="7B5A5D01"/>
    <w:rsid w:val="7B60260A"/>
    <w:rsid w:val="7B62386D"/>
    <w:rsid w:val="7B63486A"/>
    <w:rsid w:val="7B686D42"/>
    <w:rsid w:val="7B6B24B3"/>
    <w:rsid w:val="7B6C08C5"/>
    <w:rsid w:val="7B6E1FF1"/>
    <w:rsid w:val="7B6F1AE6"/>
    <w:rsid w:val="7B7610C6"/>
    <w:rsid w:val="7B841746"/>
    <w:rsid w:val="7B8437E3"/>
    <w:rsid w:val="7B895106"/>
    <w:rsid w:val="7B900EAA"/>
    <w:rsid w:val="7B936C71"/>
    <w:rsid w:val="7B96326E"/>
    <w:rsid w:val="7B990096"/>
    <w:rsid w:val="7B990C8B"/>
    <w:rsid w:val="7B9B559A"/>
    <w:rsid w:val="7B9C1851"/>
    <w:rsid w:val="7B9E0FB0"/>
    <w:rsid w:val="7BA5675C"/>
    <w:rsid w:val="7BA95692"/>
    <w:rsid w:val="7BB5399C"/>
    <w:rsid w:val="7BB7505F"/>
    <w:rsid w:val="7BB84443"/>
    <w:rsid w:val="7BBD1A63"/>
    <w:rsid w:val="7BBE2454"/>
    <w:rsid w:val="7BC0094F"/>
    <w:rsid w:val="7BC249B6"/>
    <w:rsid w:val="7BC727FD"/>
    <w:rsid w:val="7BC751BB"/>
    <w:rsid w:val="7BCA40F3"/>
    <w:rsid w:val="7BD00A8D"/>
    <w:rsid w:val="7BD22B9E"/>
    <w:rsid w:val="7BD51572"/>
    <w:rsid w:val="7BD735E7"/>
    <w:rsid w:val="7BD94A98"/>
    <w:rsid w:val="7BDB59A5"/>
    <w:rsid w:val="7BEB3A70"/>
    <w:rsid w:val="7BF2699E"/>
    <w:rsid w:val="7BF91A4F"/>
    <w:rsid w:val="7BFA1CF7"/>
    <w:rsid w:val="7BFA2795"/>
    <w:rsid w:val="7C002710"/>
    <w:rsid w:val="7C0A6065"/>
    <w:rsid w:val="7C0E0E6F"/>
    <w:rsid w:val="7C21790C"/>
    <w:rsid w:val="7C2657AE"/>
    <w:rsid w:val="7C296E57"/>
    <w:rsid w:val="7C297725"/>
    <w:rsid w:val="7C330B6A"/>
    <w:rsid w:val="7C365840"/>
    <w:rsid w:val="7C3B41B6"/>
    <w:rsid w:val="7C4C714D"/>
    <w:rsid w:val="7C4D2AD3"/>
    <w:rsid w:val="7C4E2B5A"/>
    <w:rsid w:val="7C5238E1"/>
    <w:rsid w:val="7C5602E7"/>
    <w:rsid w:val="7C5B0F10"/>
    <w:rsid w:val="7C5D7098"/>
    <w:rsid w:val="7C66738C"/>
    <w:rsid w:val="7C6C5AC7"/>
    <w:rsid w:val="7C831EDA"/>
    <w:rsid w:val="7C8948CF"/>
    <w:rsid w:val="7C9457CA"/>
    <w:rsid w:val="7CA66B3C"/>
    <w:rsid w:val="7CA83501"/>
    <w:rsid w:val="7CA96B1F"/>
    <w:rsid w:val="7CAA23C8"/>
    <w:rsid w:val="7CAD130B"/>
    <w:rsid w:val="7CAD1699"/>
    <w:rsid w:val="7CAE25B0"/>
    <w:rsid w:val="7CB24380"/>
    <w:rsid w:val="7CB348D5"/>
    <w:rsid w:val="7CBB4320"/>
    <w:rsid w:val="7CBB752B"/>
    <w:rsid w:val="7CBF4511"/>
    <w:rsid w:val="7CC55395"/>
    <w:rsid w:val="7CC6544B"/>
    <w:rsid w:val="7CCC4643"/>
    <w:rsid w:val="7CD50D6E"/>
    <w:rsid w:val="7CD73DE6"/>
    <w:rsid w:val="7CD85044"/>
    <w:rsid w:val="7CE81B50"/>
    <w:rsid w:val="7CEA39DE"/>
    <w:rsid w:val="7CEC286B"/>
    <w:rsid w:val="7CED0B37"/>
    <w:rsid w:val="7CF315E4"/>
    <w:rsid w:val="7CF86DD3"/>
    <w:rsid w:val="7CF9121A"/>
    <w:rsid w:val="7CFA6D32"/>
    <w:rsid w:val="7CFB7AD5"/>
    <w:rsid w:val="7CFE1801"/>
    <w:rsid w:val="7CFE3353"/>
    <w:rsid w:val="7D0239FF"/>
    <w:rsid w:val="7D036989"/>
    <w:rsid w:val="7D096FD3"/>
    <w:rsid w:val="7D0A3EEF"/>
    <w:rsid w:val="7D0E475B"/>
    <w:rsid w:val="7D1172F8"/>
    <w:rsid w:val="7D12583B"/>
    <w:rsid w:val="7D1B0200"/>
    <w:rsid w:val="7D1B1B51"/>
    <w:rsid w:val="7D203894"/>
    <w:rsid w:val="7D23702C"/>
    <w:rsid w:val="7D2420E5"/>
    <w:rsid w:val="7D2C5EE0"/>
    <w:rsid w:val="7D381811"/>
    <w:rsid w:val="7D3C5597"/>
    <w:rsid w:val="7D425138"/>
    <w:rsid w:val="7D436303"/>
    <w:rsid w:val="7D4460EE"/>
    <w:rsid w:val="7D4E5CEF"/>
    <w:rsid w:val="7D545437"/>
    <w:rsid w:val="7D5D6439"/>
    <w:rsid w:val="7D5E40CD"/>
    <w:rsid w:val="7D5F1010"/>
    <w:rsid w:val="7D620E06"/>
    <w:rsid w:val="7D653FBF"/>
    <w:rsid w:val="7D6745BE"/>
    <w:rsid w:val="7D6B2EAC"/>
    <w:rsid w:val="7D6D7626"/>
    <w:rsid w:val="7D7004C3"/>
    <w:rsid w:val="7D733B0F"/>
    <w:rsid w:val="7D746F86"/>
    <w:rsid w:val="7D7E4262"/>
    <w:rsid w:val="7D7F30B7"/>
    <w:rsid w:val="7D893333"/>
    <w:rsid w:val="7D8B35E7"/>
    <w:rsid w:val="7D8E0949"/>
    <w:rsid w:val="7D8E41C8"/>
    <w:rsid w:val="7D8F08A2"/>
    <w:rsid w:val="7D941494"/>
    <w:rsid w:val="7D943A85"/>
    <w:rsid w:val="7D981E4B"/>
    <w:rsid w:val="7D9D72AA"/>
    <w:rsid w:val="7D9E1398"/>
    <w:rsid w:val="7DA75F7C"/>
    <w:rsid w:val="7DAB06E7"/>
    <w:rsid w:val="7DAF1D51"/>
    <w:rsid w:val="7DB36601"/>
    <w:rsid w:val="7DB41FA4"/>
    <w:rsid w:val="7DC12ACC"/>
    <w:rsid w:val="7DC67687"/>
    <w:rsid w:val="7DC830D1"/>
    <w:rsid w:val="7DCC5D1B"/>
    <w:rsid w:val="7DCD56F2"/>
    <w:rsid w:val="7DD00F61"/>
    <w:rsid w:val="7DD520D4"/>
    <w:rsid w:val="7DD547CA"/>
    <w:rsid w:val="7DDF2F52"/>
    <w:rsid w:val="7DE02708"/>
    <w:rsid w:val="7DEC3325"/>
    <w:rsid w:val="7DF10D19"/>
    <w:rsid w:val="7DF46C2E"/>
    <w:rsid w:val="7DF97505"/>
    <w:rsid w:val="7DFD7FD6"/>
    <w:rsid w:val="7E01187E"/>
    <w:rsid w:val="7E01736D"/>
    <w:rsid w:val="7E0367F1"/>
    <w:rsid w:val="7E06007C"/>
    <w:rsid w:val="7E0806FB"/>
    <w:rsid w:val="7E0B4571"/>
    <w:rsid w:val="7E0C2283"/>
    <w:rsid w:val="7E0C709E"/>
    <w:rsid w:val="7E1C6947"/>
    <w:rsid w:val="7E1D083F"/>
    <w:rsid w:val="7E1E62AB"/>
    <w:rsid w:val="7E1F77F3"/>
    <w:rsid w:val="7E2766A8"/>
    <w:rsid w:val="7E2A4E40"/>
    <w:rsid w:val="7E307C52"/>
    <w:rsid w:val="7E332D7B"/>
    <w:rsid w:val="7E396A3A"/>
    <w:rsid w:val="7E434229"/>
    <w:rsid w:val="7E4A75E6"/>
    <w:rsid w:val="7E4B05E8"/>
    <w:rsid w:val="7E521976"/>
    <w:rsid w:val="7E5751DF"/>
    <w:rsid w:val="7E576F8D"/>
    <w:rsid w:val="7E631DD5"/>
    <w:rsid w:val="7E687E32"/>
    <w:rsid w:val="7E6B526A"/>
    <w:rsid w:val="7E6D4A02"/>
    <w:rsid w:val="7E6E2410"/>
    <w:rsid w:val="7E7004AB"/>
    <w:rsid w:val="7E783F94"/>
    <w:rsid w:val="7E7A41CB"/>
    <w:rsid w:val="7E7A4EFE"/>
    <w:rsid w:val="7E7B3028"/>
    <w:rsid w:val="7E826B8A"/>
    <w:rsid w:val="7E826F03"/>
    <w:rsid w:val="7E8835EA"/>
    <w:rsid w:val="7E8979F2"/>
    <w:rsid w:val="7E977CD1"/>
    <w:rsid w:val="7E9957F7"/>
    <w:rsid w:val="7E9959A1"/>
    <w:rsid w:val="7E9975A5"/>
    <w:rsid w:val="7EA40F5F"/>
    <w:rsid w:val="7EA53F92"/>
    <w:rsid w:val="7EA97FD9"/>
    <w:rsid w:val="7EAE290A"/>
    <w:rsid w:val="7EAF698D"/>
    <w:rsid w:val="7EB44ABC"/>
    <w:rsid w:val="7EBA7409"/>
    <w:rsid w:val="7EC14D4E"/>
    <w:rsid w:val="7EC9775F"/>
    <w:rsid w:val="7ECB34D7"/>
    <w:rsid w:val="7ED00613"/>
    <w:rsid w:val="7ED22AB7"/>
    <w:rsid w:val="7ED33AA8"/>
    <w:rsid w:val="7ED46523"/>
    <w:rsid w:val="7EDF6EAB"/>
    <w:rsid w:val="7EE024F2"/>
    <w:rsid w:val="7EE31880"/>
    <w:rsid w:val="7EE44A90"/>
    <w:rsid w:val="7EE468F0"/>
    <w:rsid w:val="7EE50A3C"/>
    <w:rsid w:val="7EE734D6"/>
    <w:rsid w:val="7EF10F85"/>
    <w:rsid w:val="7EF6469C"/>
    <w:rsid w:val="7EF662D2"/>
    <w:rsid w:val="7EF72E63"/>
    <w:rsid w:val="7F001CE7"/>
    <w:rsid w:val="7F045E40"/>
    <w:rsid w:val="7F047EE8"/>
    <w:rsid w:val="7F0B0A5C"/>
    <w:rsid w:val="7F0E6C9D"/>
    <w:rsid w:val="7F0F4416"/>
    <w:rsid w:val="7F1C3214"/>
    <w:rsid w:val="7F205BD1"/>
    <w:rsid w:val="7F212F6F"/>
    <w:rsid w:val="7F214266"/>
    <w:rsid w:val="7F233313"/>
    <w:rsid w:val="7F234754"/>
    <w:rsid w:val="7F29713D"/>
    <w:rsid w:val="7F2A5EAB"/>
    <w:rsid w:val="7F332188"/>
    <w:rsid w:val="7F361F5F"/>
    <w:rsid w:val="7F36425B"/>
    <w:rsid w:val="7F370B6C"/>
    <w:rsid w:val="7F3733AA"/>
    <w:rsid w:val="7F3961C1"/>
    <w:rsid w:val="7F3C4B6E"/>
    <w:rsid w:val="7F3E014D"/>
    <w:rsid w:val="7F4D5910"/>
    <w:rsid w:val="7F4F78D8"/>
    <w:rsid w:val="7F547A29"/>
    <w:rsid w:val="7F5802CF"/>
    <w:rsid w:val="7F590F0E"/>
    <w:rsid w:val="7F5E0E7E"/>
    <w:rsid w:val="7F6077DB"/>
    <w:rsid w:val="7F63660C"/>
    <w:rsid w:val="7F6C79DD"/>
    <w:rsid w:val="7F6D1DA4"/>
    <w:rsid w:val="7F6D27E0"/>
    <w:rsid w:val="7F6F6558"/>
    <w:rsid w:val="7F764EB2"/>
    <w:rsid w:val="7F775703"/>
    <w:rsid w:val="7F7E55CC"/>
    <w:rsid w:val="7F806511"/>
    <w:rsid w:val="7F815AD9"/>
    <w:rsid w:val="7F826405"/>
    <w:rsid w:val="7F8771E8"/>
    <w:rsid w:val="7F880337"/>
    <w:rsid w:val="7F8D7226"/>
    <w:rsid w:val="7F900BBB"/>
    <w:rsid w:val="7F981803"/>
    <w:rsid w:val="7F9D559A"/>
    <w:rsid w:val="7FA06711"/>
    <w:rsid w:val="7FA07929"/>
    <w:rsid w:val="7FA205F5"/>
    <w:rsid w:val="7FA4076E"/>
    <w:rsid w:val="7FAC155A"/>
    <w:rsid w:val="7FAC60B9"/>
    <w:rsid w:val="7FB011BC"/>
    <w:rsid w:val="7FC00039"/>
    <w:rsid w:val="7FC44CB1"/>
    <w:rsid w:val="7FD234F6"/>
    <w:rsid w:val="7FD26C67"/>
    <w:rsid w:val="7FDD2E1F"/>
    <w:rsid w:val="7FE048B0"/>
    <w:rsid w:val="7FE33E0F"/>
    <w:rsid w:val="7FE47E50"/>
    <w:rsid w:val="7FE72C89"/>
    <w:rsid w:val="7FE845CF"/>
    <w:rsid w:val="7FF01FCA"/>
    <w:rsid w:val="7FF802FC"/>
    <w:rsid w:val="7FF969CE"/>
    <w:rsid w:val="7FFA4074"/>
    <w:rsid w:val="7FFC0E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0" w:semiHidden="0" w:name="heading 2" w:locked="1"/>
    <w:lsdException w:qFormat="1" w:unhideWhenUsed="0" w:uiPriority="9" w:semiHidden="0" w:name="heading 3" w:locked="1"/>
    <w:lsdException w:qFormat="1" w:unhideWhenUsed="0" w:uiPriority="9" w:semiHidden="0" w:name="heading 4" w:locked="1"/>
    <w:lsdException w:qFormat="1" w:unhideWhenUsed="0" w:uiPriority="9"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qFormat="1" w:unhideWhenUsed="0" w:uiPriority="0" w:semiHidden="0" w:name="macro" w:locked="1"/>
    <w:lsdException w:qFormat="1"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11"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qFormat="1" w:uiPriority="99" w:semiHidden="0" w:name="Body Text Indent 2" w:locked="1"/>
    <w:lsdException w:qFormat="1" w:uiPriority="99" w:semiHidden="0" w:name="Body Text Indent 3" w:locked="1"/>
    <w:lsdException w:unhideWhenUsed="0" w:uiPriority="0" w:semiHidden="0" w:name="Block Text" w:locked="1"/>
    <w:lsdException w:qFormat="1" w:unhideWhenUsed="0" w:uiPriority="99" w:semiHidden="0" w:name="Hyperlink" w:locked="1"/>
    <w:lsdException w:qFormat="1" w:uiPriority="99" w:semiHidden="0" w:name="FollowedHyperlink" w:locked="1"/>
    <w:lsdException w:qFormat="1" w:unhideWhenUsed="0" w:uiPriority="22" w:semiHidden="0" w:name="Strong" w:locked="1"/>
    <w:lsdException w:qFormat="1" w:unhideWhenUsed="0" w:uiPriority="20" w:semiHidden="0" w:name="Emphasis" w:locked="1"/>
    <w:lsdException w:qFormat="1" w:uiPriority="99"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iPriority="99" w:semiHidden="0" w:name="HTML Code" w:locked="1"/>
    <w:lsdException w:qFormat="1" w:uiPriority="99" w:semiHidden="0" w:name="HTML Definition" w:locked="1"/>
    <w:lsdException w:qFormat="1" w:uiPriority="99" w:semiHidden="0" w:name="HTML Keyboard" w:locked="1"/>
    <w:lsdException w:unhideWhenUsed="0" w:uiPriority="0" w:semiHidden="0" w:name="HTML Preformatted" w:locked="1"/>
    <w:lsdException w:qFormat="1" w:uiPriority="99" w:semiHidden="0" w:name="HTML Sample" w:locked="1"/>
    <w:lsdException w:unhideWhenUsed="0" w:uiPriority="0" w:semiHidden="0" w:name="HTML Typewriter" w:locked="1"/>
    <w:lsdException w:unhideWhenUsed="0" w:uiPriority="0" w:semiHidden="0" w:name="HTML Variable" w:locked="1"/>
    <w:lsdException w:uiPriority="99" w:name="Normal Table"/>
    <w:lsdException w:qFormat="1" w:unhideWhenUsed="0" w:uiPriority="99"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semiHidden="0" w:name="Balloon Text"/>
    <w:lsdException w:qFormat="1" w:unhideWhenUsed="0" w:uiPriority="0" w:semiHidden="0" w:name="Table Grid"/>
    <w:lsdException w:uiPriority="0" w:name="Table Theme" w:locked="1"/>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0"/>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51"/>
    <w:qFormat/>
    <w:locked/>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link w:val="52"/>
    <w:qFormat/>
    <w:locked/>
    <w:uiPriority w:val="9"/>
    <w:pPr>
      <w:keepNext/>
      <w:keepLines/>
      <w:spacing w:before="260" w:after="260" w:line="416" w:lineRule="auto"/>
      <w:outlineLvl w:val="2"/>
    </w:pPr>
    <w:rPr>
      <w:b/>
      <w:bCs/>
      <w:sz w:val="32"/>
      <w:szCs w:val="32"/>
    </w:rPr>
  </w:style>
  <w:style w:type="paragraph" w:styleId="8">
    <w:name w:val="heading 4"/>
    <w:basedOn w:val="1"/>
    <w:next w:val="1"/>
    <w:link w:val="53"/>
    <w:qFormat/>
    <w:locked/>
    <w:uiPriority w:val="9"/>
    <w:pPr>
      <w:keepNext/>
      <w:keepLines/>
      <w:spacing w:before="280" w:after="290" w:line="376" w:lineRule="auto"/>
      <w:outlineLvl w:val="3"/>
    </w:pPr>
    <w:rPr>
      <w:rFonts w:ascii="Calibri Light" w:hAnsi="Calibri Light"/>
      <w:b/>
      <w:bCs/>
      <w:sz w:val="28"/>
      <w:szCs w:val="28"/>
    </w:rPr>
  </w:style>
  <w:style w:type="paragraph" w:styleId="9">
    <w:name w:val="heading 5"/>
    <w:basedOn w:val="1"/>
    <w:next w:val="1"/>
    <w:link w:val="54"/>
    <w:qFormat/>
    <w:locked/>
    <w:uiPriority w:val="9"/>
    <w:pPr>
      <w:keepNext/>
      <w:keepLines/>
      <w:spacing w:before="280" w:after="290" w:line="376" w:lineRule="auto"/>
      <w:outlineLvl w:val="4"/>
    </w:pPr>
    <w:rPr>
      <w:b/>
      <w:bCs/>
      <w:sz w:val="28"/>
      <w:szCs w:val="28"/>
    </w:rPr>
  </w:style>
  <w:style w:type="character" w:default="1" w:styleId="38">
    <w:name w:val="Default Paragraph Font"/>
    <w:semiHidden/>
    <w:unhideWhenUsed/>
    <w:uiPriority w:val="1"/>
  </w:style>
  <w:style w:type="table" w:default="1" w:styleId="36">
    <w:name w:val="Normal Table"/>
    <w:semiHidden/>
    <w:unhideWhenUsed/>
    <w:uiPriority w:val="99"/>
    <w:tblPr>
      <w:tblCellMar>
        <w:top w:w="0" w:type="dxa"/>
        <w:left w:w="108" w:type="dxa"/>
        <w:bottom w:w="0" w:type="dxa"/>
        <w:right w:w="108" w:type="dxa"/>
      </w:tblCellMar>
    </w:tblPr>
  </w:style>
  <w:style w:type="paragraph" w:styleId="2">
    <w:name w:val="Body Text"/>
    <w:basedOn w:val="1"/>
    <w:next w:val="3"/>
    <w:link w:val="49"/>
    <w:qFormat/>
    <w:uiPriority w:val="99"/>
    <w:pPr>
      <w:snapToGrid w:val="0"/>
      <w:spacing w:before="60" w:after="160" w:line="259" w:lineRule="auto"/>
      <w:ind w:right="113"/>
    </w:pPr>
    <w:rPr>
      <w:kern w:val="0"/>
      <w:sz w:val="18"/>
      <w:szCs w:val="20"/>
    </w:rPr>
  </w:style>
  <w:style w:type="paragraph" w:styleId="3">
    <w:name w:val="List Bullet 5"/>
    <w:basedOn w:val="1"/>
    <w:locked/>
    <w:uiPriority w:val="0"/>
    <w:pPr>
      <w:numPr>
        <w:ilvl w:val="0"/>
        <w:numId w:val="1"/>
      </w:numPr>
    </w:pPr>
  </w:style>
  <w:style w:type="paragraph" w:styleId="4">
    <w:name w:val="macro"/>
    <w:link w:val="246"/>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jc w:val="both"/>
    </w:pPr>
    <w:rPr>
      <w:rFonts w:ascii="Courier New" w:hAnsi="Courier New" w:eastAsia="宋体" w:cs="Courier New"/>
      <w:kern w:val="2"/>
      <w:sz w:val="24"/>
      <w:szCs w:val="24"/>
      <w:lang w:val="en-US" w:eastAsia="zh-CN" w:bidi="ar-SA"/>
    </w:rPr>
  </w:style>
  <w:style w:type="paragraph" w:styleId="10">
    <w:name w:val="List 3"/>
    <w:basedOn w:val="1"/>
    <w:next w:val="1"/>
    <w:qFormat/>
    <w:locked/>
    <w:uiPriority w:val="0"/>
    <w:pPr>
      <w:autoSpaceDE w:val="0"/>
      <w:autoSpaceDN w:val="0"/>
      <w:adjustRightInd w:val="0"/>
      <w:spacing w:line="288" w:lineRule="auto"/>
      <w:ind w:left="1260" w:hanging="420"/>
      <w:jc w:val="left"/>
      <w:textAlignment w:val="baseline"/>
    </w:pPr>
    <w:rPr>
      <w:kern w:val="0"/>
      <w:sz w:val="24"/>
      <w:szCs w:val="20"/>
    </w:rPr>
  </w:style>
  <w:style w:type="paragraph" w:styleId="11">
    <w:name w:val="Note Heading"/>
    <w:basedOn w:val="1"/>
    <w:next w:val="1"/>
    <w:link w:val="55"/>
    <w:qFormat/>
    <w:locked/>
    <w:uiPriority w:val="0"/>
    <w:pPr>
      <w:jc w:val="center"/>
    </w:pPr>
  </w:style>
  <w:style w:type="paragraph" w:styleId="12">
    <w:name w:val="Normal Indent"/>
    <w:basedOn w:val="1"/>
    <w:next w:val="1"/>
    <w:link w:val="56"/>
    <w:qFormat/>
    <w:locked/>
    <w:uiPriority w:val="0"/>
    <w:pPr>
      <w:tabs>
        <w:tab w:val="left" w:pos="540"/>
        <w:tab w:val="left" w:pos="1080"/>
        <w:tab w:val="left" w:pos="1800"/>
      </w:tabs>
      <w:adjustRightInd w:val="0"/>
      <w:snapToGrid w:val="0"/>
      <w:ind w:firstLine="480"/>
    </w:pPr>
    <w:rPr>
      <w:rFonts w:ascii="仿宋_GB2312" w:hAnsi="宋体"/>
      <w:sz w:val="24"/>
      <w:szCs w:val="21"/>
    </w:rPr>
  </w:style>
  <w:style w:type="paragraph" w:styleId="13">
    <w:name w:val="caption"/>
    <w:basedOn w:val="11"/>
    <w:next w:val="1"/>
    <w:qFormat/>
    <w:locked/>
    <w:uiPriority w:val="0"/>
    <w:rPr>
      <w:rFonts w:ascii="Arial" w:hAnsi="Arial" w:eastAsia="黑体" w:cs="Arial"/>
      <w:sz w:val="20"/>
      <w:szCs w:val="20"/>
    </w:rPr>
  </w:style>
  <w:style w:type="paragraph" w:styleId="14">
    <w:name w:val="Document Map"/>
    <w:basedOn w:val="1"/>
    <w:link w:val="57"/>
    <w:unhideWhenUsed/>
    <w:qFormat/>
    <w:locked/>
    <w:uiPriority w:val="99"/>
    <w:rPr>
      <w:rFonts w:ascii="宋体"/>
      <w:sz w:val="18"/>
      <w:szCs w:val="18"/>
    </w:rPr>
  </w:style>
  <w:style w:type="paragraph" w:styleId="15">
    <w:name w:val="toa heading"/>
    <w:basedOn w:val="1"/>
    <w:next w:val="1"/>
    <w:qFormat/>
    <w:locked/>
    <w:uiPriority w:val="0"/>
    <w:pPr>
      <w:spacing w:before="120"/>
    </w:pPr>
    <w:rPr>
      <w:rFonts w:ascii="Cambria" w:hAnsi="Cambria"/>
      <w:sz w:val="24"/>
    </w:rPr>
  </w:style>
  <w:style w:type="paragraph" w:styleId="16">
    <w:name w:val="annotation text"/>
    <w:basedOn w:val="1"/>
    <w:link w:val="58"/>
    <w:qFormat/>
    <w:uiPriority w:val="0"/>
    <w:pPr>
      <w:jc w:val="left"/>
    </w:pPr>
    <w:rPr>
      <w:kern w:val="0"/>
      <w:sz w:val="24"/>
      <w:szCs w:val="20"/>
    </w:rPr>
  </w:style>
  <w:style w:type="paragraph" w:styleId="17">
    <w:name w:val="Body Text Indent"/>
    <w:basedOn w:val="1"/>
    <w:link w:val="59"/>
    <w:qFormat/>
    <w:uiPriority w:val="0"/>
    <w:pPr>
      <w:spacing w:after="120"/>
      <w:ind w:left="420" w:leftChars="200"/>
    </w:pPr>
    <w:rPr>
      <w:kern w:val="0"/>
      <w:sz w:val="24"/>
      <w:szCs w:val="20"/>
    </w:rPr>
  </w:style>
  <w:style w:type="paragraph" w:styleId="18">
    <w:name w:val="toc 3"/>
    <w:basedOn w:val="1"/>
    <w:next w:val="1"/>
    <w:unhideWhenUsed/>
    <w:qFormat/>
    <w:locked/>
    <w:uiPriority w:val="39"/>
    <w:pPr>
      <w:spacing w:after="100" w:line="259" w:lineRule="auto"/>
      <w:ind w:left="440"/>
      <w:jc w:val="left"/>
    </w:pPr>
    <w:rPr>
      <w:rFonts w:ascii="等线" w:hAnsi="等线" w:eastAsia="等线"/>
      <w:kern w:val="0"/>
      <w:sz w:val="22"/>
      <w:szCs w:val="22"/>
    </w:rPr>
  </w:style>
  <w:style w:type="paragraph" w:styleId="19">
    <w:name w:val="Plain Text"/>
    <w:basedOn w:val="1"/>
    <w:link w:val="60"/>
    <w:qFormat/>
    <w:locked/>
    <w:uiPriority w:val="0"/>
    <w:rPr>
      <w:rFonts w:ascii="宋体" w:hAnsi="Courier New"/>
      <w:szCs w:val="21"/>
    </w:rPr>
  </w:style>
  <w:style w:type="paragraph" w:styleId="20">
    <w:name w:val="Date"/>
    <w:basedOn w:val="1"/>
    <w:next w:val="1"/>
    <w:link w:val="61"/>
    <w:qFormat/>
    <w:uiPriority w:val="0"/>
    <w:pPr>
      <w:ind w:left="100" w:leftChars="2500"/>
    </w:pPr>
    <w:rPr>
      <w:kern w:val="0"/>
      <w:sz w:val="24"/>
      <w:szCs w:val="20"/>
    </w:rPr>
  </w:style>
  <w:style w:type="paragraph" w:styleId="21">
    <w:name w:val="Body Text Indent 2"/>
    <w:basedOn w:val="1"/>
    <w:link w:val="62"/>
    <w:unhideWhenUsed/>
    <w:qFormat/>
    <w:locked/>
    <w:uiPriority w:val="99"/>
    <w:pPr>
      <w:spacing w:after="120" w:line="480" w:lineRule="auto"/>
      <w:ind w:left="420" w:leftChars="200"/>
    </w:pPr>
    <w:rPr>
      <w:szCs w:val="22"/>
    </w:rPr>
  </w:style>
  <w:style w:type="paragraph" w:styleId="22">
    <w:name w:val="Balloon Text"/>
    <w:basedOn w:val="1"/>
    <w:link w:val="63"/>
    <w:qFormat/>
    <w:uiPriority w:val="99"/>
    <w:rPr>
      <w:kern w:val="0"/>
      <w:sz w:val="18"/>
      <w:szCs w:val="20"/>
    </w:rPr>
  </w:style>
  <w:style w:type="paragraph" w:styleId="23">
    <w:name w:val="footer"/>
    <w:basedOn w:val="1"/>
    <w:link w:val="64"/>
    <w:qFormat/>
    <w:uiPriority w:val="99"/>
    <w:pPr>
      <w:tabs>
        <w:tab w:val="center" w:pos="4153"/>
        <w:tab w:val="right" w:pos="8306"/>
      </w:tabs>
      <w:snapToGrid w:val="0"/>
      <w:jc w:val="left"/>
    </w:pPr>
    <w:rPr>
      <w:kern w:val="0"/>
      <w:sz w:val="18"/>
      <w:szCs w:val="20"/>
    </w:rPr>
  </w:style>
  <w:style w:type="paragraph" w:styleId="24">
    <w:name w:val="header"/>
    <w:basedOn w:val="1"/>
    <w:link w:val="65"/>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toc 1"/>
    <w:basedOn w:val="1"/>
    <w:next w:val="1"/>
    <w:unhideWhenUsed/>
    <w:qFormat/>
    <w:locked/>
    <w:uiPriority w:val="39"/>
    <w:pPr>
      <w:spacing w:after="100" w:line="259" w:lineRule="auto"/>
      <w:jc w:val="left"/>
    </w:pPr>
    <w:rPr>
      <w:rFonts w:ascii="等线" w:hAnsi="等线" w:eastAsia="等线"/>
      <w:kern w:val="0"/>
      <w:sz w:val="22"/>
      <w:szCs w:val="22"/>
    </w:rPr>
  </w:style>
  <w:style w:type="paragraph" w:styleId="26">
    <w:name w:val="index heading"/>
    <w:basedOn w:val="1"/>
    <w:next w:val="27"/>
    <w:semiHidden/>
    <w:qFormat/>
    <w:locked/>
    <w:uiPriority w:val="0"/>
    <w:rPr>
      <w:rFonts w:ascii="Arial" w:hAnsi="Arial" w:cs="Arial"/>
      <w:b/>
      <w:bCs/>
    </w:rPr>
  </w:style>
  <w:style w:type="paragraph" w:styleId="27">
    <w:name w:val="index 1"/>
    <w:basedOn w:val="1"/>
    <w:next w:val="1"/>
    <w:qFormat/>
    <w:locked/>
    <w:uiPriority w:val="0"/>
    <w:pPr>
      <w:tabs>
        <w:tab w:val="left" w:pos="5580"/>
      </w:tabs>
      <w:spacing w:line="280" w:lineRule="exact"/>
    </w:pPr>
    <w:rPr>
      <w:rFonts w:ascii="宋体" w:hAnsi="宋体"/>
      <w:spacing w:val="10"/>
    </w:rPr>
  </w:style>
  <w:style w:type="paragraph" w:styleId="28">
    <w:name w:val="Subtitle"/>
    <w:basedOn w:val="1"/>
    <w:next w:val="1"/>
    <w:link w:val="66"/>
    <w:qFormat/>
    <w:locked/>
    <w:uiPriority w:val="11"/>
    <w:pPr>
      <w:spacing w:before="240" w:after="60" w:line="312" w:lineRule="auto"/>
      <w:jc w:val="center"/>
      <w:outlineLvl w:val="1"/>
    </w:pPr>
    <w:rPr>
      <w:rFonts w:ascii="Calibri Light" w:hAnsi="Calibri Light"/>
      <w:b/>
      <w:bCs/>
      <w:kern w:val="28"/>
      <w:sz w:val="32"/>
      <w:szCs w:val="32"/>
    </w:rPr>
  </w:style>
  <w:style w:type="paragraph" w:styleId="29">
    <w:name w:val="Body Text Indent 3"/>
    <w:basedOn w:val="1"/>
    <w:link w:val="67"/>
    <w:unhideWhenUsed/>
    <w:qFormat/>
    <w:locked/>
    <w:uiPriority w:val="99"/>
    <w:pPr>
      <w:spacing w:line="560" w:lineRule="exact"/>
      <w:ind w:firstLine="560" w:firstLineChars="200"/>
    </w:pPr>
    <w:rPr>
      <w:sz w:val="28"/>
      <w:szCs w:val="22"/>
    </w:rPr>
  </w:style>
  <w:style w:type="paragraph" w:styleId="30">
    <w:name w:val="toc 2"/>
    <w:basedOn w:val="1"/>
    <w:next w:val="1"/>
    <w:unhideWhenUsed/>
    <w:qFormat/>
    <w:locked/>
    <w:uiPriority w:val="39"/>
    <w:pPr>
      <w:spacing w:after="100" w:line="259" w:lineRule="auto"/>
      <w:ind w:left="220"/>
      <w:jc w:val="left"/>
    </w:pPr>
    <w:rPr>
      <w:rFonts w:ascii="等线" w:hAnsi="等线" w:eastAsia="等线"/>
      <w:kern w:val="0"/>
      <w:sz w:val="22"/>
      <w:szCs w:val="22"/>
    </w:rPr>
  </w:style>
  <w:style w:type="paragraph" w:styleId="31">
    <w:name w:val="Body Text 2"/>
    <w:basedOn w:val="1"/>
    <w:qFormat/>
    <w:locked/>
    <w:uiPriority w:val="0"/>
    <w:pPr>
      <w:spacing w:after="120" w:line="480" w:lineRule="auto"/>
    </w:pPr>
  </w:style>
  <w:style w:type="paragraph" w:styleId="32">
    <w:name w:val="Normal (Web)"/>
    <w:basedOn w:val="1"/>
    <w:link w:val="68"/>
    <w:qFormat/>
    <w:uiPriority w:val="99"/>
    <w:pPr>
      <w:spacing w:before="100" w:beforeAutospacing="1" w:after="100" w:afterAutospacing="1"/>
      <w:jc w:val="left"/>
    </w:pPr>
    <w:rPr>
      <w:rFonts w:ascii="宋体" w:hAnsi="宋体"/>
      <w:kern w:val="0"/>
      <w:sz w:val="24"/>
      <w:szCs w:val="20"/>
    </w:rPr>
  </w:style>
  <w:style w:type="paragraph" w:styleId="33">
    <w:name w:val="annotation subject"/>
    <w:basedOn w:val="16"/>
    <w:next w:val="16"/>
    <w:link w:val="69"/>
    <w:qFormat/>
    <w:uiPriority w:val="99"/>
    <w:rPr>
      <w:b/>
      <w:kern w:val="2"/>
    </w:rPr>
  </w:style>
  <w:style w:type="paragraph" w:styleId="34">
    <w:name w:val="Body Text First Indent"/>
    <w:basedOn w:val="2"/>
    <w:qFormat/>
    <w:locked/>
    <w:uiPriority w:val="0"/>
    <w:pPr>
      <w:spacing w:after="120" w:line="240" w:lineRule="auto"/>
      <w:ind w:firstLine="420" w:firstLineChars="100"/>
    </w:pPr>
    <w:rPr>
      <w:sz w:val="21"/>
    </w:rPr>
  </w:style>
  <w:style w:type="paragraph" w:styleId="35">
    <w:name w:val="Body Text First Indent 2"/>
    <w:basedOn w:val="17"/>
    <w:next w:val="1"/>
    <w:link w:val="70"/>
    <w:unhideWhenUsed/>
    <w:qFormat/>
    <w:locked/>
    <w:uiPriority w:val="99"/>
    <w:pPr>
      <w:ind w:firstLine="420" w:firstLineChars="200"/>
    </w:pPr>
    <w:rPr>
      <w:rFonts w:ascii="宋体" w:hAnsi="宋体"/>
      <w:spacing w:val="10"/>
      <w:kern w:val="2"/>
      <w:sz w:val="21"/>
      <w:szCs w:val="22"/>
    </w:rPr>
  </w:style>
  <w:style w:type="table" w:styleId="37">
    <w:name w:val="Table Grid"/>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locked/>
    <w:uiPriority w:val="22"/>
    <w:rPr>
      <w:b/>
    </w:rPr>
  </w:style>
  <w:style w:type="character" w:styleId="40">
    <w:name w:val="page number"/>
    <w:qFormat/>
    <w:locked/>
    <w:uiPriority w:val="0"/>
  </w:style>
  <w:style w:type="character" w:styleId="41">
    <w:name w:val="FollowedHyperlink"/>
    <w:unhideWhenUsed/>
    <w:qFormat/>
    <w:locked/>
    <w:uiPriority w:val="99"/>
    <w:rPr>
      <w:color w:val="FFFFFF"/>
      <w:u w:val="none"/>
    </w:rPr>
  </w:style>
  <w:style w:type="character" w:styleId="42">
    <w:name w:val="Emphasis"/>
    <w:qFormat/>
    <w:locked/>
    <w:uiPriority w:val="20"/>
  </w:style>
  <w:style w:type="character" w:styleId="43">
    <w:name w:val="HTML Definition"/>
    <w:unhideWhenUsed/>
    <w:qFormat/>
    <w:locked/>
    <w:uiPriority w:val="99"/>
    <w:rPr>
      <w:i/>
    </w:rPr>
  </w:style>
  <w:style w:type="character" w:styleId="44">
    <w:name w:val="Hyperlink"/>
    <w:qFormat/>
    <w:locked/>
    <w:uiPriority w:val="99"/>
    <w:rPr>
      <w:rFonts w:ascii="仿宋_GB2312" w:hAnsi="Tahoma" w:eastAsia="仿宋_GB2312"/>
      <w:color w:val="0562B6"/>
      <w:szCs w:val="21"/>
      <w:u w:val="none"/>
    </w:rPr>
  </w:style>
  <w:style w:type="character" w:styleId="45">
    <w:name w:val="HTML Code"/>
    <w:unhideWhenUsed/>
    <w:qFormat/>
    <w:locked/>
    <w:uiPriority w:val="99"/>
    <w:rPr>
      <w:rFonts w:ascii="monospace" w:hAnsi="monospace" w:eastAsia="monospace" w:cs="monospace"/>
      <w:sz w:val="21"/>
      <w:szCs w:val="21"/>
    </w:rPr>
  </w:style>
  <w:style w:type="character" w:styleId="46">
    <w:name w:val="annotation reference"/>
    <w:qFormat/>
    <w:uiPriority w:val="0"/>
    <w:rPr>
      <w:sz w:val="21"/>
    </w:rPr>
  </w:style>
  <w:style w:type="character" w:styleId="47">
    <w:name w:val="HTML Keyboard"/>
    <w:unhideWhenUsed/>
    <w:qFormat/>
    <w:locked/>
    <w:uiPriority w:val="99"/>
    <w:rPr>
      <w:rFonts w:hint="default" w:ascii="monospace" w:hAnsi="monospace" w:eastAsia="monospace" w:cs="monospace"/>
      <w:sz w:val="21"/>
      <w:szCs w:val="21"/>
    </w:rPr>
  </w:style>
  <w:style w:type="character" w:styleId="48">
    <w:name w:val="HTML Sample"/>
    <w:unhideWhenUsed/>
    <w:qFormat/>
    <w:locked/>
    <w:uiPriority w:val="99"/>
    <w:rPr>
      <w:rFonts w:hint="default" w:ascii="monospace" w:hAnsi="monospace" w:eastAsia="monospace" w:cs="monospace"/>
      <w:sz w:val="21"/>
      <w:szCs w:val="21"/>
    </w:rPr>
  </w:style>
  <w:style w:type="character" w:customStyle="1" w:styleId="49">
    <w:name w:val="正文文本 字符"/>
    <w:link w:val="2"/>
    <w:qFormat/>
    <w:locked/>
    <w:uiPriority w:val="99"/>
    <w:rPr>
      <w:sz w:val="18"/>
    </w:rPr>
  </w:style>
  <w:style w:type="character" w:customStyle="1" w:styleId="50">
    <w:name w:val="标题 1 字符"/>
    <w:link w:val="5"/>
    <w:qFormat/>
    <w:uiPriority w:val="9"/>
    <w:rPr>
      <w:rFonts w:eastAsia="黑体"/>
      <w:b/>
      <w:bCs/>
      <w:color w:val="000000"/>
      <w:kern w:val="44"/>
      <w:sz w:val="30"/>
      <w:szCs w:val="30"/>
    </w:rPr>
  </w:style>
  <w:style w:type="character" w:customStyle="1" w:styleId="51">
    <w:name w:val="标题 2 字符"/>
    <w:link w:val="6"/>
    <w:qFormat/>
    <w:uiPriority w:val="0"/>
    <w:rPr>
      <w:rFonts w:ascii="Arial" w:hAnsi="Arial" w:eastAsia="黑体"/>
      <w:b/>
      <w:bCs/>
      <w:kern w:val="2"/>
      <w:sz w:val="32"/>
      <w:szCs w:val="32"/>
    </w:rPr>
  </w:style>
  <w:style w:type="character" w:customStyle="1" w:styleId="52">
    <w:name w:val="标题 3 字符"/>
    <w:link w:val="7"/>
    <w:qFormat/>
    <w:uiPriority w:val="9"/>
    <w:rPr>
      <w:b/>
      <w:bCs/>
      <w:kern w:val="2"/>
      <w:sz w:val="32"/>
      <w:szCs w:val="32"/>
    </w:rPr>
  </w:style>
  <w:style w:type="character" w:customStyle="1" w:styleId="53">
    <w:name w:val="标题 4 字符"/>
    <w:link w:val="8"/>
    <w:qFormat/>
    <w:uiPriority w:val="9"/>
    <w:rPr>
      <w:rFonts w:ascii="Calibri Light" w:hAnsi="Calibri Light"/>
      <w:b/>
      <w:bCs/>
      <w:kern w:val="2"/>
      <w:sz w:val="28"/>
      <w:szCs w:val="28"/>
    </w:rPr>
  </w:style>
  <w:style w:type="character" w:customStyle="1" w:styleId="54">
    <w:name w:val="标题 5 字符"/>
    <w:link w:val="9"/>
    <w:qFormat/>
    <w:uiPriority w:val="9"/>
    <w:rPr>
      <w:b/>
      <w:bCs/>
      <w:kern w:val="2"/>
      <w:sz w:val="28"/>
      <w:szCs w:val="28"/>
    </w:rPr>
  </w:style>
  <w:style w:type="character" w:customStyle="1" w:styleId="55">
    <w:name w:val="注释标题 字符"/>
    <w:link w:val="11"/>
    <w:qFormat/>
    <w:uiPriority w:val="0"/>
    <w:rPr>
      <w:kern w:val="2"/>
      <w:sz w:val="21"/>
      <w:szCs w:val="24"/>
    </w:rPr>
  </w:style>
  <w:style w:type="character" w:customStyle="1" w:styleId="56">
    <w:name w:val="正文缩进 字符"/>
    <w:link w:val="12"/>
    <w:qFormat/>
    <w:uiPriority w:val="0"/>
    <w:rPr>
      <w:rFonts w:ascii="仿宋_GB2312" w:hAnsi="宋体"/>
      <w:kern w:val="2"/>
      <w:sz w:val="24"/>
      <w:szCs w:val="21"/>
    </w:rPr>
  </w:style>
  <w:style w:type="character" w:customStyle="1" w:styleId="57">
    <w:name w:val="文档结构图 字符"/>
    <w:link w:val="14"/>
    <w:qFormat/>
    <w:uiPriority w:val="99"/>
    <w:rPr>
      <w:rFonts w:ascii="宋体"/>
      <w:kern w:val="2"/>
      <w:sz w:val="18"/>
      <w:szCs w:val="18"/>
    </w:rPr>
  </w:style>
  <w:style w:type="character" w:customStyle="1" w:styleId="58">
    <w:name w:val="批注文字 字符"/>
    <w:link w:val="16"/>
    <w:qFormat/>
    <w:locked/>
    <w:uiPriority w:val="0"/>
    <w:rPr>
      <w:rFonts w:ascii="Times New Roman" w:hAnsi="Times New Roman" w:eastAsia="宋体"/>
      <w:sz w:val="24"/>
    </w:rPr>
  </w:style>
  <w:style w:type="character" w:customStyle="1" w:styleId="59">
    <w:name w:val="正文文本缩进 字符"/>
    <w:link w:val="17"/>
    <w:qFormat/>
    <w:locked/>
    <w:uiPriority w:val="0"/>
    <w:rPr>
      <w:rFonts w:ascii="Times New Roman" w:hAnsi="Times New Roman" w:eastAsia="宋体"/>
      <w:sz w:val="24"/>
    </w:rPr>
  </w:style>
  <w:style w:type="character" w:customStyle="1" w:styleId="60">
    <w:name w:val="纯文本 字符"/>
    <w:link w:val="19"/>
    <w:qFormat/>
    <w:uiPriority w:val="0"/>
    <w:rPr>
      <w:rFonts w:ascii="宋体" w:hAnsi="Courier New"/>
      <w:kern w:val="2"/>
      <w:sz w:val="21"/>
      <w:szCs w:val="21"/>
    </w:rPr>
  </w:style>
  <w:style w:type="character" w:customStyle="1" w:styleId="61">
    <w:name w:val="日期 字符1"/>
    <w:link w:val="20"/>
    <w:qFormat/>
    <w:locked/>
    <w:uiPriority w:val="0"/>
    <w:rPr>
      <w:rFonts w:ascii="Times New Roman" w:hAnsi="Times New Roman" w:eastAsia="宋体"/>
      <w:sz w:val="24"/>
    </w:rPr>
  </w:style>
  <w:style w:type="character" w:customStyle="1" w:styleId="62">
    <w:name w:val="正文文本缩进 2 字符"/>
    <w:link w:val="21"/>
    <w:qFormat/>
    <w:uiPriority w:val="99"/>
    <w:rPr>
      <w:kern w:val="2"/>
      <w:sz w:val="21"/>
      <w:szCs w:val="22"/>
    </w:rPr>
  </w:style>
  <w:style w:type="character" w:customStyle="1" w:styleId="63">
    <w:name w:val="批注框文本 字符"/>
    <w:link w:val="22"/>
    <w:qFormat/>
    <w:locked/>
    <w:uiPriority w:val="99"/>
    <w:rPr>
      <w:rFonts w:ascii="Times New Roman" w:hAnsi="Times New Roman" w:eastAsia="宋体"/>
      <w:sz w:val="18"/>
    </w:rPr>
  </w:style>
  <w:style w:type="character" w:customStyle="1" w:styleId="64">
    <w:name w:val="页脚 字符1"/>
    <w:link w:val="23"/>
    <w:qFormat/>
    <w:locked/>
    <w:uiPriority w:val="99"/>
    <w:rPr>
      <w:sz w:val="18"/>
    </w:rPr>
  </w:style>
  <w:style w:type="character" w:customStyle="1" w:styleId="65">
    <w:name w:val="页眉 字符"/>
    <w:link w:val="24"/>
    <w:qFormat/>
    <w:locked/>
    <w:uiPriority w:val="0"/>
    <w:rPr>
      <w:sz w:val="18"/>
    </w:rPr>
  </w:style>
  <w:style w:type="character" w:customStyle="1" w:styleId="66">
    <w:name w:val="副标题 字符"/>
    <w:link w:val="28"/>
    <w:qFormat/>
    <w:uiPriority w:val="11"/>
    <w:rPr>
      <w:rFonts w:ascii="Calibri Light" w:hAnsi="Calibri Light"/>
      <w:b/>
      <w:bCs/>
      <w:kern w:val="28"/>
      <w:sz w:val="32"/>
      <w:szCs w:val="32"/>
    </w:rPr>
  </w:style>
  <w:style w:type="character" w:customStyle="1" w:styleId="67">
    <w:name w:val="正文文本缩进 3 字符"/>
    <w:link w:val="29"/>
    <w:qFormat/>
    <w:uiPriority w:val="99"/>
    <w:rPr>
      <w:kern w:val="2"/>
      <w:sz w:val="28"/>
      <w:szCs w:val="22"/>
    </w:rPr>
  </w:style>
  <w:style w:type="character" w:customStyle="1" w:styleId="68">
    <w:name w:val="普通(网站) 字符"/>
    <w:link w:val="32"/>
    <w:qFormat/>
    <w:locked/>
    <w:uiPriority w:val="0"/>
    <w:rPr>
      <w:rFonts w:ascii="宋体" w:hAnsi="宋体" w:eastAsia="宋体"/>
      <w:sz w:val="24"/>
    </w:rPr>
  </w:style>
  <w:style w:type="character" w:customStyle="1" w:styleId="69">
    <w:name w:val="批注主题 字符"/>
    <w:link w:val="33"/>
    <w:locked/>
    <w:uiPriority w:val="99"/>
    <w:rPr>
      <w:rFonts w:ascii="Times New Roman" w:hAnsi="Times New Roman" w:eastAsia="宋体"/>
      <w:b/>
      <w:kern w:val="2"/>
      <w:sz w:val="24"/>
    </w:rPr>
  </w:style>
  <w:style w:type="character" w:customStyle="1" w:styleId="70">
    <w:name w:val="正文首行缩进 2 字符"/>
    <w:link w:val="35"/>
    <w:qFormat/>
    <w:uiPriority w:val="99"/>
    <w:rPr>
      <w:rFonts w:ascii="宋体" w:hAnsi="宋体"/>
      <w:spacing w:val="10"/>
      <w:kern w:val="2"/>
      <w:sz w:val="21"/>
      <w:szCs w:val="22"/>
    </w:rPr>
  </w:style>
  <w:style w:type="character" w:customStyle="1" w:styleId="71">
    <w:name w:val="页脚 字符"/>
    <w:uiPriority w:val="99"/>
  </w:style>
  <w:style w:type="paragraph" w:customStyle="1" w:styleId="72">
    <w:name w:val="环评正文"/>
    <w:basedOn w:val="1"/>
    <w:qFormat/>
    <w:uiPriority w:val="0"/>
    <w:pPr>
      <w:ind w:firstLine="562" w:firstLineChars="200"/>
    </w:pPr>
    <w:rPr>
      <w:rFonts w:cs="宋体"/>
      <w:sz w:val="24"/>
      <w:szCs w:val="20"/>
    </w:rPr>
  </w:style>
  <w:style w:type="paragraph" w:customStyle="1" w:styleId="73">
    <w:name w:val="CCGL正文"/>
    <w:basedOn w:val="1"/>
    <w:link w:val="74"/>
    <w:qFormat/>
    <w:uiPriority w:val="0"/>
    <w:pPr>
      <w:autoSpaceDE w:val="0"/>
      <w:autoSpaceDN w:val="0"/>
      <w:adjustRightInd w:val="0"/>
      <w:spacing w:line="460" w:lineRule="exact"/>
      <w:ind w:firstLine="420" w:firstLineChars="200"/>
      <w:textAlignment w:val="baseline"/>
    </w:pPr>
    <w:rPr>
      <w:kern w:val="0"/>
      <w:sz w:val="26"/>
      <w:szCs w:val="22"/>
    </w:rPr>
  </w:style>
  <w:style w:type="character" w:customStyle="1" w:styleId="74">
    <w:name w:val="CCGL正文 Char"/>
    <w:link w:val="73"/>
    <w:qFormat/>
    <w:uiPriority w:val="0"/>
    <w:rPr>
      <w:sz w:val="26"/>
      <w:szCs w:val="22"/>
    </w:rPr>
  </w:style>
  <w:style w:type="paragraph" w:customStyle="1" w:styleId="75">
    <w:name w:val="样式 正文缩进正文缩进2正文缩进 Char Char正文缩进 Char Char Char Char正文缩进 Char ..."/>
    <w:basedOn w:val="12"/>
    <w:qFormat/>
    <w:uiPriority w:val="0"/>
    <w:pPr>
      <w:tabs>
        <w:tab w:val="left" w:pos="105"/>
        <w:tab w:val="clear" w:pos="540"/>
        <w:tab w:val="clear" w:pos="1080"/>
        <w:tab w:val="clear" w:pos="1800"/>
      </w:tabs>
      <w:ind w:firstLine="200"/>
    </w:pPr>
    <w:rPr>
      <w:rFonts w:hAnsi="仿宋_GB2312" w:cs="宋体"/>
    </w:rPr>
  </w:style>
  <w:style w:type="character" w:customStyle="1" w:styleId="76">
    <w:name w:val="正文文本 字符1"/>
    <w:semiHidden/>
    <w:qFormat/>
    <w:uiPriority w:val="99"/>
    <w:rPr>
      <w:rFonts w:ascii="Times New Roman" w:hAnsi="Times New Roman" w:eastAsia="宋体"/>
      <w:sz w:val="24"/>
    </w:rPr>
  </w:style>
  <w:style w:type="character" w:customStyle="1" w:styleId="77">
    <w:name w:val="表格 Char"/>
    <w:link w:val="78"/>
    <w:qFormat/>
    <w:locked/>
    <w:uiPriority w:val="0"/>
    <w:rPr>
      <w:rFonts w:ascii="宋体"/>
      <w:sz w:val="21"/>
    </w:rPr>
  </w:style>
  <w:style w:type="paragraph" w:customStyle="1" w:styleId="78">
    <w:name w:val="表格"/>
    <w:basedOn w:val="1"/>
    <w:next w:val="1"/>
    <w:link w:val="77"/>
    <w:qFormat/>
    <w:uiPriority w:val="0"/>
    <w:pPr>
      <w:adjustRightInd w:val="0"/>
      <w:snapToGrid w:val="0"/>
      <w:spacing w:beforeLines="10" w:afterLines="10" w:line="259" w:lineRule="auto"/>
      <w:jc w:val="center"/>
    </w:pPr>
    <w:rPr>
      <w:rFonts w:ascii="宋体"/>
      <w:kern w:val="0"/>
      <w:szCs w:val="20"/>
    </w:rPr>
  </w:style>
  <w:style w:type="character" w:customStyle="1" w:styleId="79">
    <w:name w:val="日期 字符"/>
    <w:qFormat/>
    <w:uiPriority w:val="0"/>
    <w:rPr>
      <w:rFonts w:ascii="Times New Roman" w:hAnsi="Times New Roman" w:eastAsia="宋体"/>
      <w:sz w:val="24"/>
    </w:rPr>
  </w:style>
  <w:style w:type="character" w:customStyle="1" w:styleId="80">
    <w:name w:val="批注文字 字符1"/>
    <w:semiHidden/>
    <w:qFormat/>
    <w:uiPriority w:val="99"/>
    <w:rPr>
      <w:rFonts w:ascii="Times New Roman" w:hAnsi="Times New Roman" w:eastAsia="宋体"/>
      <w:sz w:val="24"/>
    </w:rPr>
  </w:style>
  <w:style w:type="paragraph" w:customStyle="1" w:styleId="81">
    <w:name w:val="正文_10"/>
    <w:qFormat/>
    <w:uiPriority w:val="0"/>
    <w:pPr>
      <w:widowControl w:val="0"/>
      <w:spacing w:line="360" w:lineRule="auto"/>
      <w:jc w:val="both"/>
    </w:pPr>
    <w:rPr>
      <w:rFonts w:ascii="Times New Roman" w:hAnsi="Times New Roman" w:eastAsia="宋体" w:cs="Times New Roman"/>
      <w:kern w:val="2"/>
      <w:sz w:val="21"/>
      <w:szCs w:val="22"/>
      <w:lang w:val="en-US" w:eastAsia="zh-CN" w:bidi="ar-SA"/>
    </w:rPr>
  </w:style>
  <w:style w:type="paragraph" w:customStyle="1" w:styleId="82">
    <w:name w:val="普通(网站)2"/>
    <w:basedOn w:val="1"/>
    <w:uiPriority w:val="0"/>
    <w:pPr>
      <w:spacing w:before="100" w:beforeAutospacing="1" w:after="100" w:afterAutospacing="1"/>
      <w:jc w:val="left"/>
    </w:pPr>
    <w:rPr>
      <w:rFonts w:ascii="宋体" w:hAnsi="宋体"/>
      <w:sz w:val="24"/>
      <w:szCs w:val="20"/>
    </w:rPr>
  </w:style>
  <w:style w:type="character" w:customStyle="1" w:styleId="83">
    <w:name w:val="表中文字 Char"/>
    <w:link w:val="84"/>
    <w:qFormat/>
    <w:uiPriority w:val="0"/>
    <w:rPr>
      <w:rFonts w:ascii="仿宋_GB2312" w:hAnsi="Tahoma"/>
      <w:kern w:val="2"/>
      <w:sz w:val="21"/>
      <w:szCs w:val="24"/>
    </w:rPr>
  </w:style>
  <w:style w:type="paragraph" w:customStyle="1" w:styleId="84">
    <w:name w:val="表中文字"/>
    <w:basedOn w:val="1"/>
    <w:link w:val="83"/>
    <w:qFormat/>
    <w:uiPriority w:val="0"/>
    <w:pPr>
      <w:adjustRightInd w:val="0"/>
      <w:snapToGrid w:val="0"/>
      <w:spacing w:line="400" w:lineRule="exact"/>
      <w:jc w:val="center"/>
    </w:pPr>
    <w:rPr>
      <w:rFonts w:ascii="仿宋_GB2312" w:hAnsi="Tahoma"/>
    </w:rPr>
  </w:style>
  <w:style w:type="paragraph" w:customStyle="1" w:styleId="85">
    <w:name w:val="正文01"/>
    <w:basedOn w:val="1"/>
    <w:link w:val="86"/>
    <w:qFormat/>
    <w:uiPriority w:val="0"/>
    <w:pPr>
      <w:spacing w:before="60" w:line="460" w:lineRule="exact"/>
      <w:ind w:firstLine="200" w:firstLineChars="200"/>
    </w:pPr>
    <w:rPr>
      <w:bCs/>
      <w:sz w:val="24"/>
      <w:szCs w:val="20"/>
    </w:rPr>
  </w:style>
  <w:style w:type="character" w:customStyle="1" w:styleId="86">
    <w:name w:val="正文01 Char"/>
    <w:link w:val="85"/>
    <w:qFormat/>
    <w:uiPriority w:val="0"/>
    <w:rPr>
      <w:bCs/>
      <w:kern w:val="2"/>
      <w:sz w:val="24"/>
    </w:rPr>
  </w:style>
  <w:style w:type="character" w:customStyle="1" w:styleId="87">
    <w:name w:val="样式1 Char Char"/>
    <w:link w:val="88"/>
    <w:qFormat/>
    <w:uiPriority w:val="0"/>
    <w:rPr>
      <w:rFonts w:ascii="宋体" w:hAnsi="宋体" w:cs="Dutch801 Rm BT"/>
      <w:kern w:val="2"/>
      <w:sz w:val="26"/>
      <w:szCs w:val="26"/>
    </w:rPr>
  </w:style>
  <w:style w:type="paragraph" w:customStyle="1" w:styleId="88">
    <w:name w:val="样式1"/>
    <w:basedOn w:val="26"/>
    <w:next w:val="1"/>
    <w:link w:val="87"/>
    <w:qFormat/>
    <w:uiPriority w:val="0"/>
    <w:pPr>
      <w:spacing w:line="480" w:lineRule="exact"/>
      <w:ind w:firstLine="200" w:firstLineChars="200"/>
    </w:pPr>
    <w:rPr>
      <w:rFonts w:ascii="宋体" w:hAnsi="宋体"/>
      <w:sz w:val="26"/>
      <w:szCs w:val="26"/>
    </w:rPr>
  </w:style>
  <w:style w:type="character" w:customStyle="1" w:styleId="89">
    <w:name w:val="bg1"/>
    <w:qFormat/>
    <w:uiPriority w:val="0"/>
    <w:rPr>
      <w:bdr w:val="single" w:color="C59433" w:sz="4" w:space="0"/>
      <w:shd w:val="clear" w:color="auto" w:fill="804000"/>
    </w:rPr>
  </w:style>
  <w:style w:type="character" w:customStyle="1" w:styleId="90">
    <w:name w:val="box-bg1"/>
    <w:uiPriority w:val="0"/>
    <w:rPr>
      <w:shd w:val="clear" w:color="auto" w:fill="2C2C2C"/>
    </w:rPr>
  </w:style>
  <w:style w:type="character" w:customStyle="1" w:styleId="91">
    <w:name w:val="text6"/>
    <w:qFormat/>
    <w:uiPriority w:val="0"/>
    <w:rPr>
      <w:rFonts w:hint="eastAsia" w:ascii="微软雅黑" w:hAnsi="微软雅黑" w:eastAsia="微软雅黑" w:cs="微软雅黑"/>
      <w:color w:val="804000"/>
      <w:sz w:val="19"/>
      <w:szCs w:val="19"/>
    </w:rPr>
  </w:style>
  <w:style w:type="character" w:customStyle="1" w:styleId="92">
    <w:name w:val="bg5"/>
    <w:qFormat/>
    <w:uiPriority w:val="0"/>
    <w:rPr>
      <w:bdr w:val="single" w:color="C59433" w:sz="4" w:space="0"/>
      <w:shd w:val="clear" w:color="auto" w:fill="804000"/>
    </w:rPr>
  </w:style>
  <w:style w:type="character" w:customStyle="1" w:styleId="93">
    <w:name w:val="龚正文 Char"/>
    <w:link w:val="94"/>
    <w:qFormat/>
    <w:uiPriority w:val="0"/>
    <w:rPr>
      <w:rFonts w:hAnsi="宋体"/>
      <w:kern w:val="2"/>
      <w:sz w:val="24"/>
      <w:szCs w:val="24"/>
    </w:rPr>
  </w:style>
  <w:style w:type="paragraph" w:customStyle="1" w:styleId="94">
    <w:name w:val="龚正文"/>
    <w:basedOn w:val="1"/>
    <w:link w:val="93"/>
    <w:qFormat/>
    <w:uiPriority w:val="0"/>
    <w:pPr>
      <w:ind w:firstLine="480" w:firstLineChars="200"/>
    </w:pPr>
    <w:rPr>
      <w:rFonts w:hAnsi="宋体"/>
      <w:sz w:val="24"/>
    </w:rPr>
  </w:style>
  <w:style w:type="character" w:customStyle="1" w:styleId="95">
    <w:name w:val="批注文字 Char"/>
    <w:uiPriority w:val="0"/>
    <w:rPr>
      <w:kern w:val="2"/>
      <w:sz w:val="21"/>
      <w:szCs w:val="22"/>
    </w:rPr>
  </w:style>
  <w:style w:type="character" w:customStyle="1" w:styleId="96">
    <w:name w:val="龚艺表名 Char Char"/>
    <w:link w:val="97"/>
    <w:qFormat/>
    <w:uiPriority w:val="0"/>
    <w:rPr>
      <w:b/>
    </w:rPr>
  </w:style>
  <w:style w:type="paragraph" w:customStyle="1" w:styleId="97">
    <w:name w:val="龚艺表名"/>
    <w:basedOn w:val="1"/>
    <w:link w:val="96"/>
    <w:qFormat/>
    <w:uiPriority w:val="0"/>
    <w:pPr>
      <w:spacing w:beforeLines="50"/>
      <w:jc w:val="center"/>
    </w:pPr>
    <w:rPr>
      <w:b/>
      <w:kern w:val="0"/>
      <w:sz w:val="20"/>
      <w:szCs w:val="20"/>
    </w:rPr>
  </w:style>
  <w:style w:type="character" w:customStyle="1" w:styleId="98">
    <w:name w:val="ca-11"/>
    <w:qFormat/>
    <w:uiPriority w:val="0"/>
    <w:rPr>
      <w:rFonts w:hint="eastAsia" w:ascii="仿宋_GB2312" w:eastAsia="仿宋_GB2312"/>
      <w:sz w:val="30"/>
      <w:szCs w:val="30"/>
    </w:rPr>
  </w:style>
  <w:style w:type="character" w:customStyle="1" w:styleId="99">
    <w:name w:val="标准样式 Char"/>
    <w:link w:val="100"/>
    <w:qFormat/>
    <w:uiPriority w:val="0"/>
    <w:rPr>
      <w:sz w:val="28"/>
      <w:lang w:val="en-US" w:eastAsia="zh-CN" w:bidi="ar-SA"/>
    </w:rPr>
  </w:style>
  <w:style w:type="paragraph" w:customStyle="1" w:styleId="100">
    <w:name w:val="标准样式"/>
    <w:link w:val="99"/>
    <w:qFormat/>
    <w:uiPriority w:val="0"/>
    <w:pPr>
      <w:widowControl w:val="0"/>
      <w:spacing w:line="600" w:lineRule="exact"/>
      <w:ind w:firstLine="200" w:firstLineChars="200"/>
      <w:jc w:val="both"/>
    </w:pPr>
    <w:rPr>
      <w:rFonts w:ascii="Times New Roman" w:hAnsi="Times New Roman" w:eastAsia="宋体" w:cs="Times New Roman"/>
      <w:sz w:val="28"/>
      <w:lang w:val="en-US" w:eastAsia="zh-CN" w:bidi="ar-SA"/>
    </w:rPr>
  </w:style>
  <w:style w:type="character" w:customStyle="1" w:styleId="101">
    <w:name w:val="表格文字 Char"/>
    <w:link w:val="102"/>
    <w:uiPriority w:val="0"/>
    <w:rPr>
      <w:rFonts w:ascii="宋体" w:hAnsi="宋体"/>
      <w:spacing w:val="8"/>
      <w:kern w:val="2"/>
      <w:sz w:val="24"/>
      <w:szCs w:val="21"/>
    </w:rPr>
  </w:style>
  <w:style w:type="paragraph" w:customStyle="1" w:styleId="102">
    <w:name w:val="表格文字"/>
    <w:basedOn w:val="19"/>
    <w:next w:val="1"/>
    <w:link w:val="101"/>
    <w:qFormat/>
    <w:uiPriority w:val="0"/>
    <w:pPr>
      <w:adjustRightInd w:val="0"/>
      <w:snapToGrid w:val="0"/>
      <w:spacing w:line="360" w:lineRule="exact"/>
      <w:jc w:val="center"/>
    </w:pPr>
    <w:rPr>
      <w:rFonts w:hAnsi="宋体"/>
      <w:spacing w:val="8"/>
      <w:sz w:val="24"/>
    </w:rPr>
  </w:style>
  <w:style w:type="character" w:customStyle="1" w:styleId="103">
    <w:name w:val="【正文】 Char"/>
    <w:link w:val="104"/>
    <w:qFormat/>
    <w:uiPriority w:val="0"/>
    <w:rPr>
      <w:kern w:val="2"/>
      <w:sz w:val="24"/>
    </w:rPr>
  </w:style>
  <w:style w:type="paragraph" w:customStyle="1" w:styleId="104">
    <w:name w:val="【正文】"/>
    <w:basedOn w:val="1"/>
    <w:link w:val="103"/>
    <w:qFormat/>
    <w:uiPriority w:val="0"/>
    <w:pPr>
      <w:spacing w:beforeLines="10" w:afterLines="10" w:line="440" w:lineRule="exact"/>
      <w:ind w:firstLine="544" w:firstLineChars="200"/>
    </w:pPr>
    <w:rPr>
      <w:sz w:val="24"/>
      <w:szCs w:val="20"/>
    </w:rPr>
  </w:style>
  <w:style w:type="character" w:customStyle="1" w:styleId="105">
    <w:name w:val="表头 Char"/>
    <w:link w:val="106"/>
    <w:uiPriority w:val="0"/>
    <w:rPr>
      <w:rFonts w:ascii="仿宋_GB2312" w:hAnsi="Tahoma"/>
      <w:kern w:val="2"/>
      <w:sz w:val="24"/>
      <w:szCs w:val="24"/>
    </w:rPr>
  </w:style>
  <w:style w:type="paragraph" w:customStyle="1" w:styleId="106">
    <w:name w:val="表头"/>
    <w:basedOn w:val="1"/>
    <w:link w:val="105"/>
    <w:qFormat/>
    <w:uiPriority w:val="0"/>
    <w:pPr>
      <w:tabs>
        <w:tab w:val="left" w:pos="2895"/>
      </w:tabs>
      <w:adjustRightInd w:val="0"/>
      <w:jc w:val="center"/>
    </w:pPr>
    <w:rPr>
      <w:rFonts w:ascii="仿宋_GB2312" w:hAnsi="Tahoma"/>
      <w:sz w:val="24"/>
    </w:rPr>
  </w:style>
  <w:style w:type="character" w:customStyle="1" w:styleId="107">
    <w:name w:val="aa院正文 Char Char"/>
    <w:link w:val="108"/>
    <w:uiPriority w:val="0"/>
    <w:rPr>
      <w:rFonts w:hAnsi="宋体"/>
      <w:sz w:val="26"/>
      <w:szCs w:val="28"/>
    </w:rPr>
  </w:style>
  <w:style w:type="paragraph" w:customStyle="1" w:styleId="108">
    <w:name w:val="aa院正文"/>
    <w:basedOn w:val="1"/>
    <w:link w:val="107"/>
    <w:qFormat/>
    <w:uiPriority w:val="0"/>
    <w:pPr>
      <w:adjustRightInd w:val="0"/>
      <w:snapToGrid w:val="0"/>
      <w:spacing w:line="460" w:lineRule="exact"/>
      <w:ind w:firstLine="200" w:firstLineChars="200"/>
    </w:pPr>
    <w:rPr>
      <w:rFonts w:hAnsi="宋体"/>
      <w:kern w:val="0"/>
      <w:sz w:val="26"/>
      <w:szCs w:val="28"/>
    </w:rPr>
  </w:style>
  <w:style w:type="character" w:customStyle="1" w:styleId="109">
    <w:name w:val="aa院表格内容格式 Char"/>
    <w:link w:val="110"/>
    <w:uiPriority w:val="0"/>
    <w:rPr>
      <w:kern w:val="2"/>
      <w:sz w:val="21"/>
      <w:szCs w:val="24"/>
    </w:rPr>
  </w:style>
  <w:style w:type="paragraph" w:customStyle="1" w:styleId="110">
    <w:name w:val="aa院表格内容格式"/>
    <w:basedOn w:val="1"/>
    <w:link w:val="109"/>
    <w:qFormat/>
    <w:uiPriority w:val="0"/>
    <w:pPr>
      <w:jc w:val="center"/>
    </w:pPr>
  </w:style>
  <w:style w:type="character" w:customStyle="1" w:styleId="111">
    <w:name w:val="副标题 Char"/>
    <w:qFormat/>
    <w:uiPriority w:val="11"/>
    <w:rPr>
      <w:rFonts w:ascii="Calibri Light" w:hAnsi="Calibri Light" w:cs="Times New Roman"/>
      <w:b/>
      <w:bCs/>
      <w:kern w:val="28"/>
      <w:sz w:val="32"/>
      <w:szCs w:val="32"/>
    </w:rPr>
  </w:style>
  <w:style w:type="character" w:customStyle="1" w:styleId="112">
    <w:name w:val="text7"/>
    <w:qFormat/>
    <w:uiPriority w:val="0"/>
    <w:rPr>
      <w:rFonts w:hint="eastAsia" w:ascii="微软雅黑" w:hAnsi="微软雅黑" w:eastAsia="微软雅黑" w:cs="微软雅黑"/>
      <w:color w:val="804000"/>
      <w:sz w:val="19"/>
      <w:szCs w:val="19"/>
    </w:rPr>
  </w:style>
  <w:style w:type="character" w:customStyle="1" w:styleId="113">
    <w:name w:val="qowt-font1-timesnewroman"/>
    <w:qFormat/>
    <w:uiPriority w:val="0"/>
  </w:style>
  <w:style w:type="character" w:customStyle="1" w:styleId="114">
    <w:name w:val="apple-converted-space"/>
    <w:uiPriority w:val="0"/>
  </w:style>
  <w:style w:type="character" w:customStyle="1" w:styleId="115">
    <w:name w:val="表内字 Char Char"/>
    <w:link w:val="116"/>
    <w:qFormat/>
    <w:locked/>
    <w:uiPriority w:val="0"/>
    <w:rPr>
      <w:rFonts w:ascii="Tahoma" w:hAnsi="Tahoma"/>
      <w:kern w:val="2"/>
      <w:sz w:val="21"/>
      <w:szCs w:val="21"/>
      <w:lang w:val="en-US" w:eastAsia="zh-CN" w:bidi="ar-SA"/>
    </w:rPr>
  </w:style>
  <w:style w:type="paragraph" w:customStyle="1" w:styleId="116">
    <w:name w:val="表内字"/>
    <w:basedOn w:val="78"/>
    <w:link w:val="115"/>
    <w:qFormat/>
    <w:uiPriority w:val="0"/>
    <w:pPr>
      <w:widowControl w:val="0"/>
      <w:autoSpaceDE w:val="0"/>
      <w:autoSpaceDN w:val="0"/>
    </w:pPr>
    <w:rPr>
      <w:rFonts w:ascii="Tahoma" w:hAnsi="Tahoma"/>
      <w:kern w:val="2"/>
      <w:szCs w:val="21"/>
    </w:rPr>
  </w:style>
  <w:style w:type="character" w:customStyle="1" w:styleId="117">
    <w:name w:val="zhu-number"/>
    <w:qFormat/>
    <w:uiPriority w:val="0"/>
    <w:rPr>
      <w:color w:val="333333"/>
    </w:rPr>
  </w:style>
  <w:style w:type="character" w:customStyle="1" w:styleId="118">
    <w:name w:val="box-bg11"/>
    <w:qFormat/>
    <w:uiPriority w:val="0"/>
    <w:rPr>
      <w:shd w:val="clear" w:color="auto" w:fill="2C2C2C"/>
    </w:rPr>
  </w:style>
  <w:style w:type="character" w:customStyle="1" w:styleId="119">
    <w:name w:val="表格样式 Char"/>
    <w:link w:val="120"/>
    <w:qFormat/>
    <w:uiPriority w:val="0"/>
    <w:rPr>
      <w:kern w:val="2"/>
      <w:sz w:val="22"/>
      <w:szCs w:val="24"/>
    </w:rPr>
  </w:style>
  <w:style w:type="paragraph" w:customStyle="1" w:styleId="120">
    <w:name w:val="表格样式"/>
    <w:basedOn w:val="1"/>
    <w:link w:val="119"/>
    <w:qFormat/>
    <w:uiPriority w:val="0"/>
    <w:pPr>
      <w:spacing w:line="320" w:lineRule="exact"/>
      <w:contextualSpacing/>
    </w:pPr>
    <w:rPr>
      <w:sz w:val="22"/>
    </w:rPr>
  </w:style>
  <w:style w:type="character" w:customStyle="1" w:styleId="121">
    <w:name w:val="use-help"/>
    <w:uiPriority w:val="0"/>
  </w:style>
  <w:style w:type="character" w:customStyle="1" w:styleId="122">
    <w:name w:val="fontstyle01"/>
    <w:qFormat/>
    <w:uiPriority w:val="0"/>
    <w:rPr>
      <w:rFonts w:hint="eastAsia" w:ascii="宋体" w:hAnsi="宋体" w:eastAsia="宋体"/>
      <w:color w:val="000000"/>
      <w:sz w:val="24"/>
      <w:szCs w:val="24"/>
    </w:rPr>
  </w:style>
  <w:style w:type="character" w:customStyle="1" w:styleId="123">
    <w:name w:val="报告书正文 Char"/>
    <w:link w:val="124"/>
    <w:uiPriority w:val="0"/>
    <w:rPr>
      <w:rFonts w:ascii="宋体" w:hAnsi="宋体" w:cs="Arial"/>
      <w:bCs/>
      <w:sz w:val="24"/>
      <w:szCs w:val="24"/>
    </w:rPr>
  </w:style>
  <w:style w:type="paragraph" w:customStyle="1" w:styleId="124">
    <w:name w:val="报告书正文"/>
    <w:basedOn w:val="21"/>
    <w:link w:val="123"/>
    <w:uiPriority w:val="0"/>
    <w:pPr>
      <w:tabs>
        <w:tab w:val="left" w:pos="6300"/>
      </w:tabs>
      <w:adjustRightInd w:val="0"/>
      <w:snapToGrid w:val="0"/>
      <w:spacing w:after="0" w:line="480" w:lineRule="exact"/>
      <w:ind w:left="0" w:leftChars="0" w:firstLine="480" w:firstLineChars="200"/>
    </w:pPr>
    <w:rPr>
      <w:rFonts w:ascii="宋体" w:hAnsi="宋体"/>
      <w:bCs/>
      <w:kern w:val="0"/>
      <w:sz w:val="24"/>
      <w:szCs w:val="24"/>
    </w:rPr>
  </w:style>
  <w:style w:type="character" w:customStyle="1" w:styleId="125">
    <w:name w:val="bg8"/>
    <w:qFormat/>
    <w:uiPriority w:val="0"/>
    <w:rPr>
      <w:bdr w:val="single" w:color="C59433" w:sz="4" w:space="0"/>
      <w:shd w:val="clear" w:color="auto" w:fill="804000"/>
    </w:rPr>
  </w:style>
  <w:style w:type="character" w:customStyle="1" w:styleId="126">
    <w:name w:val="first-child"/>
    <w:qFormat/>
    <w:uiPriority w:val="0"/>
  </w:style>
  <w:style w:type="character" w:customStyle="1" w:styleId="127">
    <w:name w:val="xinyong2"/>
    <w:qFormat/>
    <w:uiPriority w:val="0"/>
    <w:rPr>
      <w:rFonts w:hint="default" w:ascii="微软雅黑 Bold" w:hAnsi="微软雅黑 Bold" w:eastAsia="微软雅黑 Bold" w:cs="微软雅黑 Bold"/>
      <w:b/>
      <w:color w:val="545454"/>
    </w:rPr>
  </w:style>
  <w:style w:type="character" w:customStyle="1" w:styleId="128">
    <w:name w:val="number1"/>
    <w:qFormat/>
    <w:uiPriority w:val="0"/>
    <w:rPr>
      <w:rFonts w:hint="default" w:ascii="微软雅黑 Regular" w:hAnsi="微软雅黑 Regular" w:eastAsia="微软雅黑 Regular" w:cs="微软雅黑 Regular"/>
      <w:sz w:val="16"/>
      <w:szCs w:val="16"/>
    </w:rPr>
  </w:style>
  <w:style w:type="character" w:customStyle="1" w:styleId="129">
    <w:name w:val="标题 2 Char"/>
    <w:semiHidden/>
    <w:qFormat/>
    <w:uiPriority w:val="9"/>
    <w:rPr>
      <w:rFonts w:ascii="Calibri Light" w:hAnsi="Calibri Light" w:eastAsia="宋体" w:cs="Times New Roman"/>
      <w:b/>
      <w:bCs/>
      <w:kern w:val="2"/>
      <w:sz w:val="32"/>
      <w:szCs w:val="32"/>
    </w:rPr>
  </w:style>
  <w:style w:type="character" w:customStyle="1" w:styleId="130">
    <w:name w:val="content1"/>
    <w:qFormat/>
    <w:uiPriority w:val="0"/>
    <w:rPr>
      <w:color w:val="000000"/>
      <w:sz w:val="20"/>
      <w:szCs w:val="20"/>
    </w:rPr>
  </w:style>
  <w:style w:type="character" w:customStyle="1" w:styleId="131">
    <w:name w:val="text1"/>
    <w:qFormat/>
    <w:uiPriority w:val="0"/>
    <w:rPr>
      <w:rFonts w:hint="eastAsia" w:ascii="微软雅黑" w:hAnsi="微软雅黑" w:eastAsia="微软雅黑" w:cs="微软雅黑"/>
      <w:color w:val="804000"/>
      <w:sz w:val="19"/>
      <w:szCs w:val="19"/>
    </w:rPr>
  </w:style>
  <w:style w:type="character" w:customStyle="1" w:styleId="132">
    <w:name w:val="text8"/>
    <w:qFormat/>
    <w:uiPriority w:val="0"/>
    <w:rPr>
      <w:rFonts w:hint="eastAsia" w:ascii="微软雅黑" w:hAnsi="微软雅黑" w:eastAsia="微软雅黑" w:cs="微软雅黑"/>
      <w:color w:val="804000"/>
      <w:sz w:val="21"/>
      <w:szCs w:val="21"/>
      <w:u w:val="single"/>
    </w:rPr>
  </w:style>
  <w:style w:type="character" w:customStyle="1" w:styleId="133">
    <w:name w:val="xinyong1"/>
    <w:qFormat/>
    <w:uiPriority w:val="0"/>
    <w:rPr>
      <w:rFonts w:hint="eastAsia" w:ascii="微软雅黑" w:hAnsi="微软雅黑" w:eastAsia="微软雅黑" w:cs="微软雅黑"/>
      <w:b/>
      <w:color w:val="545454"/>
      <w:sz w:val="16"/>
      <w:szCs w:val="16"/>
    </w:rPr>
  </w:style>
  <w:style w:type="character" w:customStyle="1" w:styleId="134">
    <w:name w:val="bg7"/>
    <w:qFormat/>
    <w:uiPriority w:val="0"/>
    <w:rPr>
      <w:bdr w:val="single" w:color="C59433" w:sz="4" w:space="0"/>
      <w:shd w:val="clear" w:color="auto" w:fill="804000"/>
    </w:rPr>
  </w:style>
  <w:style w:type="character" w:customStyle="1" w:styleId="135">
    <w:name w:val="页脚 Char"/>
    <w:qFormat/>
    <w:uiPriority w:val="99"/>
    <w:rPr>
      <w:sz w:val="18"/>
      <w:szCs w:val="18"/>
    </w:rPr>
  </w:style>
  <w:style w:type="character" w:customStyle="1" w:styleId="136">
    <w:name w:val="bg4"/>
    <w:qFormat/>
    <w:uiPriority w:val="0"/>
    <w:rPr>
      <w:bdr w:val="single" w:color="C59433" w:sz="4" w:space="0"/>
      <w:shd w:val="clear" w:color="auto" w:fill="804000"/>
    </w:rPr>
  </w:style>
  <w:style w:type="character" w:customStyle="1" w:styleId="137">
    <w:name w:val="bg"/>
    <w:qFormat/>
    <w:uiPriority w:val="0"/>
    <w:rPr>
      <w:bdr w:val="single" w:color="C59433" w:sz="4" w:space="0"/>
      <w:shd w:val="clear" w:color="auto" w:fill="804000"/>
    </w:rPr>
  </w:style>
  <w:style w:type="character" w:customStyle="1" w:styleId="138">
    <w:name w:val="无间隔 字符"/>
    <w:link w:val="139"/>
    <w:qFormat/>
    <w:uiPriority w:val="1"/>
    <w:rPr>
      <w:sz w:val="22"/>
      <w:szCs w:val="22"/>
      <w:lang w:val="en-US" w:eastAsia="zh-CN" w:bidi="ar-SA"/>
    </w:rPr>
  </w:style>
  <w:style w:type="paragraph" w:styleId="139">
    <w:name w:val="No Spacing"/>
    <w:link w:val="138"/>
    <w:qFormat/>
    <w:uiPriority w:val="1"/>
    <w:pPr>
      <w:spacing w:line="360" w:lineRule="auto"/>
      <w:jc w:val="both"/>
    </w:pPr>
    <w:rPr>
      <w:rFonts w:ascii="Times New Roman" w:hAnsi="Times New Roman" w:eastAsia="宋体" w:cs="Times New Roman"/>
      <w:sz w:val="22"/>
      <w:szCs w:val="22"/>
      <w:lang w:val="en-US" w:eastAsia="zh-CN" w:bidi="ar-SA"/>
    </w:rPr>
  </w:style>
  <w:style w:type="character" w:customStyle="1" w:styleId="140">
    <w:name w:val="正文首行缩进 2 Char1"/>
    <w:semiHidden/>
    <w:qFormat/>
    <w:uiPriority w:val="99"/>
    <w:rPr>
      <w:rFonts w:ascii="宋体" w:hAnsi="宋体"/>
      <w:spacing w:val="10"/>
      <w:kern w:val="2"/>
      <w:sz w:val="21"/>
      <w:szCs w:val="22"/>
    </w:rPr>
  </w:style>
  <w:style w:type="character" w:customStyle="1" w:styleId="141">
    <w:name w:val="text4"/>
    <w:qFormat/>
    <w:uiPriority w:val="0"/>
    <w:rPr>
      <w:rFonts w:hint="eastAsia" w:ascii="微软雅黑" w:hAnsi="微软雅黑" w:eastAsia="微软雅黑" w:cs="微软雅黑"/>
      <w:color w:val="804000"/>
      <w:sz w:val="19"/>
      <w:szCs w:val="19"/>
    </w:rPr>
  </w:style>
  <w:style w:type="character" w:customStyle="1" w:styleId="142">
    <w:name w:val="xinyong"/>
    <w:qFormat/>
    <w:uiPriority w:val="0"/>
    <w:rPr>
      <w:rFonts w:hint="eastAsia" w:ascii="微软雅黑 Bold" w:hAnsi="微软雅黑 Bold" w:eastAsia="微软雅黑 Bold" w:cs="微软雅黑 Bold"/>
      <w:b/>
      <w:color w:val="4E4E4E"/>
      <w:sz w:val="28"/>
      <w:szCs w:val="28"/>
    </w:rPr>
  </w:style>
  <w:style w:type="character" w:customStyle="1" w:styleId="143">
    <w:name w:val="纯文本 Char"/>
    <w:qFormat/>
    <w:uiPriority w:val="0"/>
    <w:rPr>
      <w:rFonts w:ascii="宋体" w:hAnsi="Courier New" w:cs="Courier New"/>
      <w:kern w:val="2"/>
      <w:sz w:val="21"/>
      <w:szCs w:val="21"/>
    </w:rPr>
  </w:style>
  <w:style w:type="character" w:customStyle="1" w:styleId="144">
    <w:name w:val="bg3"/>
    <w:qFormat/>
    <w:uiPriority w:val="0"/>
    <w:rPr>
      <w:bdr w:val="single" w:color="C59433" w:sz="4" w:space="0"/>
      <w:shd w:val="clear" w:color="auto" w:fill="804000"/>
    </w:rPr>
  </w:style>
  <w:style w:type="character" w:customStyle="1" w:styleId="145">
    <w:name w:val="xiangq"/>
    <w:qFormat/>
    <w:uiPriority w:val="0"/>
    <w:rPr>
      <w:rFonts w:hint="eastAsia" w:ascii="微软雅黑 Regular" w:hAnsi="微软雅黑 Regular" w:eastAsia="微软雅黑 Regular" w:cs="微软雅黑 Regular"/>
      <w:color w:val="FFFFFF"/>
      <w:sz w:val="15"/>
      <w:szCs w:val="15"/>
      <w:shd w:val="clear" w:color="auto" w:fill="EB5857"/>
    </w:rPr>
  </w:style>
  <w:style w:type="character" w:customStyle="1" w:styleId="146">
    <w:name w:val="text2"/>
    <w:qFormat/>
    <w:uiPriority w:val="0"/>
    <w:rPr>
      <w:rFonts w:hint="eastAsia" w:ascii="微软雅黑" w:hAnsi="微软雅黑" w:eastAsia="微软雅黑" w:cs="微软雅黑"/>
      <w:color w:val="804000"/>
      <w:sz w:val="19"/>
      <w:szCs w:val="19"/>
    </w:rPr>
  </w:style>
  <w:style w:type="character" w:customStyle="1" w:styleId="147">
    <w:name w:val="报告表正文 Char Char"/>
    <w:link w:val="148"/>
    <w:qFormat/>
    <w:uiPriority w:val="0"/>
    <w:rPr>
      <w:sz w:val="24"/>
    </w:rPr>
  </w:style>
  <w:style w:type="paragraph" w:customStyle="1" w:styleId="148">
    <w:name w:val="报告表正文"/>
    <w:basedOn w:val="1"/>
    <w:link w:val="147"/>
    <w:qFormat/>
    <w:uiPriority w:val="0"/>
    <w:pPr>
      <w:adjustRightInd w:val="0"/>
      <w:spacing w:line="312" w:lineRule="auto"/>
      <w:ind w:left="113" w:right="113" w:firstLine="482"/>
      <w:jc w:val="left"/>
    </w:pPr>
    <w:rPr>
      <w:kern w:val="0"/>
      <w:sz w:val="24"/>
      <w:szCs w:val="20"/>
    </w:rPr>
  </w:style>
  <w:style w:type="character" w:customStyle="1" w:styleId="149">
    <w:name w:val="表格样式1 Char"/>
    <w:link w:val="150"/>
    <w:qFormat/>
    <w:uiPriority w:val="0"/>
    <w:rPr>
      <w:bCs/>
      <w:kern w:val="2"/>
      <w:sz w:val="21"/>
      <w:szCs w:val="22"/>
    </w:rPr>
  </w:style>
  <w:style w:type="paragraph" w:customStyle="1" w:styleId="150">
    <w:name w:val="表格样式1"/>
    <w:basedOn w:val="1"/>
    <w:link w:val="149"/>
    <w:qFormat/>
    <w:uiPriority w:val="0"/>
    <w:pPr>
      <w:spacing w:line="320" w:lineRule="exact"/>
      <w:jc w:val="center"/>
    </w:pPr>
    <w:rPr>
      <w:bCs/>
      <w:szCs w:val="22"/>
    </w:rPr>
  </w:style>
  <w:style w:type="character" w:customStyle="1" w:styleId="151">
    <w:name w:val="bg6"/>
    <w:qFormat/>
    <w:uiPriority w:val="0"/>
    <w:rPr>
      <w:bdr w:val="single" w:color="C59433" w:sz="4" w:space="0"/>
      <w:shd w:val="clear" w:color="auto" w:fill="804000"/>
    </w:rPr>
  </w:style>
  <w:style w:type="character" w:customStyle="1" w:styleId="152">
    <w:name w:val="text5"/>
    <w:qFormat/>
    <w:uiPriority w:val="0"/>
    <w:rPr>
      <w:rFonts w:hint="eastAsia" w:ascii="微软雅黑" w:hAnsi="微软雅黑" w:eastAsia="微软雅黑" w:cs="微软雅黑"/>
      <w:color w:val="804000"/>
      <w:sz w:val="19"/>
      <w:szCs w:val="19"/>
    </w:rPr>
  </w:style>
  <w:style w:type="character" w:customStyle="1" w:styleId="153">
    <w:name w:val="registration-number"/>
    <w:qFormat/>
    <w:uiPriority w:val="0"/>
    <w:rPr>
      <w:rFonts w:hint="default" w:ascii="微软雅黑 Bold" w:hAnsi="微软雅黑 Bold" w:eastAsia="微软雅黑 Bold" w:cs="微软雅黑 Bold"/>
      <w:b/>
      <w:color w:val="545454"/>
      <w:sz w:val="16"/>
      <w:szCs w:val="16"/>
    </w:rPr>
  </w:style>
  <w:style w:type="character" w:customStyle="1" w:styleId="154">
    <w:name w:val="box-bg"/>
    <w:qFormat/>
    <w:uiPriority w:val="0"/>
    <w:rPr>
      <w:shd w:val="clear" w:color="auto" w:fill="2C2C2C"/>
    </w:rPr>
  </w:style>
  <w:style w:type="character" w:customStyle="1" w:styleId="155">
    <w:name w:val="表 Char"/>
    <w:link w:val="156"/>
    <w:qFormat/>
    <w:uiPriority w:val="0"/>
    <w:rPr>
      <w:rFonts w:ascii="宋体" w:hAnsi="Courier New" w:eastAsia="Courier New" w:cs="Courier New"/>
      <w:color w:val="000000"/>
      <w:sz w:val="24"/>
      <w:szCs w:val="24"/>
      <w:lang w:val="zh-TW" w:eastAsia="zh-TW"/>
    </w:rPr>
  </w:style>
  <w:style w:type="paragraph" w:customStyle="1" w:styleId="156">
    <w:name w:val="表"/>
    <w:basedOn w:val="1"/>
    <w:next w:val="1"/>
    <w:link w:val="155"/>
    <w:qFormat/>
    <w:uiPriority w:val="0"/>
    <w:pPr>
      <w:adjustRightInd w:val="0"/>
      <w:spacing w:line="400" w:lineRule="exact"/>
      <w:jc w:val="center"/>
    </w:pPr>
    <w:rPr>
      <w:rFonts w:ascii="宋体" w:hAnsi="Courier New" w:eastAsia="Courier New"/>
      <w:color w:val="000000"/>
      <w:kern w:val="0"/>
      <w:sz w:val="24"/>
      <w:lang w:val="zh-TW" w:eastAsia="zh-TW"/>
    </w:rPr>
  </w:style>
  <w:style w:type="character" w:customStyle="1" w:styleId="157">
    <w:name w:val="bg2"/>
    <w:qFormat/>
    <w:uiPriority w:val="0"/>
    <w:rPr>
      <w:bdr w:val="single" w:color="C59433" w:sz="4" w:space="0"/>
      <w:shd w:val="clear" w:color="auto" w:fill="804000"/>
    </w:rPr>
  </w:style>
  <w:style w:type="character" w:customStyle="1" w:styleId="158">
    <w:name w:val="layui-layer-tabnow"/>
    <w:qFormat/>
    <w:uiPriority w:val="0"/>
    <w:rPr>
      <w:bdr w:val="single" w:color="CCCCCC" w:sz="4" w:space="0"/>
      <w:shd w:val="clear" w:color="auto" w:fill="FFFFFF"/>
    </w:rPr>
  </w:style>
  <w:style w:type="character" w:customStyle="1" w:styleId="159">
    <w:name w:val="number"/>
    <w:qFormat/>
    <w:uiPriority w:val="0"/>
    <w:rPr>
      <w:rFonts w:hint="default" w:ascii="微软雅黑 Regular" w:hAnsi="微软雅黑 Regular" w:eastAsia="微软雅黑 Regular" w:cs="微软雅黑 Regular"/>
      <w:color w:val="FFFFFF"/>
      <w:sz w:val="15"/>
      <w:szCs w:val="15"/>
      <w:shd w:val="clear" w:color="auto" w:fill="4695E2"/>
    </w:rPr>
  </w:style>
  <w:style w:type="character" w:customStyle="1" w:styleId="160">
    <w:name w:val="text"/>
    <w:qFormat/>
    <w:uiPriority w:val="0"/>
    <w:rPr>
      <w:rFonts w:ascii="微软雅黑" w:hAnsi="微软雅黑" w:eastAsia="微软雅黑" w:cs="微软雅黑"/>
      <w:color w:val="804000"/>
      <w:sz w:val="19"/>
      <w:szCs w:val="19"/>
    </w:rPr>
  </w:style>
  <w:style w:type="character" w:customStyle="1" w:styleId="161">
    <w:name w:val="text3"/>
    <w:qFormat/>
    <w:uiPriority w:val="0"/>
    <w:rPr>
      <w:rFonts w:hint="eastAsia" w:ascii="微软雅黑" w:hAnsi="微软雅黑" w:eastAsia="微软雅黑" w:cs="微软雅黑"/>
      <w:color w:val="804000"/>
      <w:sz w:val="19"/>
      <w:szCs w:val="19"/>
    </w:rPr>
  </w:style>
  <w:style w:type="character" w:customStyle="1" w:styleId="162">
    <w:name w:val="use-help1"/>
    <w:qFormat/>
    <w:uiPriority w:val="0"/>
  </w:style>
  <w:style w:type="character" w:customStyle="1" w:styleId="163">
    <w:name w:val="number2"/>
    <w:qFormat/>
    <w:uiPriority w:val="0"/>
    <w:rPr>
      <w:rFonts w:hint="default" w:ascii="微软雅黑 Regular" w:hAnsi="微软雅黑 Regular" w:eastAsia="微软雅黑 Regular" w:cs="微软雅黑 Regular"/>
      <w:sz w:val="16"/>
      <w:szCs w:val="16"/>
    </w:rPr>
  </w:style>
  <w:style w:type="character" w:customStyle="1" w:styleId="164">
    <w:name w:val="副标题 字符1"/>
    <w:qFormat/>
    <w:uiPriority w:val="11"/>
    <w:rPr>
      <w:rFonts w:ascii="等线 Light" w:hAnsi="等线 Light" w:cs="Times New Roman"/>
      <w:b/>
      <w:bCs/>
      <w:kern w:val="28"/>
      <w:sz w:val="32"/>
      <w:szCs w:val="32"/>
    </w:rPr>
  </w:style>
  <w:style w:type="character" w:customStyle="1" w:styleId="165">
    <w:name w:val="正文文本缩进 2 字符1"/>
    <w:qFormat/>
    <w:uiPriority w:val="99"/>
    <w:rPr>
      <w:kern w:val="2"/>
      <w:sz w:val="21"/>
      <w:szCs w:val="24"/>
    </w:rPr>
  </w:style>
  <w:style w:type="paragraph" w:customStyle="1" w:styleId="166">
    <w:name w:val="正文-欣欣"/>
    <w:basedOn w:val="1"/>
    <w:next w:val="1"/>
    <w:qFormat/>
    <w:uiPriority w:val="0"/>
    <w:pPr>
      <w:ind w:firstLine="480" w:firstLineChars="200"/>
    </w:pPr>
    <w:rPr>
      <w:bCs/>
      <w:sz w:val="24"/>
    </w:rPr>
  </w:style>
  <w:style w:type="paragraph" w:customStyle="1" w:styleId="167">
    <w:name w:val="xl31"/>
    <w:basedOn w:val="1"/>
    <w:qFormat/>
    <w:uiPriority w:val="0"/>
    <w:pPr>
      <w:spacing w:before="100" w:beforeAutospacing="1" w:after="100" w:afterAutospacing="1"/>
      <w:jc w:val="center"/>
    </w:pPr>
    <w:rPr>
      <w:kern w:val="0"/>
      <w:sz w:val="24"/>
    </w:rPr>
  </w:style>
  <w:style w:type="character" w:customStyle="1" w:styleId="168">
    <w:name w:val="注释标题 字符1"/>
    <w:qFormat/>
    <w:uiPriority w:val="99"/>
    <w:rPr>
      <w:kern w:val="2"/>
      <w:sz w:val="21"/>
      <w:szCs w:val="24"/>
    </w:rPr>
  </w:style>
  <w:style w:type="paragraph" w:customStyle="1" w:styleId="169">
    <w:name w:val="Char Char Char Char Char Char Char Char Char Char Char Char Char Char Char Char Char Char Char Char Char Char Char Char Char Char Char Char Char Char Char Char Char"/>
    <w:basedOn w:val="1"/>
    <w:qFormat/>
    <w:uiPriority w:val="0"/>
    <w:pPr>
      <w:spacing w:after="160" w:line="240" w:lineRule="exact"/>
      <w:jc w:val="left"/>
    </w:pPr>
    <w:rPr>
      <w:rFonts w:ascii="Verdana" w:hAnsi="Verdana" w:eastAsia="仿宋_GB2312"/>
      <w:kern w:val="0"/>
      <w:sz w:val="24"/>
      <w:szCs w:val="20"/>
      <w:lang w:eastAsia="en-US"/>
    </w:rPr>
  </w:style>
  <w:style w:type="character" w:customStyle="1" w:styleId="170">
    <w:name w:val="纯文本 字符1"/>
    <w:qFormat/>
    <w:uiPriority w:val="0"/>
    <w:rPr>
      <w:rFonts w:ascii="宋体" w:hAnsi="Courier New" w:cs="Courier New"/>
      <w:kern w:val="2"/>
      <w:sz w:val="21"/>
      <w:szCs w:val="21"/>
    </w:rPr>
  </w:style>
  <w:style w:type="character" w:customStyle="1" w:styleId="171">
    <w:name w:val="文档结构图 字符1"/>
    <w:qFormat/>
    <w:uiPriority w:val="99"/>
    <w:rPr>
      <w:rFonts w:ascii="Microsoft YaHei UI" w:eastAsia="Microsoft YaHei UI"/>
      <w:kern w:val="2"/>
      <w:sz w:val="18"/>
      <w:szCs w:val="18"/>
    </w:rPr>
  </w:style>
  <w:style w:type="paragraph" w:customStyle="1" w:styleId="172">
    <w:name w:val="表格2"/>
    <w:basedOn w:val="1"/>
    <w:qFormat/>
    <w:uiPriority w:val="0"/>
    <w:pPr>
      <w:jc w:val="center"/>
    </w:pPr>
    <w:rPr>
      <w:szCs w:val="22"/>
    </w:rPr>
  </w:style>
  <w:style w:type="paragraph" w:customStyle="1" w:styleId="173">
    <w:name w:val="样式 报告书正文 + 首行缩进:  2 字符"/>
    <w:basedOn w:val="1"/>
    <w:qFormat/>
    <w:uiPriority w:val="0"/>
    <w:pPr>
      <w:tabs>
        <w:tab w:val="left" w:pos="6300"/>
      </w:tabs>
      <w:ind w:firstLine="480" w:firstLineChars="200"/>
      <w:jc w:val="left"/>
    </w:pPr>
    <w:rPr>
      <w:rFonts w:ascii="宋体" w:hAnsi="宋体"/>
      <w:sz w:val="24"/>
    </w:rPr>
  </w:style>
  <w:style w:type="paragraph" w:customStyle="1" w:styleId="174">
    <w:name w:val="xl52"/>
    <w:basedOn w:val="1"/>
    <w:qFormat/>
    <w:uiPriority w:val="0"/>
    <w:pPr>
      <w:pBdr>
        <w:lef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szCs w:val="22"/>
    </w:rPr>
  </w:style>
  <w:style w:type="character" w:customStyle="1" w:styleId="175">
    <w:name w:val="正文首行缩进 2 字符1"/>
    <w:qFormat/>
    <w:uiPriority w:val="99"/>
    <w:rPr>
      <w:rFonts w:ascii="Times New Roman" w:hAnsi="Times New Roman" w:eastAsia="宋体"/>
      <w:kern w:val="2"/>
      <w:sz w:val="21"/>
      <w:szCs w:val="24"/>
    </w:rPr>
  </w:style>
  <w:style w:type="paragraph" w:customStyle="1" w:styleId="176">
    <w:name w:val="简单回函地址"/>
    <w:basedOn w:val="1"/>
    <w:qFormat/>
    <w:uiPriority w:val="0"/>
  </w:style>
  <w:style w:type="paragraph" w:customStyle="1" w:styleId="177">
    <w:name w:val="WPS Plain"/>
    <w:qFormat/>
    <w:uiPriority w:val="0"/>
    <w:pPr>
      <w:spacing w:line="360" w:lineRule="auto"/>
      <w:jc w:val="both"/>
    </w:pPr>
    <w:rPr>
      <w:rFonts w:ascii="Times New Roman" w:hAnsi="Times New Roman" w:eastAsia="宋体" w:cs="Times New Roman"/>
      <w:sz w:val="24"/>
      <w:szCs w:val="24"/>
      <w:lang w:val="en-US" w:eastAsia="zh-CN" w:bidi="ar-SA"/>
    </w:rPr>
  </w:style>
  <w:style w:type="paragraph" w:customStyle="1" w:styleId="178">
    <w:name w:val="题注1"/>
    <w:basedOn w:val="1"/>
    <w:qFormat/>
    <w:uiPriority w:val="0"/>
    <w:pPr>
      <w:jc w:val="left"/>
    </w:pPr>
    <w:rPr>
      <w:rFonts w:ascii="宋体" w:hAnsi="宋体"/>
      <w:b/>
      <w:szCs w:val="22"/>
    </w:rPr>
  </w:style>
  <w:style w:type="paragraph" w:customStyle="1" w:styleId="179">
    <w:name w:val="正文3"/>
    <w:basedOn w:val="1"/>
    <w:qFormat/>
    <w:uiPriority w:val="0"/>
    <w:rPr>
      <w:szCs w:val="22"/>
    </w:rPr>
  </w:style>
  <w:style w:type="paragraph" w:customStyle="1" w:styleId="180">
    <w:name w:val="样式 首行缩进:  2 字符"/>
    <w:basedOn w:val="1"/>
    <w:qFormat/>
    <w:uiPriority w:val="0"/>
    <w:pPr>
      <w:ind w:firstLine="200" w:firstLineChars="200"/>
    </w:pPr>
    <w:rPr>
      <w:rFonts w:cs="宋体"/>
      <w:b/>
      <w:bCs/>
      <w:sz w:val="24"/>
      <w:szCs w:val="20"/>
    </w:rPr>
  </w:style>
  <w:style w:type="paragraph" w:customStyle="1" w:styleId="181">
    <w:name w:val="表格中"/>
    <w:basedOn w:val="1"/>
    <w:semiHidden/>
    <w:qFormat/>
    <w:uiPriority w:val="0"/>
    <w:pPr>
      <w:adjustRightInd w:val="0"/>
      <w:snapToGrid w:val="0"/>
      <w:spacing w:line="360" w:lineRule="exact"/>
      <w:ind w:left="315" w:hanging="315" w:hangingChars="150"/>
    </w:pPr>
    <w:rPr>
      <w:rFonts w:ascii="宋体"/>
      <w:szCs w:val="21"/>
    </w:rPr>
  </w:style>
  <w:style w:type="paragraph" w:styleId="182">
    <w:name w:val="List Paragraph"/>
    <w:basedOn w:val="1"/>
    <w:qFormat/>
    <w:uiPriority w:val="99"/>
    <w:pPr>
      <w:autoSpaceDE w:val="0"/>
      <w:autoSpaceDN w:val="0"/>
      <w:adjustRightInd w:val="0"/>
      <w:jc w:val="left"/>
    </w:pPr>
    <w:rPr>
      <w:kern w:val="0"/>
      <w:sz w:val="24"/>
    </w:rPr>
  </w:style>
  <w:style w:type="paragraph" w:customStyle="1" w:styleId="183">
    <w:name w:val="Table Paragraph"/>
    <w:basedOn w:val="1"/>
    <w:qFormat/>
    <w:uiPriority w:val="0"/>
    <w:pPr>
      <w:autoSpaceDE w:val="0"/>
      <w:autoSpaceDN w:val="0"/>
      <w:adjustRightInd w:val="0"/>
      <w:jc w:val="left"/>
    </w:pPr>
    <w:rPr>
      <w:kern w:val="0"/>
      <w:sz w:val="24"/>
    </w:rPr>
  </w:style>
  <w:style w:type="paragraph" w:customStyle="1" w:styleId="184">
    <w:name w:val="Revision"/>
    <w:unhideWhenUsed/>
    <w:qFormat/>
    <w:uiPriority w:val="99"/>
    <w:pPr>
      <w:spacing w:line="360" w:lineRule="auto"/>
      <w:jc w:val="both"/>
    </w:pPr>
    <w:rPr>
      <w:rFonts w:ascii="Times New Roman" w:hAnsi="Times New Roman" w:eastAsia="宋体" w:cs="Times New Roman"/>
      <w:kern w:val="2"/>
      <w:sz w:val="21"/>
      <w:szCs w:val="22"/>
      <w:lang w:val="en-US" w:eastAsia="zh-CN" w:bidi="ar-SA"/>
    </w:rPr>
  </w:style>
  <w:style w:type="paragraph" w:customStyle="1" w:styleId="185">
    <w:name w:val="表头2"/>
    <w:basedOn w:val="172"/>
    <w:qFormat/>
    <w:uiPriority w:val="0"/>
    <w:pPr>
      <w:spacing w:beforeLines="100"/>
    </w:pPr>
    <w:rPr>
      <w:b/>
      <w:sz w:val="24"/>
    </w:rPr>
  </w:style>
  <w:style w:type="paragraph" w:customStyle="1" w:styleId="186">
    <w:name w:val="W正文"/>
    <w:basedOn w:val="1"/>
    <w:qFormat/>
    <w:uiPriority w:val="0"/>
    <w:pPr>
      <w:adjustRightInd w:val="0"/>
      <w:snapToGrid w:val="0"/>
      <w:spacing w:line="500" w:lineRule="exact"/>
      <w:ind w:firstLine="600" w:firstLineChars="200"/>
    </w:pPr>
    <w:rPr>
      <w:kern w:val="0"/>
      <w:sz w:val="20"/>
      <w:szCs w:val="22"/>
    </w:rPr>
  </w:style>
  <w:style w:type="paragraph" w:customStyle="1" w:styleId="187">
    <w:name w:val="表内容"/>
    <w:basedOn w:val="1"/>
    <w:qFormat/>
    <w:uiPriority w:val="0"/>
    <w:pPr>
      <w:adjustRightInd w:val="0"/>
      <w:snapToGrid w:val="0"/>
      <w:jc w:val="center"/>
    </w:pPr>
    <w:rPr>
      <w:szCs w:val="22"/>
    </w:rPr>
  </w:style>
  <w:style w:type="paragraph" w:customStyle="1" w:styleId="188">
    <w:name w:val="正文 首行缩进:  2 字符"/>
    <w:basedOn w:val="1"/>
    <w:link w:val="189"/>
    <w:qFormat/>
    <w:uiPriority w:val="0"/>
    <w:pPr>
      <w:adjustRightInd w:val="0"/>
      <w:snapToGrid w:val="0"/>
      <w:ind w:firstLine="470" w:firstLineChars="196"/>
    </w:pPr>
    <w:rPr>
      <w:rFonts w:hAnsi="仿宋_GB2312"/>
      <w:szCs w:val="22"/>
    </w:rPr>
  </w:style>
  <w:style w:type="character" w:customStyle="1" w:styleId="189">
    <w:name w:val="正文 首行缩进:  2 字符 Char Char"/>
    <w:link w:val="188"/>
    <w:qFormat/>
    <w:uiPriority w:val="0"/>
    <w:rPr>
      <w:rFonts w:hAnsi="仿宋_GB2312"/>
      <w:kern w:val="2"/>
      <w:sz w:val="21"/>
      <w:szCs w:val="22"/>
    </w:rPr>
  </w:style>
  <w:style w:type="paragraph" w:customStyle="1" w:styleId="190">
    <w:name w:val="正文2"/>
    <w:basedOn w:val="1"/>
    <w:qFormat/>
    <w:uiPriority w:val="0"/>
    <w:pPr>
      <w:adjustRightInd w:val="0"/>
      <w:snapToGrid w:val="0"/>
      <w:spacing w:line="440" w:lineRule="atLeast"/>
      <w:ind w:firstLine="510"/>
    </w:pPr>
    <w:rPr>
      <w:szCs w:val="20"/>
    </w:rPr>
  </w:style>
  <w:style w:type="paragraph" w:customStyle="1" w:styleId="191">
    <w:name w:val="正文 New New"/>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192">
    <w:name w:val="样式 首行缩进:  2 字符1"/>
    <w:basedOn w:val="1"/>
    <w:qFormat/>
    <w:uiPriority w:val="0"/>
    <w:pPr>
      <w:spacing w:line="500" w:lineRule="exact"/>
      <w:ind w:firstLine="480" w:firstLineChars="200"/>
    </w:pPr>
    <w:rPr>
      <w:bCs/>
      <w:sz w:val="24"/>
      <w:szCs w:val="22"/>
    </w:rPr>
  </w:style>
  <w:style w:type="paragraph" w:customStyle="1" w:styleId="193">
    <w:name w:val="表头[BT]"/>
    <w:basedOn w:val="1"/>
    <w:qFormat/>
    <w:uiPriority w:val="0"/>
    <w:pPr>
      <w:adjustRightInd w:val="0"/>
      <w:spacing w:before="120" w:after="120"/>
      <w:jc w:val="center"/>
      <w:textAlignment w:val="baseline"/>
    </w:pPr>
    <w:rPr>
      <w:rFonts w:ascii="楷体_GB2312" w:eastAsia="楷体_GB2312"/>
      <w:kern w:val="0"/>
      <w:szCs w:val="20"/>
    </w:rPr>
  </w:style>
  <w:style w:type="paragraph" w:customStyle="1" w:styleId="194">
    <w:name w:val="Char Char Char Char"/>
    <w:basedOn w:val="1"/>
    <w:qFormat/>
    <w:uiPriority w:val="0"/>
    <w:pPr>
      <w:ind w:firstLine="200" w:firstLineChars="200"/>
    </w:pPr>
    <w:rPr>
      <w:rFonts w:ascii="宋体" w:hAnsi="宋体" w:cs="宋体"/>
      <w:sz w:val="24"/>
    </w:rPr>
  </w:style>
  <w:style w:type="paragraph" w:customStyle="1" w:styleId="195">
    <w:name w:val="魏秀珍报告正文"/>
    <w:basedOn w:val="1"/>
    <w:qFormat/>
    <w:uiPriority w:val="0"/>
    <w:pPr>
      <w:adjustRightInd w:val="0"/>
      <w:snapToGrid w:val="0"/>
      <w:ind w:firstLine="480" w:firstLineChars="200"/>
    </w:pPr>
    <w:rPr>
      <w:rFonts w:ascii="仿宋_GB2312" w:hAnsi="宋体"/>
      <w:color w:val="000000"/>
      <w:szCs w:val="20"/>
      <w:lang w:val="zh-Hans"/>
    </w:rPr>
  </w:style>
  <w:style w:type="paragraph" w:customStyle="1" w:styleId="196">
    <w:name w:val="表格1"/>
    <w:basedOn w:val="1"/>
    <w:qFormat/>
    <w:uiPriority w:val="0"/>
    <w:pPr>
      <w:tabs>
        <w:tab w:val="left" w:leader="middleDot" w:pos="7710"/>
      </w:tabs>
      <w:jc w:val="center"/>
    </w:pPr>
    <w:rPr>
      <w:color w:val="000000"/>
      <w:sz w:val="18"/>
      <w:szCs w:val="20"/>
    </w:rPr>
  </w:style>
  <w:style w:type="paragraph" w:customStyle="1" w:styleId="197">
    <w:name w:val="表格11"/>
    <w:basedOn w:val="1"/>
    <w:next w:val="196"/>
    <w:qFormat/>
    <w:uiPriority w:val="0"/>
    <w:pPr>
      <w:adjustRightInd w:val="0"/>
      <w:snapToGrid w:val="0"/>
      <w:jc w:val="center"/>
      <w:textAlignment w:val="baseline"/>
    </w:pPr>
    <w:rPr>
      <w:b/>
      <w:bCs/>
      <w:color w:val="000000"/>
      <w:szCs w:val="21"/>
      <w:lang w:val="zh-CN"/>
    </w:rPr>
  </w:style>
  <w:style w:type="paragraph" w:customStyle="1" w:styleId="198">
    <w:name w:val="Default"/>
    <w:next w:val="10"/>
    <w:qFormat/>
    <w:uiPriority w:val="0"/>
    <w:pPr>
      <w:widowControl w:val="0"/>
      <w:autoSpaceDE w:val="0"/>
      <w:autoSpaceDN w:val="0"/>
      <w:adjustRightInd w:val="0"/>
      <w:spacing w:line="360" w:lineRule="auto"/>
      <w:jc w:val="both"/>
    </w:pPr>
    <w:rPr>
      <w:rFonts w:ascii="宋体" w:hAnsi="Times New Roman" w:eastAsia="宋体" w:cs="宋体"/>
      <w:color w:val="000000"/>
      <w:sz w:val="24"/>
      <w:szCs w:val="24"/>
      <w:lang w:val="en-US" w:eastAsia="zh-CN" w:bidi="ar-SA"/>
    </w:rPr>
  </w:style>
  <w:style w:type="paragraph" w:customStyle="1" w:styleId="199">
    <w:name w:val="Body Text 22"/>
    <w:basedOn w:val="1"/>
    <w:qFormat/>
    <w:uiPriority w:val="0"/>
    <w:pPr>
      <w:adjustRightInd w:val="0"/>
      <w:spacing w:line="440" w:lineRule="atLeast"/>
      <w:ind w:firstLine="480"/>
      <w:textAlignment w:val="baseline"/>
    </w:pPr>
    <w:rPr>
      <w:rFonts w:eastAsia="仿宋_GB2312"/>
      <w:sz w:val="24"/>
      <w:szCs w:val="20"/>
    </w:rPr>
  </w:style>
  <w:style w:type="paragraph" w:customStyle="1" w:styleId="200">
    <w:name w:val="L正文"/>
    <w:basedOn w:val="1"/>
    <w:qFormat/>
    <w:uiPriority w:val="0"/>
    <w:pPr>
      <w:adjustRightInd w:val="0"/>
      <w:snapToGrid w:val="0"/>
      <w:ind w:firstLine="200" w:firstLineChars="200"/>
      <w:jc w:val="left"/>
    </w:pPr>
    <w:rPr>
      <w:sz w:val="24"/>
    </w:rPr>
  </w:style>
  <w:style w:type="paragraph" w:customStyle="1" w:styleId="201">
    <w:name w:val="正文   1"/>
    <w:basedOn w:val="1"/>
    <w:qFormat/>
    <w:uiPriority w:val="0"/>
    <w:pPr>
      <w:autoSpaceDE w:val="0"/>
      <w:autoSpaceDN w:val="0"/>
      <w:adjustRightInd w:val="0"/>
      <w:snapToGrid w:val="0"/>
      <w:spacing w:line="460" w:lineRule="atLeast"/>
      <w:ind w:firstLine="520" w:firstLineChars="200"/>
      <w:textAlignment w:val="baseline"/>
    </w:pPr>
    <w:rPr>
      <w:bCs/>
      <w:kern w:val="0"/>
      <w:sz w:val="26"/>
      <w:szCs w:val="20"/>
    </w:rPr>
  </w:style>
  <w:style w:type="paragraph" w:customStyle="1" w:styleId="202">
    <w:name w:val="样式 小四 行距: 固定值 16 磅"/>
    <w:basedOn w:val="1"/>
    <w:qFormat/>
    <w:uiPriority w:val="0"/>
    <w:pPr>
      <w:snapToGrid w:val="0"/>
      <w:spacing w:line="400" w:lineRule="exact"/>
      <w:ind w:firstLine="480" w:firstLineChars="200"/>
    </w:pPr>
    <w:rPr>
      <w:rFonts w:cs="Dutch801 Rm BT"/>
      <w:sz w:val="24"/>
      <w:szCs w:val="20"/>
    </w:rPr>
  </w:style>
  <w:style w:type="character" w:customStyle="1" w:styleId="203">
    <w:name w:val="报告书正文 Char Char"/>
    <w:qFormat/>
    <w:uiPriority w:val="0"/>
    <w:rPr>
      <w:rFonts w:eastAsia="宋体"/>
      <w:color w:val="000000"/>
      <w:kern w:val="2"/>
      <w:sz w:val="21"/>
      <w:szCs w:val="21"/>
      <w:lang w:val="en-US" w:eastAsia="zh-CN" w:bidi="ar-SA"/>
    </w:rPr>
  </w:style>
  <w:style w:type="character" w:customStyle="1" w:styleId="204">
    <w:name w:val="font11"/>
    <w:qFormat/>
    <w:uiPriority w:val="0"/>
    <w:rPr>
      <w:rFonts w:hint="eastAsia" w:ascii="宋体" w:hAnsi="宋体" w:eastAsia="宋体" w:cs="宋体"/>
      <w:color w:val="000000"/>
      <w:sz w:val="22"/>
      <w:szCs w:val="22"/>
      <w:u w:val="none"/>
    </w:rPr>
  </w:style>
  <w:style w:type="paragraph" w:customStyle="1" w:styleId="205">
    <w:name w:val="新格式表"/>
    <w:basedOn w:val="1"/>
    <w:qFormat/>
    <w:uiPriority w:val="0"/>
    <w:pPr>
      <w:spacing w:line="260" w:lineRule="exact"/>
      <w:jc w:val="center"/>
    </w:pPr>
    <w:rPr>
      <w:rFonts w:ascii="Dutch801 Rm BT" w:hAnsi="Dutch801 Rm BT" w:cs="Dutch801 Rm BT"/>
      <w:snapToGrid w:val="0"/>
      <w:szCs w:val="21"/>
    </w:rPr>
  </w:style>
  <w:style w:type="paragraph" w:customStyle="1" w:styleId="206">
    <w:name w:val="表格内居中文字"/>
    <w:basedOn w:val="1"/>
    <w:qFormat/>
    <w:uiPriority w:val="0"/>
    <w:pPr>
      <w:jc w:val="center"/>
    </w:pPr>
    <w:rPr>
      <w:rFonts w:ascii="Dutch801 Rm BT" w:hAnsi="Dutch801 Rm BT" w:cs="Dutch801 Rm BT"/>
      <w:lang w:val="zh-CN"/>
    </w:rPr>
  </w:style>
  <w:style w:type="table" w:customStyle="1" w:styleId="207">
    <w:name w:val="网格型7"/>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8">
    <w:name w:val="页脚 字符2"/>
    <w:qFormat/>
    <w:uiPriority w:val="0"/>
    <w:rPr>
      <w:kern w:val="2"/>
      <w:sz w:val="18"/>
      <w:szCs w:val="18"/>
    </w:rPr>
  </w:style>
  <w:style w:type="character" w:customStyle="1" w:styleId="209">
    <w:name w:val="页眉 字符1"/>
    <w:qFormat/>
    <w:uiPriority w:val="0"/>
    <w:rPr>
      <w:kern w:val="2"/>
      <w:sz w:val="18"/>
      <w:szCs w:val="18"/>
    </w:rPr>
  </w:style>
  <w:style w:type="character" w:styleId="210">
    <w:name w:val="Placeholder Text"/>
    <w:unhideWhenUsed/>
    <w:qFormat/>
    <w:uiPriority w:val="99"/>
    <w:rPr>
      <w:color w:val="808080"/>
    </w:rPr>
  </w:style>
  <w:style w:type="paragraph" w:customStyle="1" w:styleId="211">
    <w:name w:val="列出段落2"/>
    <w:basedOn w:val="1"/>
    <w:qFormat/>
    <w:uiPriority w:val="0"/>
    <w:pPr>
      <w:snapToGrid w:val="0"/>
      <w:spacing w:before="10"/>
      <w:ind w:firstLine="420" w:firstLineChars="200"/>
    </w:pPr>
    <w:rPr>
      <w:rFonts w:ascii="Calibri" w:hAnsi="Calibri" w:cs="Calibri"/>
      <w:szCs w:val="21"/>
    </w:rPr>
  </w:style>
  <w:style w:type="paragraph" w:customStyle="1" w:styleId="212">
    <w:name w:val="表格内容谢谢"/>
    <w:basedOn w:val="1"/>
    <w:qFormat/>
    <w:uiPriority w:val="0"/>
    <w:pPr>
      <w:spacing w:line="240" w:lineRule="atLeast"/>
      <w:jc w:val="center"/>
    </w:pPr>
    <w:rPr>
      <w:rFonts w:hAnsi="等线" w:eastAsia="等线"/>
      <w:color w:val="000000"/>
      <w:kern w:val="0"/>
      <w:szCs w:val="21"/>
    </w:rPr>
  </w:style>
  <w:style w:type="character" w:customStyle="1" w:styleId="213">
    <w:name w:val="表格文字 Char Char"/>
    <w:qFormat/>
    <w:uiPriority w:val="0"/>
    <w:rPr>
      <w:kern w:val="2"/>
      <w:sz w:val="21"/>
    </w:rPr>
  </w:style>
  <w:style w:type="paragraph" w:customStyle="1" w:styleId="214">
    <w:name w:val="样式5"/>
    <w:basedOn w:val="1"/>
    <w:link w:val="215"/>
    <w:qFormat/>
    <w:uiPriority w:val="0"/>
    <w:pPr>
      <w:adjustRightInd w:val="0"/>
      <w:snapToGrid w:val="0"/>
      <w:spacing w:beforeLines="50" w:line="480" w:lineRule="atLeast"/>
      <w:jc w:val="center"/>
      <w:outlineLvl w:val="4"/>
    </w:pPr>
    <w:rPr>
      <w:color w:val="000000"/>
      <w:sz w:val="26"/>
      <w:szCs w:val="26"/>
    </w:rPr>
  </w:style>
  <w:style w:type="character" w:customStyle="1" w:styleId="215">
    <w:name w:val="样式5 Char"/>
    <w:link w:val="214"/>
    <w:qFormat/>
    <w:uiPriority w:val="0"/>
    <w:rPr>
      <w:color w:val="000000"/>
      <w:kern w:val="2"/>
      <w:sz w:val="26"/>
      <w:szCs w:val="26"/>
    </w:rPr>
  </w:style>
  <w:style w:type="paragraph" w:customStyle="1" w:styleId="216">
    <w:name w:val="TOC Heading"/>
    <w:basedOn w:val="5"/>
    <w:next w:val="1"/>
    <w:qFormat/>
    <w:uiPriority w:val="39"/>
    <w:pPr>
      <w:keepLines/>
      <w:overflowPunct/>
      <w:snapToGrid/>
      <w:spacing w:before="240" w:after="0"/>
      <w:ind w:left="0" w:firstLine="0"/>
      <w:jc w:val="left"/>
      <w:outlineLvl w:val="9"/>
    </w:pPr>
    <w:rPr>
      <w:rFonts w:ascii="等线 Light" w:hAnsi="等线 Light" w:eastAsia="等线 Light"/>
      <w:b w:val="0"/>
      <w:bCs w:val="0"/>
      <w:color w:val="2F5496"/>
      <w:kern w:val="0"/>
      <w:sz w:val="32"/>
      <w:szCs w:val="32"/>
    </w:rPr>
  </w:style>
  <w:style w:type="paragraph" w:customStyle="1" w:styleId="217">
    <w:name w:val="1"/>
    <w:basedOn w:val="1"/>
    <w:next w:val="182"/>
    <w:qFormat/>
    <w:uiPriority w:val="34"/>
    <w:pPr>
      <w:autoSpaceDE w:val="0"/>
      <w:autoSpaceDN w:val="0"/>
      <w:adjustRightInd w:val="0"/>
      <w:jc w:val="left"/>
    </w:pPr>
    <w:rPr>
      <w:kern w:val="0"/>
      <w:sz w:val="24"/>
    </w:rPr>
  </w:style>
  <w:style w:type="character" w:customStyle="1" w:styleId="218">
    <w:name w:val="批注主题 字符1"/>
    <w:semiHidden/>
    <w:qFormat/>
    <w:uiPriority w:val="99"/>
    <w:rPr>
      <w:rFonts w:ascii="Times New Roman" w:hAnsi="Times New Roman" w:eastAsia="宋体"/>
      <w:b/>
      <w:bCs/>
      <w:kern w:val="2"/>
      <w:sz w:val="21"/>
      <w:szCs w:val="22"/>
    </w:rPr>
  </w:style>
  <w:style w:type="character" w:customStyle="1" w:styleId="219">
    <w:name w:val="正文文本缩进 字符1"/>
    <w:semiHidden/>
    <w:qFormat/>
    <w:uiPriority w:val="99"/>
    <w:rPr>
      <w:kern w:val="2"/>
      <w:sz w:val="21"/>
      <w:szCs w:val="22"/>
    </w:rPr>
  </w:style>
  <w:style w:type="character" w:customStyle="1" w:styleId="220">
    <w:name w:val="批注框文本 字符1"/>
    <w:semiHidden/>
    <w:qFormat/>
    <w:uiPriority w:val="99"/>
    <w:rPr>
      <w:kern w:val="2"/>
      <w:sz w:val="18"/>
      <w:szCs w:val="18"/>
    </w:rPr>
  </w:style>
  <w:style w:type="paragraph" w:customStyle="1" w:styleId="221">
    <w:name w:val="图标"/>
    <w:basedOn w:val="1"/>
    <w:next w:val="1"/>
    <w:qFormat/>
    <w:uiPriority w:val="0"/>
    <w:pPr>
      <w:jc w:val="center"/>
    </w:pPr>
    <w:rPr>
      <w:b/>
      <w:sz w:val="24"/>
      <w:szCs w:val="20"/>
    </w:rPr>
  </w:style>
  <w:style w:type="paragraph" w:customStyle="1" w:styleId="222">
    <w:name w:val="表内字1"/>
    <w:basedOn w:val="1"/>
    <w:qFormat/>
    <w:uiPriority w:val="0"/>
    <w:pPr>
      <w:adjustRightInd w:val="0"/>
      <w:snapToGrid w:val="0"/>
      <w:spacing w:line="300" w:lineRule="exact"/>
      <w:jc w:val="center"/>
    </w:pPr>
    <w:rPr>
      <w:color w:val="000000"/>
      <w:sz w:val="22"/>
      <w:szCs w:val="21"/>
    </w:rPr>
  </w:style>
  <w:style w:type="paragraph" w:customStyle="1" w:styleId="223">
    <w:name w:val="1文章"/>
    <w:basedOn w:val="1"/>
    <w:qFormat/>
    <w:uiPriority w:val="0"/>
    <w:pPr>
      <w:snapToGrid w:val="0"/>
      <w:spacing w:line="420" w:lineRule="auto"/>
      <w:ind w:firstLine="454"/>
      <w:outlineLvl w:val="4"/>
    </w:pPr>
    <w:rPr>
      <w:spacing w:val="4"/>
    </w:rPr>
  </w:style>
  <w:style w:type="paragraph" w:customStyle="1" w:styleId="224">
    <w:name w:val="ReMinD正文"/>
    <w:qFormat/>
    <w:uiPriority w:val="0"/>
    <w:pPr>
      <w:spacing w:line="500" w:lineRule="exact"/>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225">
    <w:name w:val="正文 A"/>
    <w:basedOn w:val="1"/>
    <w:qFormat/>
    <w:uiPriority w:val="0"/>
    <w:rPr>
      <w:rFonts w:eastAsia="Arial Unicode MS" w:cs="Arial Unicode MS"/>
      <w:color w:val="000000"/>
      <w:szCs w:val="21"/>
    </w:rPr>
  </w:style>
  <w:style w:type="paragraph" w:customStyle="1" w:styleId="226">
    <w:name w:val="IDC A-Head (2nd Line)"/>
    <w:basedOn w:val="1"/>
    <w:next w:val="1"/>
    <w:qFormat/>
    <w:uiPriority w:val="0"/>
    <w:pPr>
      <w:jc w:val="center"/>
    </w:pPr>
    <w:rPr>
      <w:caps/>
      <w:kern w:val="0"/>
      <w:sz w:val="24"/>
      <w:szCs w:val="20"/>
    </w:rPr>
  </w:style>
  <w:style w:type="paragraph" w:customStyle="1" w:styleId="227">
    <w:name w:val="XF-正文"/>
    <w:basedOn w:val="1"/>
    <w:qFormat/>
    <w:uiPriority w:val="0"/>
    <w:pPr>
      <w:spacing w:line="520" w:lineRule="exact"/>
      <w:ind w:firstLine="880" w:firstLineChars="200"/>
    </w:pPr>
    <w:rPr>
      <w:szCs w:val="22"/>
    </w:rPr>
  </w:style>
  <w:style w:type="paragraph" w:customStyle="1" w:styleId="228">
    <w:name w:val="CCTEG 文本"/>
    <w:basedOn w:val="1"/>
    <w:qFormat/>
    <w:uiPriority w:val="0"/>
    <w:pPr>
      <w:spacing w:line="460" w:lineRule="exact"/>
      <w:ind w:firstLine="880" w:firstLineChars="200"/>
    </w:pPr>
    <w:rPr>
      <w:kern w:val="0"/>
      <w:sz w:val="26"/>
      <w:szCs w:val="26"/>
    </w:rPr>
  </w:style>
  <w:style w:type="paragraph" w:customStyle="1" w:styleId="229">
    <w:name w:val="表（CCTEG）"/>
    <w:basedOn w:val="1"/>
    <w:qFormat/>
    <w:uiPriority w:val="0"/>
    <w:pPr>
      <w:jc w:val="center"/>
    </w:pPr>
    <w:rPr>
      <w:kern w:val="0"/>
      <w:sz w:val="22"/>
      <w:szCs w:val="20"/>
    </w:rPr>
  </w:style>
  <w:style w:type="paragraph" w:customStyle="1" w:styleId="230">
    <w:name w:val="样式20"/>
    <w:basedOn w:val="1"/>
    <w:qFormat/>
    <w:uiPriority w:val="0"/>
    <w:pPr>
      <w:adjustRightInd w:val="0"/>
      <w:snapToGrid w:val="0"/>
      <w:spacing w:line="320" w:lineRule="exact"/>
      <w:jc w:val="center"/>
    </w:pPr>
    <w:rPr>
      <w:rFonts w:ascii="宋体" w:hAnsi="宋体"/>
      <w:sz w:val="22"/>
      <w:szCs w:val="22"/>
    </w:rPr>
  </w:style>
  <w:style w:type="paragraph" w:customStyle="1" w:styleId="231">
    <w:name w:val="样式 标题 2标题 2 Char Char + 小三"/>
    <w:basedOn w:val="6"/>
    <w:qFormat/>
    <w:uiPriority w:val="0"/>
    <w:pPr>
      <w:spacing w:before="0" w:after="0" w:line="288" w:lineRule="auto"/>
    </w:pPr>
    <w:rPr>
      <w:rFonts w:eastAsia="宋体"/>
      <w:sz w:val="30"/>
    </w:rPr>
  </w:style>
  <w:style w:type="paragraph" w:customStyle="1" w:styleId="232">
    <w:name w:val="引言"/>
    <w:basedOn w:val="1"/>
    <w:next w:val="1"/>
    <w:qFormat/>
    <w:uiPriority w:val="99"/>
    <w:pPr>
      <w:adjustRightInd w:val="0"/>
      <w:snapToGrid w:val="0"/>
      <w:jc w:val="center"/>
    </w:pPr>
    <w:rPr>
      <w:rFonts w:ascii="宋体" w:hAnsi="宋体"/>
      <w:bCs/>
      <w:szCs w:val="21"/>
    </w:rPr>
  </w:style>
  <w:style w:type="paragraph" w:customStyle="1" w:styleId="233">
    <w:name w:val="1刘姣表内容"/>
    <w:basedOn w:val="1"/>
    <w:qFormat/>
    <w:uiPriority w:val="0"/>
    <w:pPr>
      <w:spacing w:line="320" w:lineRule="exact"/>
      <w:jc w:val="center"/>
    </w:pPr>
  </w:style>
  <w:style w:type="paragraph" w:customStyle="1" w:styleId="234">
    <w:name w:val="正文(首行缩进)"/>
    <w:basedOn w:val="1"/>
    <w:qFormat/>
    <w:uiPriority w:val="0"/>
    <w:pPr>
      <w:snapToGrid w:val="0"/>
      <w:ind w:firstLine="510"/>
    </w:pPr>
    <w:rPr>
      <w:rFonts w:ascii="宋体" w:hAnsi="宋体" w:cs="serif"/>
      <w:kern w:val="0"/>
      <w:sz w:val="24"/>
      <w:szCs w:val="20"/>
    </w:rPr>
  </w:style>
  <w:style w:type="paragraph" w:customStyle="1" w:styleId="235">
    <w:name w:val="图表文字"/>
    <w:qFormat/>
    <w:uiPriority w:val="0"/>
    <w:pPr>
      <w:adjustRightInd w:val="0"/>
      <w:snapToGrid w:val="0"/>
      <w:spacing w:line="380" w:lineRule="exact"/>
      <w:jc w:val="center"/>
    </w:pPr>
    <w:rPr>
      <w:rFonts w:ascii="宋体" w:hAnsi="Times New Roman" w:eastAsia="宋体" w:cs="Times New Roman"/>
      <w:sz w:val="21"/>
      <w:lang w:val="en-US" w:eastAsia="zh-CN" w:bidi="ar-SA"/>
    </w:rPr>
  </w:style>
  <w:style w:type="paragraph" w:customStyle="1" w:styleId="236">
    <w:name w:val="文本11"/>
    <w:basedOn w:val="1"/>
    <w:qFormat/>
    <w:uiPriority w:val="0"/>
    <w:pPr>
      <w:ind w:firstLine="200" w:firstLineChars="200"/>
    </w:pPr>
    <w:rPr>
      <w:color w:val="000000"/>
      <w:sz w:val="24"/>
    </w:rPr>
  </w:style>
  <w:style w:type="paragraph" w:customStyle="1" w:styleId="237">
    <w:name w:val="WPSOffice手动目录 1"/>
    <w:qFormat/>
    <w:uiPriority w:val="0"/>
    <w:pPr>
      <w:spacing w:line="360" w:lineRule="auto"/>
      <w:jc w:val="both"/>
    </w:pPr>
    <w:rPr>
      <w:rFonts w:ascii="Times New Roman" w:hAnsi="Times New Roman" w:eastAsia="宋体" w:cs="Times New Roman"/>
      <w:lang w:val="en-US" w:eastAsia="zh-CN" w:bidi="ar-SA"/>
    </w:rPr>
  </w:style>
  <w:style w:type="paragraph" w:customStyle="1" w:styleId="238">
    <w:name w:val="报告表表格内容"/>
    <w:basedOn w:val="239"/>
    <w:qFormat/>
    <w:uiPriority w:val="0"/>
    <w:pPr>
      <w:spacing w:line="240" w:lineRule="auto"/>
      <w:ind w:firstLine="0" w:firstLineChars="0"/>
      <w:jc w:val="center"/>
    </w:pPr>
    <w:rPr>
      <w:sz w:val="20"/>
      <w:szCs w:val="20"/>
    </w:rPr>
  </w:style>
  <w:style w:type="paragraph" w:customStyle="1" w:styleId="239">
    <w:name w:val="报告表文本"/>
    <w:basedOn w:val="1"/>
    <w:qFormat/>
    <w:uiPriority w:val="0"/>
    <w:pPr>
      <w:autoSpaceDE w:val="0"/>
      <w:autoSpaceDN w:val="0"/>
      <w:adjustRightInd w:val="0"/>
      <w:snapToGrid w:val="0"/>
      <w:ind w:firstLine="720" w:firstLineChars="200"/>
    </w:pPr>
    <w:rPr>
      <w:kern w:val="0"/>
      <w:szCs w:val="21"/>
    </w:rPr>
  </w:style>
  <w:style w:type="paragraph" w:customStyle="1" w:styleId="240">
    <w:name w:val="表体"/>
    <w:qFormat/>
    <w:uiPriority w:val="0"/>
    <w:pPr>
      <w:spacing w:line="240" w:lineRule="atLeast"/>
      <w:jc w:val="center"/>
    </w:pPr>
    <w:rPr>
      <w:rFonts w:ascii="Times New Roman" w:hAnsi="Times New Roman" w:eastAsia="宋体" w:cs="Times New Roman"/>
      <w:color w:val="000080"/>
      <w:kern w:val="2"/>
      <w:sz w:val="21"/>
      <w:szCs w:val="24"/>
      <w:lang w:val="en-US" w:eastAsia="zh-CN" w:bidi="ar-SA"/>
    </w:rPr>
  </w:style>
  <w:style w:type="paragraph" w:customStyle="1" w:styleId="241">
    <w:name w:val="无间隔1"/>
    <w:basedOn w:val="1"/>
    <w:next w:val="1"/>
    <w:qFormat/>
    <w:uiPriority w:val="1"/>
    <w:pPr>
      <w:spacing w:line="320" w:lineRule="atLeast"/>
      <w:jc w:val="center"/>
    </w:pPr>
    <w:rPr>
      <w:kern w:val="0"/>
      <w:szCs w:val="20"/>
    </w:rPr>
  </w:style>
  <w:style w:type="paragraph" w:customStyle="1" w:styleId="242">
    <w:name w:val="环评表格文字"/>
    <w:basedOn w:val="1"/>
    <w:next w:val="1"/>
    <w:qFormat/>
    <w:uiPriority w:val="0"/>
    <w:pPr>
      <w:widowControl w:val="0"/>
    </w:pPr>
  </w:style>
  <w:style w:type="character" w:customStyle="1" w:styleId="243">
    <w:name w:val="font21"/>
    <w:qFormat/>
    <w:uiPriority w:val="0"/>
    <w:rPr>
      <w:rFonts w:hint="default" w:ascii="Times New Roman" w:hAnsi="Times New Roman" w:cs="Times New Roman"/>
      <w:color w:val="000000"/>
      <w:sz w:val="21"/>
      <w:szCs w:val="21"/>
      <w:u w:val="none"/>
    </w:rPr>
  </w:style>
  <w:style w:type="character" w:customStyle="1" w:styleId="244">
    <w:name w:val="font41"/>
    <w:qFormat/>
    <w:uiPriority w:val="0"/>
    <w:rPr>
      <w:rFonts w:hint="eastAsia" w:ascii="宋体" w:hAnsi="宋体" w:eastAsia="宋体" w:cs="宋体"/>
      <w:color w:val="000000"/>
      <w:sz w:val="21"/>
      <w:szCs w:val="21"/>
      <w:u w:val="none"/>
    </w:rPr>
  </w:style>
  <w:style w:type="paragraph" w:customStyle="1" w:styleId="245">
    <w:name w:val="L表格"/>
    <w:basedOn w:val="200"/>
    <w:qFormat/>
    <w:uiPriority w:val="0"/>
    <w:pPr>
      <w:spacing w:line="320" w:lineRule="exact"/>
      <w:ind w:firstLine="0" w:firstLineChars="0"/>
      <w:jc w:val="center"/>
    </w:pPr>
    <w:rPr>
      <w:rFonts w:eastAsia="Times New Roman"/>
      <w:sz w:val="21"/>
    </w:rPr>
  </w:style>
  <w:style w:type="character" w:customStyle="1" w:styleId="246">
    <w:name w:val="宏文本 字符"/>
    <w:link w:val="4"/>
    <w:qFormat/>
    <w:uiPriority w:val="0"/>
    <w:rPr>
      <w:rFonts w:ascii="Courier New" w:hAnsi="Courier New" w:cs="Courier New"/>
      <w:kern w:val="2"/>
      <w:sz w:val="24"/>
      <w:szCs w:val="24"/>
    </w:rPr>
  </w:style>
  <w:style w:type="character" w:customStyle="1" w:styleId="247">
    <w:name w:val="正文l Char"/>
    <w:link w:val="248"/>
    <w:qFormat/>
    <w:uiPriority w:val="0"/>
    <w:rPr>
      <w:rFonts w:eastAsia="Times New Roman"/>
      <w:sz w:val="24"/>
      <w:szCs w:val="24"/>
    </w:rPr>
  </w:style>
  <w:style w:type="paragraph" w:customStyle="1" w:styleId="248">
    <w:name w:val="正文l"/>
    <w:basedOn w:val="1"/>
    <w:link w:val="247"/>
    <w:qFormat/>
    <w:uiPriority w:val="0"/>
    <w:pPr>
      <w:widowControl w:val="0"/>
      <w:autoSpaceDE w:val="0"/>
      <w:autoSpaceDN w:val="0"/>
      <w:adjustRightInd w:val="0"/>
      <w:ind w:firstLine="200" w:firstLineChars="200"/>
    </w:pPr>
    <w:rPr>
      <w:rFonts w:eastAsia="Times New Roman"/>
      <w:kern w:val="0"/>
      <w:sz w:val="24"/>
    </w:rPr>
  </w:style>
  <w:style w:type="character" w:customStyle="1" w:styleId="249">
    <w:name w:val="图头11 Char"/>
    <w:link w:val="250"/>
    <w:qFormat/>
    <w:uiPriority w:val="0"/>
    <w:rPr>
      <w:b/>
      <w:sz w:val="24"/>
      <w:szCs w:val="24"/>
    </w:rPr>
  </w:style>
  <w:style w:type="paragraph" w:customStyle="1" w:styleId="250">
    <w:name w:val="图头11"/>
    <w:basedOn w:val="1"/>
    <w:link w:val="249"/>
    <w:qFormat/>
    <w:uiPriority w:val="0"/>
    <w:pPr>
      <w:widowControl w:val="0"/>
      <w:adjustRightInd w:val="0"/>
      <w:snapToGrid w:val="0"/>
      <w:spacing w:afterLines="100" w:line="0" w:lineRule="atLeast"/>
      <w:jc w:val="center"/>
    </w:pPr>
    <w:rPr>
      <w:b/>
      <w:kern w:val="0"/>
      <w:sz w:val="24"/>
    </w:rPr>
  </w:style>
</w:styles>
</file>

<file path=word/_rels/document.xml.rels><?xml version="1.0" encoding="UTF-8" standalone="yes"?>
<Relationships xmlns="http://schemas.openxmlformats.org/package/2006/relationships"><Relationship Id="rId9" Type="http://schemas.openxmlformats.org/officeDocument/2006/relationships/package" Target="embeddings/Microsoft_Visio___1.vsdx"/><Relationship Id="rId8" Type="http://schemas.openxmlformats.org/officeDocument/2006/relationships/theme" Target="theme/theme1.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numbering" Target="numbering.xml"/><Relationship Id="rId58" Type="http://schemas.openxmlformats.org/officeDocument/2006/relationships/image" Target="media/image31.wmf"/><Relationship Id="rId57" Type="http://schemas.openxmlformats.org/officeDocument/2006/relationships/image" Target="media/image30.png"/><Relationship Id="rId56" Type="http://schemas.openxmlformats.org/officeDocument/2006/relationships/image" Target="media/image29.wmf"/><Relationship Id="rId55" Type="http://schemas.openxmlformats.org/officeDocument/2006/relationships/oleObject" Target="embeddings/oleObject4.bin"/><Relationship Id="rId54" Type="http://schemas.openxmlformats.org/officeDocument/2006/relationships/image" Target="media/image28.wmf"/><Relationship Id="rId53" Type="http://schemas.openxmlformats.org/officeDocument/2006/relationships/oleObject" Target="embeddings/oleObject3.bin"/><Relationship Id="rId52" Type="http://schemas.openxmlformats.org/officeDocument/2006/relationships/image" Target="media/image27.wmf"/><Relationship Id="rId51" Type="http://schemas.openxmlformats.org/officeDocument/2006/relationships/oleObject" Target="embeddings/oleObject2.bin"/><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oleObject" Target="embeddings/oleObject1.bin"/><Relationship Id="rId48" Type="http://schemas.openxmlformats.org/officeDocument/2006/relationships/image" Target="media/image25.wmf"/><Relationship Id="rId47" Type="http://schemas.openxmlformats.org/officeDocument/2006/relationships/image" Target="media/image24.emf"/><Relationship Id="rId46" Type="http://schemas.openxmlformats.org/officeDocument/2006/relationships/package" Target="embeddings/Microsoft_Visio___15.vsdx"/><Relationship Id="rId45" Type="http://schemas.openxmlformats.org/officeDocument/2006/relationships/image" Target="media/image23.wmf"/><Relationship Id="rId44" Type="http://schemas.openxmlformats.org/officeDocument/2006/relationships/image" Target="media/image22.wmf"/><Relationship Id="rId43" Type="http://schemas.openxmlformats.org/officeDocument/2006/relationships/image" Target="media/image21.wmf"/><Relationship Id="rId42" Type="http://schemas.openxmlformats.org/officeDocument/2006/relationships/image" Target="media/image20.png"/><Relationship Id="rId41" Type="http://schemas.openxmlformats.org/officeDocument/2006/relationships/image" Target="media/image19.wmf"/><Relationship Id="rId40" Type="http://schemas.openxmlformats.org/officeDocument/2006/relationships/image" Target="media/image18.wmf"/><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emf"/><Relationship Id="rId37" Type="http://schemas.openxmlformats.org/officeDocument/2006/relationships/package" Target="embeddings/Microsoft_Visio___14.vsdx"/><Relationship Id="rId36" Type="http://schemas.openxmlformats.org/officeDocument/2006/relationships/image" Target="media/image15.emf"/><Relationship Id="rId35" Type="http://schemas.openxmlformats.org/officeDocument/2006/relationships/package" Target="embeddings/Microsoft_Visio___13.vsdx"/><Relationship Id="rId34" Type="http://schemas.openxmlformats.org/officeDocument/2006/relationships/image" Target="media/image14.emf"/><Relationship Id="rId33" Type="http://schemas.openxmlformats.org/officeDocument/2006/relationships/package" Target="embeddings/Microsoft_Visio___12.vsdx"/><Relationship Id="rId32" Type="http://schemas.openxmlformats.org/officeDocument/2006/relationships/image" Target="media/image13.emf"/><Relationship Id="rId31" Type="http://schemas.openxmlformats.org/officeDocument/2006/relationships/package" Target="embeddings/Microsoft_Visio___11.vsdx"/><Relationship Id="rId30" Type="http://schemas.openxmlformats.org/officeDocument/2006/relationships/image" Target="media/image12.emf"/><Relationship Id="rId3" Type="http://schemas.openxmlformats.org/officeDocument/2006/relationships/footnotes" Target="footnotes.xml"/><Relationship Id="rId29" Type="http://schemas.openxmlformats.org/officeDocument/2006/relationships/package" Target="embeddings/Microsoft_Visio___10.vsdx"/><Relationship Id="rId28" Type="http://schemas.openxmlformats.org/officeDocument/2006/relationships/image" Target="media/image11.emf"/><Relationship Id="rId27" Type="http://schemas.openxmlformats.org/officeDocument/2006/relationships/package" Target="embeddings/Microsoft_Visio___9.vsdx"/><Relationship Id="rId26" Type="http://schemas.openxmlformats.org/officeDocument/2006/relationships/image" Target="media/image10.emf"/><Relationship Id="rId25" Type="http://schemas.openxmlformats.org/officeDocument/2006/relationships/package" Target="embeddings/Microsoft_Visio___8.vsdx"/><Relationship Id="rId24" Type="http://schemas.openxmlformats.org/officeDocument/2006/relationships/image" Target="media/image9.emf"/><Relationship Id="rId23" Type="http://schemas.openxmlformats.org/officeDocument/2006/relationships/package" Target="embeddings/Microsoft_Visio___7.vsdx"/><Relationship Id="rId22" Type="http://schemas.openxmlformats.org/officeDocument/2006/relationships/image" Target="media/image8.emf"/><Relationship Id="rId21" Type="http://schemas.openxmlformats.org/officeDocument/2006/relationships/package" Target="embeddings/Microsoft_Visio___6.vsdx"/><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package" Target="embeddings/Microsoft_Visio___5.vsdx"/><Relationship Id="rId18" Type="http://schemas.openxmlformats.org/officeDocument/2006/relationships/image" Target="media/image6.emf"/><Relationship Id="rId17" Type="http://schemas.openxmlformats.org/officeDocument/2006/relationships/package" Target="embeddings/Microsoft_Visio___4.vsdx"/><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emf"/><Relationship Id="rId13" Type="http://schemas.openxmlformats.org/officeDocument/2006/relationships/package" Target="embeddings/Microsoft_Visio___3.vsdx"/><Relationship Id="rId12" Type="http://schemas.openxmlformats.org/officeDocument/2006/relationships/image" Target="media/image2.emf"/><Relationship Id="rId11" Type="http://schemas.openxmlformats.org/officeDocument/2006/relationships/package" Target="embeddings/Microsoft_Visio___2.vsdx"/><Relationship Id="rId10" Type="http://schemas.openxmlformats.org/officeDocument/2006/relationships/image" Target="media/image1.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A4078-D217-475F-B354-0F6C8188A9FC}">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138</Pages>
  <Words>17444</Words>
  <Characters>99431</Characters>
  <Lines>828</Lines>
  <Paragraphs>233</Paragraphs>
  <TotalTime>6511</TotalTime>
  <ScaleCrop>false</ScaleCrop>
  <LinksUpToDate>false</LinksUpToDate>
  <CharactersWithSpaces>116642</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2022-09-06T14:14:00Z</dcterms:created>
  <dc:creator>lhj</dc:creator>
  <cp:lastModifiedBy>罗静</cp:lastModifiedBy>
  <cp:lastPrinted>2020-12-29T02:43:00Z</cp:lastPrinted>
  <dcterms:modified xsi:type="dcterms:W3CDTF">2024-11-19T06:32:46Z</dcterms:modified>
  <dc:title>附件2</dc:title>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CE1AB7881AB5400C90EB29D13AAF5BFA</vt:lpwstr>
  </property>
</Properties>
</file>