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9"/>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292735</wp:posOffset>
            </wp:positionH>
            <wp:positionV relativeFrom="paragraph">
              <wp:posOffset>31115</wp:posOffset>
            </wp:positionV>
            <wp:extent cx="422275" cy="408940"/>
            <wp:effectExtent l="0" t="0" r="15875" b="1016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422275" cy="408940"/>
                    </a:xfrm>
                    <a:prstGeom prst="rect">
                      <a:avLst/>
                    </a:prstGeom>
                    <a:noFill/>
                    <a:ln>
                      <a:noFill/>
                    </a:ln>
                  </pic:spPr>
                </pic:pic>
              </a:graphicData>
            </a:graphic>
          </wp:anchor>
        </w:drawing>
      </w:r>
      <w:r>
        <w:rPr>
          <w:rFonts w:eastAsia="宋体"/>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546735</wp:posOffset>
                </wp:positionH>
                <wp:positionV relativeFrom="paragraph">
                  <wp:posOffset>17780</wp:posOffset>
                </wp:positionV>
                <wp:extent cx="1337310" cy="39560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685280" cy="1889125"/>
                        </a:xfrm>
                        <a:prstGeom prst="rect">
                          <a:avLst/>
                        </a:prstGeom>
                        <a:noFill/>
                        <a:ln>
                          <a:noFill/>
                        </a:ln>
                        <a:effectLst/>
                      </wps:spPr>
                      <wps:txbx>
                        <w:txbxContent>
                          <w:p>
                            <w:pPr>
                              <w:ind w:firstLine="600"/>
                              <w:jc w:val="center"/>
                              <w:rPr>
                                <w:rFonts w:ascii="华文行楷" w:eastAsia="华文行楷"/>
                                <w:color w:val="00B050"/>
                                <w:sz w:val="30"/>
                                <w:szCs w:val="30"/>
                              </w:rPr>
                            </w:pPr>
                            <w:r>
                              <w:rPr>
                                <w:rFonts w:hint="eastAsia" w:ascii="华文行楷" w:eastAsia="华文行楷"/>
                                <w:color w:val="00B050"/>
                                <w:sz w:val="30"/>
                                <w:szCs w:val="30"/>
                              </w:rPr>
                              <w:t>雅城环保</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43.05pt;margin-top:1.4pt;height:31.15pt;width:105.3pt;mso-position-horizontal-relative:margin;z-index:251663360;mso-width-relative:page;mso-height-relative:page;" filled="f" stroked="f" coordsize="21600,21600" o:gfxdata="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FK+s/V&#10;AAAABwEAAA8AAAAAAAAAAQAgAAAAIgAAAGRycy9kb3ducmV2LnhtbFBLAQIUABQAAAAIAIdO4kC4&#10;tnHszgIAAIcFAAAOAAAAAAAAAAEAIAAAACQBAABkcnMvZTJvRG9jLnhtbFBLBQYAAAAABgAGAFkB&#10;AABkBgAAAAA=&#10;">
                <v:fill on="f" focussize="0,0"/>
                <v:stroke on="f"/>
                <v:imagedata o:title=""/>
                <o:lock v:ext="edit" aspectratio="f"/>
                <v:textbox>
                  <w:txbxContent>
                    <w:p>
                      <w:pPr>
                        <w:ind w:firstLine="600"/>
                        <w:jc w:val="center"/>
                        <w:rPr>
                          <w:rFonts w:ascii="华文行楷" w:eastAsia="华文行楷"/>
                          <w:color w:val="00B050"/>
                          <w:sz w:val="30"/>
                          <w:szCs w:val="30"/>
                        </w:rPr>
                      </w:pPr>
                      <w:r>
                        <w:rPr>
                          <w:rFonts w:hint="eastAsia" w:ascii="华文行楷" w:eastAsia="华文行楷"/>
                          <w:color w:val="00B050"/>
                          <w:sz w:val="30"/>
                          <w:szCs w:val="30"/>
                        </w:rPr>
                        <w:t>雅城环保</w:t>
                      </w:r>
                    </w:p>
                  </w:txbxContent>
                </v:textbox>
              </v:shape>
            </w:pict>
          </mc:Fallback>
        </mc:AlternateContent>
      </w:r>
      <w:r>
        <w:rPr>
          <w:rFonts w:eastAsia="宋体"/>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page">
                  <wp:posOffset>937895</wp:posOffset>
                </wp:positionH>
                <wp:positionV relativeFrom="paragraph">
                  <wp:posOffset>335915</wp:posOffset>
                </wp:positionV>
                <wp:extent cx="2420620" cy="3327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506498" cy="1329070"/>
                        </a:xfrm>
                        <a:prstGeom prst="rect">
                          <a:avLst/>
                        </a:prstGeom>
                        <a:noFill/>
                        <a:ln>
                          <a:noFill/>
                        </a:ln>
                        <a:effectLst/>
                      </wps:spPr>
                      <wps:txbx>
                        <w:txbxContent>
                          <w:p>
                            <w:pPr>
                              <w:ind w:firstLine="400"/>
                              <w:jc w:val="center"/>
                              <w:rPr>
                                <w:b/>
                                <w:color w:val="92D050"/>
                                <w:sz w:val="20"/>
                              </w:rPr>
                            </w:pPr>
                            <w:r>
                              <w:rPr>
                                <w:rFonts w:hint="eastAsia"/>
                                <w:b/>
                                <w:color w:val="92D050"/>
                                <w:sz w:val="20"/>
                              </w:rPr>
                              <w:t xml:space="preserve">YaCheng </w:t>
                            </w:r>
                            <w:r>
                              <w:rPr>
                                <w:b/>
                                <w:color w:val="92D050"/>
                                <w:sz w:val="20"/>
                              </w:rPr>
                              <w:t>Environment Protection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
                            <a:rot lat="0" lon="0" rev="15600000"/>
                          </a:lightRig>
                        </a:scene3d>
                        <a:sp3d extrusionH="57150" prstMaterial="softEdge">
                          <a:bevelT w="25400" h="38100"/>
                        </a:sp3d>
                      </wps:bodyPr>
                    </wps:wsp>
                  </a:graphicData>
                </a:graphic>
              </wp:anchor>
            </w:drawing>
          </mc:Choice>
          <mc:Fallback>
            <w:pict>
              <v:shape id="_x0000_s1026" o:spid="_x0000_s1026" o:spt="202" type="#_x0000_t202" style="position:absolute;left:0pt;margin-left:73.85pt;margin-top:26.45pt;height:26.2pt;width:190.6pt;mso-position-horizontal-relative:page;z-index:251662336;mso-width-relative:page;mso-height-relative:page;" filled="f" stroked="f" coordsize="21600,21600" o:gfxdata="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rJaT7XAAAACgEAAA8AAAAAAAAAAQAg&#10;AAAAIgAAAGRycy9kb3ducmV2LnhtbFBLAQIUABQAAAAIAIdO4kCVEd9gugIAAFcFAAAOAAAAAAAA&#10;AAEAIAAAACYBAABkcnMvZTJvRG9jLnhtbFBLBQYAAAAABgAGAFkBAABSBgAAAAA=&#10;">
                <v:fill on="f" focussize="0,0"/>
                <v:stroke on="f"/>
                <v:imagedata o:title=""/>
                <o:lock v:ext="edit" aspectratio="f"/>
                <v:textbox>
                  <w:txbxContent>
                    <w:p>
                      <w:pPr>
                        <w:ind w:firstLine="400"/>
                        <w:jc w:val="center"/>
                        <w:rPr>
                          <w:b/>
                          <w:color w:val="92D050"/>
                          <w:sz w:val="20"/>
                        </w:rPr>
                      </w:pPr>
                      <w:r>
                        <w:rPr>
                          <w:rFonts w:hint="eastAsia"/>
                          <w:b/>
                          <w:color w:val="92D050"/>
                          <w:sz w:val="20"/>
                        </w:rPr>
                        <w:t xml:space="preserve">YaCheng </w:t>
                      </w:r>
                      <w:r>
                        <w:rPr>
                          <w:b/>
                          <w:color w:val="92D050"/>
                          <w:sz w:val="20"/>
                        </w:rPr>
                        <w:t>Environment Protection</w:t>
                      </w:r>
                    </w:p>
                  </w:txbxContent>
                </v:textbox>
              </v:shape>
            </w:pict>
          </mc:Fallback>
        </mc:AlternateContent>
      </w:r>
    </w:p>
    <w:p>
      <w:pPr>
        <w:pStyle w:val="229"/>
        <w:ind w:firstLine="480"/>
        <w:rPr>
          <w:rFonts w:eastAsia="宋体"/>
          <w:color w:val="000000" w:themeColor="text1"/>
          <w14:textFill>
            <w14:solidFill>
              <w14:schemeClr w14:val="tx1"/>
            </w14:solidFill>
          </w14:textFill>
        </w:rPr>
      </w:pPr>
    </w:p>
    <w:p>
      <w:pPr>
        <w:pStyle w:val="229"/>
        <w:ind w:firstLine="400"/>
        <w:rPr>
          <w:rStyle w:val="402"/>
          <w:rFonts w:eastAsia="宋体"/>
          <w:color w:val="000000" w:themeColor="text1"/>
          <w:szCs w:val="24"/>
          <w14:textFill>
            <w14:solidFill>
              <w14:schemeClr w14:val="tx1"/>
            </w14:solidFill>
          </w14:textFill>
        </w:rPr>
      </w:pPr>
    </w:p>
    <w:p>
      <w:pPr>
        <w:pStyle w:val="229"/>
        <w:ind w:firstLine="402"/>
        <w:rPr>
          <w:rStyle w:val="402"/>
          <w:rFonts w:eastAsia="宋体"/>
          <w:b/>
          <w:bCs/>
          <w:color w:val="000000" w:themeColor="text1"/>
          <w:szCs w:val="24"/>
          <w14:textFill>
            <w14:solidFill>
              <w14:schemeClr w14:val="tx1"/>
            </w14:solidFill>
          </w14:textFill>
        </w:rPr>
      </w:pPr>
    </w:p>
    <w:p>
      <w:pPr>
        <w:pStyle w:val="229"/>
        <w:ind w:firstLine="480"/>
        <w:rPr>
          <w:rFonts w:eastAsia="宋体"/>
          <w:color w:val="000000" w:themeColor="text1"/>
          <w14:textFill>
            <w14:solidFill>
              <w14:schemeClr w14:val="tx1"/>
            </w14:solidFill>
          </w14:textFill>
        </w:rPr>
      </w:pPr>
    </w:p>
    <w:p>
      <w:pPr>
        <w:spacing w:line="700" w:lineRule="exact"/>
        <w:jc w:val="center"/>
        <w:rPr>
          <w:rFonts w:eastAsia="宋体"/>
          <w:b/>
          <w:bCs/>
          <w:color w:val="000000" w:themeColor="text1"/>
          <w:sz w:val="44"/>
          <w:szCs w:val="44"/>
          <w14:textFill>
            <w14:solidFill>
              <w14:schemeClr w14:val="tx1"/>
            </w14:solidFill>
          </w14:textFill>
        </w:rPr>
      </w:pPr>
    </w:p>
    <w:p>
      <w:pPr>
        <w:spacing w:before="333" w:beforeLines="100"/>
        <w:jc w:val="center"/>
        <w:rPr>
          <w:rFonts w:eastAsia="宋体"/>
          <w:b/>
          <w:bCs/>
          <w:color w:val="000000" w:themeColor="text1"/>
          <w:sz w:val="48"/>
          <w:szCs w:val="48"/>
          <w14:textFill>
            <w14:solidFill>
              <w14:schemeClr w14:val="tx1"/>
            </w14:solidFill>
          </w14:textFill>
        </w:rPr>
      </w:pPr>
      <w:r>
        <w:rPr>
          <w:rFonts w:eastAsia="宋体"/>
          <w:b/>
          <w:bCs/>
          <w:color w:val="000000" w:themeColor="text1"/>
          <w:sz w:val="48"/>
          <w:szCs w:val="48"/>
          <w14:textFill>
            <w14:solidFill>
              <w14:schemeClr w14:val="tx1"/>
            </w14:solidFill>
          </w14:textFill>
        </w:rPr>
        <w:t>重庆航鑫新型建材有限公司</w:t>
      </w:r>
    </w:p>
    <w:p>
      <w:pPr>
        <w:spacing w:before="333" w:beforeLines="100"/>
        <w:jc w:val="center"/>
        <w:rPr>
          <w:rFonts w:eastAsia="宋体"/>
          <w:b/>
          <w:bCs/>
          <w:color w:val="000000" w:themeColor="text1"/>
          <w:sz w:val="48"/>
          <w:szCs w:val="48"/>
          <w14:textFill>
            <w14:solidFill>
              <w14:schemeClr w14:val="tx1"/>
            </w14:solidFill>
          </w14:textFill>
        </w:rPr>
      </w:pPr>
      <w:r>
        <w:rPr>
          <w:rFonts w:eastAsia="宋体"/>
          <w:b/>
          <w:bCs/>
          <w:color w:val="000000" w:themeColor="text1"/>
          <w:sz w:val="48"/>
          <w:szCs w:val="48"/>
          <w14:textFill>
            <w14:solidFill>
              <w14:schemeClr w14:val="tx1"/>
            </w14:solidFill>
          </w14:textFill>
        </w:rPr>
        <w:t>年产3万吨钢桥建设项目</w:t>
      </w:r>
    </w:p>
    <w:p>
      <w:pPr>
        <w:spacing w:before="333" w:beforeLines="100"/>
        <w:jc w:val="center"/>
        <w:rPr>
          <w:rFonts w:eastAsia="宋体"/>
          <w:b/>
          <w:color w:val="000000" w:themeColor="text1"/>
          <w:spacing w:val="10"/>
          <w:sz w:val="84"/>
          <w:szCs w:val="84"/>
          <w14:textFill>
            <w14:solidFill>
              <w14:schemeClr w14:val="tx1"/>
            </w14:solidFill>
          </w14:textFill>
        </w:rPr>
      </w:pPr>
      <w:r>
        <w:rPr>
          <w:rFonts w:eastAsia="宋体"/>
          <w:b/>
          <w:color w:val="000000" w:themeColor="text1"/>
          <w:spacing w:val="10"/>
          <w:sz w:val="84"/>
          <w:szCs w:val="84"/>
          <w14:textFill>
            <w14:solidFill>
              <w14:schemeClr w14:val="tx1"/>
            </w14:solidFill>
          </w14:textFill>
        </w:rPr>
        <w:t>环境影响报告</w:t>
      </w:r>
      <w:r>
        <w:rPr>
          <w:rFonts w:hint="eastAsia" w:eastAsia="宋体"/>
          <w:b/>
          <w:color w:val="000000" w:themeColor="text1"/>
          <w:spacing w:val="10"/>
          <w:sz w:val="84"/>
          <w:szCs w:val="84"/>
          <w14:textFill>
            <w14:solidFill>
              <w14:schemeClr w14:val="tx1"/>
            </w14:solidFill>
          </w14:textFill>
        </w:rPr>
        <w:t>书</w:t>
      </w:r>
    </w:p>
    <w:p>
      <w:pPr>
        <w:jc w:val="center"/>
        <w:rPr>
          <w:rFonts w:eastAsia="宋体"/>
          <w:b/>
          <w:bCs/>
          <w:color w:val="000000" w:themeColor="text1"/>
          <w:sz w:val="48"/>
          <w:szCs w:val="48"/>
          <w14:textFill>
            <w14:solidFill>
              <w14:schemeClr w14:val="tx1"/>
            </w14:solidFill>
          </w14:textFill>
        </w:rPr>
      </w:pPr>
      <w:r>
        <w:rPr>
          <w:rFonts w:eastAsia="宋体"/>
          <w:b/>
          <w:bCs/>
          <w:color w:val="000000" w:themeColor="text1"/>
          <w:sz w:val="48"/>
          <w:szCs w:val="48"/>
          <w14:textFill>
            <w14:solidFill>
              <w14:schemeClr w14:val="tx1"/>
            </w14:solidFill>
          </w14:textFill>
        </w:rPr>
        <w:t>（</w:t>
      </w:r>
      <w:r>
        <w:rPr>
          <w:rFonts w:hint="eastAsia" w:eastAsia="宋体"/>
          <w:b/>
          <w:bCs/>
          <w:color w:val="000000" w:themeColor="text1"/>
          <w:sz w:val="48"/>
          <w:szCs w:val="48"/>
          <w14:textFill>
            <w14:solidFill>
              <w14:schemeClr w14:val="tx1"/>
            </w14:solidFill>
          </w14:textFill>
        </w:rPr>
        <w:t>报审版</w:t>
      </w:r>
      <w:r>
        <w:rPr>
          <w:rFonts w:eastAsia="宋体"/>
          <w:b/>
          <w:bCs/>
          <w:color w:val="000000" w:themeColor="text1"/>
          <w:sz w:val="48"/>
          <w:szCs w:val="48"/>
          <w14:textFill>
            <w14:solidFill>
              <w14:schemeClr w14:val="tx1"/>
            </w14:solidFill>
          </w14:textFill>
        </w:rPr>
        <w:t>）</w:t>
      </w:r>
    </w:p>
    <w:p>
      <w:pPr>
        <w:spacing w:line="600" w:lineRule="exact"/>
        <w:jc w:val="center"/>
        <w:rPr>
          <w:rFonts w:eastAsia="宋体"/>
          <w:color w:val="000000" w:themeColor="text1"/>
          <w:sz w:val="28"/>
          <w:szCs w:val="28"/>
          <w14:textFill>
            <w14:solidFill>
              <w14:schemeClr w14:val="tx1"/>
            </w14:solidFill>
          </w14:textFill>
        </w:rPr>
      </w:pPr>
    </w:p>
    <w:p>
      <w:pPr>
        <w:spacing w:line="600" w:lineRule="exact"/>
        <w:jc w:val="center"/>
        <w:rPr>
          <w:rFonts w:eastAsia="宋体"/>
          <w:color w:val="000000" w:themeColor="text1"/>
          <w:sz w:val="28"/>
          <w:szCs w:val="28"/>
          <w14:textFill>
            <w14:solidFill>
              <w14:schemeClr w14:val="tx1"/>
            </w14:solidFill>
          </w14:textFill>
        </w:rPr>
      </w:pPr>
    </w:p>
    <w:p>
      <w:pPr>
        <w:spacing w:line="600" w:lineRule="exact"/>
        <w:jc w:val="center"/>
        <w:rPr>
          <w:rFonts w:eastAsia="宋体"/>
          <w:color w:val="000000" w:themeColor="text1"/>
          <w:sz w:val="28"/>
          <w:szCs w:val="28"/>
          <w14:textFill>
            <w14:solidFill>
              <w14:schemeClr w14:val="tx1"/>
            </w14:solidFill>
          </w14:textFill>
        </w:rPr>
      </w:pPr>
    </w:p>
    <w:p>
      <w:pPr>
        <w:spacing w:line="600" w:lineRule="exact"/>
        <w:jc w:val="center"/>
        <w:rPr>
          <w:rFonts w:eastAsia="宋体"/>
          <w:color w:val="000000" w:themeColor="text1"/>
          <w:sz w:val="28"/>
          <w:szCs w:val="28"/>
          <w14:textFill>
            <w14:solidFill>
              <w14:schemeClr w14:val="tx1"/>
            </w14:solidFill>
          </w14:textFill>
        </w:rPr>
      </w:pPr>
    </w:p>
    <w:p>
      <w:pPr>
        <w:spacing w:line="600" w:lineRule="exact"/>
        <w:jc w:val="center"/>
        <w:rPr>
          <w:rFonts w:eastAsia="宋体"/>
          <w:color w:val="000000" w:themeColor="text1"/>
          <w:sz w:val="28"/>
          <w:szCs w:val="28"/>
          <w14:textFill>
            <w14:solidFill>
              <w14:schemeClr w14:val="tx1"/>
            </w14:solidFill>
          </w14:textFill>
        </w:rPr>
      </w:pPr>
    </w:p>
    <w:p>
      <w:pPr>
        <w:spacing w:line="600" w:lineRule="exact"/>
        <w:rPr>
          <w:rFonts w:eastAsia="宋体"/>
          <w:color w:val="000000" w:themeColor="text1"/>
          <w:sz w:val="28"/>
          <w:szCs w:val="28"/>
          <w14:textFill>
            <w14:solidFill>
              <w14:schemeClr w14:val="tx1"/>
            </w14:solidFill>
          </w14:textFill>
        </w:rPr>
      </w:pPr>
    </w:p>
    <w:p>
      <w:pPr>
        <w:spacing w:line="600" w:lineRule="exact"/>
        <w:jc w:val="center"/>
        <w:rPr>
          <w:rFonts w:eastAsia="宋体"/>
          <w:color w:val="000000" w:themeColor="text1"/>
          <w:sz w:val="28"/>
          <w:szCs w:val="28"/>
          <w14:textFill>
            <w14:solidFill>
              <w14:schemeClr w14:val="tx1"/>
            </w14:solidFill>
          </w14:textFill>
        </w:rPr>
      </w:pPr>
    </w:p>
    <w:p>
      <w:pPr>
        <w:ind w:left="1440" w:leftChars="600"/>
        <w:rPr>
          <w:rFonts w:eastAsia="宋体"/>
          <w:b/>
          <w:bCs/>
          <w:color w:val="000000" w:themeColor="text1"/>
          <w:sz w:val="32"/>
          <w:szCs w:val="32"/>
          <w14:textFill>
            <w14:solidFill>
              <w14:schemeClr w14:val="tx1"/>
            </w14:solidFill>
          </w14:textFill>
        </w:rPr>
      </w:pPr>
      <w:r>
        <w:rPr>
          <w:rFonts w:eastAsia="宋体"/>
          <w:b/>
          <w:bCs/>
          <w:color w:val="000000" w:themeColor="text1"/>
          <w:sz w:val="32"/>
          <w:szCs w:val="32"/>
          <w14:textFill>
            <w14:solidFill>
              <w14:schemeClr w14:val="tx1"/>
            </w14:solidFill>
          </w14:textFill>
        </w:rPr>
        <w:t>建设单位：重庆航鑫新型建材有限公司</w:t>
      </w:r>
    </w:p>
    <w:p>
      <w:pPr>
        <w:ind w:left="1440" w:leftChars="600"/>
        <w:rPr>
          <w:rFonts w:eastAsia="宋体"/>
          <w:b/>
          <w:bCs/>
          <w:color w:val="000000" w:themeColor="text1"/>
          <w:sz w:val="32"/>
          <w:szCs w:val="32"/>
          <w14:textFill>
            <w14:solidFill>
              <w14:schemeClr w14:val="tx1"/>
            </w14:solidFill>
          </w14:textFill>
        </w:rPr>
      </w:pPr>
      <w:r>
        <w:rPr>
          <w:rFonts w:eastAsia="宋体"/>
          <w:b/>
          <w:bCs/>
          <w:color w:val="000000" w:themeColor="text1"/>
          <w:sz w:val="32"/>
          <w:szCs w:val="32"/>
          <w14:textFill>
            <w14:solidFill>
              <w14:schemeClr w14:val="tx1"/>
            </w14:solidFill>
          </w14:textFill>
        </w:rPr>
        <w:t>评价单位：重庆雅城环保科技有限公司</w:t>
      </w:r>
    </w:p>
    <w:p>
      <w:pPr>
        <w:jc w:val="center"/>
        <w:rPr>
          <w:rFonts w:eastAsia="宋体"/>
          <w:b/>
          <w:bCs/>
          <w:color w:val="000000" w:themeColor="text1"/>
          <w:sz w:val="34"/>
          <w:szCs w:val="34"/>
          <w14:textFill>
            <w14:solidFill>
              <w14:schemeClr w14:val="tx1"/>
            </w14:solidFill>
          </w14:textFill>
        </w:rPr>
      </w:pPr>
      <w:r>
        <w:rPr>
          <w:rFonts w:eastAsia="宋体"/>
          <w:b/>
          <w:bCs/>
          <w:color w:val="000000" w:themeColor="text1"/>
          <w:spacing w:val="20"/>
          <w:sz w:val="32"/>
          <w:szCs w:val="32"/>
          <w14:textFill>
            <w14:solidFill>
              <w14:schemeClr w14:val="tx1"/>
            </w14:solidFill>
          </w14:textFill>
        </w:rPr>
        <w:t>2024年2月</w:t>
      </w:r>
    </w:p>
    <w:p>
      <w:pPr>
        <w:pStyle w:val="249"/>
        <w:ind w:firstLine="480"/>
        <w:jc w:val="center"/>
        <w:rPr>
          <w:rFonts w:ascii="Times New Roman" w:hAnsi="Times New Roman" w:eastAsia="宋体"/>
          <w:b/>
          <w:color w:val="000000" w:themeColor="text1"/>
          <w:sz w:val="28"/>
          <w:szCs w:val="28"/>
          <w:lang w:val="zh-CN"/>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7" w:right="991" w:bottom="1417" w:left="1701" w:header="851" w:footer="850" w:gutter="0"/>
          <w:pgNumType w:fmt="upperRoman" w:start="1"/>
          <w:cols w:space="720" w:num="1"/>
          <w:docGrid w:type="lines" w:linePitch="333" w:charSpace="0"/>
        </w:sectPr>
      </w:pPr>
    </w:p>
    <w:p>
      <w:pPr>
        <w:pStyle w:val="249"/>
        <w:ind w:firstLine="480"/>
        <w:jc w:val="center"/>
        <w:rPr>
          <w:rFonts w:ascii="Times New Roman" w:hAnsi="Times New Roman" w:eastAsia="宋体"/>
          <w:b/>
          <w:color w:val="000000" w:themeColor="text1"/>
          <w:sz w:val="28"/>
          <w:szCs w:val="28"/>
          <w14:textFill>
            <w14:solidFill>
              <w14:schemeClr w14:val="tx1"/>
            </w14:solidFill>
          </w14:textFill>
        </w:rPr>
      </w:pPr>
      <w:r>
        <w:rPr>
          <w:rFonts w:ascii="Times New Roman" w:hAnsi="Times New Roman" w:eastAsia="宋体"/>
          <w:b/>
          <w:color w:val="000000" w:themeColor="text1"/>
          <w:sz w:val="28"/>
          <w:szCs w:val="28"/>
          <w:lang w:val="zh-CN"/>
          <w14:textFill>
            <w14:solidFill>
              <w14:schemeClr w14:val="tx1"/>
            </w14:solidFill>
          </w14:textFill>
        </w:rPr>
        <w:t>目录</w:t>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rPr>
          <w:rFonts w:eastAsia="宋体"/>
          <w:bCs/>
          <w:color w:val="000000" w:themeColor="text1"/>
          <w14:textFill>
            <w14:solidFill>
              <w14:schemeClr w14:val="tx1"/>
            </w14:solidFill>
          </w14:textFill>
        </w:rPr>
        <w:fldChar w:fldCharType="begin"/>
      </w:r>
      <w:r>
        <w:rPr>
          <w:rFonts w:eastAsia="宋体"/>
          <w:bCs/>
          <w:color w:val="000000" w:themeColor="text1"/>
          <w14:textFill>
            <w14:solidFill>
              <w14:schemeClr w14:val="tx1"/>
            </w14:solidFill>
          </w14:textFill>
        </w:rPr>
        <w:instrText xml:space="preserve"> TOC \o "1-2" \h \z \u </w:instrText>
      </w:r>
      <w:r>
        <w:rPr>
          <w:rFonts w:eastAsia="宋体"/>
          <w:bCs/>
          <w:color w:val="000000" w:themeColor="text1"/>
          <w14:textFill>
            <w14:solidFill>
              <w14:schemeClr w14:val="tx1"/>
            </w14:solidFill>
          </w14:textFill>
        </w:rPr>
        <w:fldChar w:fldCharType="separate"/>
      </w:r>
      <w:r>
        <w:fldChar w:fldCharType="begin"/>
      </w:r>
      <w:r>
        <w:instrText xml:space="preserve"> HYPERLINK \l "_Toc155271400" </w:instrText>
      </w:r>
      <w:r>
        <w:fldChar w:fldCharType="separate"/>
      </w:r>
      <w:r>
        <w:rPr>
          <w:rStyle w:val="145"/>
          <w:rFonts w:eastAsia="宋体"/>
          <w:color w:val="000000" w:themeColor="text1"/>
          <w14:textFill>
            <w14:solidFill>
              <w14:schemeClr w14:val="tx1"/>
            </w14:solidFill>
          </w14:textFill>
        </w:rPr>
        <w:t>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"_Toc155271401" </w:instrText>
      </w:r>
      <w:r>
        <w:fldChar w:fldCharType="separate"/>
      </w:r>
      <w:r>
        <w:rPr>
          <w:rStyle w:val="145"/>
          <w:rFonts w:eastAsia="宋体"/>
          <w:color w:val="000000" w:themeColor="text1"/>
          <w14:textFill>
            <w14:solidFill>
              <w14:schemeClr w14:val="tx1"/>
            </w14:solidFill>
          </w14:textFill>
        </w:rPr>
        <w:t>1总则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"_Toc155271402" </w:instrText>
      </w:r>
      <w:r>
        <w:fldChar w:fldCharType="separate"/>
      </w:r>
      <w:r>
        <w:rPr>
          <w:rStyle w:val="145"/>
          <w:rFonts w:eastAsia="宋体"/>
          <w:color w:val="000000" w:themeColor="text1"/>
          <w14:textFill>
            <w14:solidFill>
              <w14:schemeClr w14:val="tx1"/>
            </w14:solidFill>
          </w14:textFill>
        </w:rPr>
        <w:t>1.1编制目的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"_Toc155271403" </w:instrText>
      </w:r>
      <w:r>
        <w:fldChar w:fldCharType="separate"/>
      </w:r>
      <w:r>
        <w:rPr>
          <w:rStyle w:val="145"/>
          <w:rFonts w:eastAsia="宋体"/>
          <w:color w:val="000000" w:themeColor="text1"/>
          <w14:textFill>
            <w14:solidFill>
              <w14:schemeClr w14:val="tx1"/>
            </w14:solidFill>
          </w14:textFill>
        </w:rPr>
        <w:t>1.2编制依据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"_Toc155271404" </w:instrText>
      </w:r>
      <w:r>
        <w:fldChar w:fldCharType="separate"/>
      </w:r>
      <w:r>
        <w:rPr>
          <w:rStyle w:val="145"/>
          <w:rFonts w:eastAsia="宋体"/>
          <w:color w:val="000000" w:themeColor="text1"/>
          <w14:textFill>
            <w14:solidFill>
              <w14:schemeClr w14:val="tx1"/>
            </w14:solidFill>
          </w14:textFill>
        </w:rPr>
        <w:t>1.3评价原则和构思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"_Toc155271405" </w:instrText>
      </w:r>
      <w:r>
        <w:fldChar w:fldCharType="separate"/>
      </w:r>
      <w:r>
        <w:rPr>
          <w:rStyle w:val="145"/>
          <w:rFonts w:eastAsia="宋体"/>
          <w:color w:val="000000" w:themeColor="text1"/>
          <w14:textFill>
            <w14:solidFill>
              <w14:schemeClr w14:val="tx1"/>
            </w14:solidFill>
          </w14:textFill>
        </w:rPr>
        <w:t>1.4环境影响因素识别与评价因子筛选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"_Toc155271406" </w:instrText>
      </w:r>
      <w:r>
        <w:fldChar w:fldCharType="separate"/>
      </w:r>
      <w:r>
        <w:rPr>
          <w:rStyle w:val="145"/>
          <w:rFonts w:eastAsia="宋体"/>
          <w:color w:val="000000" w:themeColor="text1"/>
          <w14:textFill>
            <w14:solidFill>
              <w14:schemeClr w14:val="tx1"/>
            </w14:solidFill>
          </w14:textFill>
        </w:rPr>
        <w:t>1.5评价标准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"_Toc155271407" </w:instrText>
      </w:r>
      <w:r>
        <w:fldChar w:fldCharType="separate"/>
      </w:r>
      <w:r>
        <w:rPr>
          <w:rStyle w:val="145"/>
          <w:rFonts w:eastAsia="宋体"/>
          <w:color w:val="000000" w:themeColor="text1"/>
          <w14:textFill>
            <w14:solidFill>
              <w14:schemeClr w14:val="tx1"/>
            </w14:solidFill>
          </w14:textFill>
        </w:rPr>
        <w:t>1.6评价工作等级与评价范围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"_Toc155271408" </w:instrText>
      </w:r>
      <w:r>
        <w:fldChar w:fldCharType="separate"/>
      </w:r>
      <w:r>
        <w:rPr>
          <w:rStyle w:val="145"/>
          <w:rFonts w:eastAsia="宋体"/>
          <w:color w:val="000000" w:themeColor="text1"/>
          <w14:textFill>
            <w14:solidFill>
              <w14:schemeClr w14:val="tx1"/>
            </w14:solidFill>
          </w14:textFill>
        </w:rPr>
        <w:t>1.7评价内容、重点及时段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"_Toc155271409" </w:instrText>
      </w:r>
      <w:r>
        <w:fldChar w:fldCharType="separate"/>
      </w:r>
      <w:r>
        <w:rPr>
          <w:rStyle w:val="145"/>
          <w:rFonts w:eastAsia="宋体"/>
          <w:color w:val="000000" w:themeColor="text1"/>
          <w14:textFill>
            <w14:solidFill>
              <w14:schemeClr w14:val="tx1"/>
            </w14:solidFill>
          </w14:textFill>
        </w:rPr>
        <w:t>1.8环境保护目标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"_Toc155271410" </w:instrText>
      </w:r>
      <w:r>
        <w:fldChar w:fldCharType="separate"/>
      </w:r>
      <w:r>
        <w:rPr>
          <w:rStyle w:val="145"/>
          <w:rFonts w:eastAsia="宋体"/>
          <w:color w:val="000000" w:themeColor="text1"/>
          <w14:textFill>
            <w14:solidFill>
              <w14:schemeClr w14:val="tx1"/>
            </w14:solidFill>
          </w14:textFill>
        </w:rPr>
        <w:t>1.9政策、规划及选址符合性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"_Toc155271411" </w:instrText>
      </w:r>
      <w:r>
        <w:fldChar w:fldCharType="separate"/>
      </w:r>
      <w:r>
        <w:rPr>
          <w:rStyle w:val="145"/>
          <w:rFonts w:eastAsia="宋体"/>
          <w:color w:val="000000" w:themeColor="text1"/>
          <w14:textFill>
            <w14:solidFill>
              <w14:schemeClr w14:val="tx1"/>
            </w14:solidFill>
          </w14:textFill>
        </w:rPr>
        <w:t>2建设项目工程分析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"_Toc155271412" </w:instrText>
      </w:r>
      <w:r>
        <w:fldChar w:fldCharType="separate"/>
      </w:r>
      <w:r>
        <w:rPr>
          <w:rStyle w:val="145"/>
          <w:rFonts w:eastAsia="宋体"/>
          <w:color w:val="000000" w:themeColor="text1"/>
          <w14:textFill>
            <w14:solidFill>
              <w14:schemeClr w14:val="tx1"/>
            </w14:solidFill>
          </w14:textFill>
        </w:rPr>
        <w:t>2.1建设项目概况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"_Toc155271413" </w:instrText>
      </w:r>
      <w:r>
        <w:fldChar w:fldCharType="separate"/>
      </w:r>
      <w:r>
        <w:rPr>
          <w:rStyle w:val="145"/>
          <w:rFonts w:eastAsia="宋体"/>
          <w:color w:val="000000" w:themeColor="text1"/>
          <w14:textFill>
            <w14:solidFill>
              <w14:schemeClr w14:val="tx1"/>
            </w14:solidFill>
          </w14:textFill>
        </w:rPr>
        <w:t>2.2施工期工艺流程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"_Toc155271414" </w:instrText>
      </w:r>
      <w:r>
        <w:fldChar w:fldCharType="separate"/>
      </w:r>
      <w:r>
        <w:rPr>
          <w:rStyle w:val="145"/>
          <w:rFonts w:eastAsia="宋体"/>
          <w:color w:val="000000" w:themeColor="text1"/>
          <w14:textFill>
            <w14:solidFill>
              <w14:schemeClr w14:val="tx1"/>
            </w14:solidFill>
          </w14:textFill>
        </w:rPr>
        <w:t>2.3运营期生产工艺流程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"_Toc155271415" </w:instrText>
      </w:r>
      <w:r>
        <w:fldChar w:fldCharType="separate"/>
      </w:r>
      <w:r>
        <w:rPr>
          <w:rStyle w:val="145"/>
          <w:rFonts w:eastAsia="宋体"/>
          <w:color w:val="000000" w:themeColor="text1"/>
          <w14:textFill>
            <w14:solidFill>
              <w14:schemeClr w14:val="tx1"/>
            </w14:solidFill>
          </w14:textFill>
        </w:rPr>
        <w:t>2.4运营期主要污染物源强分析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"_Toc155271416" </w:instrText>
      </w:r>
      <w:r>
        <w:fldChar w:fldCharType="separate"/>
      </w:r>
      <w:r>
        <w:rPr>
          <w:rStyle w:val="145"/>
          <w:rFonts w:eastAsia="宋体"/>
          <w:color w:val="000000" w:themeColor="text1"/>
          <w14:textFill>
            <w14:solidFill>
              <w14:schemeClr w14:val="tx1"/>
            </w14:solidFill>
          </w14:textFill>
        </w:rPr>
        <w:t>3环境现状调查与评价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"_Toc155271417" </w:instrText>
      </w:r>
      <w:r>
        <w:fldChar w:fldCharType="separate"/>
      </w:r>
      <w:r>
        <w:rPr>
          <w:rStyle w:val="145"/>
          <w:rFonts w:eastAsia="宋体"/>
          <w:color w:val="000000" w:themeColor="text1"/>
          <w14:textFill>
            <w14:solidFill>
              <w14:schemeClr w14:val="tx1"/>
            </w14:solidFill>
          </w14:textFill>
        </w:rPr>
        <w:t>3.1自然环境概况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"_Toc155271418" </w:instrText>
      </w:r>
      <w:r>
        <w:fldChar w:fldCharType="separate"/>
      </w:r>
      <w:r>
        <w:rPr>
          <w:rStyle w:val="145"/>
          <w:rFonts w:eastAsia="宋体"/>
          <w:color w:val="000000" w:themeColor="text1"/>
          <w14:textFill>
            <w14:solidFill>
              <w14:schemeClr w14:val="tx1"/>
            </w14:solidFill>
          </w14:textFill>
        </w:rPr>
        <w:t>3.2大足高新区邮亭组团简况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"_Toc155271419" </w:instrText>
      </w:r>
      <w:r>
        <w:fldChar w:fldCharType="separate"/>
      </w:r>
      <w:r>
        <w:rPr>
          <w:rStyle w:val="145"/>
          <w:rFonts w:eastAsia="宋体"/>
          <w:color w:val="000000" w:themeColor="text1"/>
          <w14:textFill>
            <w14:solidFill>
              <w14:schemeClr w14:val="tx1"/>
            </w14:solidFill>
          </w14:textFill>
        </w:rPr>
        <w:t>3.3环境质量现状调查与评价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"_Toc155271420" </w:instrText>
      </w:r>
      <w:r>
        <w:fldChar w:fldCharType="separate"/>
      </w:r>
      <w:r>
        <w:rPr>
          <w:rStyle w:val="145"/>
          <w:rFonts w:eastAsia="宋体"/>
          <w:color w:val="000000" w:themeColor="text1"/>
          <w14:textFill>
            <w14:solidFill>
              <w14:schemeClr w14:val="tx1"/>
            </w14:solidFill>
          </w14:textFill>
        </w:rPr>
        <w:t>4环境影响预测与评价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"_Toc155271421" </w:instrText>
      </w:r>
      <w:r>
        <w:fldChar w:fldCharType="separate"/>
      </w:r>
      <w:r>
        <w:rPr>
          <w:rStyle w:val="145"/>
          <w:rFonts w:eastAsia="宋体"/>
          <w:color w:val="000000" w:themeColor="text1"/>
          <w14:textFill>
            <w14:solidFill>
              <w14:schemeClr w14:val="tx1"/>
            </w14:solidFill>
          </w14:textFill>
        </w:rPr>
        <w:t>4.1施工期环境影响预测与评价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"_Toc155271422" </w:instrText>
      </w:r>
      <w:r>
        <w:fldChar w:fldCharType="separate"/>
      </w:r>
      <w:r>
        <w:rPr>
          <w:rStyle w:val="145"/>
          <w:rFonts w:eastAsia="宋体"/>
          <w:color w:val="000000" w:themeColor="text1"/>
          <w14:textFill>
            <w14:solidFill>
              <w14:schemeClr w14:val="tx1"/>
            </w14:solidFill>
          </w14:textFill>
        </w:rPr>
        <w:t>4.2运营期大气环境影响预测与评价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"_Toc155271423" </w:instrText>
      </w:r>
      <w:r>
        <w:fldChar w:fldCharType="separate"/>
      </w:r>
      <w:r>
        <w:rPr>
          <w:rStyle w:val="145"/>
          <w:rFonts w:eastAsia="宋体"/>
          <w:color w:val="000000" w:themeColor="text1"/>
          <w14:textFill>
            <w14:solidFill>
              <w14:schemeClr w14:val="tx1"/>
            </w14:solidFill>
          </w14:textFill>
        </w:rPr>
        <w:t>4.3运营期地表水环境影响预测与评价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"_Toc155271424" </w:instrText>
      </w:r>
      <w:r>
        <w:fldChar w:fldCharType="separate"/>
      </w:r>
      <w:r>
        <w:rPr>
          <w:rStyle w:val="145"/>
          <w:rFonts w:eastAsia="宋体"/>
          <w:color w:val="000000" w:themeColor="text1"/>
          <w14:textFill>
            <w14:solidFill>
              <w14:schemeClr w14:val="tx1"/>
            </w14:solidFill>
          </w14:textFill>
        </w:rPr>
        <w:t>4.4运营期地下水环境影响评价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"_Toc155271425" </w:instrText>
      </w:r>
      <w:r>
        <w:fldChar w:fldCharType="separate"/>
      </w:r>
      <w:r>
        <w:rPr>
          <w:rStyle w:val="145"/>
          <w:rFonts w:eastAsia="宋体"/>
          <w:color w:val="000000" w:themeColor="text1"/>
          <w14:textFill>
            <w14:solidFill>
              <w14:schemeClr w14:val="tx1"/>
            </w14:solidFill>
          </w14:textFill>
        </w:rPr>
        <w:t>4.5运营期声环境影响预测与评价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"_Toc155271426" </w:instrText>
      </w:r>
      <w:r>
        <w:fldChar w:fldCharType="separate"/>
      </w:r>
      <w:r>
        <w:rPr>
          <w:rStyle w:val="145"/>
          <w:rFonts w:eastAsia="宋体"/>
          <w:color w:val="000000" w:themeColor="text1"/>
          <w14:textFill>
            <w14:solidFill>
              <w14:schemeClr w14:val="tx1"/>
            </w14:solidFill>
          </w14:textFill>
        </w:rPr>
        <w:t>4.6固体废物环境影响评价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"_Toc155271427" </w:instrText>
      </w:r>
      <w:r>
        <w:fldChar w:fldCharType="separate"/>
      </w:r>
      <w:r>
        <w:rPr>
          <w:rStyle w:val="145"/>
          <w:rFonts w:eastAsia="宋体"/>
          <w:color w:val="000000" w:themeColor="text1"/>
          <w14:textFill>
            <w14:solidFill>
              <w14:schemeClr w14:val="tx1"/>
            </w14:solidFill>
          </w14:textFill>
        </w:rPr>
        <w:t>4.7土壤环境影响分析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"_Toc155271428" </w:instrText>
      </w:r>
      <w:r>
        <w:fldChar w:fldCharType="separate"/>
      </w:r>
      <w:r>
        <w:rPr>
          <w:rStyle w:val="145"/>
          <w:rFonts w:eastAsia="宋体"/>
          <w:color w:val="000000" w:themeColor="text1"/>
          <w14:textFill>
            <w14:solidFill>
              <w14:schemeClr w14:val="tx1"/>
            </w14:solidFill>
          </w14:textFill>
        </w:rPr>
        <w:t>5环境风险评价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"_Toc155271429" </w:instrText>
      </w:r>
      <w:r>
        <w:fldChar w:fldCharType="separate"/>
      </w:r>
      <w:r>
        <w:rPr>
          <w:rStyle w:val="145"/>
          <w:rFonts w:eastAsia="宋体"/>
          <w:color w:val="000000" w:themeColor="text1"/>
          <w14:textFill>
            <w14:solidFill>
              <w14:schemeClr w14:val="tx1"/>
            </w14:solidFill>
          </w14:textFill>
        </w:rPr>
        <w:t>5.1评价依据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"_Toc155271430" </w:instrText>
      </w:r>
      <w:r>
        <w:fldChar w:fldCharType="separate"/>
      </w:r>
      <w:r>
        <w:rPr>
          <w:rStyle w:val="145"/>
          <w:rFonts w:eastAsia="宋体"/>
          <w:color w:val="000000" w:themeColor="text1"/>
          <w14:textFill>
            <w14:solidFill>
              <w14:schemeClr w14:val="tx1"/>
            </w14:solidFill>
          </w14:textFill>
        </w:rPr>
        <w:t>5.2环境敏感目标调查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"_Toc155271431" </w:instrText>
      </w:r>
      <w:r>
        <w:fldChar w:fldCharType="separate"/>
      </w:r>
      <w:r>
        <w:rPr>
          <w:rStyle w:val="145"/>
          <w:rFonts w:eastAsia="宋体"/>
          <w:color w:val="000000" w:themeColor="text1"/>
          <w14:textFill>
            <w14:solidFill>
              <w14:schemeClr w14:val="tx1"/>
            </w14:solidFill>
          </w14:textFill>
        </w:rPr>
        <w:t>5.3环境风险分析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"_Toc155271432" </w:instrText>
      </w:r>
      <w:r>
        <w:fldChar w:fldCharType="separate"/>
      </w:r>
      <w:r>
        <w:rPr>
          <w:rStyle w:val="145"/>
          <w:rFonts w:eastAsia="宋体"/>
          <w:color w:val="000000" w:themeColor="text1"/>
          <w14:textFill>
            <w14:solidFill>
              <w14:schemeClr w14:val="tx1"/>
            </w14:solidFill>
          </w14:textFill>
        </w:rPr>
        <w:t>5.4风险防范措施及应急要求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"_Toc155271433" </w:instrText>
      </w:r>
      <w:r>
        <w:fldChar w:fldCharType="separate"/>
      </w:r>
      <w:r>
        <w:rPr>
          <w:rStyle w:val="145"/>
          <w:rFonts w:eastAsia="宋体"/>
          <w:color w:val="000000" w:themeColor="text1"/>
          <w14:textFill>
            <w14:solidFill>
              <w14:schemeClr w14:val="tx1"/>
            </w14:solidFill>
          </w14:textFill>
        </w:rPr>
        <w:t>5.5其他措施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"_Toc155271434" </w:instrText>
      </w:r>
      <w:r>
        <w:fldChar w:fldCharType="separate"/>
      </w:r>
      <w:r>
        <w:rPr>
          <w:rStyle w:val="145"/>
          <w:rFonts w:eastAsia="宋体"/>
          <w:color w:val="000000" w:themeColor="text1"/>
          <w14:textFill>
            <w14:solidFill>
              <w14:schemeClr w14:val="tx1"/>
            </w14:solidFill>
          </w14:textFill>
        </w:rPr>
        <w:t>5.6风险事故应急预案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"_Toc155271435" </w:instrText>
      </w:r>
      <w:r>
        <w:fldChar w:fldCharType="separate"/>
      </w:r>
      <w:r>
        <w:rPr>
          <w:rStyle w:val="145"/>
          <w:rFonts w:eastAsia="宋体"/>
          <w:color w:val="000000" w:themeColor="text1"/>
          <w14:textFill>
            <w14:solidFill>
              <w14:schemeClr w14:val="tx1"/>
            </w14:solidFill>
          </w14:textFill>
        </w:rPr>
        <w:t>5.7结论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"_Toc155271436" </w:instrText>
      </w:r>
      <w:r>
        <w:fldChar w:fldCharType="separate"/>
      </w:r>
      <w:r>
        <w:rPr>
          <w:rStyle w:val="145"/>
          <w:rFonts w:eastAsia="宋体"/>
          <w:color w:val="000000" w:themeColor="text1"/>
          <w14:textFill>
            <w14:solidFill>
              <w14:schemeClr w14:val="tx1"/>
            </w14:solidFill>
          </w14:textFill>
        </w:rPr>
        <w:t>6环境保护措施及其可行性论证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"_Toc155271437" </w:instrText>
      </w:r>
      <w:r>
        <w:fldChar w:fldCharType="separate"/>
      </w:r>
      <w:r>
        <w:rPr>
          <w:rStyle w:val="145"/>
          <w:rFonts w:eastAsia="宋体"/>
          <w:color w:val="000000" w:themeColor="text1"/>
          <w14:textFill>
            <w14:solidFill>
              <w14:schemeClr w14:val="tx1"/>
            </w14:solidFill>
          </w14:textFill>
        </w:rPr>
        <w:t>6.1废气污染防治措施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"_Toc155271438" </w:instrText>
      </w:r>
      <w:r>
        <w:fldChar w:fldCharType="separate"/>
      </w:r>
      <w:r>
        <w:rPr>
          <w:rStyle w:val="145"/>
          <w:rFonts w:eastAsia="宋体"/>
          <w:color w:val="000000" w:themeColor="text1"/>
          <w14:textFill>
            <w14:solidFill>
              <w14:schemeClr w14:val="tx1"/>
            </w14:solidFill>
          </w14:textFill>
        </w:rPr>
        <w:t>6.2废水污染防治措施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"_Toc155271439" </w:instrText>
      </w:r>
      <w:r>
        <w:fldChar w:fldCharType="separate"/>
      </w:r>
      <w:r>
        <w:rPr>
          <w:rStyle w:val="145"/>
          <w:rFonts w:eastAsia="宋体"/>
          <w:color w:val="000000" w:themeColor="text1"/>
          <w14:textFill>
            <w14:solidFill>
              <w14:schemeClr w14:val="tx1"/>
            </w14:solidFill>
          </w14:textFill>
        </w:rPr>
        <w:t>6.3噪声防治措施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"_Toc155271440" </w:instrText>
      </w:r>
      <w:r>
        <w:fldChar w:fldCharType="separate"/>
      </w:r>
      <w:r>
        <w:rPr>
          <w:rStyle w:val="145"/>
          <w:rFonts w:eastAsia="宋体"/>
          <w:color w:val="000000" w:themeColor="text1"/>
          <w14:textFill>
            <w14:solidFill>
              <w14:schemeClr w14:val="tx1"/>
            </w14:solidFill>
          </w14:textFill>
        </w:rPr>
        <w:t>6.4固体废物污染防治措施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"_Toc155271441" </w:instrText>
      </w:r>
      <w:r>
        <w:fldChar w:fldCharType="separate"/>
      </w:r>
      <w:r>
        <w:rPr>
          <w:rStyle w:val="145"/>
          <w:rFonts w:eastAsia="宋体"/>
          <w:color w:val="000000" w:themeColor="text1"/>
          <w14:textFill>
            <w14:solidFill>
              <w14:schemeClr w14:val="tx1"/>
            </w14:solidFill>
          </w14:textFill>
        </w:rPr>
        <w:t>6.5地下水防治措施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"_Toc155271442" </w:instrText>
      </w:r>
      <w:r>
        <w:fldChar w:fldCharType="separate"/>
      </w:r>
      <w:r>
        <w:rPr>
          <w:rStyle w:val="145"/>
          <w:rFonts w:eastAsia="宋体"/>
          <w:color w:val="000000" w:themeColor="text1"/>
          <w14:textFill>
            <w14:solidFill>
              <w14:schemeClr w14:val="tx1"/>
            </w14:solidFill>
          </w14:textFill>
        </w:rPr>
        <w:t>6.6环保措施汇总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"_Toc155271443" </w:instrText>
      </w:r>
      <w:r>
        <w:fldChar w:fldCharType="separate"/>
      </w:r>
      <w:r>
        <w:rPr>
          <w:rStyle w:val="145"/>
          <w:rFonts w:eastAsia="宋体"/>
          <w:color w:val="000000" w:themeColor="text1"/>
          <w14:textFill>
            <w14:solidFill>
              <w14:schemeClr w14:val="tx1"/>
            </w14:solidFill>
          </w14:textFill>
        </w:rPr>
        <w:t>7环境影响经济损益分析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"_Toc155271444" </w:instrText>
      </w:r>
      <w:r>
        <w:fldChar w:fldCharType="separate"/>
      </w:r>
      <w:r>
        <w:rPr>
          <w:rStyle w:val="145"/>
          <w:rFonts w:eastAsia="宋体"/>
          <w:color w:val="000000" w:themeColor="text1"/>
          <w14:textFill>
            <w14:solidFill>
              <w14:schemeClr w14:val="tx1"/>
            </w14:solidFill>
          </w14:textFill>
        </w:rPr>
        <w:t>7.1环境保护费用的确定与计算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"_Toc155271445" </w:instrText>
      </w:r>
      <w:r>
        <w:fldChar w:fldCharType="separate"/>
      </w:r>
      <w:r>
        <w:rPr>
          <w:rStyle w:val="145"/>
          <w:rFonts w:eastAsia="宋体"/>
          <w:color w:val="000000" w:themeColor="text1"/>
          <w14:textFill>
            <w14:solidFill>
              <w14:schemeClr w14:val="tx1"/>
            </w14:solidFill>
          </w14:textFill>
        </w:rPr>
        <w:t>7.2环境效益分析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"_Toc155271446" </w:instrText>
      </w:r>
      <w:r>
        <w:fldChar w:fldCharType="separate"/>
      </w:r>
      <w:r>
        <w:rPr>
          <w:rStyle w:val="145"/>
          <w:rFonts w:eastAsia="宋体"/>
          <w:color w:val="000000" w:themeColor="text1"/>
          <w14:textFill>
            <w14:solidFill>
              <w14:schemeClr w14:val="tx1"/>
            </w14:solidFill>
          </w14:textFill>
        </w:rPr>
        <w:t>7.3小结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"_Toc155271447" </w:instrText>
      </w:r>
      <w:r>
        <w:fldChar w:fldCharType="separate"/>
      </w:r>
      <w:r>
        <w:rPr>
          <w:rStyle w:val="145"/>
          <w:rFonts w:eastAsia="宋体"/>
          <w:color w:val="000000" w:themeColor="text1"/>
          <w14:textFill>
            <w14:solidFill>
              <w14:schemeClr w14:val="tx1"/>
            </w14:solidFill>
          </w14:textFill>
        </w:rPr>
        <w:t>8环境管理与监测计划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"_Toc155271448" </w:instrText>
      </w:r>
      <w:r>
        <w:fldChar w:fldCharType="separate"/>
      </w:r>
      <w:r>
        <w:rPr>
          <w:rStyle w:val="145"/>
          <w:rFonts w:eastAsia="宋体"/>
          <w:color w:val="000000" w:themeColor="text1"/>
          <w14:textFill>
            <w14:solidFill>
              <w14:schemeClr w14:val="tx1"/>
            </w14:solidFill>
          </w14:textFill>
        </w:rPr>
        <w:t>8.1环境管理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"_Toc155271449" </w:instrText>
      </w:r>
      <w:r>
        <w:fldChar w:fldCharType="separate"/>
      </w:r>
      <w:r>
        <w:rPr>
          <w:rStyle w:val="145"/>
          <w:rFonts w:eastAsia="宋体"/>
          <w:color w:val="000000" w:themeColor="text1"/>
          <w14:textFill>
            <w14:solidFill>
              <w14:schemeClr w14:val="tx1"/>
            </w14:solidFill>
          </w14:textFill>
        </w:rPr>
        <w:t>8.2监测计划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"_Toc155271450" </w:instrText>
      </w:r>
      <w:r>
        <w:fldChar w:fldCharType="separate"/>
      </w:r>
      <w:r>
        <w:rPr>
          <w:rStyle w:val="145"/>
          <w:rFonts w:eastAsia="宋体"/>
          <w:color w:val="000000" w:themeColor="text1"/>
          <w14:textFill>
            <w14:solidFill>
              <w14:schemeClr w14:val="tx1"/>
            </w14:solidFill>
          </w14:textFill>
        </w:rPr>
        <w:t>8.3污染物排放管理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"_Toc155271451" </w:instrText>
      </w:r>
      <w:r>
        <w:fldChar w:fldCharType="separate"/>
      </w:r>
      <w:r>
        <w:rPr>
          <w:rStyle w:val="145"/>
          <w:rFonts w:eastAsia="宋体"/>
          <w:color w:val="000000" w:themeColor="text1"/>
          <w14:textFill>
            <w14:solidFill>
              <w14:schemeClr w14:val="tx1"/>
            </w14:solidFill>
          </w14:textFill>
        </w:rPr>
        <w:t>8.4环保竣工验收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60"/>
        <w:tabs>
          <w:tab w:val="right" w:leader="dot" w:pos="9204"/>
        </w:tabs>
        <w:spacing w:line="480" w:lineRule="exact"/>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"_Toc155271452" </w:instrText>
      </w:r>
      <w:r>
        <w:fldChar w:fldCharType="separate"/>
      </w:r>
      <w:r>
        <w:rPr>
          <w:rStyle w:val="145"/>
          <w:rFonts w:eastAsia="宋体"/>
          <w:color w:val="000000" w:themeColor="text1"/>
          <w14:textFill>
            <w14:solidFill>
              <w14:schemeClr w14:val="tx1"/>
            </w14:solidFill>
          </w14:textFill>
        </w:rPr>
        <w:t>9结论与建议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"_Toc155271453" </w:instrText>
      </w:r>
      <w:r>
        <w:fldChar w:fldCharType="separate"/>
      </w:r>
      <w:r>
        <w:rPr>
          <w:rStyle w:val="145"/>
          <w:rFonts w:eastAsia="宋体"/>
          <w:color w:val="000000" w:themeColor="text1"/>
          <w14:textFill>
            <w14:solidFill>
              <w14:schemeClr w14:val="tx1"/>
            </w14:solidFill>
          </w14:textFill>
        </w:rPr>
        <w:t>9.1结论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75"/>
        <w:tabs>
          <w:tab w:val="right" w:leader="dot" w:pos="9204"/>
        </w:tabs>
        <w:spacing w:line="480" w:lineRule="exact"/>
        <w:ind w:left="0" w:leftChars="0"/>
        <w:rPr>
          <w:rFonts w:asciiTheme="minorHAnsi" w:hAnsiTheme="minorHAnsi" w:eastAsiaTheme="minorEastAsia" w:cstheme="minorBidi"/>
          <w:color w:val="000000" w:themeColor="text1"/>
          <w:sz w:val="21"/>
          <w14:textFill>
            <w14:solidFill>
              <w14:schemeClr w14:val="tx1"/>
            </w14:solidFill>
          </w14:textFill>
        </w:rPr>
      </w:pPr>
      <w:r>
        <w:fldChar w:fldCharType="begin"/>
      </w:r>
      <w:r>
        <w:instrText xml:space="preserve"> HYPERLINK \l "_Toc155271454" </w:instrText>
      </w:r>
      <w:r>
        <w:fldChar w:fldCharType="separate"/>
      </w:r>
      <w:r>
        <w:rPr>
          <w:rStyle w:val="145"/>
          <w:rFonts w:eastAsia="宋体"/>
          <w:color w:val="000000" w:themeColor="text1"/>
          <w14:textFill>
            <w14:solidFill>
              <w14:schemeClr w14:val="tx1"/>
            </w14:solidFill>
          </w14:textFill>
        </w:rPr>
        <w:t>9.2建议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_Toc155271454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rPr>
          <w:rStyle w:val="145"/>
          <w:rFonts w:eastAsia="宋体"/>
          <w:b/>
          <w:bCs/>
          <w:color w:val="000000" w:themeColor="text1"/>
          <w:sz w:val="28"/>
          <w:szCs w:val="28"/>
          <w:u w:val="none"/>
          <w14:textFill>
            <w14:solidFill>
              <w14:schemeClr w14:val="tx1"/>
            </w14:solidFill>
          </w14:textFill>
        </w:rPr>
      </w:pPr>
      <w:r>
        <w:rPr>
          <w:rFonts w:eastAsia="宋体"/>
          <w:bCs/>
          <w:color w:val="000000" w:themeColor="text1"/>
          <w14:textFill>
            <w14:solidFill>
              <w14:schemeClr w14:val="tx1"/>
            </w14:solidFill>
          </w14:textFill>
        </w:rPr>
        <w:fldChar w:fldCharType="end"/>
      </w:r>
      <w:r>
        <w:rPr>
          <w:rStyle w:val="145"/>
          <w:rFonts w:eastAsia="宋体"/>
          <w:b/>
          <w:bCs/>
          <w:color w:val="000000" w:themeColor="text1"/>
          <w:sz w:val="28"/>
          <w:szCs w:val="28"/>
          <w:u w:val="none"/>
          <w14:textFill>
            <w14:solidFill>
              <w14:schemeClr w14:val="tx1"/>
            </w14:solidFill>
          </w14:textFill>
        </w:rPr>
        <w:br w:type="page"/>
      </w:r>
    </w:p>
    <w:p>
      <w:pPr>
        <w:spacing w:line="500" w:lineRule="exact"/>
        <w:ind w:firstLine="482"/>
        <w:rPr>
          <w:rStyle w:val="145"/>
          <w:rFonts w:eastAsia="宋体"/>
          <w:b/>
          <w:bCs/>
          <w:color w:val="000000" w:themeColor="text1"/>
          <w:szCs w:val="24"/>
          <w:u w:val="none"/>
          <w14:textFill>
            <w14:solidFill>
              <w14:schemeClr w14:val="tx1"/>
            </w14:solidFill>
          </w14:textFill>
        </w:rPr>
      </w:pPr>
      <w:r>
        <w:rPr>
          <w:rStyle w:val="145"/>
          <w:rFonts w:eastAsia="宋体"/>
          <w:b/>
          <w:bCs/>
          <w:color w:val="000000" w:themeColor="text1"/>
          <w:szCs w:val="24"/>
          <w:u w:val="none"/>
          <w14:textFill>
            <w14:solidFill>
              <w14:schemeClr w14:val="tx1"/>
            </w14:solidFill>
          </w14:textFill>
        </w:rPr>
        <w:t>附图</w:t>
      </w:r>
    </w:p>
    <w:p>
      <w:pPr>
        <w:spacing w:line="500" w:lineRule="exact"/>
        <w:ind w:firstLine="480"/>
        <w:rPr>
          <w:rFonts w:eastAsia="宋体"/>
          <w:color w:val="000000" w:themeColor="text1"/>
          <w:szCs w:val="24"/>
          <w14:textFill>
            <w14:solidFill>
              <w14:schemeClr w14:val="tx1"/>
            </w14:solidFill>
          </w14:textFill>
        </w:rPr>
      </w:pPr>
      <w:bookmarkStart w:id="0" w:name="_Toc2081"/>
      <w:r>
        <w:rPr>
          <w:rFonts w:eastAsia="宋体"/>
          <w:color w:val="000000" w:themeColor="text1"/>
          <w:szCs w:val="24"/>
          <w14:textFill>
            <w14:solidFill>
              <w14:schemeClr w14:val="tx1"/>
            </w14:solidFill>
          </w14:textFill>
        </w:rPr>
        <w:t>附图1  项目地理位置图</w:t>
      </w:r>
      <w:bookmarkEnd w:id="0"/>
    </w:p>
    <w:p>
      <w:pPr>
        <w:spacing w:line="500" w:lineRule="exact"/>
        <w:ind w:firstLine="480"/>
        <w:rPr>
          <w:rFonts w:eastAsia="宋体"/>
          <w:color w:val="000000" w:themeColor="text1"/>
          <w:szCs w:val="24"/>
          <w14:textFill>
            <w14:solidFill>
              <w14:schemeClr w14:val="tx1"/>
            </w14:solidFill>
          </w14:textFill>
        </w:rPr>
      </w:pPr>
      <w:bookmarkStart w:id="1" w:name="_Toc28570"/>
      <w:r>
        <w:rPr>
          <w:rFonts w:eastAsia="宋体"/>
          <w:color w:val="000000" w:themeColor="text1"/>
          <w:szCs w:val="24"/>
          <w14:textFill>
            <w14:solidFill>
              <w14:schemeClr w14:val="tx1"/>
            </w14:solidFill>
          </w14:textFill>
        </w:rPr>
        <w:t xml:space="preserve">附图2  </w:t>
      </w:r>
      <w:bookmarkEnd w:id="1"/>
      <w:r>
        <w:rPr>
          <w:rFonts w:hint="eastAsia" w:eastAsia="宋体"/>
          <w:color w:val="000000" w:themeColor="text1"/>
          <w:szCs w:val="24"/>
          <w14:textFill>
            <w14:solidFill>
              <w14:schemeClr w14:val="tx1"/>
            </w14:solidFill>
          </w14:textFill>
        </w:rPr>
        <w:t>项目厂区平面布置、分区防渗及环保设施分布图</w:t>
      </w:r>
    </w:p>
    <w:p>
      <w:pPr>
        <w:spacing w:line="500" w:lineRule="exact"/>
        <w:ind w:firstLine="480"/>
        <w:rPr>
          <w:rFonts w:eastAsia="宋体"/>
          <w:color w:val="000000" w:themeColor="text1"/>
          <w:szCs w:val="24"/>
          <w14:textFill>
            <w14:solidFill>
              <w14:schemeClr w14:val="tx1"/>
            </w14:solidFill>
          </w14:textFill>
        </w:rPr>
      </w:pPr>
      <w:bookmarkStart w:id="2" w:name="_Toc27189"/>
      <w:r>
        <w:rPr>
          <w:rFonts w:eastAsia="宋体"/>
          <w:color w:val="000000" w:themeColor="text1"/>
          <w:szCs w:val="24"/>
          <w14:textFill>
            <w14:solidFill>
              <w14:schemeClr w14:val="tx1"/>
            </w14:solidFill>
          </w14:textFill>
        </w:rPr>
        <w:t xml:space="preserve">附图3  </w:t>
      </w:r>
      <w:bookmarkEnd w:id="2"/>
      <w:r>
        <w:rPr>
          <w:rFonts w:hint="eastAsia" w:eastAsia="宋体"/>
          <w:color w:val="000000" w:themeColor="text1"/>
          <w:szCs w:val="24"/>
          <w14:textFill>
            <w14:solidFill>
              <w14:schemeClr w14:val="tx1"/>
            </w14:solidFill>
          </w14:textFill>
        </w:rPr>
        <w:t>项目外环境关系图</w:t>
      </w:r>
    </w:p>
    <w:p>
      <w:pPr>
        <w:spacing w:line="500" w:lineRule="exact"/>
        <w:ind w:firstLine="480"/>
        <w:rPr>
          <w:rFonts w:eastAsia="宋体"/>
          <w:color w:val="000000" w:themeColor="text1"/>
          <w:szCs w:val="24"/>
          <w14:textFill>
            <w14:solidFill>
              <w14:schemeClr w14:val="tx1"/>
            </w14:solidFill>
          </w14:textFill>
        </w:rPr>
      </w:pPr>
      <w:bookmarkStart w:id="3" w:name="_Toc4917"/>
      <w:r>
        <w:rPr>
          <w:rFonts w:hint="eastAsia" w:eastAsia="宋体"/>
          <w:color w:val="000000" w:themeColor="text1"/>
          <w:szCs w:val="24"/>
          <w14:textFill>
            <w14:solidFill>
              <w14:schemeClr w14:val="tx1"/>
            </w14:solidFill>
          </w14:textFill>
        </w:rPr>
        <w:t>附图4</w:t>
      </w:r>
      <w:r>
        <w:rPr>
          <w:rFonts w:eastAsia="宋体"/>
          <w:color w:val="000000" w:themeColor="text1"/>
          <w:szCs w:val="24"/>
          <w14:textFill>
            <w14:solidFill>
              <w14:schemeClr w14:val="tx1"/>
            </w14:solidFill>
          </w14:textFill>
        </w:rPr>
        <w:t xml:space="preserve">  </w:t>
      </w:r>
      <w:r>
        <w:rPr>
          <w:rFonts w:hint="eastAsia" w:eastAsia="宋体"/>
          <w:color w:val="000000" w:themeColor="text1"/>
          <w:szCs w:val="24"/>
          <w14:textFill>
            <w14:solidFill>
              <w14:schemeClr w14:val="tx1"/>
            </w14:solidFill>
          </w14:textFill>
        </w:rPr>
        <w:t>项目外环境现状图</w:t>
      </w:r>
    </w:p>
    <w:p>
      <w:pPr>
        <w:spacing w:line="500" w:lineRule="exact"/>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附</w:t>
      </w:r>
      <w:r>
        <w:rPr>
          <w:rFonts w:hint="eastAsia" w:eastAsia="宋体"/>
          <w:color w:val="000000" w:themeColor="text1"/>
          <w:szCs w:val="24"/>
          <w14:textFill>
            <w14:solidFill>
              <w14:schemeClr w14:val="tx1"/>
            </w14:solidFill>
          </w14:textFill>
        </w:rPr>
        <w:t>图</w:t>
      </w:r>
      <w:r>
        <w:rPr>
          <w:rFonts w:eastAsia="宋体"/>
          <w:color w:val="000000" w:themeColor="text1"/>
          <w:szCs w:val="24"/>
          <w14:textFill>
            <w14:solidFill>
              <w14:schemeClr w14:val="tx1"/>
            </w14:solidFill>
          </w14:textFill>
        </w:rPr>
        <w:t>5  项目保护目标及评价范围图</w:t>
      </w:r>
      <w:bookmarkEnd w:id="3"/>
    </w:p>
    <w:p>
      <w:pPr>
        <w:spacing w:line="500" w:lineRule="exact"/>
        <w:ind w:firstLine="480"/>
        <w:rPr>
          <w:rFonts w:eastAsia="宋体"/>
          <w:color w:val="000000" w:themeColor="text1"/>
          <w:szCs w:val="24"/>
          <w14:textFill>
            <w14:solidFill>
              <w14:schemeClr w14:val="tx1"/>
            </w14:solidFill>
          </w14:textFill>
        </w:rPr>
      </w:pPr>
      <w:bookmarkStart w:id="4" w:name="_Toc29658"/>
      <w:r>
        <w:rPr>
          <w:rFonts w:eastAsia="宋体"/>
          <w:color w:val="000000" w:themeColor="text1"/>
          <w:szCs w:val="24"/>
          <w14:textFill>
            <w14:solidFill>
              <w14:schemeClr w14:val="tx1"/>
            </w14:solidFill>
          </w14:textFill>
        </w:rPr>
        <w:t xml:space="preserve">附图6  </w:t>
      </w:r>
      <w:r>
        <w:rPr>
          <w:rFonts w:hint="eastAsia" w:eastAsia="宋体"/>
          <w:color w:val="000000" w:themeColor="text1"/>
          <w:szCs w:val="24"/>
          <w14:textFill>
            <w14:solidFill>
              <w14:schemeClr w14:val="tx1"/>
            </w14:solidFill>
          </w14:textFill>
        </w:rPr>
        <w:t>水文地质图</w:t>
      </w:r>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附图7</w:t>
      </w:r>
      <w:r>
        <w:rPr>
          <w:rFonts w:eastAsia="宋体"/>
          <w:color w:val="000000" w:themeColor="text1"/>
          <w:szCs w:val="24"/>
          <w14:textFill>
            <w14:solidFill>
              <w14:schemeClr w14:val="tx1"/>
            </w14:solidFill>
          </w14:textFill>
        </w:rPr>
        <w:t xml:space="preserve">  </w:t>
      </w:r>
      <w:r>
        <w:rPr>
          <w:rFonts w:hint="eastAsia" w:eastAsia="宋体"/>
          <w:color w:val="000000" w:themeColor="text1"/>
          <w:szCs w:val="24"/>
          <w14:textFill>
            <w14:solidFill>
              <w14:schemeClr w14:val="tx1"/>
            </w14:solidFill>
          </w14:textFill>
        </w:rPr>
        <w:t>项目</w:t>
      </w:r>
      <w:r>
        <w:rPr>
          <w:rFonts w:eastAsia="宋体"/>
          <w:color w:val="000000" w:themeColor="text1"/>
          <w:szCs w:val="24"/>
          <w14:textFill>
            <w14:solidFill>
              <w14:schemeClr w14:val="tx1"/>
            </w14:solidFill>
          </w14:textFill>
        </w:rPr>
        <w:t>监测布点图</w:t>
      </w:r>
      <w:bookmarkEnd w:id="4"/>
    </w:p>
    <w:p>
      <w:pPr>
        <w:spacing w:line="500" w:lineRule="exact"/>
        <w:ind w:firstLine="480"/>
        <w:rPr>
          <w:rFonts w:eastAsia="宋体"/>
          <w:color w:val="000000" w:themeColor="text1"/>
          <w:szCs w:val="24"/>
          <w14:textFill>
            <w14:solidFill>
              <w14:schemeClr w14:val="tx1"/>
            </w14:solidFill>
          </w14:textFill>
        </w:rPr>
      </w:pPr>
      <w:bookmarkStart w:id="5" w:name="_Toc22895"/>
      <w:r>
        <w:rPr>
          <w:rFonts w:eastAsia="宋体"/>
          <w:color w:val="000000" w:themeColor="text1"/>
          <w:szCs w:val="24"/>
          <w14:textFill>
            <w14:solidFill>
              <w14:schemeClr w14:val="tx1"/>
            </w14:solidFill>
          </w14:textFill>
        </w:rPr>
        <w:t>附图8  土地利用规划图</w:t>
      </w:r>
      <w:bookmarkEnd w:id="5"/>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附图9</w:t>
      </w:r>
      <w:r>
        <w:rPr>
          <w:rFonts w:eastAsia="宋体"/>
          <w:color w:val="000000" w:themeColor="text1"/>
          <w:szCs w:val="24"/>
          <w14:textFill>
            <w14:solidFill>
              <w14:schemeClr w14:val="tx1"/>
            </w14:solidFill>
          </w14:textFill>
        </w:rPr>
        <w:t xml:space="preserve">  </w:t>
      </w:r>
      <w:r>
        <w:rPr>
          <w:rFonts w:hint="eastAsia" w:eastAsia="宋体"/>
          <w:color w:val="000000" w:themeColor="text1"/>
          <w:szCs w:val="24"/>
          <w14:textFill>
            <w14:solidFill>
              <w14:schemeClr w14:val="tx1"/>
            </w14:solidFill>
          </w14:textFill>
        </w:rPr>
        <w:t>项目雨污管网图</w:t>
      </w:r>
    </w:p>
    <w:p>
      <w:pPr>
        <w:spacing w:line="500" w:lineRule="exact"/>
        <w:ind w:firstLine="482"/>
        <w:rPr>
          <w:rStyle w:val="145"/>
          <w:rFonts w:eastAsia="宋体"/>
          <w:b/>
          <w:bCs/>
          <w:color w:val="000000" w:themeColor="text1"/>
          <w:szCs w:val="24"/>
          <w:u w:val="none"/>
          <w14:textFill>
            <w14:solidFill>
              <w14:schemeClr w14:val="tx1"/>
            </w14:solidFill>
          </w14:textFill>
        </w:rPr>
      </w:pPr>
      <w:r>
        <w:rPr>
          <w:rStyle w:val="145"/>
          <w:rFonts w:eastAsia="宋体"/>
          <w:b/>
          <w:bCs/>
          <w:color w:val="000000" w:themeColor="text1"/>
          <w:szCs w:val="24"/>
          <w:u w:val="none"/>
          <w14:textFill>
            <w14:solidFill>
              <w14:schemeClr w14:val="tx1"/>
            </w14:solidFill>
          </w14:textFill>
        </w:rPr>
        <w:t>附件</w:t>
      </w:r>
    </w:p>
    <w:p>
      <w:pPr>
        <w:spacing w:line="500" w:lineRule="exact"/>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 xml:space="preserve">附件1  </w:t>
      </w:r>
      <w:r>
        <w:rPr>
          <w:rFonts w:hint="eastAsia" w:eastAsia="宋体"/>
          <w:color w:val="000000" w:themeColor="text1"/>
          <w:szCs w:val="24"/>
          <w14:textFill>
            <w14:solidFill>
              <w14:schemeClr w14:val="tx1"/>
            </w14:solidFill>
          </w14:textFill>
        </w:rPr>
        <w:t>项目</w:t>
      </w:r>
      <w:r>
        <w:rPr>
          <w:rFonts w:eastAsia="宋体"/>
          <w:color w:val="000000" w:themeColor="text1"/>
          <w:szCs w:val="24"/>
          <w14:textFill>
            <w14:solidFill>
              <w14:schemeClr w14:val="tx1"/>
            </w14:solidFill>
          </w14:textFill>
        </w:rPr>
        <w:t>投资备案证</w:t>
      </w:r>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附件2</w:t>
      </w:r>
      <w:r>
        <w:rPr>
          <w:rFonts w:eastAsia="宋体"/>
          <w:color w:val="000000" w:themeColor="text1"/>
          <w:szCs w:val="24"/>
          <w14:textFill>
            <w14:solidFill>
              <w14:schemeClr w14:val="tx1"/>
            </w14:solidFill>
          </w14:textFill>
        </w:rPr>
        <w:t xml:space="preserve">  1</w:t>
      </w:r>
      <w:r>
        <w:rPr>
          <w:rFonts w:hint="eastAsia" w:eastAsia="宋体"/>
          <w:color w:val="000000" w:themeColor="text1"/>
          <w:szCs w:val="24"/>
          <w14:textFill>
            <w14:solidFill>
              <w14:schemeClr w14:val="tx1"/>
            </w14:solidFill>
          </w14:textFill>
        </w:rPr>
        <w:t>号地块厂房投资备案证及房产证</w:t>
      </w:r>
    </w:p>
    <w:p>
      <w:pPr>
        <w:spacing w:line="500" w:lineRule="exact"/>
        <w:ind w:firstLine="480"/>
        <w:rPr>
          <w:rFonts w:eastAsia="宋体"/>
          <w:color w:val="000000" w:themeColor="text1"/>
          <w:szCs w:val="24"/>
          <w14:textFill>
            <w14:solidFill>
              <w14:schemeClr w14:val="tx1"/>
            </w14:solidFill>
          </w14:textFill>
        </w:rPr>
      </w:pPr>
      <w:bookmarkStart w:id="6" w:name="_Toc5056"/>
      <w:r>
        <w:rPr>
          <w:rFonts w:eastAsia="宋体"/>
          <w:color w:val="000000" w:themeColor="text1"/>
          <w:szCs w:val="24"/>
          <w14:textFill>
            <w14:solidFill>
              <w14:schemeClr w14:val="tx1"/>
            </w14:solidFill>
          </w14:textFill>
        </w:rPr>
        <w:t>附件3  2</w:t>
      </w:r>
      <w:r>
        <w:rPr>
          <w:rFonts w:hint="eastAsia" w:eastAsia="宋体"/>
          <w:color w:val="000000" w:themeColor="text1"/>
          <w:szCs w:val="24"/>
          <w14:textFill>
            <w14:solidFill>
              <w14:schemeClr w14:val="tx1"/>
            </w14:solidFill>
          </w14:textFill>
        </w:rPr>
        <w:t>号地块土地租赁合同</w:t>
      </w:r>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附件4</w:t>
      </w:r>
      <w:r>
        <w:rPr>
          <w:rFonts w:eastAsia="宋体"/>
          <w:color w:val="000000" w:themeColor="text1"/>
          <w:szCs w:val="24"/>
          <w14:textFill>
            <w14:solidFill>
              <w14:schemeClr w14:val="tx1"/>
            </w14:solidFill>
          </w14:textFill>
        </w:rPr>
        <w:t xml:space="preserve">  环评监测报告</w:t>
      </w:r>
      <w:bookmarkEnd w:id="6"/>
      <w:r>
        <w:rPr>
          <w:rFonts w:eastAsia="宋体"/>
          <w:color w:val="000000" w:themeColor="text1"/>
          <w:szCs w:val="24"/>
          <w14:textFill>
            <w14:solidFill>
              <w14:schemeClr w14:val="tx1"/>
            </w14:solidFill>
          </w14:textFill>
        </w:rPr>
        <w:t>及引用监测报告</w:t>
      </w:r>
    </w:p>
    <w:p>
      <w:pPr>
        <w:spacing w:line="500" w:lineRule="exact"/>
        <w:ind w:firstLine="480"/>
        <w:rPr>
          <w:rFonts w:eastAsia="宋体"/>
          <w:color w:val="000000" w:themeColor="text1"/>
          <w:szCs w:val="24"/>
          <w14:textFill>
            <w14:solidFill>
              <w14:schemeClr w14:val="tx1"/>
            </w14:solidFill>
          </w14:textFill>
        </w:rPr>
      </w:pPr>
      <w:bookmarkStart w:id="7" w:name="_Toc24998"/>
      <w:r>
        <w:rPr>
          <w:rFonts w:eastAsia="宋体"/>
          <w:color w:val="000000" w:themeColor="text1"/>
          <w:szCs w:val="24"/>
          <w14:textFill>
            <w14:solidFill>
              <w14:schemeClr w14:val="tx1"/>
            </w14:solidFill>
          </w14:textFill>
        </w:rPr>
        <w:t xml:space="preserve">附件5  </w:t>
      </w:r>
      <w:bookmarkEnd w:id="7"/>
      <w:r>
        <w:rPr>
          <w:rFonts w:hint="eastAsia" w:eastAsia="宋体"/>
          <w:color w:val="000000" w:themeColor="text1"/>
          <w:szCs w:val="24"/>
          <w14:textFill>
            <w14:solidFill>
              <w14:schemeClr w14:val="tx1"/>
            </w14:solidFill>
          </w14:textFill>
        </w:rPr>
        <w:t>油漆检测报告</w:t>
      </w:r>
    </w:p>
    <w:p>
      <w:pPr>
        <w:spacing w:line="500" w:lineRule="exact"/>
        <w:ind w:firstLine="480"/>
        <w:rPr>
          <w:rFonts w:eastAsia="宋体"/>
          <w:color w:val="000000" w:themeColor="text1"/>
          <w:szCs w:val="24"/>
          <w14:textFill>
            <w14:solidFill>
              <w14:schemeClr w14:val="tx1"/>
            </w14:solidFill>
          </w14:textFill>
        </w:rPr>
      </w:pPr>
      <w:bookmarkStart w:id="8" w:name="_Toc32035"/>
      <w:r>
        <w:rPr>
          <w:rFonts w:eastAsia="宋体"/>
          <w:color w:val="000000" w:themeColor="text1"/>
          <w:szCs w:val="24"/>
          <w14:textFill>
            <w14:solidFill>
              <w14:schemeClr w14:val="tx1"/>
            </w14:solidFill>
          </w14:textFill>
        </w:rPr>
        <w:t xml:space="preserve">附件6  </w:t>
      </w:r>
      <w:r>
        <w:rPr>
          <w:rFonts w:hint="eastAsia" w:eastAsia="宋体"/>
          <w:color w:val="000000" w:themeColor="text1"/>
          <w:szCs w:val="24"/>
          <w14:textFill>
            <w14:solidFill>
              <w14:schemeClr w14:val="tx1"/>
            </w14:solidFill>
          </w14:textFill>
        </w:rPr>
        <w:t>大足高新区邮亭组团规划</w:t>
      </w:r>
      <w:r>
        <w:rPr>
          <w:rFonts w:eastAsia="宋体"/>
          <w:color w:val="000000" w:themeColor="text1"/>
          <w:szCs w:val="24"/>
          <w14:textFill>
            <w14:solidFill>
              <w14:schemeClr w14:val="tx1"/>
            </w14:solidFill>
          </w14:textFill>
        </w:rPr>
        <w:t>环评审查意见</w:t>
      </w:r>
      <w:bookmarkEnd w:id="8"/>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附件7</w:t>
      </w:r>
      <w:r>
        <w:rPr>
          <w:rFonts w:eastAsia="宋体"/>
          <w:color w:val="000000" w:themeColor="text1"/>
          <w:szCs w:val="24"/>
          <w14:textFill>
            <w14:solidFill>
              <w14:schemeClr w14:val="tx1"/>
            </w14:solidFill>
          </w14:textFill>
        </w:rPr>
        <w:t xml:space="preserve">  </w:t>
      </w:r>
      <w:r>
        <w:rPr>
          <w:rFonts w:hint="eastAsia" w:eastAsia="宋体"/>
          <w:color w:val="000000" w:themeColor="text1"/>
          <w:szCs w:val="24"/>
          <w14:textFill>
            <w14:solidFill>
              <w14:schemeClr w14:val="tx1"/>
            </w14:solidFill>
          </w14:textFill>
        </w:rPr>
        <w:t>三线一单检测分析报告</w:t>
      </w:r>
    </w:p>
    <w:p>
      <w:pPr>
        <w:spacing w:line="500" w:lineRule="exact"/>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附件8</w:t>
      </w:r>
      <w:r>
        <w:rPr>
          <w:rFonts w:eastAsia="宋体"/>
          <w:color w:val="000000" w:themeColor="text1"/>
          <w:szCs w:val="24"/>
          <w14:textFill>
            <w14:solidFill>
              <w14:schemeClr w14:val="tx1"/>
            </w14:solidFill>
          </w14:textFill>
        </w:rPr>
        <w:t xml:space="preserve">  </w:t>
      </w:r>
      <w:r>
        <w:rPr>
          <w:rFonts w:hint="eastAsia" w:eastAsia="宋体"/>
          <w:color w:val="000000" w:themeColor="text1"/>
          <w:szCs w:val="24"/>
          <w14:textFill>
            <w14:solidFill>
              <w14:schemeClr w14:val="tx1"/>
            </w14:solidFill>
          </w14:textFill>
        </w:rPr>
        <w:t>焊材M</w:t>
      </w:r>
      <w:r>
        <w:rPr>
          <w:rFonts w:eastAsia="宋体"/>
          <w:color w:val="000000" w:themeColor="text1"/>
          <w:szCs w:val="24"/>
          <w14:textFill>
            <w14:solidFill>
              <w14:schemeClr w14:val="tx1"/>
            </w14:solidFill>
          </w14:textFill>
        </w:rPr>
        <w:t>SDS</w:t>
      </w:r>
    </w:p>
    <w:p>
      <w:pPr>
        <w:ind w:firstLine="480"/>
        <w:rPr>
          <w:rFonts w:eastAsia="宋体"/>
          <w:color w:val="000000" w:themeColor="text1"/>
          <w:szCs w:val="24"/>
          <w14:textFill>
            <w14:solidFill>
              <w14:schemeClr w14:val="tx1"/>
            </w14:solidFill>
          </w14:textFill>
        </w:rPr>
        <w:sectPr>
          <w:headerReference r:id="rId11" w:type="default"/>
          <w:footerReference r:id="rId12" w:type="default"/>
          <w:pgSz w:w="11906" w:h="16838"/>
          <w:pgMar w:top="1417" w:right="991" w:bottom="1417" w:left="1701" w:header="851" w:footer="850" w:gutter="0"/>
          <w:pgNumType w:fmt="upperRoman" w:start="1"/>
          <w:cols w:space="720" w:num="1"/>
          <w:docGrid w:type="lines" w:linePitch="333" w:charSpace="0"/>
        </w:sectPr>
      </w:pPr>
    </w:p>
    <w:p>
      <w:pPr>
        <w:pStyle w:val="181"/>
        <w:tabs>
          <w:tab w:val="left" w:pos="5954"/>
        </w:tabs>
        <w:rPr>
          <w:rFonts w:eastAsia="宋体"/>
          <w:color w:val="000000" w:themeColor="text1"/>
          <w14:textFill>
            <w14:solidFill>
              <w14:schemeClr w14:val="tx1"/>
            </w14:solidFill>
          </w14:textFill>
        </w:rPr>
      </w:pPr>
      <w:bookmarkStart w:id="9" w:name="_Toc14271"/>
      <w:bookmarkStart w:id="10" w:name="_Toc155271400"/>
      <w:r>
        <w:rPr>
          <w:rFonts w:eastAsia="宋体"/>
          <w:color w:val="000000" w:themeColor="text1"/>
          <w14:textFill>
            <w14:solidFill>
              <w14:schemeClr w14:val="tx1"/>
            </w14:solidFill>
          </w14:textFill>
        </w:rPr>
        <w:t>概述</w:t>
      </w:r>
      <w:bookmarkEnd w:id="9"/>
      <w:bookmarkEnd w:id="10"/>
    </w:p>
    <w:p>
      <w:pPr>
        <w:rPr>
          <w:rFonts w:eastAsia="宋体"/>
          <w:b/>
          <w:color w:val="000000" w:themeColor="text1"/>
          <w14:textFill>
            <w14:solidFill>
              <w14:schemeClr w14:val="tx1"/>
            </w14:solidFill>
          </w14:textFill>
        </w:rPr>
      </w:pPr>
      <w:bookmarkStart w:id="11" w:name="_Toc1742"/>
      <w:bookmarkStart w:id="12" w:name="_Toc490235490"/>
      <w:r>
        <w:rPr>
          <w:rFonts w:eastAsia="宋体"/>
          <w:b/>
          <w:color w:val="000000" w:themeColor="text1"/>
          <w14:textFill>
            <w14:solidFill>
              <w14:schemeClr w14:val="tx1"/>
            </w14:solidFill>
          </w14:textFill>
        </w:rPr>
        <w:t>1、</w:t>
      </w:r>
      <w:bookmarkEnd w:id="11"/>
      <w:bookmarkEnd w:id="12"/>
      <w:r>
        <w:rPr>
          <w:rFonts w:eastAsia="宋体"/>
          <w:b/>
          <w:color w:val="000000" w:themeColor="text1"/>
          <w14:textFill>
            <w14:solidFill>
              <w14:schemeClr w14:val="tx1"/>
            </w14:solidFill>
          </w14:textFill>
        </w:rPr>
        <w:t>项目由来</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重庆航鑫新型建材有限公司（以下简称“航鑫公司”）是一家从事金属结构制造的企业。企业注册地址位于重庆市大足区邮亭镇驿新大道138号。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航鑫公司于2021年1月以“重庆航鑫新型建材有限公司制造基地项目”向重庆市双桥经济技术开发区经济发展局备案，取得《重庆市企业投资项目备案证》（项目代码：2012-500111-04-01-908370）。该项目位于重庆市大足区邮亭镇天堂村</w:t>
      </w:r>
      <w:r>
        <w:rPr>
          <w:rFonts w:hint="eastAsia" w:eastAsia="宋体"/>
          <w:color w:val="000000" w:themeColor="text1"/>
          <w:lang w:eastAsia="zh-CN"/>
          <w14:textFill>
            <w14:solidFill>
              <w14:schemeClr w14:val="tx1"/>
            </w14:solidFill>
          </w14:textFill>
        </w:rPr>
        <w:t>村</w:t>
      </w:r>
      <w:r>
        <w:rPr>
          <w:rFonts w:hint="eastAsia" w:eastAsia="宋体"/>
          <w:color w:val="000000" w:themeColor="text1"/>
          <w14:textFill>
            <w14:solidFill>
              <w14:schemeClr w14:val="tx1"/>
            </w14:solidFill>
          </w14:textFill>
        </w:rPr>
        <w:t>组</w:t>
      </w:r>
      <w:r>
        <w:rPr>
          <w:rFonts w:eastAsia="宋体"/>
          <w:color w:val="000000" w:themeColor="text1"/>
          <w14:textFill>
            <w14:solidFill>
              <w14:schemeClr w14:val="tx1"/>
            </w14:solidFill>
          </w14:textFill>
        </w:rPr>
        <w:t>29号（双桥经开区邮亭工业园区，SQ1909地块），建设内容及规模为：新建工业用厂房，占地面积88951.34m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，总建筑面积59026.12m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，由10栋建筑物组成，主要由钢结构厂房5栋，门卫室3栋，设备房2栋。根据《建设项目环境影响评价分类管理名录（2021年版）》，该项目建设标准厂房，且不涉及环境敏感区，无须办理环保手续。</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根据市场发展需要，航鑫公司拟投资2680万元建设“年产3万吨钢桥建设项目”(</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下简称为“本项目”)。本项目主要建设内容为：项目规划总占地面积约106951.34m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，分为2块地块。其中</w:t>
      </w:r>
      <w:r>
        <w:rPr>
          <w:rFonts w:eastAsia="宋体"/>
          <w:color w:val="000000" w:themeColor="text1"/>
          <w:lang w:bidi="zh-CN"/>
          <w14:textFill>
            <w14:solidFill>
              <w14:schemeClr w14:val="tx1"/>
            </w14:solidFill>
          </w14:textFill>
        </w:rPr>
        <w:t>1号地块位于</w:t>
      </w:r>
      <w:r>
        <w:rPr>
          <w:rFonts w:eastAsia="宋体"/>
          <w:color w:val="000000" w:themeColor="text1"/>
          <w14:textFill>
            <w14:solidFill>
              <w14:schemeClr w14:val="tx1"/>
            </w14:solidFill>
          </w14:textFill>
        </w:rPr>
        <w:t>重庆市大足区邮亭镇天堂村9组129号，占地面积88951.34m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依托现有厂房，</w:t>
      </w:r>
      <w:r>
        <w:rPr>
          <w:rFonts w:eastAsia="宋体"/>
          <w:color w:val="000000" w:themeColor="text1"/>
          <w14:textFill>
            <w14:solidFill>
              <w14:schemeClr w14:val="tx1"/>
            </w14:solidFill>
          </w14:textFill>
        </w:rPr>
        <w:t>建办公楼、1~6#生产车间及其配套设施，主要用于钢板下料、焊接等工序；2号地块位于重庆市大足区邮亭镇工业园区烈火村17组，占地面积约18000m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，建有涂装车间、喷砂车间、办公楼及其配套设施，主要用于钢桥涂装、喷砂等工序。建成后年产钢桥3万吨。</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2023年11月15日</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重庆市双桥经济技术开发区经济发展局于对本项目予以备案，项目代码：2103-500111-04-01-153503</w:t>
      </w:r>
      <w:r>
        <w:rPr>
          <w:rFonts w:hint="eastAsia"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受重庆航鑫新型建材有限公司委托，重庆雅城环保科技有限公司承担了本项目环境影响评价工作。</w:t>
      </w:r>
    </w:p>
    <w:p>
      <w:pPr>
        <w:rPr>
          <w:rFonts w:eastAsia="宋体"/>
          <w:b/>
          <w:color w:val="000000" w:themeColor="text1"/>
          <w14:textFill>
            <w14:solidFill>
              <w14:schemeClr w14:val="tx1"/>
            </w14:solidFill>
          </w14:textFill>
        </w:rPr>
      </w:pPr>
      <w:bookmarkStart w:id="13" w:name="_Toc16300"/>
      <w:bookmarkStart w:id="14" w:name="_Toc490235491"/>
      <w:r>
        <w:rPr>
          <w:rFonts w:eastAsia="宋体"/>
          <w:b/>
          <w:color w:val="000000" w:themeColor="text1"/>
          <w14:textFill>
            <w14:solidFill>
              <w14:schemeClr w14:val="tx1"/>
            </w14:solidFill>
          </w14:textFill>
        </w:rPr>
        <w:t>2、环境影响评价工作过程</w:t>
      </w:r>
      <w:bookmarkEnd w:id="13"/>
      <w:bookmarkEnd w:id="14"/>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根据《中华人民共和国环境保护法》、《中华人民共和国环境影响评价法》、《建设项目环境保护管理条例》的有关规定，该项目须进行环境影响评价。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对照《国民经济行业分类》（GB/T4754-2017），本项目属于C3311金属结构制造业。对照《建设项目环境影响评价分类管理名录》（2021年版），本项目属于“三十、金属制品业，66、结构性金属制品制造，年用溶剂型涂料（含稀释剂）10吨及以上的”，须编制环境影响报告书。</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在接受委托后，我司立即组织了评价人员进行现场踏勘、调查、收集相关资料，结合项目的特点、性质、建设规模、建设内容和环境现状，按照环境影响评价相关导则的要求，编制完成了《重庆航鑫新型建材有限公司年产3万吨钢桥建设项目环境影响报告书》。具体流程见图0.2-1。</w:t>
      </w:r>
    </w:p>
    <w:p>
      <w:pPr>
        <w:jc w:val="center"/>
        <w:rPr>
          <w:rFonts w:eastAsia="宋体"/>
          <w:b/>
          <w:bCs/>
          <w:color w:val="000000" w:themeColor="text1"/>
          <w:szCs w:val="24"/>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4953000" cy="4910455"/>
            <wp:effectExtent l="0" t="0" r="0" b="444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16">
                      <a:extLst>
                        <a:ext uri="{28A0092B-C50C-407E-A947-70E740481C1C}">
                          <a14:useLocalDpi xmlns:a14="http://schemas.microsoft.com/office/drawing/2010/main" val="0"/>
                        </a:ext>
                      </a:extLst>
                    </a:blip>
                    <a:srcRect l="1445" t="2544"/>
                    <a:stretch>
                      <a:fillRect/>
                    </a:stretch>
                  </pic:blipFill>
                  <pic:spPr>
                    <a:xfrm>
                      <a:off x="0" y="0"/>
                      <a:ext cx="4953000" cy="4910538"/>
                    </a:xfrm>
                    <a:prstGeom prst="rect">
                      <a:avLst/>
                    </a:prstGeom>
                    <a:noFill/>
                    <a:ln>
                      <a:noFill/>
                    </a:ln>
                  </pic:spPr>
                </pic:pic>
              </a:graphicData>
            </a:graphic>
          </wp:inline>
        </w:drawing>
      </w:r>
    </w:p>
    <w:p>
      <w:pPr>
        <w:jc w:val="center"/>
        <w:rPr>
          <w:rFonts w:eastAsia="宋体"/>
          <w:b/>
          <w:bCs/>
          <w:color w:val="000000" w:themeColor="text1"/>
          <w14:textFill>
            <w14:solidFill>
              <w14:schemeClr w14:val="tx1"/>
            </w14:solidFill>
          </w14:textFill>
        </w:rPr>
      </w:pPr>
      <w:r>
        <w:rPr>
          <w:rFonts w:eastAsia="宋体"/>
          <w:b/>
          <w:bCs/>
          <w:color w:val="000000" w:themeColor="text1"/>
          <w:szCs w:val="24"/>
          <w14:textFill>
            <w14:solidFill>
              <w14:schemeClr w14:val="tx1"/>
            </w14:solidFill>
          </w14:textFill>
        </w:rPr>
        <w:t>图0.2-1  环境影响评价工作流程图</w:t>
      </w:r>
    </w:p>
    <w:p>
      <w:pPr>
        <w:rPr>
          <w:rFonts w:eastAsia="宋体"/>
          <w:b/>
          <w:color w:val="000000" w:themeColor="text1"/>
          <w14:textFill>
            <w14:solidFill>
              <w14:schemeClr w14:val="tx1"/>
            </w14:solidFill>
          </w14:textFill>
        </w:rPr>
      </w:pPr>
      <w:bookmarkStart w:id="15" w:name="_Toc20572"/>
      <w:bookmarkStart w:id="16" w:name="_Toc490235492"/>
      <w:r>
        <w:rPr>
          <w:rFonts w:eastAsia="宋体"/>
          <w:b/>
          <w:color w:val="000000" w:themeColor="text1"/>
          <w14:textFill>
            <w14:solidFill>
              <w14:schemeClr w14:val="tx1"/>
            </w14:solidFill>
          </w14:textFill>
        </w:rPr>
        <w:t>3、</w:t>
      </w:r>
      <w:bookmarkEnd w:id="15"/>
      <w:bookmarkEnd w:id="16"/>
      <w:r>
        <w:rPr>
          <w:rFonts w:eastAsia="宋体"/>
          <w:b/>
          <w:color w:val="000000" w:themeColor="text1"/>
          <w14:textFill>
            <w14:solidFill>
              <w14:schemeClr w14:val="tx1"/>
            </w14:solidFill>
          </w14:textFill>
        </w:rPr>
        <w:t>分析判定相关情况</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（1）评价等级的判定</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各要素环境影响评价技术导则的具体要求，并结合本项目工程分析成果，判定本项目大气环境评价工作等级为一级、地表水评价工作等级为三级B、地下水评价工作等级为三级、声环境评价工作等级为三级、土壤环境评价等级为</w:t>
      </w:r>
      <w:r>
        <w:rPr>
          <w:rFonts w:hint="eastAsia" w:eastAsia="宋体"/>
          <w:color w:val="000000" w:themeColor="text1"/>
          <w:szCs w:val="24"/>
          <w14:textFill>
            <w14:solidFill>
              <w14:schemeClr w14:val="tx1"/>
            </w14:solidFill>
          </w14:textFill>
        </w:rPr>
        <w:t>二</w:t>
      </w:r>
      <w:r>
        <w:rPr>
          <w:rFonts w:eastAsia="宋体"/>
          <w:color w:val="000000" w:themeColor="text1"/>
          <w:szCs w:val="24"/>
          <w14:textFill>
            <w14:solidFill>
              <w14:schemeClr w14:val="tx1"/>
            </w14:solidFill>
          </w14:textFill>
        </w:rPr>
        <w:t>级、风险评价工作等级为简单分析。</w:t>
      </w:r>
    </w:p>
    <w:p>
      <w:pPr>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（2）产业政策及规划符合性判定</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属于C3311金属结构制造业。对照《产业结构调整指导目录（2024年本）》，项目不属于限制、淘汰类。根据《促进产业结构调整暂行规定》，不属于鼓励类、限制类和淘汰类，且符合国家有关法律、法规和政策规定的，为允许类。同时，重庆市双桥经济技术开发区经济发展局对本项目予以备案（项目代码：2103-500111-04-01-153503）。因此，本次评价认为本项目符合国家产业政策相关规定。</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符合《重庆市发展和改革委员会关于印发重庆市产业投资准入工作手册》（渝发改投资[2022]1436号）准入政策；符合《四川省、重庆市长江经济带发展负面清单实施细则（试行，2022年版）》（川长江办〔2022〕17号）环境准入条件；符合</w:t>
      </w:r>
      <w:r>
        <w:rPr>
          <w:rFonts w:hint="eastAsia" w:eastAsia="宋体"/>
          <w:color w:val="000000" w:themeColor="text1"/>
          <w14:textFill>
            <w14:solidFill>
              <w14:schemeClr w14:val="tx1"/>
            </w14:solidFill>
          </w14:textFill>
        </w:rPr>
        <w:t>“三线一单”</w:t>
      </w:r>
      <w:r>
        <w:rPr>
          <w:rFonts w:eastAsia="宋体"/>
          <w:color w:val="000000" w:themeColor="text1"/>
          <w14:textFill>
            <w14:solidFill>
              <w14:schemeClr w14:val="tx1"/>
            </w14:solidFill>
          </w14:textFill>
        </w:rPr>
        <w:t>要求；符合《重点行业挥发性有机物综合治理方案》（环大气[2019]53号）等相关要求。</w:t>
      </w:r>
    </w:p>
    <w:p>
      <w:pPr>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本项目符合《</w:t>
      </w:r>
      <w:r>
        <w:rPr>
          <w:rFonts w:hint="eastAsia" w:eastAsia="宋体"/>
          <w:color w:val="000000" w:themeColor="text1"/>
          <w14:textFill>
            <w14:solidFill>
              <w14:schemeClr w14:val="tx1"/>
            </w14:solidFill>
          </w14:textFill>
        </w:rPr>
        <w:t>大足高新区邮亭组团规划环境影响报告书</w:t>
      </w:r>
      <w:r>
        <w:rPr>
          <w:rFonts w:eastAsia="宋体"/>
          <w:color w:val="000000" w:themeColor="text1"/>
          <w14:textFill>
            <w14:solidFill>
              <w14:schemeClr w14:val="tx1"/>
            </w14:solidFill>
          </w14:textFill>
        </w:rPr>
        <w:t>》及</w:t>
      </w:r>
      <w:r>
        <w:rPr>
          <w:rFonts w:hint="eastAsia" w:eastAsia="宋体"/>
          <w:color w:val="000000" w:themeColor="text1"/>
          <w14:textFill>
            <w14:solidFill>
              <w14:schemeClr w14:val="tx1"/>
            </w14:solidFill>
          </w14:textFill>
        </w:rPr>
        <w:t>《重庆市生态环境局关于大足高新区邮亭组团规划环境影响报告书审查意见的函》（渝环函[2023]629号）</w:t>
      </w:r>
      <w:r>
        <w:rPr>
          <w:rFonts w:eastAsia="宋体"/>
          <w:color w:val="000000" w:themeColor="text1"/>
          <w14:textFill>
            <w14:solidFill>
              <w14:schemeClr w14:val="tx1"/>
            </w14:solidFill>
          </w14:textFill>
        </w:rPr>
        <w:t>中的相关规定。</w:t>
      </w:r>
    </w:p>
    <w:p>
      <w:pPr>
        <w:rPr>
          <w:rFonts w:eastAsia="宋体"/>
          <w:b/>
          <w:color w:val="000000" w:themeColor="text1"/>
          <w14:textFill>
            <w14:solidFill>
              <w14:schemeClr w14:val="tx1"/>
            </w14:solidFill>
          </w14:textFill>
        </w:rPr>
      </w:pPr>
      <w:bookmarkStart w:id="17" w:name="_Toc9246"/>
      <w:bookmarkStart w:id="18" w:name="_Toc490235493"/>
      <w:r>
        <w:rPr>
          <w:rFonts w:eastAsia="宋体"/>
          <w:b/>
          <w:color w:val="000000" w:themeColor="text1"/>
          <w14:textFill>
            <w14:solidFill>
              <w14:schemeClr w14:val="tx1"/>
            </w14:solidFill>
          </w14:textFill>
        </w:rPr>
        <w:t>4、关注的主要环境问题</w:t>
      </w:r>
      <w:bookmarkEnd w:id="17"/>
      <w:bookmarkEnd w:id="18"/>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本项目对环境的影响主要集中在运营期。项目运营期主要关注废气、废水、噪声以及固体废物等对周围环境的影响。</w:t>
      </w:r>
    </w:p>
    <w:p>
      <w:pPr>
        <w:rPr>
          <w:rFonts w:eastAsia="宋体"/>
          <w:b/>
          <w:color w:val="000000" w:themeColor="text1"/>
          <w14:textFill>
            <w14:solidFill>
              <w14:schemeClr w14:val="tx1"/>
            </w14:solidFill>
          </w14:textFill>
        </w:rPr>
      </w:pPr>
      <w:bookmarkStart w:id="19" w:name="_Toc12372"/>
      <w:bookmarkStart w:id="20" w:name="_Toc490235494"/>
      <w:r>
        <w:rPr>
          <w:rFonts w:eastAsia="宋体"/>
          <w:b/>
          <w:color w:val="000000" w:themeColor="text1"/>
          <w14:textFill>
            <w14:solidFill>
              <w14:schemeClr w14:val="tx1"/>
            </w14:solidFill>
          </w14:textFill>
        </w:rPr>
        <w:t>5、环境影响报告的主要结论</w:t>
      </w:r>
      <w:bookmarkEnd w:id="19"/>
      <w:bookmarkEnd w:id="20"/>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建设符合当前国家产业政策要求，选址符合相关规划要求。污染物满足达标排放和总量控制的要求。建设项目产生的污染物通过治理后可达标排放，在采取和落实本评价提出的各项污染防治措施后，项目建设带来的不利环境影响程度能得到减轻，区域环境功能不会发生改变，预测表明对评价区的水、气、声环境影响较小，不会降低项目所在地的环境质量。从环境保护角度分析，本项目建设是可行的。</w:t>
      </w:r>
    </w:p>
    <w:p>
      <w:pPr>
        <w:rPr>
          <w:rFonts w:eastAsia="宋体"/>
          <w:b/>
          <w:color w:val="000000" w:themeColor="text1"/>
          <w14:textFill>
            <w14:solidFill>
              <w14:schemeClr w14:val="tx1"/>
            </w14:solidFill>
          </w14:textFill>
        </w:rPr>
      </w:pPr>
      <w:bookmarkStart w:id="21" w:name="_Toc27246"/>
      <w:bookmarkStart w:id="22" w:name="_Toc490235495"/>
      <w:r>
        <w:rPr>
          <w:rFonts w:eastAsia="宋体"/>
          <w:b/>
          <w:color w:val="000000" w:themeColor="text1"/>
          <w14:textFill>
            <w14:solidFill>
              <w14:schemeClr w14:val="tx1"/>
            </w14:solidFill>
          </w14:textFill>
        </w:rPr>
        <w:t>6、感谢</w:t>
      </w:r>
      <w:bookmarkEnd w:id="21"/>
      <w:bookmarkEnd w:id="22"/>
    </w:p>
    <w:p>
      <w:pPr>
        <w:ind w:firstLine="480"/>
        <w:rPr>
          <w:rFonts w:eastAsia="宋体"/>
          <w:b/>
          <w:bCs/>
          <w:color w:val="000000" w:themeColor="text1"/>
          <w:kern w:val="44"/>
          <w:sz w:val="30"/>
          <w:szCs w:val="30"/>
          <w14:textFill>
            <w14:solidFill>
              <w14:schemeClr w14:val="tx1"/>
            </w14:solidFill>
          </w14:textFill>
        </w:rPr>
      </w:pPr>
      <w:r>
        <w:rPr>
          <w:rFonts w:eastAsia="宋体"/>
          <w:color w:val="000000" w:themeColor="text1"/>
          <w14:textFill>
            <w14:solidFill>
              <w14:schemeClr w14:val="tx1"/>
            </w14:solidFill>
          </w14:textFill>
        </w:rPr>
        <w:t>本报告书的编制过程中，得到了重庆市双桥经开区生态环境局、重庆市双桥经济技术开发区经济发展局、重庆航鑫新型建材有限公司等单位的大力支持和精心指导，在此一并致以诚挚的谢意！</w:t>
      </w:r>
      <w:r>
        <w:rPr>
          <w:rFonts w:eastAsia="宋体"/>
          <w:b/>
          <w:bCs/>
          <w:color w:val="000000" w:themeColor="text1"/>
          <w:kern w:val="44"/>
          <w:sz w:val="30"/>
          <w:szCs w:val="30"/>
          <w14:textFill>
            <w14:solidFill>
              <w14:schemeClr w14:val="tx1"/>
            </w14:solidFill>
          </w14:textFill>
        </w:rPr>
        <w:br w:type="page"/>
      </w:r>
    </w:p>
    <w:p>
      <w:pPr>
        <w:pStyle w:val="181"/>
        <w:ind w:firstLine="602"/>
        <w:rPr>
          <w:rFonts w:eastAsia="宋体"/>
          <w:color w:val="000000" w:themeColor="text1"/>
          <w14:textFill>
            <w14:solidFill>
              <w14:schemeClr w14:val="tx1"/>
            </w14:solidFill>
          </w14:textFill>
        </w:rPr>
      </w:pPr>
      <w:bookmarkStart w:id="23" w:name="_Toc88"/>
      <w:bookmarkStart w:id="24" w:name="_Toc155271401"/>
      <w:r>
        <w:rPr>
          <w:rFonts w:eastAsia="宋体"/>
          <w:color w:val="000000" w:themeColor="text1"/>
          <w14:textFill>
            <w14:solidFill>
              <w14:schemeClr w14:val="tx1"/>
            </w14:solidFill>
          </w14:textFill>
        </w:rPr>
        <w:t>1总则</w:t>
      </w:r>
      <w:bookmarkEnd w:id="23"/>
      <w:bookmarkEnd w:id="24"/>
    </w:p>
    <w:p>
      <w:pPr>
        <w:pStyle w:val="179"/>
        <w:rPr>
          <w:rFonts w:eastAsia="宋体"/>
          <w:color w:val="000000" w:themeColor="text1"/>
          <w14:textFill>
            <w14:solidFill>
              <w14:schemeClr w14:val="tx1"/>
            </w14:solidFill>
          </w14:textFill>
        </w:rPr>
      </w:pPr>
      <w:bookmarkStart w:id="25" w:name="_Toc155271402"/>
      <w:bookmarkStart w:id="26" w:name="_Toc4259"/>
      <w:r>
        <w:rPr>
          <w:rFonts w:eastAsia="宋体"/>
          <w:color w:val="000000" w:themeColor="text1"/>
          <w14:textFill>
            <w14:solidFill>
              <w14:schemeClr w14:val="tx1"/>
            </w14:solidFill>
          </w14:textFill>
        </w:rPr>
        <w:t>1.1编制目的</w:t>
      </w:r>
      <w:bookmarkEnd w:id="25"/>
      <w:bookmarkEnd w:id="26"/>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通过本次评价，主要达到以下目的：</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（1）通过对项目建设区域环境现状调查，分析项目建设区域环境的现状特征、主要环境问题及主要环境敏感点，确定工程建设的合理性与环境可行性。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（2）根据国家产业政策、技术政策要求，结合所在园区规划，分析本项目与产业政策、技术政策及所在园区规划的符合性。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根据本项目建设对区域环境影响的特征、分析预测与评价工程建设对环境的影响，并提出预防或减轻工程建设对环境不良影响的对策与措施；同时通过对工程建设的环境经济损益分析，从环境保护的角度分析本工程建设的合理性与可行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（4）为建设单位进行污染防治和环境保护管理提供依据，为生态环境部门决策提供科学依据。</w:t>
      </w:r>
    </w:p>
    <w:p>
      <w:pPr>
        <w:pStyle w:val="179"/>
        <w:rPr>
          <w:rFonts w:eastAsia="宋体"/>
          <w:color w:val="000000" w:themeColor="text1"/>
          <w14:textFill>
            <w14:solidFill>
              <w14:schemeClr w14:val="tx1"/>
            </w14:solidFill>
          </w14:textFill>
        </w:rPr>
      </w:pPr>
      <w:bookmarkStart w:id="27" w:name="_Toc155271403"/>
      <w:bookmarkStart w:id="28" w:name="_Toc19868"/>
      <w:r>
        <w:rPr>
          <w:rFonts w:eastAsia="宋体"/>
          <w:color w:val="000000" w:themeColor="text1"/>
          <w14:textFill>
            <w14:solidFill>
              <w14:schemeClr w14:val="tx1"/>
            </w14:solidFill>
          </w14:textFill>
        </w:rPr>
        <w:t>1.2编制依据</w:t>
      </w:r>
      <w:bookmarkEnd w:id="27"/>
      <w:bookmarkEnd w:id="28"/>
    </w:p>
    <w:p>
      <w:pPr>
        <w:pStyle w:val="188"/>
        <w:rPr>
          <w:rFonts w:eastAsia="宋体"/>
          <w:color w:val="000000" w:themeColor="text1"/>
          <w14:textFill>
            <w14:solidFill>
              <w14:schemeClr w14:val="tx1"/>
            </w14:solidFill>
          </w14:textFill>
        </w:rPr>
      </w:pPr>
      <w:bookmarkStart w:id="29" w:name="_Toc24923"/>
      <w:bookmarkStart w:id="30" w:name="_Toc490235499"/>
      <w:bookmarkStart w:id="31" w:name="_Toc489281001"/>
      <w:r>
        <w:rPr>
          <w:rFonts w:eastAsia="宋体"/>
          <w:color w:val="000000" w:themeColor="text1"/>
          <w14:textFill>
            <w14:solidFill>
              <w14:schemeClr w14:val="tx1"/>
            </w14:solidFill>
          </w14:textFill>
        </w:rPr>
        <w:t>1.2.1环境保护法律</w:t>
      </w:r>
      <w:bookmarkEnd w:id="29"/>
      <w:bookmarkEnd w:id="30"/>
      <w:bookmarkEnd w:id="31"/>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（1）《中华人民共和国环境保护法》（2015年1月1日起实施）；</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（2）《中华人民共和国环境影响评价法》（2018年12月29日修订）；</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（3）《中华人民共和国大气污染防治法》（2018年10月26日修订）；</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（4）《中华人民共和国水污染防治法》（2017年6月27日修订）；</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（5）《中华人民共和国固体废物污染环境防治法》（2020年4月29日修订）；</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（6）《中华人民共和国噪声污染防治法》（2022年6月5日起施行）；</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（7）《中华人民共和国清洁生产促进法》（2012年7月1日施行）；</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（8）《中华人民共和国土壤污染防治法》（2019年1月1日起施行）；</w:t>
      </w:r>
    </w:p>
    <w:p>
      <w:pPr>
        <w:pStyle w:val="188"/>
        <w:rPr>
          <w:rFonts w:eastAsia="宋体"/>
          <w:color w:val="000000" w:themeColor="text1"/>
          <w14:textFill>
            <w14:solidFill>
              <w14:schemeClr w14:val="tx1"/>
            </w14:solidFill>
          </w14:textFill>
        </w:rPr>
      </w:pPr>
      <w:bookmarkStart w:id="32" w:name="_Toc18831"/>
      <w:bookmarkStart w:id="33" w:name="_Toc490235500"/>
      <w:bookmarkStart w:id="34" w:name="_Toc489281002"/>
      <w:r>
        <w:rPr>
          <w:rFonts w:eastAsia="宋体"/>
          <w:color w:val="000000" w:themeColor="text1"/>
          <w14:textFill>
            <w14:solidFill>
              <w14:schemeClr w14:val="tx1"/>
            </w14:solidFill>
          </w14:textFill>
        </w:rPr>
        <w:t>1.2.2</w:t>
      </w:r>
      <w:bookmarkEnd w:id="32"/>
      <w:bookmarkEnd w:id="33"/>
      <w:bookmarkEnd w:id="34"/>
      <w:r>
        <w:rPr>
          <w:rFonts w:eastAsia="宋体"/>
          <w:color w:val="000000" w:themeColor="text1"/>
          <w14:textFill>
            <w14:solidFill>
              <w14:schemeClr w14:val="tx1"/>
            </w14:solidFill>
          </w14:textFill>
        </w:rPr>
        <w:t>相关国家法规及规范性文件</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（1）《建设项目环境保护管理条例》（中华人民共和国国务院令 第682号）；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（2）《建设项目环境影响评价分类管理名录》（2021年版）（部令 第16号）；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（3）《产业结构调整指导目录（2024年本）》（中华人民共和国</w:t>
      </w:r>
      <w:r>
        <w:rPr>
          <w:rFonts w:hint="eastAsia" w:eastAsia="宋体"/>
          <w:color w:val="000000" w:themeColor="text1"/>
          <w14:textFill>
            <w14:solidFill>
              <w14:schemeClr w14:val="tx1"/>
            </w14:solidFill>
          </w14:textFill>
        </w:rPr>
        <w:t>国家</w:t>
      </w:r>
      <w:r>
        <w:rPr>
          <w:rFonts w:eastAsia="宋体"/>
          <w:color w:val="000000" w:themeColor="text1"/>
          <w14:textFill>
            <w14:solidFill>
              <w14:schemeClr w14:val="tx1"/>
            </w14:solidFill>
          </w14:textFill>
        </w:rPr>
        <w:t>发展和改革委员会令 第7号）；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（4）《国家危险废物名录》（2021年版）；</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（5）《危险废物转移管理办法》（部令 第23号）；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（6）《环境影响评价公众参与暂行办法》（生态环境部 部令第4号）；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（7）《生态环境部关于发布〈环境影响评价公众参与办法〉配套文件的公告》（生态环境部公告2018年第48号）；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（8）《企业突发环境事件风险分级方法》（HJ 941-2018）；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（9）《挥发性有机物（VOCs）污染防治技术政策》（公告2013年第31号）；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（10）《关于印发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重点行业挥发性有机物综合治理方案</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的通知》（环大气[2019]53号）；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（11）《挥发性有机物治理实用手册</w:t>
      </w:r>
      <w:r>
        <w:rPr>
          <w:rFonts w:hint="eastAsia" w:eastAsia="宋体"/>
          <w:color w:val="000000" w:themeColor="text1"/>
          <w14:textFill>
            <w14:solidFill>
              <w14:schemeClr w14:val="tx1"/>
            </w14:solidFill>
          </w14:textFill>
        </w:rPr>
        <w:t>（第二版）</w:t>
      </w:r>
      <w:r>
        <w:rPr>
          <w:rFonts w:eastAsia="宋体"/>
          <w:color w:val="000000" w:themeColor="text1"/>
          <w14:textFill>
            <w14:solidFill>
              <w14:schemeClr w14:val="tx1"/>
            </w14:solidFill>
          </w14:textFill>
        </w:rPr>
        <w:t>》（生态环境部大气环境司著）；</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（12）《挥发性有机物无组织排放控制标准》（GB37822-2019）；</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（13）《关于切实加强风险防范严格环境影响评价管理的通知》（环发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98号）。</w:t>
      </w:r>
    </w:p>
    <w:p>
      <w:pPr>
        <w:pStyle w:val="188"/>
        <w:rPr>
          <w:rFonts w:eastAsia="宋体"/>
          <w:color w:val="000000" w:themeColor="text1"/>
          <w14:textFill>
            <w14:solidFill>
              <w14:schemeClr w14:val="tx1"/>
            </w14:solidFill>
          </w14:textFill>
        </w:rPr>
      </w:pPr>
      <w:bookmarkStart w:id="35" w:name="_Toc24821"/>
      <w:bookmarkStart w:id="36" w:name="_Toc489281004"/>
      <w:bookmarkStart w:id="37" w:name="_Toc490235502"/>
      <w:r>
        <w:rPr>
          <w:rFonts w:eastAsia="宋体"/>
          <w:color w:val="000000" w:themeColor="text1"/>
          <w14:textFill>
            <w14:solidFill>
              <w14:schemeClr w14:val="tx1"/>
            </w14:solidFill>
          </w14:textFill>
        </w:rPr>
        <w:t>1.2.3地方性法规及文件</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（1）《重庆市环境保护条例》（2022年9月28日修正）；</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（2）《重庆市大气污染防治条例》（2021年5月27日修正）；</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（3）《重庆市噪声污染防治办法》（2024年2月1日</w:t>
      </w:r>
      <w:r>
        <w:rPr>
          <w:rFonts w:hint="eastAsia" w:eastAsia="宋体"/>
          <w:color w:val="000000" w:themeColor="text1"/>
          <w14:textFill>
            <w14:solidFill>
              <w14:schemeClr w14:val="tx1"/>
            </w14:solidFill>
          </w14:textFill>
        </w:rPr>
        <w:t>起施行</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w:t>
      </w:r>
      <w:r>
        <w:rPr>
          <w:rFonts w:hint="eastAsia" w:eastAsia="宋体"/>
          <w:color w:val="000000" w:themeColor="text1"/>
          <w14:textFill>
            <w14:solidFill>
              <w14:schemeClr w14:val="tx1"/>
            </w14:solidFill>
          </w14:textFill>
        </w:rPr>
        <w:t>重庆市人民政府关于批转重庆市地表水环境功能类别局部调整方案的通知</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渝府[2016]43号</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（5）《重庆市人民政府批转重庆市地表水环境功能类别调整方案的通知》（渝府发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（6）《重庆市人民政府关于印发重庆市环境空气质量功能区划分规定的通知》（渝府发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2016</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19号）；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（7）《重庆市大足区人民政府关于印发大足区“十四五”声环境功能区划分调整方案的通知》（大足府发〔2023〕20号）；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（8）《重庆市发展和改革委员会关于印发重庆市产业投资准入工作手册》（渝发改投资</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2022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1436号）；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（9）《关于印发重庆市排污口规范化清理整治实施方案的通知》（渝环发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26号）；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（10）《四川省、重庆市长江经济带发展负面清单实施细则（试行，2022年版）》（川长江办〔2022〕17号）。</w:t>
      </w:r>
    </w:p>
    <w:p>
      <w:pPr>
        <w:pStyle w:val="188"/>
        <w:rPr>
          <w:rFonts w:eastAsia="宋体"/>
          <w:color w:val="000000" w:themeColor="text1"/>
          <w:kern w:val="0"/>
          <w14:textFill>
            <w14:solidFill>
              <w14:schemeClr w14:val="tx1"/>
            </w14:solidFill>
          </w14:textFill>
        </w:rPr>
      </w:pPr>
      <w:r>
        <w:rPr>
          <w:rFonts w:eastAsia="宋体"/>
          <w:color w:val="000000" w:themeColor="text1"/>
          <w14:textFill>
            <w14:solidFill>
              <w14:schemeClr w14:val="tx1"/>
            </w14:solidFill>
          </w14:textFill>
        </w:rPr>
        <w:t>1.2.4编制技术规范</w:t>
      </w:r>
      <w:bookmarkEnd w:id="35"/>
      <w:bookmarkEnd w:id="36"/>
      <w:bookmarkEnd w:id="37"/>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（1）《建设项目环境影响评价技术导则 总纲》（HJ 2.1-2016）；</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（2）《环境影响评价技术导则 大气环境》（HJ 2.2-2018）；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（3）《环境影响评价技术导则 地表水环境》（HJ 2.3-2018）；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（4）《环境影响评价技术导则 地下水环境》（HJ 610-2016）；</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（5）《环境影响评价技术导则 声环境》（HJ 2.4-2021）；</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（6）《环境影响评价技术导则 土壤环境（试行）》（HJ 964-2018）；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（7）《建设项目环境风险评价技术导则》（HJ 169-2018）；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（8）《企业突发环境事件风险评估指南（试行）》（2014年）；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（9）《危险废物贮存污染控制标准》（GB 18597-2023）；</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（10）《危险化学品重大危险源辨识》（GB 18218-2018）；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（13）《排污单位自行监测技术指南 总则》（HJ 819-2017）；</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（14）《污染源源强核算技术指南 准则》（HJ 884-2018）；</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（15）《排污许可证申请与核发技术规范 总则》（HJ 942-2018）；</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6</w:t>
      </w:r>
      <w:r>
        <w:rPr>
          <w:rFonts w:hint="eastAsia" w:eastAsia="宋体"/>
          <w:color w:val="000000" w:themeColor="text1"/>
          <w14:textFill>
            <w14:solidFill>
              <w14:schemeClr w14:val="tx1"/>
            </w14:solidFill>
          </w14:textFill>
        </w:rPr>
        <w:t>）《排污许可证申请与核发技术规范 工业噪声》（</w:t>
      </w:r>
      <w:r>
        <w:rPr>
          <w:rFonts w:hint="eastAsia" w:eastAsia="宋体"/>
          <w:color w:val="000000" w:themeColor="text1"/>
          <w:szCs w:val="24"/>
          <w14:textFill>
            <w14:solidFill>
              <w14:schemeClr w14:val="tx1"/>
            </w14:solidFill>
          </w14:textFill>
        </w:rPr>
        <w:t>H</w:t>
      </w:r>
      <w:r>
        <w:rPr>
          <w:rFonts w:eastAsia="宋体"/>
          <w:color w:val="000000" w:themeColor="text1"/>
          <w:szCs w:val="24"/>
          <w14:textFill>
            <w14:solidFill>
              <w14:schemeClr w14:val="tx1"/>
            </w14:solidFill>
          </w14:textFill>
        </w:rPr>
        <w:t>J 1303-2023</w:t>
      </w:r>
      <w:r>
        <w:rPr>
          <w:rFonts w:hint="eastAsia"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（17）《固体废物鉴别标准 通则》（GB 34330-2017）。</w:t>
      </w:r>
    </w:p>
    <w:p>
      <w:pPr>
        <w:pStyle w:val="188"/>
        <w:rPr>
          <w:rFonts w:eastAsia="宋体"/>
          <w:color w:val="000000" w:themeColor="text1"/>
          <w14:textFill>
            <w14:solidFill>
              <w14:schemeClr w14:val="tx1"/>
            </w14:solidFill>
          </w14:textFill>
        </w:rPr>
      </w:pPr>
      <w:bookmarkStart w:id="38" w:name="_Toc32653"/>
      <w:bookmarkStart w:id="39" w:name="_Toc489281005"/>
      <w:bookmarkStart w:id="40" w:name="_Toc490235503"/>
      <w:r>
        <w:rPr>
          <w:rFonts w:eastAsia="宋体"/>
          <w:color w:val="000000" w:themeColor="text1"/>
          <w14:textFill>
            <w14:solidFill>
              <w14:schemeClr w14:val="tx1"/>
            </w14:solidFill>
          </w14:textFill>
        </w:rPr>
        <w:t>1.2.5项目相关的资料</w:t>
      </w:r>
      <w:bookmarkEnd w:id="38"/>
      <w:bookmarkEnd w:id="39"/>
      <w:bookmarkEnd w:id="40"/>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（1）建设单位提供的其他有关工程技术资料；</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w:t>
      </w:r>
      <w:r>
        <w:rPr>
          <w:rFonts w:hint="eastAsia" w:eastAsia="宋体"/>
          <w:color w:val="000000" w:themeColor="text1"/>
          <w14:textFill>
            <w14:solidFill>
              <w14:schemeClr w14:val="tx1"/>
            </w14:solidFill>
          </w14:textFill>
        </w:rPr>
        <w:t>大足高新区邮亭组团规划环境影响报告书</w:t>
      </w:r>
      <w:r>
        <w:rPr>
          <w:rFonts w:eastAsia="宋体"/>
          <w:color w:val="000000" w:themeColor="text1"/>
          <w14:textFill>
            <w14:solidFill>
              <w14:schemeClr w14:val="tx1"/>
            </w14:solidFill>
          </w14:textFill>
        </w:rPr>
        <w:t>》及审查意见；</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（3）建设单位提供的其他相关资料。</w:t>
      </w:r>
    </w:p>
    <w:p>
      <w:pPr>
        <w:pStyle w:val="179"/>
        <w:rPr>
          <w:rFonts w:eastAsia="宋体"/>
          <w:color w:val="000000" w:themeColor="text1"/>
          <w14:textFill>
            <w14:solidFill>
              <w14:schemeClr w14:val="tx1"/>
            </w14:solidFill>
          </w14:textFill>
        </w:rPr>
      </w:pPr>
      <w:bookmarkStart w:id="41" w:name="_Toc13436"/>
      <w:bookmarkStart w:id="42" w:name="_Toc155271404"/>
      <w:r>
        <w:rPr>
          <w:rFonts w:eastAsia="宋体"/>
          <w:color w:val="000000" w:themeColor="text1"/>
          <w14:textFill>
            <w14:solidFill>
              <w14:schemeClr w14:val="tx1"/>
            </w14:solidFill>
          </w14:textFill>
        </w:rPr>
        <w:t>1.3评价原则和构思</w:t>
      </w:r>
      <w:bookmarkEnd w:id="41"/>
      <w:bookmarkEnd w:id="42"/>
    </w:p>
    <w:p>
      <w:pPr>
        <w:pStyle w:val="188"/>
        <w:rPr>
          <w:rFonts w:eastAsia="宋体"/>
          <w:color w:val="000000" w:themeColor="text1"/>
          <w14:textFill>
            <w14:solidFill>
              <w14:schemeClr w14:val="tx1"/>
            </w14:solidFill>
          </w14:textFill>
        </w:rPr>
      </w:pPr>
      <w:bookmarkStart w:id="43" w:name="_Toc24632"/>
      <w:bookmarkStart w:id="44" w:name="_Toc490235505"/>
      <w:r>
        <w:rPr>
          <w:rFonts w:eastAsia="宋体"/>
          <w:color w:val="000000" w:themeColor="text1"/>
          <w14:textFill>
            <w14:solidFill>
              <w14:schemeClr w14:val="tx1"/>
            </w14:solidFill>
          </w14:textFill>
        </w:rPr>
        <w:t>1.3.1评价原则</w:t>
      </w:r>
      <w:bookmarkEnd w:id="43"/>
      <w:bookmarkEnd w:id="44"/>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严格执行国家法律法规及地方有关环保规定、产业政策，按照环境影响评价技术规定进行评价，以预防为主、防治结合、清洁生产、全过程控制的现代环境管理思想和循环经济理念，抓住项目建设环境影响特点，客观、公正地进行评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（2）评价过程中，将严格贯彻我国“污染物达标排放</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总量控制</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循环经济</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清洁生产”</w:t>
      </w:r>
      <w:r>
        <w:rPr>
          <w:rFonts w:hint="eastAsia" w:eastAsia="宋体"/>
          <w:color w:val="000000" w:themeColor="text1"/>
          <w:lang w:eastAsia="zh-CN"/>
          <w14:textFill>
            <w14:solidFill>
              <w14:schemeClr w14:val="tx1"/>
            </w14:solidFill>
          </w14:textFill>
        </w:rPr>
        <w:t>等</w:t>
      </w:r>
      <w:r>
        <w:rPr>
          <w:rFonts w:eastAsia="宋体"/>
          <w:color w:val="000000" w:themeColor="text1"/>
          <w14:textFill>
            <w14:solidFill>
              <w14:schemeClr w14:val="tx1"/>
            </w14:solidFill>
          </w14:textFill>
        </w:rPr>
        <w:t>环境保护政策。</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（3）评价重点抓住工程的排污特征，根据项目环境功能区划、当前治理措施和技术经济条件，论证污染防治方案的合理性。利于工程的环境保护方案的实施。</w:t>
      </w:r>
    </w:p>
    <w:p>
      <w:pPr>
        <w:pStyle w:val="188"/>
        <w:rPr>
          <w:rFonts w:eastAsia="宋体"/>
          <w:color w:val="000000" w:themeColor="text1"/>
          <w14:textFill>
            <w14:solidFill>
              <w14:schemeClr w14:val="tx1"/>
            </w14:solidFill>
          </w14:textFill>
        </w:rPr>
      </w:pPr>
      <w:bookmarkStart w:id="45" w:name="_Toc490235506"/>
      <w:bookmarkStart w:id="46" w:name="_Toc18263"/>
      <w:r>
        <w:rPr>
          <w:rFonts w:eastAsia="宋体"/>
          <w:color w:val="000000" w:themeColor="text1"/>
          <w14:textFill>
            <w14:solidFill>
              <w14:schemeClr w14:val="tx1"/>
            </w14:solidFill>
          </w14:textFill>
        </w:rPr>
        <w:t>1.3.2总体构思</w:t>
      </w:r>
      <w:bookmarkEnd w:id="45"/>
      <w:bookmarkEnd w:id="46"/>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对项目进行环境影响评价，目的在于对其环境可行性进行研究。根据国家和重庆市有关环境保护法律法规和相应政策，结合当地社会发展规划和当地自然环境现状，从环境保护的角度对项目的工程选址、污染物排放对环境的影响、生态保护和环境保护措施等进行研究论证，做出明确结论并提出有关建议和意见。</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本次评价总体构思如下：</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（1）本项目分为2</w:t>
      </w:r>
      <w:r>
        <w:rPr>
          <w:rFonts w:hint="eastAsia" w:eastAsia="宋体"/>
          <w:color w:val="000000" w:themeColor="text1"/>
          <w:lang w:eastAsia="zh-CN"/>
          <w14:textFill>
            <w14:solidFill>
              <w14:schemeClr w14:val="tx1"/>
            </w14:solidFill>
          </w14:textFill>
        </w:rPr>
        <w:t>个</w:t>
      </w:r>
      <w:r>
        <w:rPr>
          <w:rFonts w:eastAsia="宋体"/>
          <w:color w:val="000000" w:themeColor="text1"/>
          <w14:textFill>
            <w14:solidFill>
              <w14:schemeClr w14:val="tx1"/>
            </w14:solidFill>
          </w14:textFill>
        </w:rPr>
        <w:t>地块，分别位于重庆市大足区邮亭镇天堂</w:t>
      </w:r>
      <w:r>
        <w:rPr>
          <w:rFonts w:hint="eastAsia" w:eastAsia="宋体"/>
          <w:color w:val="000000" w:themeColor="text1"/>
          <w14:textFill>
            <w14:solidFill>
              <w14:schemeClr w14:val="tx1"/>
            </w14:solidFill>
          </w14:textFill>
        </w:rPr>
        <w:t>村九组</w:t>
      </w:r>
      <w:r>
        <w:rPr>
          <w:rFonts w:eastAsia="宋体"/>
          <w:color w:val="000000" w:themeColor="text1"/>
          <w14:textFill>
            <w14:solidFill>
              <w14:schemeClr w14:val="tx1"/>
            </w14:solidFill>
          </w14:textFill>
        </w:rPr>
        <w:t>129号和重庆市大足区邮亭镇工业园区烈火村17组，报告中将分别命名为1号地块和2号地块。本项目的建设内容、工程分析、环境质量现状、环境影响分析等内容将根据2</w:t>
      </w:r>
      <w:r>
        <w:rPr>
          <w:rFonts w:hint="eastAsia" w:eastAsia="宋体"/>
          <w:color w:val="000000" w:themeColor="text1"/>
          <w:lang w:eastAsia="zh-CN"/>
          <w14:textFill>
            <w14:solidFill>
              <w14:schemeClr w14:val="tx1"/>
            </w14:solidFill>
          </w14:textFill>
        </w:rPr>
        <w:t>个</w:t>
      </w:r>
      <w:r>
        <w:rPr>
          <w:rFonts w:eastAsia="宋体"/>
          <w:color w:val="000000" w:themeColor="text1"/>
          <w14:textFill>
            <w14:solidFill>
              <w14:schemeClr w14:val="tx1"/>
            </w14:solidFill>
          </w14:textFill>
        </w:rPr>
        <w:t>地块的建设情况分别展开评价。</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项目1号地块施工期主要涉及厂房改造、设备安装调试等，2号地块施工期主要涉及钢结构厂房搭建、厂房装饰、设备安装调试等。本次评价分别对施工期和运营期进行环境影响分析，并重点关注项目运营期的环境影响。</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（3）将根据国家和重庆市环境保护法律法规和相应政策，分析项目与国家产业政策、重庆市产业准入条件、行业准入条件、“三线一单”、园区准入条件等政策符合性。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（4）结合</w:t>
      </w:r>
      <w:r>
        <w:rPr>
          <w:rFonts w:hint="eastAsia" w:eastAsia="宋体"/>
          <w:color w:val="000000" w:themeColor="text1"/>
          <w14:textFill>
            <w14:solidFill>
              <w14:schemeClr w14:val="tx1"/>
            </w14:solidFill>
          </w14:textFill>
        </w:rPr>
        <w:t>大足高新区邮亭组团</w:t>
      </w:r>
      <w:r>
        <w:rPr>
          <w:rFonts w:eastAsia="宋体"/>
          <w:color w:val="000000" w:themeColor="text1"/>
          <w14:textFill>
            <w14:solidFill>
              <w14:schemeClr w14:val="tx1"/>
            </w14:solidFill>
          </w14:textFill>
        </w:rPr>
        <w:t>，分析项目选址的合理性和可行性，重点围绕运营期废气污染物，废水污染物，噪声污染防治、固体废物的产生、防治措施及环境影响分析等主要内容开展评价工作，做出明确结论并提出有关建议和意见。</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（5）按照《建设项目环境影响评价技术导则 总纲》（HJ 2.1-2016）和《环境影响评价公众参与办法》（生态环境部部令 第4号）相关要求，建设单位独立开展完成了公众参与内容，评价主要在结论中引用公众意见的统计结果和结论。</w:t>
      </w:r>
    </w:p>
    <w:p>
      <w:pPr>
        <w:pStyle w:val="179"/>
        <w:rPr>
          <w:rFonts w:eastAsia="宋体"/>
          <w:color w:val="000000" w:themeColor="text1"/>
          <w14:textFill>
            <w14:solidFill>
              <w14:schemeClr w14:val="tx1"/>
            </w14:solidFill>
          </w14:textFill>
        </w:rPr>
      </w:pPr>
      <w:bookmarkStart w:id="47" w:name="_Toc13618"/>
      <w:bookmarkStart w:id="48" w:name="_Toc155271405"/>
      <w:r>
        <w:rPr>
          <w:rFonts w:eastAsia="宋体"/>
          <w:color w:val="000000" w:themeColor="text1"/>
          <w14:textFill>
            <w14:solidFill>
              <w14:schemeClr w14:val="tx1"/>
            </w14:solidFill>
          </w14:textFill>
        </w:rPr>
        <w:t>1</w:t>
      </w:r>
      <w:bookmarkEnd w:id="47"/>
      <w:bookmarkStart w:id="49" w:name="_Toc28674"/>
      <w:r>
        <w:rPr>
          <w:rFonts w:eastAsia="宋体"/>
          <w:color w:val="000000" w:themeColor="text1"/>
          <w14:textFill>
            <w14:solidFill>
              <w14:schemeClr w14:val="tx1"/>
            </w14:solidFill>
          </w14:textFill>
        </w:rPr>
        <w:t>.4环境影响因素识别与评价因子筛选</w:t>
      </w:r>
      <w:bookmarkEnd w:id="48"/>
      <w:bookmarkEnd w:id="49"/>
    </w:p>
    <w:p>
      <w:pPr>
        <w:pStyle w:val="188"/>
        <w:rPr>
          <w:rFonts w:eastAsia="宋体"/>
          <w:color w:val="000000" w:themeColor="text1"/>
          <w14:textFill>
            <w14:solidFill>
              <w14:schemeClr w14:val="tx1"/>
            </w14:solidFill>
          </w14:textFill>
        </w:rPr>
      </w:pPr>
      <w:bookmarkStart w:id="50" w:name="_Toc490235511"/>
      <w:bookmarkStart w:id="51" w:name="_Toc489281010"/>
      <w:bookmarkStart w:id="52" w:name="_Toc28827"/>
      <w:r>
        <w:rPr>
          <w:rFonts w:eastAsia="宋体"/>
          <w:color w:val="000000" w:themeColor="text1"/>
          <w14:textFill>
            <w14:solidFill>
              <w14:schemeClr w14:val="tx1"/>
            </w14:solidFill>
          </w14:textFill>
        </w:rPr>
        <w:t>1.4.1环境影响因素识别</w:t>
      </w:r>
      <w:bookmarkEnd w:id="50"/>
      <w:bookmarkEnd w:id="51"/>
      <w:bookmarkEnd w:id="52"/>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（1）施工期</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本项目1号地块施工内容主要为设备安装及调试，2号地块施工内容主要为厂房及配套设施建设、装修、设备安装及调试。本项目施工期环境影响因素，见表1.4-1。</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表1.4-1  施工期环境影响因素一览表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597"/>
        <w:gridCol w:w="4207"/>
        <w:gridCol w:w="2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位置</w:t>
            </w:r>
          </w:p>
        </w:tc>
        <w:tc>
          <w:tcPr>
            <w:tcW w:w="864"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环境影响要素</w:t>
            </w:r>
          </w:p>
        </w:tc>
        <w:tc>
          <w:tcPr>
            <w:tcW w:w="2276"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污染源</w:t>
            </w:r>
          </w:p>
        </w:tc>
        <w:tc>
          <w:tcPr>
            <w:tcW w:w="1231"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restar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1号地块</w:t>
            </w: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环境空气</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设备安装及调试</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装修废气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continue"/>
            <w:vAlign w:val="center"/>
          </w:tcPr>
          <w:p>
            <w:pPr>
              <w:pStyle w:val="182"/>
              <w:rPr>
                <w:rFonts w:eastAsia="宋体"/>
                <w:color w:val="000000" w:themeColor="text1"/>
                <w:kern w:val="0"/>
                <w14:textFill>
                  <w14:solidFill>
                    <w14:schemeClr w14:val="tx1"/>
                  </w14:solidFill>
                </w14:textFill>
              </w:rPr>
            </w:pP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地表水</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施工人员生活污水</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COD、BOD</w:t>
            </w:r>
            <w:r>
              <w:rPr>
                <w:rFonts w:eastAsia="宋体"/>
                <w:color w:val="000000" w:themeColor="text1"/>
                <w:kern w:val="0"/>
                <w:vertAlign w:val="subscript"/>
                <w14:textFill>
                  <w14:solidFill>
                    <w14:schemeClr w14:val="tx1"/>
                  </w14:solidFill>
                </w14:textFill>
              </w:rPr>
              <w:t>5</w:t>
            </w:r>
            <w:r>
              <w:rPr>
                <w:rFonts w:eastAsia="宋体"/>
                <w:color w:val="000000" w:themeColor="text1"/>
                <w:kern w:val="0"/>
                <w14:textFill>
                  <w14:solidFill>
                    <w14:schemeClr w14:val="tx1"/>
                  </w14:solidFill>
                </w14:textFill>
              </w:rPr>
              <w:t>、SS、NH</w:t>
            </w:r>
            <w:r>
              <w:rPr>
                <w:rFonts w:eastAsia="宋体"/>
                <w:color w:val="000000" w:themeColor="text1"/>
                <w:kern w:val="0"/>
                <w:vertAlign w:val="subscript"/>
                <w14:textFill>
                  <w14:solidFill>
                    <w14:schemeClr w14:val="tx1"/>
                  </w14:solidFill>
                </w14:textFill>
              </w:rPr>
              <w:t>3</w:t>
            </w:r>
            <w:r>
              <w:rPr>
                <w:rFonts w:eastAsia="宋体"/>
                <w:color w:val="000000" w:themeColor="text1"/>
                <w:kern w:val="0"/>
                <w14:textFill>
                  <w14:solidFill>
                    <w14:schemeClr w14:val="tx1"/>
                  </w14:solidFill>
                </w14:textFill>
              </w:rPr>
              <w:t>-N</w:t>
            </w:r>
            <w:r>
              <w:rPr>
                <w:rFonts w:hint="eastAsia" w:eastAsia="宋体"/>
                <w:color w:val="000000" w:themeColor="text1"/>
                <w:kern w:val="0"/>
                <w14:textFill>
                  <w14:solidFill>
                    <w14:schemeClr w14:val="tx1"/>
                  </w14:solidFill>
                </w14:textFill>
              </w:rPr>
              <w:t>、石油类、T</w:t>
            </w:r>
            <w:r>
              <w:rPr>
                <w:rFonts w:eastAsia="宋体"/>
                <w:color w:val="000000" w:themeColor="text1"/>
                <w:kern w:val="0"/>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continue"/>
            <w:vAlign w:val="center"/>
          </w:tcPr>
          <w:p>
            <w:pPr>
              <w:pStyle w:val="182"/>
              <w:rPr>
                <w:rFonts w:eastAsia="宋体"/>
                <w:color w:val="000000" w:themeColor="text1"/>
                <w:kern w:val="0"/>
                <w14:textFill>
                  <w14:solidFill>
                    <w14:schemeClr w14:val="tx1"/>
                  </w14:solidFill>
                </w14:textFill>
              </w:rPr>
            </w:pP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声环境</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设备安装及调试</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restar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2号地块</w:t>
            </w: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环境空气</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地面硬化、物料存放及使用、设备安装及调试等施工过程</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扬尘、机械尾气、装修废气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continue"/>
            <w:vAlign w:val="center"/>
          </w:tcPr>
          <w:p>
            <w:pPr>
              <w:pStyle w:val="182"/>
              <w:rPr>
                <w:rFonts w:eastAsia="宋体"/>
                <w:color w:val="000000" w:themeColor="text1"/>
                <w:kern w:val="0"/>
                <w14:textFill>
                  <w14:solidFill>
                    <w14:schemeClr w14:val="tx1"/>
                  </w14:solidFill>
                </w14:textFill>
              </w:rPr>
            </w:pP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地表水</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施工机械冲洗废水、施工人员生活污水</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COD、BOD</w:t>
            </w:r>
            <w:r>
              <w:rPr>
                <w:rFonts w:eastAsia="宋体"/>
                <w:color w:val="000000" w:themeColor="text1"/>
                <w:kern w:val="0"/>
                <w:vertAlign w:val="subscript"/>
                <w14:textFill>
                  <w14:solidFill>
                    <w14:schemeClr w14:val="tx1"/>
                  </w14:solidFill>
                </w14:textFill>
              </w:rPr>
              <w:t>5</w:t>
            </w:r>
            <w:r>
              <w:rPr>
                <w:rFonts w:eastAsia="宋体"/>
                <w:color w:val="000000" w:themeColor="text1"/>
                <w:kern w:val="0"/>
                <w14:textFill>
                  <w14:solidFill>
                    <w14:schemeClr w14:val="tx1"/>
                  </w14:solidFill>
                </w14:textFill>
              </w:rPr>
              <w:t>、SS、石油类、NH</w:t>
            </w:r>
            <w:r>
              <w:rPr>
                <w:rFonts w:eastAsia="宋体"/>
                <w:color w:val="000000" w:themeColor="text1"/>
                <w:kern w:val="0"/>
                <w:vertAlign w:val="subscript"/>
                <w14:textFill>
                  <w14:solidFill>
                    <w14:schemeClr w14:val="tx1"/>
                  </w14:solidFill>
                </w14:textFill>
              </w:rPr>
              <w:t>3</w:t>
            </w:r>
            <w:r>
              <w:rPr>
                <w:rFonts w:eastAsia="宋体"/>
                <w:color w:val="000000" w:themeColor="text1"/>
                <w:kern w:val="0"/>
                <w14:textFill>
                  <w14:solidFill>
                    <w14:schemeClr w14:val="tx1"/>
                  </w14:solidFill>
                </w14:textFill>
              </w:rPr>
              <w:t>-N</w:t>
            </w:r>
            <w:r>
              <w:rPr>
                <w:rFonts w:hint="eastAsia" w:eastAsia="宋体"/>
                <w:color w:val="000000" w:themeColor="text1"/>
                <w:kern w:val="0"/>
                <w14:textFill>
                  <w14:solidFill>
                    <w14:schemeClr w14:val="tx1"/>
                  </w14:solidFill>
                </w14:textFill>
              </w:rPr>
              <w:t>、T</w:t>
            </w:r>
            <w:r>
              <w:rPr>
                <w:rFonts w:eastAsia="宋体"/>
                <w:color w:val="000000" w:themeColor="text1"/>
                <w:kern w:val="0"/>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9" w:type="pct"/>
            <w:vMerge w:val="continue"/>
            <w:vAlign w:val="center"/>
          </w:tcPr>
          <w:p>
            <w:pPr>
              <w:pStyle w:val="182"/>
              <w:rPr>
                <w:rFonts w:eastAsia="宋体"/>
                <w:color w:val="000000" w:themeColor="text1"/>
                <w:kern w:val="0"/>
                <w14:textFill>
                  <w14:solidFill>
                    <w14:schemeClr w14:val="tx1"/>
                  </w14:solidFill>
                </w14:textFill>
              </w:rPr>
            </w:pPr>
          </w:p>
        </w:tc>
        <w:tc>
          <w:tcPr>
            <w:tcW w:w="864"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声环境</w:t>
            </w:r>
          </w:p>
        </w:tc>
        <w:tc>
          <w:tcPr>
            <w:tcW w:w="2276"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施工机械作业、车辆运输、设备安装及调试</w:t>
            </w:r>
          </w:p>
        </w:tc>
        <w:tc>
          <w:tcPr>
            <w:tcW w:w="123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噪声</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（2）运营期</w:t>
      </w:r>
    </w:p>
    <w:p>
      <w:pPr>
        <w:spacing w:line="240" w:lineRule="auto"/>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根据项目工程分析，其主要排污环节、环境影响因素及污染因子分析，见表1.4-2。</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表1.4-2  运营期环境影响因素一览表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742"/>
        <w:gridCol w:w="3496"/>
        <w:gridCol w:w="3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位置</w:t>
            </w:r>
          </w:p>
        </w:tc>
        <w:tc>
          <w:tcPr>
            <w:tcW w:w="942"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环境影响要素</w:t>
            </w:r>
          </w:p>
        </w:tc>
        <w:tc>
          <w:tcPr>
            <w:tcW w:w="1891"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污染源</w:t>
            </w:r>
          </w:p>
        </w:tc>
        <w:tc>
          <w:tcPr>
            <w:tcW w:w="1695" w:type="pct"/>
            <w:vAlign w:val="center"/>
          </w:tcPr>
          <w:p>
            <w:pPr>
              <w:pStyle w:val="182"/>
              <w:rPr>
                <w:rFonts w:eastAsia="宋体"/>
                <w:b/>
                <w:color w:val="000000" w:themeColor="text1"/>
                <w:kern w:val="0"/>
                <w14:textFill>
                  <w14:solidFill>
                    <w14:schemeClr w14:val="tx1"/>
                  </w14:solidFill>
                </w14:textFill>
              </w:rPr>
            </w:pPr>
            <w:r>
              <w:rPr>
                <w:rFonts w:eastAsia="宋体"/>
                <w:b/>
                <w:color w:val="000000" w:themeColor="text1"/>
                <w:kern w:val="0"/>
                <w14:textFill>
                  <w14:solidFill>
                    <w14:schemeClr w14:val="tx1"/>
                  </w14:solidFill>
                </w14:textFill>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1号地块</w:t>
            </w: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环境空气</w:t>
            </w:r>
          </w:p>
        </w:tc>
        <w:tc>
          <w:tcPr>
            <w:tcW w:w="189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切割粉尘、焊接烟尘</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地表水</w:t>
            </w:r>
          </w:p>
        </w:tc>
        <w:tc>
          <w:tcPr>
            <w:tcW w:w="189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生活污水、员工洗手废水、地面清洁废水、食堂废水</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COD、BOD</w:t>
            </w:r>
            <w:r>
              <w:rPr>
                <w:rFonts w:eastAsia="宋体"/>
                <w:color w:val="000000" w:themeColor="text1"/>
                <w:kern w:val="0"/>
                <w:vertAlign w:val="subscript"/>
                <w14:textFill>
                  <w14:solidFill>
                    <w14:schemeClr w14:val="tx1"/>
                  </w14:solidFill>
                </w14:textFill>
              </w:rPr>
              <w:t>5</w:t>
            </w:r>
            <w:r>
              <w:rPr>
                <w:rFonts w:eastAsia="宋体"/>
                <w:color w:val="000000" w:themeColor="text1"/>
                <w:kern w:val="0"/>
                <w14:textFill>
                  <w14:solidFill>
                    <w14:schemeClr w14:val="tx1"/>
                  </w14:solidFill>
                </w14:textFill>
              </w:rPr>
              <w:t>、SS、NH</w:t>
            </w:r>
            <w:r>
              <w:rPr>
                <w:rFonts w:eastAsia="宋体"/>
                <w:color w:val="000000" w:themeColor="text1"/>
                <w:kern w:val="0"/>
                <w:vertAlign w:val="subscript"/>
                <w14:textFill>
                  <w14:solidFill>
                    <w14:schemeClr w14:val="tx1"/>
                  </w14:solidFill>
                </w14:textFill>
              </w:rPr>
              <w:t>3</w:t>
            </w:r>
            <w:r>
              <w:rPr>
                <w:rFonts w:eastAsia="宋体"/>
                <w:color w:val="000000" w:themeColor="text1"/>
                <w:kern w:val="0"/>
                <w14:textFill>
                  <w14:solidFill>
                    <w14:schemeClr w14:val="tx1"/>
                  </w14:solidFill>
                </w14:textFill>
              </w:rPr>
              <w:t>-N、石油类</w:t>
            </w:r>
            <w:r>
              <w:rPr>
                <w:rFonts w:hint="eastAsia" w:eastAsia="宋体"/>
                <w:color w:val="000000" w:themeColor="text1"/>
                <w:kern w:val="0"/>
                <w14:textFill>
                  <w14:solidFill>
                    <w14:schemeClr w14:val="tx1"/>
                  </w14:solidFill>
                </w14:textFill>
              </w:rPr>
              <w:t>、动植物油、T</w:t>
            </w:r>
            <w:r>
              <w:rPr>
                <w:rFonts w:eastAsia="宋体"/>
                <w:color w:val="000000" w:themeColor="text1"/>
                <w:kern w:val="0"/>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声环境</w:t>
            </w:r>
          </w:p>
        </w:tc>
        <w:tc>
          <w:tcPr>
            <w:tcW w:w="189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设备噪声</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固废</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切割、焊接、办公生活、食堂等</w:t>
            </w:r>
          </w:p>
        </w:tc>
        <w:tc>
          <w:tcPr>
            <w:tcW w:w="1695"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一般工业固体废物、危险废物、生活垃圾、餐厨垃圾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环境风险</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油品库房、危废暂存间</w:t>
            </w:r>
          </w:p>
        </w:tc>
        <w:tc>
          <w:tcPr>
            <w:tcW w:w="1695"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润滑油、切削液等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2号地块</w:t>
            </w: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环境空气</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喷砂粉尘、涂装废气等</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非甲烷总烃、甲苯、二甲苯、颗粒物</w:t>
            </w:r>
            <w:r>
              <w:rPr>
                <w:rFonts w:hint="eastAsia" w:eastAsia="宋体"/>
                <w:color w:val="000000" w:themeColor="text1"/>
                <w:kern w:val="0"/>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地表水</w:t>
            </w:r>
          </w:p>
        </w:tc>
        <w:tc>
          <w:tcPr>
            <w:tcW w:w="189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生活污水、员工洗手废水、地面清洁废水、食堂废水</w:t>
            </w:r>
            <w:r>
              <w:rPr>
                <w:rFonts w:hint="eastAsia" w:eastAsia="宋体"/>
                <w:color w:val="000000" w:themeColor="text1"/>
                <w:kern w:val="0"/>
                <w14:textFill>
                  <w14:solidFill>
                    <w14:schemeClr w14:val="tx1"/>
                  </w14:solidFill>
                </w14:textFill>
              </w:rPr>
              <w:t>、喷枪清洗废水、气旋喷淋废水</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COD、BOD</w:t>
            </w:r>
            <w:r>
              <w:rPr>
                <w:rFonts w:eastAsia="宋体"/>
                <w:color w:val="000000" w:themeColor="text1"/>
                <w:kern w:val="0"/>
                <w:vertAlign w:val="subscript"/>
                <w14:textFill>
                  <w14:solidFill>
                    <w14:schemeClr w14:val="tx1"/>
                  </w14:solidFill>
                </w14:textFill>
              </w:rPr>
              <w:t>5</w:t>
            </w:r>
            <w:r>
              <w:rPr>
                <w:rFonts w:eastAsia="宋体"/>
                <w:color w:val="000000" w:themeColor="text1"/>
                <w:kern w:val="0"/>
                <w14:textFill>
                  <w14:solidFill>
                    <w14:schemeClr w14:val="tx1"/>
                  </w14:solidFill>
                </w14:textFill>
              </w:rPr>
              <w:t>、SS、NH</w:t>
            </w:r>
            <w:r>
              <w:rPr>
                <w:rFonts w:eastAsia="宋体"/>
                <w:color w:val="000000" w:themeColor="text1"/>
                <w:kern w:val="0"/>
                <w:vertAlign w:val="subscript"/>
                <w14:textFill>
                  <w14:solidFill>
                    <w14:schemeClr w14:val="tx1"/>
                  </w14:solidFill>
                </w14:textFill>
              </w:rPr>
              <w:t>3</w:t>
            </w:r>
            <w:r>
              <w:rPr>
                <w:rFonts w:eastAsia="宋体"/>
                <w:color w:val="000000" w:themeColor="text1"/>
                <w:kern w:val="0"/>
                <w14:textFill>
                  <w14:solidFill>
                    <w14:schemeClr w14:val="tx1"/>
                  </w14:solidFill>
                </w14:textFill>
              </w:rPr>
              <w:t>-N、石油类</w:t>
            </w:r>
            <w:r>
              <w:rPr>
                <w:rFonts w:hint="eastAsia" w:eastAsia="宋体"/>
                <w:color w:val="000000" w:themeColor="text1"/>
                <w:kern w:val="0"/>
                <w14:textFill>
                  <w14:solidFill>
                    <w14:schemeClr w14:val="tx1"/>
                  </w14:solidFill>
                </w14:textFill>
              </w:rPr>
              <w:t>、动植物油、T</w:t>
            </w:r>
            <w:r>
              <w:rPr>
                <w:rFonts w:eastAsia="宋体"/>
                <w:color w:val="000000" w:themeColor="text1"/>
                <w:kern w:val="0"/>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地下水</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喷枪清洗废水、气旋喷淋废水</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COD</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NH</w:t>
            </w:r>
            <w:r>
              <w:rPr>
                <w:rFonts w:eastAsia="宋体"/>
                <w:color w:val="000000" w:themeColor="text1"/>
                <w:kern w:val="0"/>
                <w:vertAlign w:val="subscript"/>
                <w14:textFill>
                  <w14:solidFill>
                    <w14:schemeClr w14:val="tx1"/>
                  </w14:solidFill>
                </w14:textFill>
              </w:rPr>
              <w:t>3</w:t>
            </w:r>
            <w:r>
              <w:rPr>
                <w:rFonts w:eastAsia="宋体"/>
                <w:color w:val="000000" w:themeColor="text1"/>
                <w:kern w:val="0"/>
                <w14:textFill>
                  <w14:solidFill>
                    <w14:schemeClr w14:val="tx1"/>
                  </w14:solidFill>
                </w14:textFill>
              </w:rPr>
              <w:t>-N</w:t>
            </w:r>
            <w:r>
              <w:rPr>
                <w:rFonts w:hint="eastAsia" w:eastAsia="宋体"/>
                <w:color w:val="000000" w:themeColor="text1"/>
                <w:kern w:val="0"/>
                <w14:textFill>
                  <w14:solidFill>
                    <w14:schemeClr w14:val="tx1"/>
                  </w14:solidFill>
                </w14:textFill>
              </w:rPr>
              <w:t>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声环境</w:t>
            </w:r>
          </w:p>
        </w:tc>
        <w:tc>
          <w:tcPr>
            <w:tcW w:w="1891"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设备噪声</w:t>
            </w:r>
          </w:p>
        </w:tc>
        <w:tc>
          <w:tcPr>
            <w:tcW w:w="1695"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固废</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喷砂、涂装、办公生活、食堂等</w:t>
            </w:r>
          </w:p>
        </w:tc>
        <w:tc>
          <w:tcPr>
            <w:tcW w:w="1695"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一般工业固体废物、危险废物、生活垃圾、餐厨垃圾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pPr>
              <w:pStyle w:val="182"/>
              <w:rPr>
                <w:rFonts w:eastAsia="宋体"/>
                <w:color w:val="000000" w:themeColor="text1"/>
                <w:kern w:val="0"/>
                <w14:textFill>
                  <w14:solidFill>
                    <w14:schemeClr w14:val="tx1"/>
                  </w14:solidFill>
                </w14:textFill>
              </w:rPr>
            </w:pPr>
          </w:p>
        </w:tc>
        <w:tc>
          <w:tcPr>
            <w:tcW w:w="942" w:type="pct"/>
            <w:vAlign w:val="center"/>
          </w:tcPr>
          <w:p>
            <w:pPr>
              <w:pStyle w:val="182"/>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环境风险</w:t>
            </w:r>
          </w:p>
        </w:tc>
        <w:tc>
          <w:tcPr>
            <w:tcW w:w="1891"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油漆库房、危废暂存间</w:t>
            </w:r>
          </w:p>
        </w:tc>
        <w:tc>
          <w:tcPr>
            <w:tcW w:w="1695" w:type="pct"/>
            <w:vAlign w:val="center"/>
          </w:tcPr>
          <w:p>
            <w:pPr>
              <w:pStyle w:val="182"/>
              <w:rPr>
                <w:rFonts w:eastAsia="宋体"/>
                <w:color w:val="000000" w:themeColor="text1"/>
                <w:kern w:val="0"/>
                <w14:textFill>
                  <w14:solidFill>
                    <w14:schemeClr w14:val="tx1"/>
                  </w14:solidFill>
                </w14:textFill>
              </w:rPr>
            </w:pPr>
            <w:r>
              <w:rPr>
                <w:rFonts w:hint="eastAsia" w:eastAsia="宋体"/>
                <w:color w:val="000000" w:themeColor="text1"/>
                <w:kern w:val="0"/>
                <w14:textFill>
                  <w14:solidFill>
                    <w14:schemeClr w14:val="tx1"/>
                  </w14:solidFill>
                </w14:textFill>
              </w:rPr>
              <w:t>润滑油、各类油漆等</w:t>
            </w:r>
          </w:p>
        </w:tc>
      </w:tr>
    </w:tbl>
    <w:p>
      <w:pPr>
        <w:pStyle w:val="188"/>
        <w:rPr>
          <w:rFonts w:eastAsia="宋体"/>
          <w:color w:val="000000" w:themeColor="text1"/>
          <w14:textFill>
            <w14:solidFill>
              <w14:schemeClr w14:val="tx1"/>
            </w14:solidFill>
          </w14:textFill>
        </w:rPr>
      </w:pPr>
      <w:bookmarkStart w:id="53" w:name="_Toc16182"/>
      <w:bookmarkStart w:id="54" w:name="_Toc489281011"/>
      <w:bookmarkStart w:id="55" w:name="_Toc490235512"/>
      <w:r>
        <w:rPr>
          <w:rFonts w:eastAsia="宋体"/>
          <w:color w:val="000000" w:themeColor="text1"/>
          <w14:textFill>
            <w14:solidFill>
              <w14:schemeClr w14:val="tx1"/>
            </w14:solidFill>
          </w14:textFill>
        </w:rPr>
        <w:t>1.4.2环境影响评价因子筛选</w:t>
      </w:r>
      <w:bookmarkEnd w:id="53"/>
      <w:bookmarkEnd w:id="54"/>
      <w:bookmarkEnd w:id="55"/>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根据项目所在地的环境特征及本项目工艺和排污特点，确定主要评价因子见表1.4-2所示。</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表1.4-2环境影响评价因子一览表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015"/>
        <w:gridCol w:w="2322"/>
        <w:gridCol w:w="5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位置</w:t>
            </w:r>
          </w:p>
        </w:tc>
        <w:tc>
          <w:tcPr>
            <w:tcW w:w="549"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类别</w:t>
            </w:r>
          </w:p>
        </w:tc>
        <w:tc>
          <w:tcPr>
            <w:tcW w:w="1256"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要素</w:t>
            </w:r>
          </w:p>
        </w:tc>
        <w:tc>
          <w:tcPr>
            <w:tcW w:w="2801"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1号地块</w:t>
            </w:r>
          </w:p>
        </w:tc>
        <w:tc>
          <w:tcPr>
            <w:tcW w:w="54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环境质量现状评价</w:t>
            </w: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、NO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r>
              <w:rPr>
                <w:rFonts w:eastAsia="宋体"/>
                <w:color w:val="000000" w:themeColor="text1"/>
                <w14:textFill>
                  <w14:solidFill>
                    <w14:schemeClr w14:val="tx1"/>
                  </w14:solidFill>
                </w14:textFill>
              </w:rPr>
              <w:t>、CO、O</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地表水环境质量现状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pH、COD、BOD</w:t>
            </w:r>
            <w:r>
              <w:rPr>
                <w:rFonts w:eastAsia="宋体"/>
                <w:color w:val="000000" w:themeColor="text1"/>
                <w:vertAlign w:val="subscript"/>
                <w14:textFill>
                  <w14:solidFill>
                    <w14:schemeClr w14:val="tx1"/>
                  </w14:solidFill>
                </w14:textFill>
              </w:rPr>
              <w:t>5</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-N、石油类、动植物油</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环境噪声质量现状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运营期环境影响评价</w:t>
            </w: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地表水</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COD、BOD</w:t>
            </w:r>
            <w:r>
              <w:rPr>
                <w:rFonts w:eastAsia="宋体"/>
                <w:color w:val="000000" w:themeColor="text1"/>
                <w:vertAlign w:val="subscript"/>
                <w14:textFill>
                  <w14:solidFill>
                    <w14:schemeClr w14:val="tx1"/>
                  </w14:solidFill>
                </w14:textFill>
              </w:rPr>
              <w:t>5</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-N、SS、石油类、动植物油</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固体废物</w:t>
            </w:r>
          </w:p>
        </w:tc>
        <w:tc>
          <w:tcPr>
            <w:tcW w:w="2801" w:type="pct"/>
            <w:vAlign w:val="center"/>
          </w:tcPr>
          <w:p>
            <w:pPr>
              <w:pStyle w:val="182"/>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废边角料、焊渣、收尘灰、废包装材料等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w:t>
            </w:r>
          </w:p>
        </w:tc>
        <w:tc>
          <w:tcPr>
            <w:tcW w:w="54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环境质量现状评价</w:t>
            </w: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、NO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r>
              <w:rPr>
                <w:rFonts w:eastAsia="宋体"/>
                <w:color w:val="000000" w:themeColor="text1"/>
                <w14:textFill>
                  <w14:solidFill>
                    <w14:schemeClr w14:val="tx1"/>
                  </w14:solidFill>
                </w14:textFill>
              </w:rPr>
              <w:t>、CO、O</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、非甲烷总烃、甲苯、二甲苯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地表水环境质量现状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pH、COD、BOD</w:t>
            </w:r>
            <w:r>
              <w:rPr>
                <w:rFonts w:eastAsia="宋体"/>
                <w:color w:val="000000" w:themeColor="text1"/>
                <w:vertAlign w:val="subscript"/>
                <w14:textFill>
                  <w14:solidFill>
                    <w14:schemeClr w14:val="tx1"/>
                  </w14:solidFill>
                </w14:textFill>
              </w:rPr>
              <w:t>5</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-N、石油类、动植物油</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环境噪声质量现状</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运营期环境影响评价</w:t>
            </w: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r>
              <w:rPr>
                <w:rFonts w:eastAsia="宋体"/>
                <w:color w:val="000000" w:themeColor="text1"/>
                <w14:textFill>
                  <w14:solidFill>
                    <w14:schemeClr w14:val="tx1"/>
                  </w14:solidFill>
                </w14:textFill>
              </w:rPr>
              <w:t>、非甲烷总烃、甲苯、二甲苯</w:t>
            </w:r>
            <w:r>
              <w:rPr>
                <w:rFonts w:hint="eastAsia" w:eastAsia="宋体"/>
                <w:color w:val="000000" w:themeColor="text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地表水</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COD、BOD</w:t>
            </w:r>
            <w:r>
              <w:rPr>
                <w:rFonts w:eastAsia="宋体"/>
                <w:color w:val="000000" w:themeColor="text1"/>
                <w:vertAlign w:val="subscript"/>
                <w14:textFill>
                  <w14:solidFill>
                    <w14:schemeClr w14:val="tx1"/>
                  </w14:solidFill>
                </w14:textFill>
              </w:rPr>
              <w:t>5</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-N、SS、石油类、动植物油</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pStyle w:val="182"/>
              <w:rPr>
                <w:rFonts w:eastAsia="宋体"/>
                <w:color w:val="000000" w:themeColor="text1"/>
                <w14:textFill>
                  <w14:solidFill>
                    <w14:schemeClr w14:val="tx1"/>
                  </w14:solidFill>
                </w14:textFill>
              </w:rPr>
            </w:pPr>
          </w:p>
        </w:tc>
        <w:tc>
          <w:tcPr>
            <w:tcW w:w="549" w:type="pct"/>
            <w:vMerge w:val="continue"/>
            <w:vAlign w:val="center"/>
          </w:tcPr>
          <w:p>
            <w:pPr>
              <w:pStyle w:val="182"/>
              <w:rPr>
                <w:rFonts w:eastAsia="宋体"/>
                <w:color w:val="000000" w:themeColor="text1"/>
                <w14:textFill>
                  <w14:solidFill>
                    <w14:schemeClr w14:val="tx1"/>
                  </w14:solidFill>
                </w14:textFill>
              </w:rPr>
            </w:pPr>
          </w:p>
        </w:tc>
        <w:tc>
          <w:tcPr>
            <w:tcW w:w="125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w:t>
            </w:r>
          </w:p>
        </w:tc>
        <w:tc>
          <w:tcPr>
            <w:tcW w:w="280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等效A声级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bottom w:val="single" w:color="auto" w:sz="12" w:space="0"/>
            </w:tcBorders>
            <w:vAlign w:val="center"/>
          </w:tcPr>
          <w:p>
            <w:pPr>
              <w:pStyle w:val="182"/>
              <w:rPr>
                <w:rFonts w:eastAsia="宋体"/>
                <w:color w:val="000000" w:themeColor="text1"/>
                <w14:textFill>
                  <w14:solidFill>
                    <w14:schemeClr w14:val="tx1"/>
                  </w14:solidFill>
                </w14:textFill>
              </w:rPr>
            </w:pPr>
          </w:p>
        </w:tc>
        <w:tc>
          <w:tcPr>
            <w:tcW w:w="549" w:type="pct"/>
            <w:vMerge w:val="continue"/>
            <w:tcBorders>
              <w:bottom w:val="single" w:color="auto" w:sz="12" w:space="0"/>
            </w:tcBorders>
            <w:vAlign w:val="center"/>
          </w:tcPr>
          <w:p>
            <w:pPr>
              <w:pStyle w:val="182"/>
              <w:rPr>
                <w:rFonts w:eastAsia="宋体"/>
                <w:color w:val="000000" w:themeColor="text1"/>
                <w14:textFill>
                  <w14:solidFill>
                    <w14:schemeClr w14:val="tx1"/>
                  </w14:solidFill>
                </w14:textFill>
              </w:rPr>
            </w:pPr>
          </w:p>
        </w:tc>
        <w:tc>
          <w:tcPr>
            <w:tcW w:w="1256"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固体废物</w:t>
            </w:r>
          </w:p>
        </w:tc>
        <w:tc>
          <w:tcPr>
            <w:tcW w:w="2801"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废漆渣、废包装材料、废水性漆包装桶、废油性漆包装桶等</w:t>
            </w:r>
          </w:p>
        </w:tc>
      </w:tr>
    </w:tbl>
    <w:p>
      <w:pPr>
        <w:pStyle w:val="179"/>
        <w:rPr>
          <w:rFonts w:eastAsia="宋体"/>
          <w:color w:val="000000" w:themeColor="text1"/>
          <w14:textFill>
            <w14:solidFill>
              <w14:schemeClr w14:val="tx1"/>
            </w14:solidFill>
          </w14:textFill>
        </w:rPr>
      </w:pPr>
      <w:bookmarkStart w:id="56" w:name="_Toc31968"/>
      <w:bookmarkStart w:id="57" w:name="_Toc155271406"/>
      <w:r>
        <w:rPr>
          <w:rFonts w:eastAsia="宋体"/>
          <w:color w:val="000000" w:themeColor="text1"/>
          <w14:textFill>
            <w14:solidFill>
              <w14:schemeClr w14:val="tx1"/>
            </w14:solidFill>
          </w14:textFill>
        </w:rPr>
        <w:t>1.5评价标准</w:t>
      </w:r>
      <w:bookmarkEnd w:id="56"/>
      <w:bookmarkEnd w:id="57"/>
    </w:p>
    <w:p>
      <w:pPr>
        <w:pStyle w:val="188"/>
        <w:rPr>
          <w:rFonts w:eastAsia="宋体"/>
          <w:color w:val="000000" w:themeColor="text1"/>
          <w14:textFill>
            <w14:solidFill>
              <w14:schemeClr w14:val="tx1"/>
            </w14:solidFill>
          </w14:textFill>
        </w:rPr>
      </w:pPr>
      <w:bookmarkStart w:id="58" w:name="_Toc14178"/>
      <w:bookmarkStart w:id="59" w:name="_Toc490235514"/>
      <w:bookmarkStart w:id="60" w:name="_Toc489281013"/>
      <w:r>
        <w:rPr>
          <w:rFonts w:eastAsia="宋体"/>
          <w:color w:val="000000" w:themeColor="text1"/>
          <w14:textFill>
            <w14:solidFill>
              <w14:schemeClr w14:val="tx1"/>
            </w14:solidFill>
          </w14:textFill>
        </w:rPr>
        <w:t>1.5.1环境质量标准</w:t>
      </w:r>
      <w:bookmarkEnd w:id="58"/>
      <w:bookmarkEnd w:id="59"/>
      <w:bookmarkEnd w:id="60"/>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（1）环境空气质量标准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根据《关于印发重庆市环境空气质量功能区划分规定的通知》（渝府发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2016</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19号），项目所在地属于二类区域。项目所在区PM</w:t>
      </w:r>
      <w:r>
        <w:rPr>
          <w:rFonts w:eastAsia="宋体"/>
          <w:color w:val="000000" w:themeColor="text1"/>
          <w:vertAlign w:val="subscript"/>
          <w14:textFill>
            <w14:solidFill>
              <w14:schemeClr w14:val="tx1"/>
            </w14:solidFill>
          </w14:textFill>
        </w:rPr>
        <w:t>2.5</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、SO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、NO</w:t>
      </w:r>
      <w:r>
        <w:rPr>
          <w:rFonts w:eastAsia="宋体"/>
          <w:color w:val="000000" w:themeColor="text1"/>
          <w:vertAlign w:val="subscript"/>
          <w14:textFill>
            <w14:solidFill>
              <w14:schemeClr w14:val="tx1"/>
            </w14:solidFill>
          </w14:textFill>
        </w:rPr>
        <w:t>2</w:t>
      </w:r>
      <w:r>
        <w:rPr>
          <w:rFonts w:eastAsia="宋体"/>
          <w:color w:val="000000" w:themeColor="text1"/>
          <w14:textFill>
            <w14:solidFill>
              <w14:schemeClr w14:val="tx1"/>
            </w14:solidFill>
          </w14:textFill>
        </w:rPr>
        <w:t>、O</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、CO执行《环境空气质量标准》（GB3095-2012）中的二级标准；甲苯、二甲苯参照执行《环境影响评价技术导则 大气环境》（HJ2.2-2018）附录D中限值要求；非甲烷总烃参照执行河北省地方标准《环境空气质量 非甲烷总烃限值》（DB 13/1577-2012）中的二级标准。见表1.5-1。</w:t>
      </w:r>
    </w:p>
    <w:p>
      <w:pPr>
        <w:pStyle w:val="184"/>
        <w:spacing w:line="240" w:lineRule="auto"/>
        <w:rPr>
          <w:rFonts w:eastAsia="宋体"/>
          <w:color w:val="000000" w:themeColor="text1"/>
          <w:vertAlign w:val="superscript"/>
          <w14:textFill>
            <w14:solidFill>
              <w14:schemeClr w14:val="tx1"/>
            </w14:solidFill>
          </w14:textFill>
        </w:rPr>
      </w:pPr>
      <w:r>
        <w:rPr>
          <w:rFonts w:eastAsia="宋体"/>
          <w:color w:val="000000" w:themeColor="text1"/>
          <w14:textFill>
            <w14:solidFill>
              <w14:schemeClr w14:val="tx1"/>
            </w14:solidFill>
          </w14:textFill>
        </w:rPr>
        <w:t>表1.5-1  环境空气质量</w:t>
      </w:r>
      <w:r>
        <w:rPr>
          <w:rFonts w:hint="eastAsia" w:eastAsia="宋体"/>
          <w:color w:val="000000" w:themeColor="text1"/>
          <w14:textFill>
            <w14:solidFill>
              <w14:schemeClr w14:val="tx1"/>
            </w14:solidFill>
          </w14:textFill>
        </w:rPr>
        <w:t>标准</w:t>
      </w:r>
      <w:r>
        <w:rPr>
          <w:rFonts w:eastAsia="宋体"/>
          <w:color w:val="000000" w:themeColor="text1"/>
          <w14:textFill>
            <w14:solidFill>
              <w14:schemeClr w14:val="tx1"/>
            </w14:solidFill>
          </w14:textFill>
        </w:rPr>
        <w:t xml:space="preserve">  单位：μg/m</w:t>
      </w:r>
      <w:r>
        <w:rPr>
          <w:rFonts w:eastAsia="宋体"/>
          <w:color w:val="000000" w:themeColor="text1"/>
          <w:vertAlign w:val="superscript"/>
          <w14:textFill>
            <w14:solidFill>
              <w14:schemeClr w14:val="tx1"/>
            </w14:solidFill>
          </w14:textFill>
        </w:rPr>
        <w:t>3</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1732"/>
        <w:gridCol w:w="2216"/>
        <w:gridCol w:w="1262"/>
        <w:gridCol w:w="4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污染物名称</w:t>
            </w:r>
          </w:p>
        </w:tc>
        <w:tc>
          <w:tcPr>
            <w:tcW w:w="1199"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取值时间</w:t>
            </w:r>
          </w:p>
        </w:tc>
        <w:tc>
          <w:tcPr>
            <w:tcW w:w="683"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浓度限值</w:t>
            </w:r>
          </w:p>
        </w:tc>
        <w:tc>
          <w:tcPr>
            <w:tcW w:w="2181"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2181"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35</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75</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SO</w:t>
            </w:r>
            <w:r>
              <w:rPr>
                <w:rFonts w:eastAsia="宋体"/>
                <w:color w:val="000000" w:themeColor="text1"/>
                <w:vertAlign w:val="subscript"/>
                <w14:textFill>
                  <w14:solidFill>
                    <w14:schemeClr w14:val="tx1"/>
                  </w14:solidFill>
                </w14:textFill>
              </w:rPr>
              <w:t>2</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NO</w:t>
            </w:r>
            <w:r>
              <w:rPr>
                <w:rFonts w:eastAsia="宋体"/>
                <w:color w:val="000000" w:themeColor="text1"/>
                <w:vertAlign w:val="subscript"/>
                <w14:textFill>
                  <w14:solidFill>
                    <w14:schemeClr w14:val="tx1"/>
                  </w14:solidFill>
                </w14:textFill>
              </w:rPr>
              <w:t>2</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年平均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2"/>
              <w:rPr>
                <w:rFonts w:eastAsia="宋体"/>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9"/>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9"/>
              <w:rPr>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10000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restart"/>
            <w:vAlign w:val="center"/>
          </w:tcPr>
          <w:p>
            <w:pPr>
              <w:pStyle w:val="189"/>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日最大8小时平均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Merge w:val="continue"/>
            <w:vAlign w:val="center"/>
          </w:tcPr>
          <w:p>
            <w:pPr>
              <w:pStyle w:val="189"/>
              <w:rPr>
                <w:color w:val="000000" w:themeColor="text1"/>
                <w14:textFill>
                  <w14:solidFill>
                    <w14:schemeClr w14:val="tx1"/>
                  </w14:solidFill>
                </w14:textFill>
              </w:rPr>
            </w:pP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Align w:val="center"/>
          </w:tcPr>
          <w:p>
            <w:pPr>
              <w:pStyle w:val="189"/>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p>
        </w:tc>
        <w:tc>
          <w:tcPr>
            <w:tcW w:w="2181"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Align w:val="center"/>
          </w:tcPr>
          <w:p>
            <w:pPr>
              <w:pStyle w:val="189"/>
              <w:rPr>
                <w:color w:val="000000" w:themeColor="text1"/>
                <w14:textFill>
                  <w14:solidFill>
                    <w14:schemeClr w14:val="tx1"/>
                  </w14:solidFill>
                </w14:textFill>
              </w:rPr>
            </w:pPr>
            <w:r>
              <w:rPr>
                <w:color w:val="000000" w:themeColor="text1"/>
                <w14:textFill>
                  <w14:solidFill>
                    <w14:schemeClr w14:val="tx1"/>
                  </w14:solidFill>
                </w14:textFill>
              </w:rPr>
              <w:t>二甲苯</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w:t>
            </w:r>
          </w:p>
        </w:tc>
        <w:tc>
          <w:tcPr>
            <w:tcW w:w="2181"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937" w:type="pct"/>
            <w:vAlign w:val="center"/>
          </w:tcPr>
          <w:p>
            <w:pPr>
              <w:pStyle w:val="189"/>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19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1小时平均</w:t>
            </w:r>
          </w:p>
        </w:tc>
        <w:tc>
          <w:tcPr>
            <w:tcW w:w="6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2000</w:t>
            </w:r>
          </w:p>
        </w:tc>
        <w:tc>
          <w:tcPr>
            <w:tcW w:w="2181"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《环境空气质量非甲烷总烃限值》（DB13/1577-2012）</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（2）地表水环境质量标准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本项目受纳水体为苦水河。根据《重庆市人民政府批转重庆市地表水环境功能类别调整方案的通知》（渝府发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2012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4号）规定，苦水河水域功能为Ⅳ类。执行《地表水环境质量标准》（GB 3838-2002）Ⅳ类水域标准。见表1.5-2。</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表1.5-2   地表水环境质量标准  单位：mg/L，pH无量纲</w:t>
      </w:r>
    </w:p>
    <w:tbl>
      <w:tblPr>
        <w:tblStyle w:val="8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8"/>
        <w:gridCol w:w="810"/>
        <w:gridCol w:w="1102"/>
        <w:gridCol w:w="1017"/>
        <w:gridCol w:w="1451"/>
        <w:gridCol w:w="1453"/>
        <w:gridCol w:w="19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73" w:type="pct"/>
            <w:tcBorders>
              <w:top w:val="single" w:color="auto" w:sz="12" w:space="0"/>
              <w:left w:val="nil"/>
              <w:bottom w:val="single" w:color="auto" w:sz="4" w:space="0"/>
              <w:right w:val="single" w:color="auto" w:sz="4" w:space="0"/>
              <w:tl2br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污染物</w:t>
            </w:r>
          </w:p>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标准值</w:t>
            </w:r>
          </w:p>
        </w:tc>
        <w:tc>
          <w:tcPr>
            <w:tcW w:w="438" w:type="pct"/>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pH</w:t>
            </w:r>
          </w:p>
        </w:tc>
        <w:tc>
          <w:tcPr>
            <w:tcW w:w="596" w:type="pct"/>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COD</w:t>
            </w:r>
          </w:p>
        </w:tc>
        <w:tc>
          <w:tcPr>
            <w:tcW w:w="550" w:type="pct"/>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BOD</w:t>
            </w:r>
            <w:r>
              <w:rPr>
                <w:rFonts w:eastAsia="宋体"/>
                <w:color w:val="000000" w:themeColor="text1"/>
                <w:sz w:val="21"/>
                <w:szCs w:val="21"/>
                <w:vertAlign w:val="subscript"/>
                <w14:textFill>
                  <w14:solidFill>
                    <w14:schemeClr w14:val="tx1"/>
                  </w14:solidFill>
                </w14:textFill>
              </w:rPr>
              <w:t>5</w:t>
            </w:r>
          </w:p>
        </w:tc>
        <w:tc>
          <w:tcPr>
            <w:tcW w:w="785" w:type="pct"/>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p>
        </w:tc>
        <w:tc>
          <w:tcPr>
            <w:tcW w:w="786" w:type="pct"/>
            <w:tcBorders>
              <w:top w:val="single" w:color="auto" w:sz="12" w:space="0"/>
              <w:left w:val="single" w:color="auto" w:sz="4" w:space="0"/>
              <w:bottom w:val="single" w:color="auto" w:sz="4" w:space="0"/>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石油类</w:t>
            </w:r>
          </w:p>
        </w:tc>
        <w:tc>
          <w:tcPr>
            <w:tcW w:w="1073" w:type="pct"/>
            <w:tcBorders>
              <w:top w:val="single" w:color="auto" w:sz="12" w:space="0"/>
              <w:left w:val="single" w:color="auto" w:sz="4" w:space="0"/>
              <w:bottom w:val="single" w:color="auto" w:sz="4" w:space="0"/>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T</w:t>
            </w:r>
            <w:r>
              <w:rPr>
                <w:rFonts w:eastAsia="宋体"/>
                <w:color w:val="000000" w:themeColor="text1"/>
                <w:sz w:val="21"/>
                <w:szCs w:val="21"/>
                <w14:textFill>
                  <w14:solidFill>
                    <w14:schemeClr w14:val="tx1"/>
                  </w14:solidFill>
                </w14:textFill>
              </w:rPr>
              <w: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73" w:type="pct"/>
            <w:tcBorders>
              <w:top w:val="single" w:color="auto" w:sz="4" w:space="0"/>
              <w:left w:val="nil"/>
              <w:bottom w:val="single" w:color="auto" w:sz="12"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Ⅳ类标准</w:t>
            </w:r>
          </w:p>
        </w:tc>
        <w:tc>
          <w:tcPr>
            <w:tcW w:w="438" w:type="pct"/>
            <w:tcBorders>
              <w:top w:val="single" w:color="auto" w:sz="4" w:space="0"/>
              <w:left w:val="single" w:color="auto" w:sz="4" w:space="0"/>
              <w:bottom w:val="single" w:color="auto" w:sz="12"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w:t>
            </w:r>
          </w:p>
        </w:tc>
        <w:tc>
          <w:tcPr>
            <w:tcW w:w="596" w:type="pct"/>
            <w:tcBorders>
              <w:top w:val="single" w:color="auto" w:sz="4" w:space="0"/>
              <w:left w:val="single" w:color="auto" w:sz="4" w:space="0"/>
              <w:bottom w:val="single" w:color="auto" w:sz="12"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550" w:type="pct"/>
            <w:tcBorders>
              <w:top w:val="single" w:color="auto" w:sz="4" w:space="0"/>
              <w:left w:val="single" w:color="auto" w:sz="4" w:space="0"/>
              <w:bottom w:val="single" w:color="auto" w:sz="12"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785" w:type="pct"/>
            <w:tcBorders>
              <w:top w:val="single" w:color="auto" w:sz="4" w:space="0"/>
              <w:left w:val="single" w:color="auto" w:sz="4" w:space="0"/>
              <w:bottom w:val="single" w:color="auto" w:sz="12" w:space="0"/>
              <w:right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786" w:type="pct"/>
            <w:tcBorders>
              <w:top w:val="single" w:color="auto" w:sz="4" w:space="0"/>
              <w:left w:val="single" w:color="auto" w:sz="4" w:space="0"/>
              <w:bottom w:val="single" w:color="auto" w:sz="12" w:space="0"/>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w:t>
            </w:r>
          </w:p>
        </w:tc>
        <w:tc>
          <w:tcPr>
            <w:tcW w:w="1073" w:type="pct"/>
            <w:tcBorders>
              <w:top w:val="single" w:color="auto" w:sz="4" w:space="0"/>
              <w:left w:val="single" w:color="auto" w:sz="4" w:space="0"/>
              <w:bottom w:val="single" w:color="auto" w:sz="12" w:space="0"/>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（3）地下水环境质量标准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项目所在区域地下水环境执行《地下水质量标准》（GB/T 14848 -2017）Ⅲ类标准。见表1.5-3。</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表1.5-3  地下水环境质量标准   单位：mg/L</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749"/>
        <w:gridCol w:w="1417"/>
        <w:gridCol w:w="709"/>
        <w:gridCol w:w="2780"/>
        <w:gridCol w:w="1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749"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1417"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标准值</w:t>
            </w:r>
          </w:p>
        </w:tc>
        <w:tc>
          <w:tcPr>
            <w:tcW w:w="709"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2780"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1255" w:type="dxa"/>
            <w:vAlign w:val="center"/>
          </w:tcPr>
          <w:p>
            <w:pPr>
              <w:pStyle w:val="298"/>
              <w:spacing w:line="24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pH（无量纲）</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6.5~8.5</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溶解性总固体</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耗氧量</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硝酸盐</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硫酸盐</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亚硝酸盐</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氯化物</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挥发性酚类</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总大肠菌群（</w:t>
            </w:r>
            <w:r>
              <w:rPr>
                <w:snapToGrid w:val="0"/>
                <w:color w:val="000000" w:themeColor="text1"/>
                <w:sz w:val="21"/>
                <w:szCs w:val="21"/>
                <w14:textFill>
                  <w14:solidFill>
                    <w14:schemeClr w14:val="tx1"/>
                  </w14:solidFill>
                </w14:textFill>
              </w:rPr>
              <w:t>CFU/100ml</w:t>
            </w:r>
            <w:r>
              <w:rPr>
                <w:color w:val="000000" w:themeColor="text1"/>
                <w:sz w:val="21"/>
                <w:szCs w:val="21"/>
                <w14:textFill>
                  <w14:solidFill>
                    <w14:schemeClr w14:val="tx1"/>
                  </w14:solidFill>
                </w14:textFill>
              </w:rPr>
              <w:t>）</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氰化物</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菌落总数（</w:t>
            </w:r>
            <w:r>
              <w:rPr>
                <w:snapToGrid w:val="0"/>
                <w:color w:val="000000" w:themeColor="text1"/>
                <w:sz w:val="21"/>
                <w:szCs w:val="21"/>
                <w14:textFill>
                  <w14:solidFill>
                    <w14:schemeClr w14:val="tx1"/>
                  </w14:solidFill>
                </w14:textFill>
              </w:rPr>
              <w:t>CFU/ml</w:t>
            </w:r>
            <w:r>
              <w:rPr>
                <w:color w:val="000000" w:themeColor="text1"/>
                <w:sz w:val="21"/>
                <w:szCs w:val="21"/>
                <w14:textFill>
                  <w14:solidFill>
                    <w14:schemeClr w14:val="tx1"/>
                  </w14:solidFill>
                </w14:textFill>
              </w:rPr>
              <w:t>）</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阴离子表面活性剂</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硫化物</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铬（六价）</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甲苯（</w:t>
            </w:r>
            <w:r>
              <w:rPr>
                <w:snapToGrid w:val="0"/>
                <w:color w:val="000000" w:themeColor="text1"/>
                <w:sz w:val="21"/>
                <w:szCs w:val="21"/>
                <w14:textFill>
                  <w14:solidFill>
                    <w14:schemeClr w14:val="tx1"/>
                  </w14:solidFill>
                </w14:textFill>
              </w:rPr>
              <w:t>μg/L</w:t>
            </w:r>
            <w:r>
              <w:rPr>
                <w:color w:val="000000" w:themeColor="text1"/>
                <w:sz w:val="21"/>
                <w:szCs w:val="21"/>
                <w14:textFill>
                  <w14:solidFill>
                    <w14:schemeClr w14:val="tx1"/>
                  </w14:solidFill>
                </w14:textFill>
              </w:rPr>
              <w:t>）</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总硬度</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苯（</w:t>
            </w:r>
            <w:r>
              <w:rPr>
                <w:snapToGrid w:val="0"/>
                <w:color w:val="000000" w:themeColor="text1"/>
                <w:sz w:val="21"/>
                <w:szCs w:val="21"/>
                <w14:textFill>
                  <w14:solidFill>
                    <w14:schemeClr w14:val="tx1"/>
                  </w14:solidFill>
                </w14:textFill>
              </w:rPr>
              <w:t>μg/L</w:t>
            </w:r>
            <w:r>
              <w:rPr>
                <w:color w:val="000000" w:themeColor="text1"/>
                <w:sz w:val="21"/>
                <w:szCs w:val="21"/>
                <w14:textFill>
                  <w14:solidFill>
                    <w14:schemeClr w14:val="tx1"/>
                  </w14:solidFill>
                </w14:textFill>
              </w:rPr>
              <w:t>）</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镍</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氟化物</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铜</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镉</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锌</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石油类</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174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锰</w:t>
            </w:r>
          </w:p>
        </w:tc>
        <w:tc>
          <w:tcPr>
            <w:tcW w:w="1417"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≤0.10</w:t>
            </w:r>
          </w:p>
        </w:tc>
        <w:tc>
          <w:tcPr>
            <w:tcW w:w="709"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780"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255" w:type="dxa"/>
            <w:vAlign w:val="center"/>
          </w:tcPr>
          <w:p>
            <w:pPr>
              <w:pStyle w:val="298"/>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（4）声环境质量标准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w:t>
      </w:r>
      <w:r>
        <w:rPr>
          <w:rFonts w:eastAsia="宋体"/>
          <w:color w:val="000000" w:themeColor="text1"/>
          <w:lang w:bidi="zh-CN"/>
          <w14:textFill>
            <w14:solidFill>
              <w14:schemeClr w14:val="tx1"/>
            </w14:solidFill>
          </w14:textFill>
        </w:rPr>
        <w:t>1号地块位于</w:t>
      </w:r>
      <w:r>
        <w:rPr>
          <w:rFonts w:eastAsia="宋体"/>
          <w:color w:val="000000" w:themeColor="text1"/>
          <w14:textFill>
            <w14:solidFill>
              <w14:schemeClr w14:val="tx1"/>
            </w14:solidFill>
          </w14:textFill>
        </w:rPr>
        <w:t>重庆市大足区邮亭镇天堂</w:t>
      </w:r>
      <w:r>
        <w:rPr>
          <w:rFonts w:hint="eastAsia" w:eastAsia="宋体"/>
          <w:color w:val="000000" w:themeColor="text1"/>
          <w:lang w:eastAsia="zh-CN"/>
          <w14:textFill>
            <w14:solidFill>
              <w14:schemeClr w14:val="tx1"/>
            </w14:solidFill>
          </w14:textFill>
        </w:rPr>
        <w:t>村九组</w:t>
      </w:r>
      <w:r>
        <w:rPr>
          <w:rFonts w:eastAsia="宋体"/>
          <w:color w:val="000000" w:themeColor="text1"/>
          <w14:textFill>
            <w14:solidFill>
              <w14:schemeClr w14:val="tx1"/>
            </w14:solidFill>
          </w14:textFill>
        </w:rPr>
        <w:t>129号</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北侧为天红路</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2号地块位于重庆市大足区邮亭镇工业园区烈火村17组</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西侧为驿新大道。根据《重庆市大足区人民政府关于印发大足区“十四五”声环境功能区划分调整方案的通知》（大足府发〔2023〕20号），驿新大道、天红路两侧属于4a类声环境功能区，执行《声环境质量标准》（GB3096-2008）中4a类标准；项目1号地块东、南、西侧，2号地块东、南、北侧属于3类声环境功能区，执行《声环境质量标准》（GB3096-2008）3类标准。详见表1.5-4。</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表1.5-4  声环境质量标准  单位：dB（A）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62"/>
        <w:gridCol w:w="1743"/>
        <w:gridCol w:w="4351"/>
        <w:gridCol w:w="1163"/>
        <w:gridCol w:w="82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572" w:type="pct"/>
            <w:gridSpan w:val="2"/>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位置</w:t>
            </w:r>
          </w:p>
        </w:tc>
        <w:tc>
          <w:tcPr>
            <w:tcW w:w="2354"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标准</w:t>
            </w:r>
          </w:p>
        </w:tc>
        <w:tc>
          <w:tcPr>
            <w:tcW w:w="629"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昼间</w:t>
            </w:r>
          </w:p>
        </w:tc>
        <w:tc>
          <w:tcPr>
            <w:tcW w:w="445"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1号地块</w:t>
            </w:r>
          </w:p>
        </w:tc>
        <w:tc>
          <w:tcPr>
            <w:tcW w:w="94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东、南、西侧</w:t>
            </w:r>
          </w:p>
        </w:tc>
        <w:tc>
          <w:tcPr>
            <w:tcW w:w="2354"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《声环境质量标准》（GB3096-2008）3类</w:t>
            </w:r>
          </w:p>
        </w:tc>
        <w:tc>
          <w:tcPr>
            <w:tcW w:w="62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w:t>
            </w:r>
          </w:p>
        </w:tc>
        <w:tc>
          <w:tcPr>
            <w:tcW w:w="445"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9" w:type="pct"/>
            <w:vMerge w:val="continue"/>
            <w:vAlign w:val="center"/>
          </w:tcPr>
          <w:p>
            <w:pPr>
              <w:pStyle w:val="182"/>
              <w:rPr>
                <w:rFonts w:eastAsia="宋体"/>
                <w:color w:val="000000" w:themeColor="text1"/>
                <w14:textFill>
                  <w14:solidFill>
                    <w14:schemeClr w14:val="tx1"/>
                  </w14:solidFill>
                </w14:textFill>
              </w:rPr>
            </w:pPr>
          </w:p>
        </w:tc>
        <w:tc>
          <w:tcPr>
            <w:tcW w:w="94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北侧</w:t>
            </w:r>
          </w:p>
        </w:tc>
        <w:tc>
          <w:tcPr>
            <w:tcW w:w="2354"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《声环境质量标准》（GB3096-2008）4a类</w:t>
            </w:r>
          </w:p>
        </w:tc>
        <w:tc>
          <w:tcPr>
            <w:tcW w:w="62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445"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9"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w:t>
            </w:r>
          </w:p>
        </w:tc>
        <w:tc>
          <w:tcPr>
            <w:tcW w:w="94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东、南、北侧</w:t>
            </w:r>
          </w:p>
        </w:tc>
        <w:tc>
          <w:tcPr>
            <w:tcW w:w="2354"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《声环境质量标准》（GB3096-2008）3类</w:t>
            </w:r>
          </w:p>
        </w:tc>
        <w:tc>
          <w:tcPr>
            <w:tcW w:w="62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w:t>
            </w:r>
          </w:p>
        </w:tc>
        <w:tc>
          <w:tcPr>
            <w:tcW w:w="445"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9" w:type="pct"/>
            <w:vMerge w:val="continue"/>
            <w:tcBorders>
              <w:bottom w:val="single" w:color="auto" w:sz="12" w:space="0"/>
            </w:tcBorders>
            <w:vAlign w:val="center"/>
          </w:tcPr>
          <w:p>
            <w:pPr>
              <w:pStyle w:val="182"/>
              <w:jc w:val="both"/>
              <w:rPr>
                <w:rFonts w:eastAsia="宋体"/>
                <w:color w:val="000000" w:themeColor="text1"/>
                <w14:textFill>
                  <w14:solidFill>
                    <w14:schemeClr w14:val="tx1"/>
                  </w14:solidFill>
                </w14:textFill>
              </w:rPr>
            </w:pPr>
          </w:p>
        </w:tc>
        <w:tc>
          <w:tcPr>
            <w:tcW w:w="943"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西侧</w:t>
            </w:r>
          </w:p>
        </w:tc>
        <w:tc>
          <w:tcPr>
            <w:tcW w:w="2354"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《声环境质量标准》（GB3096-2008）4a类</w:t>
            </w:r>
          </w:p>
        </w:tc>
        <w:tc>
          <w:tcPr>
            <w:tcW w:w="629"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445" w:type="pct"/>
            <w:tcBorders>
              <w:bottom w:val="single" w:color="auto" w:sz="12" w:space="0"/>
            </w:tcBorders>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r>
    </w:tbl>
    <w:p>
      <w:pPr>
        <w:ind w:firstLine="480"/>
        <w:rPr>
          <w:rFonts w:eastAsia="宋体"/>
          <w:color w:val="000000" w:themeColor="text1"/>
          <w14:textFill>
            <w14:solidFill>
              <w14:schemeClr w14:val="tx1"/>
            </w14:solidFill>
          </w14:textFill>
        </w:rPr>
      </w:pPr>
      <w:bookmarkStart w:id="61" w:name="_Toc7568"/>
      <w:bookmarkStart w:id="62" w:name="_Toc490235515"/>
      <w:bookmarkStart w:id="63" w:name="_Toc489281014"/>
      <w:r>
        <w:rPr>
          <w:rFonts w:eastAsia="宋体"/>
          <w:color w:val="000000" w:themeColor="text1"/>
          <w14:textFill>
            <w14:solidFill>
              <w14:schemeClr w14:val="tx1"/>
            </w14:solidFill>
          </w14:textFill>
        </w:rPr>
        <w:t>（5）土壤环境质量标准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项目2号地块属于工业用地，执行《土壤环境质量 建设用地土壤污染风险管控标准（试行）》（GB 36600-2018）中第二类用地筛选值的要求。详见表1.5-5。</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表1.5-5  土壤环境质量标准  单位：mg/kg</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438"/>
        <w:gridCol w:w="1893"/>
        <w:gridCol w:w="871"/>
        <w:gridCol w:w="869"/>
        <w:gridCol w:w="1174"/>
        <w:gridCol w:w="2317"/>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261" w:type="pct"/>
            <w:gridSpan w:val="2"/>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检测项目</w:t>
            </w:r>
          </w:p>
        </w:tc>
        <w:tc>
          <w:tcPr>
            <w:tcW w:w="471" w:type="pct"/>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筛选值</w:t>
            </w:r>
          </w:p>
        </w:tc>
        <w:tc>
          <w:tcPr>
            <w:tcW w:w="470" w:type="pct"/>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888" w:type="pct"/>
            <w:gridSpan w:val="2"/>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检测项目</w:t>
            </w:r>
          </w:p>
        </w:tc>
        <w:tc>
          <w:tcPr>
            <w:tcW w:w="520" w:type="pct"/>
            <w:shd w:val="clear" w:color="auto" w:fill="auto"/>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w:t>
            </w:r>
          </w:p>
        </w:tc>
        <w:tc>
          <w:tcPr>
            <w:tcW w:w="237" w:type="pct"/>
            <w:vMerge w:val="restar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重金属和无机物</w:t>
            </w: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铜</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18000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24</w:t>
            </w:r>
          </w:p>
        </w:tc>
        <w:tc>
          <w:tcPr>
            <w:tcW w:w="635" w:type="pct"/>
            <w:vMerge w:val="restar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挥发性有机物</w:t>
            </w: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1,2,3-三氯丙烷</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镍</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900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25</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氯乙烯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镉</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65</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26</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27</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氯苯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铅</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800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28</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1,2-二氯苯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汞</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38</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29</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1,4-二氯苯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7</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六价铬</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5.7</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30</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乙苯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8</w:t>
            </w:r>
          </w:p>
        </w:tc>
        <w:tc>
          <w:tcPr>
            <w:tcW w:w="237" w:type="pct"/>
            <w:vMerge w:val="restar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挥发性有机物</w:t>
            </w: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四氯化碳</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2.8</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31</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苯乙烯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氯仿</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0.9</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32</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甲苯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10</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氯甲烷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37</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33</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间二甲苯+对二甲苯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1,1-二氯乙烷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34</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邻二甲苯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1,2-二氯乙烷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35</w:t>
            </w:r>
          </w:p>
        </w:tc>
        <w:tc>
          <w:tcPr>
            <w:tcW w:w="635" w:type="pct"/>
            <w:vMerge w:val="restar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半挥发性有机物</w:t>
            </w: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硝基苯</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13</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1,1-二氯乙烯</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66</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36</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苯胺</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14</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顺-1,2-二氯乙烯</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596</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37</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2-氯酚</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反-1,2-二氯乙烯</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54</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38</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苯并[a]蒽</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16</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二氯甲烷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616</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39</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苯并[a]芘</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17</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1,2-二氯丙烷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40</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苯并[b]荧蒽</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18</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1,1,1,2-四氯乙烷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41</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苯并[k]荧蒽</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19</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1,1,2,2-四氯乙烷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6.8</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42</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䓛</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20</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四氯乙烯</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53</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43</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二苯并[a,h]蒽</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21</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1,1,1-三氯乙烷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840</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44</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茚并[1,2,3-cd]芘</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22</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1,1,2-三氯乙烷</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2.8</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45</w:t>
            </w:r>
          </w:p>
        </w:tc>
        <w:tc>
          <w:tcPr>
            <w:tcW w:w="635"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萘</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23</w:t>
            </w:r>
          </w:p>
        </w:tc>
        <w:tc>
          <w:tcPr>
            <w:tcW w:w="237" w:type="pct"/>
            <w:vMerge w:val="continue"/>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p>
        </w:tc>
        <w:tc>
          <w:tcPr>
            <w:tcW w:w="1024"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三氯乙烯</w:t>
            </w:r>
          </w:p>
        </w:tc>
        <w:tc>
          <w:tcPr>
            <w:tcW w:w="471"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2.8</w:t>
            </w:r>
          </w:p>
        </w:tc>
        <w:tc>
          <w:tcPr>
            <w:tcW w:w="47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44</w:t>
            </w:r>
          </w:p>
        </w:tc>
        <w:tc>
          <w:tcPr>
            <w:tcW w:w="635"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石油烃类</w:t>
            </w:r>
          </w:p>
        </w:tc>
        <w:tc>
          <w:tcPr>
            <w:tcW w:w="1253"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石油烃（C10~C40）</w:t>
            </w:r>
          </w:p>
        </w:tc>
        <w:tc>
          <w:tcPr>
            <w:tcW w:w="520" w:type="pct"/>
            <w:shd w:val="clear" w:color="auto" w:fill="auto"/>
            <w:vAlign w:val="center"/>
          </w:tcPr>
          <w:p>
            <w:pPr>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4500</w:t>
            </w:r>
          </w:p>
        </w:tc>
      </w:tr>
    </w:tbl>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1.5.2污染物排放标准</w:t>
      </w:r>
      <w:bookmarkEnd w:id="61"/>
      <w:bookmarkEnd w:id="62"/>
      <w:bookmarkEnd w:id="63"/>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（1）废气排放标准</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本项目1号地块周边2</w:t>
      </w:r>
      <w:r>
        <w:rPr>
          <w:rFonts w:eastAsia="宋体"/>
          <w:color w:val="000000" w:themeColor="text1"/>
          <w14:textFill>
            <w14:solidFill>
              <w14:schemeClr w14:val="tx1"/>
            </w14:solidFill>
          </w14:textFill>
        </w:rPr>
        <w:t>00</w:t>
      </w:r>
      <w:r>
        <w:rPr>
          <w:rFonts w:hint="eastAsia" w:eastAsia="宋体"/>
          <w:color w:val="000000" w:themeColor="text1"/>
          <w14:textFill>
            <w14:solidFill>
              <w14:schemeClr w14:val="tx1"/>
            </w14:solidFill>
          </w14:textFill>
        </w:rPr>
        <w:t>m范围内最高建筑约1</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m，1号地块排气筒设置高度为2</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m；2号地块周边2</w:t>
      </w:r>
      <w:r>
        <w:rPr>
          <w:rFonts w:eastAsia="宋体"/>
          <w:color w:val="000000" w:themeColor="text1"/>
          <w14:textFill>
            <w14:solidFill>
              <w14:schemeClr w14:val="tx1"/>
            </w14:solidFill>
          </w14:textFill>
        </w:rPr>
        <w:t>00</w:t>
      </w:r>
      <w:r>
        <w:rPr>
          <w:rFonts w:hint="eastAsia" w:eastAsia="宋体"/>
          <w:color w:val="000000" w:themeColor="text1"/>
          <w14:textFill>
            <w14:solidFill>
              <w14:schemeClr w14:val="tx1"/>
            </w14:solidFill>
          </w14:textFill>
        </w:rPr>
        <w:t>m范围内最高建筑约9m，2号地块排气筒设置高度为1</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m。</w:t>
      </w:r>
      <w:r>
        <w:rPr>
          <w:rFonts w:eastAsia="宋体"/>
          <w:color w:val="000000" w:themeColor="text1"/>
          <w14:textFill>
            <w14:solidFill>
              <w14:schemeClr w14:val="tx1"/>
            </w14:solidFill>
          </w14:textFill>
        </w:rPr>
        <w:t>本项目运营期焊接、</w:t>
      </w:r>
      <w:r>
        <w:rPr>
          <w:rFonts w:hint="eastAsia" w:eastAsia="宋体"/>
          <w:color w:val="000000" w:themeColor="text1"/>
          <w14:textFill>
            <w14:solidFill>
              <w14:schemeClr w14:val="tx1"/>
            </w14:solidFill>
          </w14:textFill>
        </w:rPr>
        <w:t>切割下料</w:t>
      </w:r>
      <w:r>
        <w:rPr>
          <w:rFonts w:eastAsia="宋体"/>
          <w:color w:val="000000" w:themeColor="text1"/>
          <w14:textFill>
            <w14:solidFill>
              <w14:schemeClr w14:val="tx1"/>
            </w14:solidFill>
          </w14:textFill>
        </w:rPr>
        <w:t>、喷砂工序产生的颗粒物、</w:t>
      </w:r>
      <w:r>
        <w:rPr>
          <w:rFonts w:hint="eastAsia" w:eastAsia="宋体"/>
          <w:color w:val="000000" w:themeColor="text1"/>
          <w14:textFill>
            <w14:solidFill>
              <w14:schemeClr w14:val="tx1"/>
            </w14:solidFill>
          </w14:textFill>
        </w:rPr>
        <w:t>涂装</w:t>
      </w:r>
      <w:r>
        <w:rPr>
          <w:rFonts w:eastAsia="宋体"/>
          <w:color w:val="000000" w:themeColor="text1"/>
          <w14:textFill>
            <w14:solidFill>
              <w14:schemeClr w14:val="tx1"/>
            </w14:solidFill>
          </w14:textFill>
        </w:rPr>
        <w:t>过程产生的非甲烷总烃、甲苯、二甲苯、颗粒物执行重庆市《大气污染物综合排放标准》（DB 50/418-2016）相关标准限值；恶臭气体执行《恶臭污染物排放标准》（GB 14554-93）标准要求；厂区内挥发性有机物无组织排放监控要求执行《挥发性有机物无组织排放控制标准》（GB 37822-2019）标准要求；食堂油烟执行《餐饮业大气污染物排放标准》（DB 50/859-2018）标准要求</w:t>
      </w:r>
      <w:r>
        <w:rPr>
          <w:rFonts w:hint="eastAsia" w:eastAsia="宋体"/>
          <w:color w:val="000000" w:themeColor="text1"/>
          <w14:textFill>
            <w14:solidFill>
              <w14:schemeClr w14:val="tx1"/>
            </w14:solidFill>
          </w14:textFill>
        </w:rPr>
        <w:t>，项目2个食堂均属于小型食堂，油烟和非甲烷总烃的去除效率分别应不低于9</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、6</w:t>
      </w:r>
      <w:r>
        <w:rPr>
          <w:rFonts w:eastAsia="宋体"/>
          <w:color w:val="000000" w:themeColor="text1"/>
          <w14:textFill>
            <w14:solidFill>
              <w14:schemeClr w14:val="tx1"/>
            </w14:solidFill>
          </w14:textFill>
        </w:rPr>
        <w:t>5%。详见表1.5-6。</w:t>
      </w:r>
    </w:p>
    <w:p>
      <w:pPr>
        <w:pStyle w:val="184"/>
        <w:spacing w:line="240" w:lineRule="auto"/>
        <w:rPr>
          <w:rFonts w:eastAsia="宋体"/>
          <w:color w:val="000000" w:themeColor="text1"/>
          <w14:textFill>
            <w14:solidFill>
              <w14:schemeClr w14:val="tx1"/>
            </w14:solidFill>
          </w14:textFill>
        </w:rPr>
      </w:pP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表1.5-6  大气污染物排放标准一览表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1017"/>
        <w:gridCol w:w="1451"/>
        <w:gridCol w:w="1163"/>
        <w:gridCol w:w="1161"/>
        <w:gridCol w:w="1741"/>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标准出处</w:t>
            </w:r>
          </w:p>
        </w:tc>
        <w:tc>
          <w:tcPr>
            <w:tcW w:w="550"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污染物</w:t>
            </w:r>
          </w:p>
        </w:tc>
        <w:tc>
          <w:tcPr>
            <w:tcW w:w="785"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最高允许排放浓度（mg/m</w:t>
            </w:r>
            <w:r>
              <w:rPr>
                <w:b/>
                <w:color w:val="000000" w:themeColor="text1"/>
                <w:kern w:val="2"/>
                <w:sz w:val="21"/>
                <w:szCs w:val="21"/>
                <w:vertAlign w:val="superscript"/>
                <w14:textFill>
                  <w14:solidFill>
                    <w14:schemeClr w14:val="tx1"/>
                  </w14:solidFill>
                </w14:textFill>
              </w:rPr>
              <w:t>3</w:t>
            </w:r>
            <w:r>
              <w:rPr>
                <w:b/>
                <w:color w:val="000000" w:themeColor="text1"/>
                <w:kern w:val="2"/>
                <w:sz w:val="21"/>
                <w:szCs w:val="21"/>
                <w14:textFill>
                  <w14:solidFill>
                    <w14:schemeClr w14:val="tx1"/>
                  </w14:solidFill>
                </w14:textFill>
              </w:rPr>
              <w:t>）</w:t>
            </w:r>
          </w:p>
        </w:tc>
        <w:tc>
          <w:tcPr>
            <w:tcW w:w="629"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排气筒高度（m）</w:t>
            </w:r>
          </w:p>
        </w:tc>
        <w:tc>
          <w:tcPr>
            <w:tcW w:w="628"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最高允许排放速率（kg/h）</w:t>
            </w:r>
          </w:p>
        </w:tc>
        <w:tc>
          <w:tcPr>
            <w:tcW w:w="942"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无组织排放监控点浓度限值（mg/m</w:t>
            </w:r>
            <w:r>
              <w:rPr>
                <w:b/>
                <w:color w:val="000000" w:themeColor="text1"/>
                <w:kern w:val="2"/>
                <w:sz w:val="21"/>
                <w:szCs w:val="21"/>
                <w:vertAlign w:val="superscript"/>
                <w14:textFill>
                  <w14:solidFill>
                    <w14:schemeClr w14:val="tx1"/>
                  </w14:solidFill>
                </w14:textFill>
              </w:rPr>
              <w:t>3</w:t>
            </w:r>
            <w:r>
              <w:rPr>
                <w:b/>
                <w:color w:val="000000" w:themeColor="text1"/>
                <w:kern w:val="2"/>
                <w:sz w:val="21"/>
                <w:szCs w:val="21"/>
                <w14:textFill>
                  <w14:solidFill>
                    <w14:schemeClr w14:val="tx1"/>
                  </w14:solidFill>
                </w14:textFill>
              </w:rPr>
              <w:t>）</w:t>
            </w:r>
          </w:p>
        </w:tc>
        <w:tc>
          <w:tcPr>
            <w:tcW w:w="524" w:type="pct"/>
            <w:vAlign w:val="center"/>
          </w:tcPr>
          <w:p>
            <w:pPr>
              <w:pStyle w:val="270"/>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《大气污染物综合排放标准》（DB 50/418-2016）</w:t>
            </w:r>
          </w:p>
        </w:tc>
        <w:tc>
          <w:tcPr>
            <w:tcW w:w="550"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非甲烷总烃</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120</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52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50"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甲苯</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3.1</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2.4</w:t>
            </w:r>
          </w:p>
        </w:tc>
        <w:tc>
          <w:tcPr>
            <w:tcW w:w="52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50"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二甲苯</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70</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1.2</w:t>
            </w:r>
          </w:p>
        </w:tc>
        <w:tc>
          <w:tcPr>
            <w:tcW w:w="52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50"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颗粒物</w:t>
            </w:r>
          </w:p>
        </w:tc>
        <w:tc>
          <w:tcPr>
            <w:tcW w:w="785"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120</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3.5</w:t>
            </w:r>
          </w:p>
        </w:tc>
        <w:tc>
          <w:tcPr>
            <w:tcW w:w="942"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524"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50" w:type="pct"/>
            <w:vMerge w:val="continue"/>
            <w:vAlign w:val="center"/>
          </w:tcPr>
          <w:p>
            <w:pPr>
              <w:pStyle w:val="270"/>
              <w:rPr>
                <w:color w:val="000000" w:themeColor="text1"/>
                <w:kern w:val="2"/>
                <w:sz w:val="21"/>
                <w:szCs w:val="21"/>
                <w14:textFill>
                  <w14:solidFill>
                    <w14:schemeClr w14:val="tx1"/>
                  </w14:solidFill>
                </w14:textFill>
              </w:rPr>
            </w:pPr>
          </w:p>
        </w:tc>
        <w:tc>
          <w:tcPr>
            <w:tcW w:w="785" w:type="pct"/>
            <w:vMerge w:val="continue"/>
            <w:vAlign w:val="center"/>
          </w:tcPr>
          <w:p>
            <w:pPr>
              <w:pStyle w:val="270"/>
              <w:rPr>
                <w:color w:val="000000" w:themeColor="text1"/>
                <w:kern w:val="2"/>
                <w:sz w:val="21"/>
                <w:szCs w:val="21"/>
                <w14:textFill>
                  <w14:solidFill>
                    <w14:schemeClr w14:val="tx1"/>
                  </w14:solidFill>
                </w14:textFill>
              </w:rPr>
            </w:pPr>
          </w:p>
        </w:tc>
        <w:tc>
          <w:tcPr>
            <w:tcW w:w="629" w:type="pct"/>
            <w:vAlign w:val="center"/>
          </w:tcPr>
          <w:p>
            <w:pPr>
              <w:pStyle w:val="27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w:t>
            </w:r>
            <w:r>
              <w:rPr>
                <w:color w:val="000000" w:themeColor="text1"/>
                <w:kern w:val="2"/>
                <w:sz w:val="21"/>
                <w:szCs w:val="21"/>
                <w14:textFill>
                  <w14:solidFill>
                    <w14:schemeClr w14:val="tx1"/>
                  </w14:solidFill>
                </w14:textFill>
              </w:rPr>
              <w:t>0</w:t>
            </w:r>
          </w:p>
        </w:tc>
        <w:tc>
          <w:tcPr>
            <w:tcW w:w="628" w:type="pct"/>
            <w:vAlign w:val="center"/>
          </w:tcPr>
          <w:p>
            <w:pPr>
              <w:pStyle w:val="27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5</w:t>
            </w:r>
            <w:r>
              <w:rPr>
                <w:color w:val="000000" w:themeColor="text1"/>
                <w:kern w:val="2"/>
                <w:sz w:val="21"/>
                <w:szCs w:val="21"/>
                <w14:textFill>
                  <w14:solidFill>
                    <w14:schemeClr w14:val="tx1"/>
                  </w14:solidFill>
                </w14:textFill>
              </w:rPr>
              <w:t>.9</w:t>
            </w:r>
          </w:p>
        </w:tc>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24" w:type="pct"/>
            <w:vMerge w:val="continue"/>
            <w:vAlign w:val="center"/>
          </w:tcPr>
          <w:p>
            <w:pPr>
              <w:pStyle w:val="270"/>
              <w:rPr>
                <w:color w:val="000000" w:themeColor="text1"/>
                <w:kern w:val="2"/>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sz w:val="21"/>
                <w:szCs w:val="21"/>
                <w14:textFill>
                  <w14:solidFill>
                    <w14:schemeClr w14:val="tx1"/>
                  </w14:solidFill>
                </w14:textFill>
              </w:rPr>
              <w:t>《挥发性有机物无组织排放控制标准》（GB 37822-2019）</w:t>
            </w:r>
          </w:p>
        </w:tc>
        <w:tc>
          <w:tcPr>
            <w:tcW w:w="550"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非甲烷总烃</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10（监测点处1h平均浓度值）</w:t>
            </w:r>
          </w:p>
        </w:tc>
        <w:tc>
          <w:tcPr>
            <w:tcW w:w="524"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厂区外设置监测点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sz w:val="21"/>
                <w:szCs w:val="21"/>
                <w14:textFill>
                  <w14:solidFill>
                    <w14:schemeClr w14:val="tx1"/>
                  </w14:solidFill>
                </w14:textFill>
              </w:rPr>
            </w:pPr>
          </w:p>
        </w:tc>
        <w:tc>
          <w:tcPr>
            <w:tcW w:w="550" w:type="pct"/>
            <w:vMerge w:val="continue"/>
            <w:vAlign w:val="center"/>
          </w:tcPr>
          <w:p>
            <w:pPr>
              <w:pStyle w:val="270"/>
              <w:rPr>
                <w:color w:val="000000" w:themeColor="text1"/>
                <w:kern w:val="2"/>
                <w:sz w:val="21"/>
                <w:szCs w:val="21"/>
                <w14:textFill>
                  <w14:solidFill>
                    <w14:schemeClr w14:val="tx1"/>
                  </w14:solidFill>
                </w14:textFill>
              </w:rPr>
            </w:pP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30（监控点位任意一次浓度值）</w:t>
            </w:r>
          </w:p>
        </w:tc>
        <w:tc>
          <w:tcPr>
            <w:tcW w:w="524" w:type="pct"/>
            <w:vMerge w:val="continue"/>
            <w:vAlign w:val="center"/>
          </w:tcPr>
          <w:p>
            <w:pPr>
              <w:pStyle w:val="270"/>
              <w:rPr>
                <w:color w:val="000000" w:themeColor="text1"/>
                <w:kern w:val="2"/>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sz w:val="21"/>
                <w:szCs w:val="21"/>
                <w14:textFill>
                  <w14:solidFill>
                    <w14:schemeClr w14:val="tx1"/>
                  </w14:solidFill>
                </w14:textFill>
              </w:rPr>
              <w:t>《恶臭污染物排放标准》（GB 14554-93）</w:t>
            </w:r>
          </w:p>
        </w:tc>
        <w:tc>
          <w:tcPr>
            <w:tcW w:w="550"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臭气浓度</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2000（无量纲）</w:t>
            </w:r>
          </w:p>
        </w:tc>
        <w:tc>
          <w:tcPr>
            <w:tcW w:w="629"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42"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20（无量纲）</w:t>
            </w:r>
          </w:p>
        </w:tc>
        <w:tc>
          <w:tcPr>
            <w:tcW w:w="524"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企业边界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sz w:val="21"/>
                <w:szCs w:val="21"/>
                <w14:textFill>
                  <w14:solidFill>
                    <w14:schemeClr w14:val="tx1"/>
                  </w14:solidFill>
                </w14:textFill>
              </w:rPr>
            </w:pPr>
          </w:p>
        </w:tc>
        <w:tc>
          <w:tcPr>
            <w:tcW w:w="550" w:type="pct"/>
            <w:vMerge w:val="continue"/>
            <w:vAlign w:val="center"/>
          </w:tcPr>
          <w:p>
            <w:pPr>
              <w:pStyle w:val="270"/>
              <w:rPr>
                <w:color w:val="000000" w:themeColor="text1"/>
                <w:kern w:val="2"/>
                <w:sz w:val="21"/>
                <w:szCs w:val="21"/>
                <w14:textFill>
                  <w14:solidFill>
                    <w14:schemeClr w14:val="tx1"/>
                  </w14:solidFill>
                </w14:textFill>
              </w:rPr>
            </w:pPr>
          </w:p>
        </w:tc>
        <w:tc>
          <w:tcPr>
            <w:tcW w:w="785" w:type="pct"/>
            <w:vAlign w:val="center"/>
          </w:tcPr>
          <w:p>
            <w:pPr>
              <w:pStyle w:val="27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6</w:t>
            </w:r>
            <w:r>
              <w:rPr>
                <w:color w:val="000000" w:themeColor="text1"/>
                <w:kern w:val="2"/>
                <w:sz w:val="21"/>
                <w:szCs w:val="21"/>
                <w14:textFill>
                  <w14:solidFill>
                    <w14:schemeClr w14:val="tx1"/>
                  </w14:solidFill>
                </w14:textFill>
              </w:rPr>
              <w:t>000</w:t>
            </w:r>
          </w:p>
        </w:tc>
        <w:tc>
          <w:tcPr>
            <w:tcW w:w="629" w:type="pct"/>
            <w:vAlign w:val="center"/>
          </w:tcPr>
          <w:p>
            <w:pPr>
              <w:pStyle w:val="27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w:t>
            </w:r>
            <w:r>
              <w:rPr>
                <w:color w:val="000000" w:themeColor="text1"/>
                <w:kern w:val="2"/>
                <w:sz w:val="21"/>
                <w:szCs w:val="21"/>
                <w14:textFill>
                  <w14:solidFill>
                    <w14:schemeClr w14:val="tx1"/>
                  </w14:solidFill>
                </w14:textFill>
              </w:rPr>
              <w:t>0</w:t>
            </w:r>
          </w:p>
        </w:tc>
        <w:tc>
          <w:tcPr>
            <w:tcW w:w="628" w:type="pct"/>
            <w:vAlign w:val="center"/>
          </w:tcPr>
          <w:p>
            <w:pPr>
              <w:pStyle w:val="270"/>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942" w:type="pct"/>
            <w:vMerge w:val="continue"/>
            <w:vAlign w:val="center"/>
          </w:tcPr>
          <w:p>
            <w:pPr>
              <w:pStyle w:val="270"/>
              <w:rPr>
                <w:color w:val="000000" w:themeColor="text1"/>
                <w:kern w:val="2"/>
                <w:sz w:val="21"/>
                <w:szCs w:val="21"/>
                <w14:textFill>
                  <w14:solidFill>
                    <w14:schemeClr w14:val="tx1"/>
                  </w14:solidFill>
                </w14:textFill>
              </w:rPr>
            </w:pPr>
          </w:p>
        </w:tc>
        <w:tc>
          <w:tcPr>
            <w:tcW w:w="524" w:type="pct"/>
            <w:vMerge w:val="continue"/>
            <w:vAlign w:val="center"/>
          </w:tcPr>
          <w:p>
            <w:pPr>
              <w:pStyle w:val="270"/>
              <w:rPr>
                <w:color w:val="000000" w:themeColor="text1"/>
                <w:kern w:val="2"/>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restart"/>
            <w:vAlign w:val="center"/>
          </w:tcPr>
          <w:p>
            <w:pPr>
              <w:pStyle w:val="27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《餐饮业大气污染物排放标准》（DB 50/859-2018）</w:t>
            </w:r>
          </w:p>
        </w:tc>
        <w:tc>
          <w:tcPr>
            <w:tcW w:w="550"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油烟</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629" w:type="pct"/>
            <w:vMerge w:val="restar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15/20</w:t>
            </w: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52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42" w:type="pct"/>
            <w:vMerge w:val="continue"/>
            <w:vAlign w:val="center"/>
          </w:tcPr>
          <w:p>
            <w:pPr>
              <w:pStyle w:val="270"/>
              <w:rPr>
                <w:color w:val="000000" w:themeColor="text1"/>
                <w:sz w:val="21"/>
                <w:szCs w:val="21"/>
                <w14:textFill>
                  <w14:solidFill>
                    <w14:schemeClr w14:val="tx1"/>
                  </w14:solidFill>
                </w14:textFill>
              </w:rPr>
            </w:pPr>
          </w:p>
        </w:tc>
        <w:tc>
          <w:tcPr>
            <w:tcW w:w="550"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非甲烷总烃</w:t>
            </w:r>
          </w:p>
        </w:tc>
        <w:tc>
          <w:tcPr>
            <w:tcW w:w="785"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629" w:type="pct"/>
            <w:vMerge w:val="continue"/>
            <w:vAlign w:val="center"/>
          </w:tcPr>
          <w:p>
            <w:pPr>
              <w:pStyle w:val="270"/>
              <w:rPr>
                <w:color w:val="000000" w:themeColor="text1"/>
                <w:kern w:val="2"/>
                <w:sz w:val="21"/>
                <w:szCs w:val="21"/>
                <w14:textFill>
                  <w14:solidFill>
                    <w14:schemeClr w14:val="tx1"/>
                  </w14:solidFill>
                </w14:textFill>
              </w:rPr>
            </w:pPr>
          </w:p>
        </w:tc>
        <w:tc>
          <w:tcPr>
            <w:tcW w:w="628"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42"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52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bl>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（2）废水排放标准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本项目运营期废水经生化池处理达《污水综合排放标准》（GB8978-1996）中三级标准</w:t>
      </w:r>
      <w:r>
        <w:rPr>
          <w:rFonts w:hint="eastAsia" w:eastAsia="宋体"/>
          <w:color w:val="000000" w:themeColor="text1"/>
          <w14:textFill>
            <w14:solidFill>
              <w14:schemeClr w14:val="tx1"/>
            </w14:solidFill>
          </w14:textFill>
        </w:rPr>
        <w:t>（其中N</w:t>
      </w:r>
      <w:r>
        <w:rPr>
          <w:rFonts w:eastAsia="宋体"/>
          <w:color w:val="000000" w:themeColor="text1"/>
          <w14:textFill>
            <w14:solidFill>
              <w14:schemeClr w14:val="tx1"/>
            </w14:solidFill>
          </w14:textFill>
        </w:rPr>
        <w:t>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w:t>
      </w:r>
      <w:r>
        <w:rPr>
          <w:rFonts w:hint="eastAsia" w:eastAsia="宋体"/>
          <w:color w:val="000000" w:themeColor="text1"/>
          <w14:textFill>
            <w14:solidFill>
              <w14:schemeClr w14:val="tx1"/>
            </w14:solidFill>
          </w14:textFill>
        </w:rPr>
        <w:t>参照《污水排入城镇下水道水质标准》（G</w:t>
      </w:r>
      <w:r>
        <w:rPr>
          <w:rFonts w:eastAsia="宋体"/>
          <w:color w:val="000000" w:themeColor="text1"/>
          <w14:textFill>
            <w14:solidFill>
              <w14:schemeClr w14:val="tx1"/>
            </w14:solidFill>
          </w14:textFill>
        </w:rPr>
        <w:t>B/T 31962-2015</w:t>
      </w:r>
      <w:r>
        <w:rPr>
          <w:rFonts w:hint="eastAsia" w:eastAsia="宋体"/>
          <w:color w:val="000000" w:themeColor="text1"/>
          <w14:textFill>
            <w14:solidFill>
              <w14:schemeClr w14:val="tx1"/>
            </w14:solidFill>
          </w14:textFill>
        </w:rPr>
        <w:t>）B及标准）</w:t>
      </w:r>
      <w:r>
        <w:rPr>
          <w:rFonts w:eastAsia="宋体"/>
          <w:color w:val="000000" w:themeColor="text1"/>
          <w14:textFill>
            <w14:solidFill>
              <w14:schemeClr w14:val="tx1"/>
            </w14:solidFill>
          </w14:textFill>
        </w:rPr>
        <w:t>后，经园区污水管网排入双桥工业园区污水处理厂</w:t>
      </w:r>
      <w:r>
        <w:rPr>
          <w:rFonts w:hint="eastAsia" w:eastAsia="宋体"/>
          <w:color w:val="000000" w:themeColor="text1"/>
          <w14:textFill>
            <w14:solidFill>
              <w14:schemeClr w14:val="tx1"/>
            </w14:solidFill>
          </w14:textFill>
        </w:rPr>
        <w:t>。目前，</w:t>
      </w:r>
      <w:r>
        <w:rPr>
          <w:rFonts w:eastAsia="宋体"/>
          <w:color w:val="000000" w:themeColor="text1"/>
          <w14:textFill>
            <w14:solidFill>
              <w14:schemeClr w14:val="tx1"/>
            </w14:solidFill>
          </w14:textFill>
        </w:rPr>
        <w:t>双桥工业园区污水处理厂</w:t>
      </w:r>
      <w:r>
        <w:rPr>
          <w:rFonts w:hint="eastAsia" w:eastAsia="宋体"/>
          <w:color w:val="000000" w:themeColor="text1"/>
          <w14:textFill>
            <w14:solidFill>
              <w14:schemeClr w14:val="tx1"/>
            </w14:solidFill>
          </w14:textFill>
        </w:rPr>
        <w:t>正在进行提标改造，完成后执行</w:t>
      </w:r>
      <w:r>
        <w:rPr>
          <w:rFonts w:eastAsia="宋体"/>
          <w:color w:val="000000" w:themeColor="text1"/>
          <w14:textFill>
            <w14:solidFill>
              <w14:schemeClr w14:val="tx1"/>
            </w14:solidFill>
          </w14:textFill>
        </w:rPr>
        <w:t>《城镇污水处理厂污染物排放标准》（GB18918-2002）中一级A标准（其中COD、氨氮</w:t>
      </w:r>
      <w:r>
        <w:rPr>
          <w:rFonts w:hint="eastAsia" w:eastAsia="宋体"/>
          <w:color w:val="000000" w:themeColor="text1"/>
          <w14:textFill>
            <w14:solidFill>
              <w14:schemeClr w14:val="tx1"/>
            </w14:solidFill>
          </w14:textFill>
        </w:rPr>
        <w:t>、T</w:t>
      </w:r>
      <w:r>
        <w:rPr>
          <w:rFonts w:eastAsia="宋体"/>
          <w:color w:val="000000" w:themeColor="text1"/>
          <w14:textFill>
            <w14:solidFill>
              <w14:schemeClr w14:val="tx1"/>
            </w14:solidFill>
          </w14:textFill>
        </w:rPr>
        <w:t>P执行《地表水环境质量标准》（GB 3838-2002）Ⅳ类标准）</w:t>
      </w:r>
      <w:r>
        <w:rPr>
          <w:rFonts w:hint="eastAsia" w:eastAsia="宋体"/>
          <w:color w:val="000000" w:themeColor="text1"/>
          <w14:textFill>
            <w14:solidFill>
              <w14:schemeClr w14:val="tx1"/>
            </w14:solidFill>
          </w14:textFill>
        </w:rPr>
        <w:t>，目前执行</w:t>
      </w:r>
      <w:r>
        <w:rPr>
          <w:rFonts w:eastAsia="宋体"/>
          <w:color w:val="000000" w:themeColor="text1"/>
          <w14:textFill>
            <w14:solidFill>
              <w14:schemeClr w14:val="tx1"/>
            </w14:solidFill>
          </w14:textFill>
        </w:rPr>
        <w:t>《城镇污水处理厂污染物排放标准》（GB18918-2002）中一级B标准。详见</w:t>
      </w:r>
      <w:r>
        <w:rPr>
          <w:rFonts w:eastAsia="宋体"/>
          <w:color w:val="000000" w:themeColor="text1"/>
          <w:szCs w:val="24"/>
          <w14:textFill>
            <w14:solidFill>
              <w14:schemeClr w14:val="tx1"/>
            </w14:solidFill>
          </w14:textFill>
        </w:rPr>
        <w:t>下表1.5-7。</w:t>
      </w:r>
    </w:p>
    <w:p>
      <w:pPr>
        <w:pStyle w:val="184"/>
        <w:spacing w:line="240" w:lineRule="auto"/>
        <w:rPr>
          <w:rFonts w:eastAsia="宋体"/>
          <w:color w:val="000000" w:themeColor="text1"/>
          <w14:textFill>
            <w14:solidFill>
              <w14:schemeClr w14:val="tx1"/>
            </w14:solidFill>
          </w14:textFill>
        </w:rPr>
      </w:pPr>
      <w:bookmarkStart w:id="64" w:name="_Toc8672"/>
      <w:r>
        <w:rPr>
          <w:rFonts w:eastAsia="宋体"/>
          <w:color w:val="000000" w:themeColor="text1"/>
          <w14:textFill>
            <w14:solidFill>
              <w14:schemeClr w14:val="tx1"/>
            </w14:solidFill>
          </w14:textFill>
        </w:rPr>
        <w:t>表1.5-7  废水污染物排放标准  单位：mg/L，pH无量纲</w:t>
      </w:r>
      <w:bookmarkEnd w:id="64"/>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3"/>
        <w:gridCol w:w="781"/>
        <w:gridCol w:w="881"/>
        <w:gridCol w:w="953"/>
        <w:gridCol w:w="647"/>
        <w:gridCol w:w="1007"/>
        <w:gridCol w:w="1152"/>
        <w:gridCol w:w="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11"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标准名称</w:t>
            </w:r>
          </w:p>
        </w:tc>
        <w:tc>
          <w:tcPr>
            <w:tcW w:w="428"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COD</w:t>
            </w:r>
          </w:p>
        </w:tc>
        <w:tc>
          <w:tcPr>
            <w:tcW w:w="482"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BOD</w:t>
            </w:r>
            <w:r>
              <w:rPr>
                <w:rFonts w:eastAsia="宋体"/>
                <w:b/>
                <w:bCs/>
                <w:color w:val="000000" w:themeColor="text1"/>
                <w:sz w:val="21"/>
                <w:szCs w:val="21"/>
                <w:vertAlign w:val="subscript"/>
                <w14:textFill>
                  <w14:solidFill>
                    <w14:schemeClr w14:val="tx1"/>
                  </w14:solidFill>
                </w14:textFill>
              </w:rPr>
              <w:t>5</w:t>
            </w:r>
          </w:p>
        </w:tc>
        <w:tc>
          <w:tcPr>
            <w:tcW w:w="521"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NH</w:t>
            </w:r>
            <w:r>
              <w:rPr>
                <w:rFonts w:eastAsia="宋体"/>
                <w:b/>
                <w:bCs/>
                <w:color w:val="000000" w:themeColor="text1"/>
                <w:sz w:val="21"/>
                <w:szCs w:val="21"/>
                <w:vertAlign w:val="subscript"/>
                <w14:textFill>
                  <w14:solidFill>
                    <w14:schemeClr w14:val="tx1"/>
                  </w14:solidFill>
                </w14:textFill>
              </w:rPr>
              <w:t>3</w:t>
            </w:r>
            <w:r>
              <w:rPr>
                <w:rFonts w:eastAsia="宋体"/>
                <w:b/>
                <w:bCs/>
                <w:color w:val="000000" w:themeColor="text1"/>
                <w:sz w:val="21"/>
                <w:szCs w:val="21"/>
                <w14:textFill>
                  <w14:solidFill>
                    <w14:schemeClr w14:val="tx1"/>
                  </w14:solidFill>
                </w14:textFill>
              </w:rPr>
              <w:t>-N</w:t>
            </w:r>
          </w:p>
        </w:tc>
        <w:tc>
          <w:tcPr>
            <w:tcW w:w="314"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SS</w:t>
            </w:r>
          </w:p>
        </w:tc>
        <w:tc>
          <w:tcPr>
            <w:tcW w:w="550"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石油类</w:t>
            </w:r>
          </w:p>
        </w:tc>
        <w:tc>
          <w:tcPr>
            <w:tcW w:w="628"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动植物油</w:t>
            </w:r>
          </w:p>
        </w:tc>
        <w:tc>
          <w:tcPr>
            <w:tcW w:w="367" w:type="pct"/>
            <w:tcBorders>
              <w:top w:val="single" w:color="auto" w:sz="12" w:space="0"/>
            </w:tcBorders>
            <w:vAlign w:val="center"/>
          </w:tcPr>
          <w:p>
            <w:pPr>
              <w:adjustRightInd w:val="0"/>
              <w:spacing w:line="240" w:lineRule="auto"/>
              <w:jc w:val="center"/>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T</w:t>
            </w:r>
            <w:r>
              <w:rPr>
                <w:rFonts w:eastAsia="宋体"/>
                <w:b/>
                <w:bCs/>
                <w:color w:val="000000" w:themeColor="text1"/>
                <w:sz w:val="21"/>
                <w:szCs w:val="2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11"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《污水综合排放标准》</w:t>
            </w:r>
          </w:p>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（GB8978-1996）中三级标准</w:t>
            </w:r>
          </w:p>
        </w:tc>
        <w:tc>
          <w:tcPr>
            <w:tcW w:w="428"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w:t>
            </w:r>
          </w:p>
        </w:tc>
        <w:tc>
          <w:tcPr>
            <w:tcW w:w="4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w:t>
            </w:r>
          </w:p>
        </w:tc>
        <w:tc>
          <w:tcPr>
            <w:tcW w:w="521"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w:t>
            </w:r>
          </w:p>
        </w:tc>
        <w:tc>
          <w:tcPr>
            <w:tcW w:w="31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w:t>
            </w:r>
          </w:p>
        </w:tc>
        <w:tc>
          <w:tcPr>
            <w:tcW w:w="550"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628"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367"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1711"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《城镇污水处理厂污染物排放标准》（GB18918-2002）一级A标准</w:t>
            </w:r>
          </w:p>
        </w:tc>
        <w:tc>
          <w:tcPr>
            <w:tcW w:w="428"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4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521"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31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550"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628"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367"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1711"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《城镇污水处理厂污染物排放标准》（GB18918-2002）一级B标准</w:t>
            </w:r>
          </w:p>
        </w:tc>
        <w:tc>
          <w:tcPr>
            <w:tcW w:w="428"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482"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521"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314"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550"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628"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367"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bl>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（3）噪声排放标准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施工期噪声执行《建筑施工场界环境噪声排放标准》(GB12523-2011)，运营期厂界噪声执行《工业企业厂界环境噪声排放标准》（GB12348-2008）3类、4类标准。详见表1.5-8。</w:t>
      </w:r>
    </w:p>
    <w:p>
      <w:pPr>
        <w:pStyle w:val="184"/>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表1.5-8  项目噪声排放标准  单位：dB（A）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1231"/>
        <w:gridCol w:w="1817"/>
        <w:gridCol w:w="1015"/>
        <w:gridCol w:w="1453"/>
        <w:gridCol w:w="3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1649" w:type="pct"/>
            <w:gridSpan w:val="2"/>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位置</w:t>
            </w:r>
          </w:p>
        </w:tc>
        <w:tc>
          <w:tcPr>
            <w:tcW w:w="549"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昼间</w:t>
            </w:r>
          </w:p>
        </w:tc>
        <w:tc>
          <w:tcPr>
            <w:tcW w:w="786"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夜间</w:t>
            </w:r>
          </w:p>
        </w:tc>
        <w:tc>
          <w:tcPr>
            <w:tcW w:w="2016"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5000" w:type="pct"/>
            <w:gridSpan w:val="5"/>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1649" w:type="pct"/>
            <w:gridSpan w:val="2"/>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p>
        </w:tc>
        <w:tc>
          <w:tcPr>
            <w:tcW w:w="54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78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c>
          <w:tcPr>
            <w:tcW w:w="201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5000" w:type="pct"/>
            <w:gridSpan w:val="5"/>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666"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1号地块</w:t>
            </w:r>
          </w:p>
        </w:tc>
        <w:tc>
          <w:tcPr>
            <w:tcW w:w="9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北侧</w:t>
            </w:r>
          </w:p>
        </w:tc>
        <w:tc>
          <w:tcPr>
            <w:tcW w:w="54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78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c>
          <w:tcPr>
            <w:tcW w:w="2016"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《工业企业厂界环境噪声排放标准》（GB12348-2008）3类、4类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666" w:type="pct"/>
            <w:vMerge w:val="continue"/>
            <w:vAlign w:val="center"/>
          </w:tcPr>
          <w:p>
            <w:pPr>
              <w:pStyle w:val="182"/>
              <w:rPr>
                <w:rFonts w:eastAsia="宋体"/>
                <w:color w:val="000000" w:themeColor="text1"/>
                <w14:textFill>
                  <w14:solidFill>
                    <w14:schemeClr w14:val="tx1"/>
                  </w14:solidFill>
                </w14:textFill>
              </w:rPr>
            </w:pPr>
          </w:p>
        </w:tc>
        <w:tc>
          <w:tcPr>
            <w:tcW w:w="9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东、南、西侧</w:t>
            </w:r>
          </w:p>
        </w:tc>
        <w:tc>
          <w:tcPr>
            <w:tcW w:w="54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w:t>
            </w:r>
          </w:p>
        </w:tc>
        <w:tc>
          <w:tcPr>
            <w:tcW w:w="78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c>
          <w:tcPr>
            <w:tcW w:w="2016"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666" w:type="pct"/>
            <w:vMerge w:val="restar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w:t>
            </w:r>
          </w:p>
        </w:tc>
        <w:tc>
          <w:tcPr>
            <w:tcW w:w="9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西侧</w:t>
            </w:r>
          </w:p>
        </w:tc>
        <w:tc>
          <w:tcPr>
            <w:tcW w:w="54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w:t>
            </w:r>
          </w:p>
        </w:tc>
        <w:tc>
          <w:tcPr>
            <w:tcW w:w="78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c>
          <w:tcPr>
            <w:tcW w:w="2016" w:type="pct"/>
            <w:vMerge w:val="continue"/>
            <w:vAlign w:val="center"/>
          </w:tcPr>
          <w:p>
            <w:pPr>
              <w:pStyle w:val="182"/>
              <w:rPr>
                <w:rFonts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666" w:type="pct"/>
            <w:vMerge w:val="continue"/>
            <w:vAlign w:val="center"/>
          </w:tcPr>
          <w:p>
            <w:pPr>
              <w:pStyle w:val="182"/>
              <w:rPr>
                <w:rFonts w:eastAsia="宋体"/>
                <w:color w:val="000000" w:themeColor="text1"/>
                <w14:textFill>
                  <w14:solidFill>
                    <w14:schemeClr w14:val="tx1"/>
                  </w14:solidFill>
                </w14:textFill>
              </w:rPr>
            </w:pPr>
          </w:p>
        </w:tc>
        <w:tc>
          <w:tcPr>
            <w:tcW w:w="983"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东、南、北侧</w:t>
            </w:r>
          </w:p>
        </w:tc>
        <w:tc>
          <w:tcPr>
            <w:tcW w:w="549"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w:t>
            </w:r>
          </w:p>
        </w:tc>
        <w:tc>
          <w:tcPr>
            <w:tcW w:w="786" w:type="pct"/>
            <w:vAlign w:val="center"/>
          </w:tcPr>
          <w:p>
            <w:pPr>
              <w:pStyle w:val="182"/>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w:t>
            </w:r>
          </w:p>
        </w:tc>
        <w:tc>
          <w:tcPr>
            <w:tcW w:w="2016" w:type="pct"/>
            <w:vMerge w:val="continue"/>
            <w:vAlign w:val="center"/>
          </w:tcPr>
          <w:p>
            <w:pPr>
              <w:pStyle w:val="182"/>
              <w:rPr>
                <w:rFonts w:eastAsia="宋体"/>
                <w:color w:val="000000" w:themeColor="text1"/>
                <w14:textFill>
                  <w14:solidFill>
                    <w14:schemeClr w14:val="tx1"/>
                  </w14:solidFill>
                </w14:textFill>
              </w:rPr>
            </w:pPr>
          </w:p>
        </w:tc>
      </w:tr>
    </w:tbl>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（4）固体废物排放标准</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一般工业固体废物：根据《一般工业固体废物贮存和填埋污染控制标准》（GB 18599-2020），一般工业固体废物贮存过程应满足相应防渗漏、防雨淋、防扬尘等环境保护要求。</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危险废物：执行《危险废物贮存污染控制标准》(GB18579-2023)、《危险废物转移管理办法》（部令 第23号）、《危险废物识别标志设置技术规范》（HJ 1276-2022）中相关要求</w:t>
      </w:r>
      <w:r>
        <w:rPr>
          <w:rFonts w:eastAsia="宋体"/>
          <w:color w:val="000000" w:themeColor="text1"/>
          <w14:textFill>
            <w14:solidFill>
              <w14:schemeClr w14:val="tx1"/>
            </w14:solidFill>
          </w14:textFill>
        </w:rPr>
        <w:t>。</w:t>
      </w:r>
    </w:p>
    <w:p>
      <w:pPr>
        <w:pStyle w:val="179"/>
        <w:rPr>
          <w:rFonts w:eastAsia="宋体"/>
          <w:color w:val="000000" w:themeColor="text1"/>
          <w14:textFill>
            <w14:solidFill>
              <w14:schemeClr w14:val="tx1"/>
            </w14:solidFill>
          </w14:textFill>
        </w:rPr>
      </w:pPr>
      <w:bookmarkStart w:id="65" w:name="_Toc6486"/>
      <w:bookmarkStart w:id="66" w:name="_Toc155271407"/>
      <w:r>
        <w:rPr>
          <w:rFonts w:eastAsia="宋体"/>
          <w:color w:val="000000" w:themeColor="text1"/>
          <w14:textFill>
            <w14:solidFill>
              <w14:schemeClr w14:val="tx1"/>
            </w14:solidFill>
          </w14:textFill>
        </w:rPr>
        <w:t>1.6评价工作等级</w:t>
      </w:r>
      <w:bookmarkEnd w:id="65"/>
      <w:r>
        <w:rPr>
          <w:rFonts w:eastAsia="宋体"/>
          <w:color w:val="000000" w:themeColor="text1"/>
          <w14:textFill>
            <w14:solidFill>
              <w14:schemeClr w14:val="tx1"/>
            </w14:solidFill>
          </w14:textFill>
        </w:rPr>
        <w:t>与评价范围</w:t>
      </w:r>
      <w:bookmarkEnd w:id="66"/>
    </w:p>
    <w:p>
      <w:pPr>
        <w:pStyle w:val="188"/>
        <w:rPr>
          <w:rFonts w:eastAsia="宋体"/>
          <w:color w:val="000000" w:themeColor="text1"/>
          <w14:textFill>
            <w14:solidFill>
              <w14:schemeClr w14:val="tx1"/>
            </w14:solidFill>
          </w14:textFill>
        </w:rPr>
      </w:pPr>
      <w:bookmarkStart w:id="67" w:name="_Toc489281016"/>
      <w:bookmarkStart w:id="68" w:name="_Toc3266"/>
      <w:bookmarkStart w:id="69" w:name="_Toc490235517"/>
      <w:r>
        <w:rPr>
          <w:rFonts w:eastAsia="宋体"/>
          <w:color w:val="000000" w:themeColor="text1"/>
          <w14:textFill>
            <w14:solidFill>
              <w14:schemeClr w14:val="tx1"/>
            </w14:solidFill>
          </w14:textFill>
        </w:rPr>
        <w:t>1.6.1</w:t>
      </w:r>
      <w:bookmarkEnd w:id="67"/>
      <w:bookmarkEnd w:id="68"/>
      <w:bookmarkEnd w:id="69"/>
      <w:r>
        <w:rPr>
          <w:rFonts w:eastAsia="宋体"/>
          <w:color w:val="000000" w:themeColor="text1"/>
          <w14:textFill>
            <w14:solidFill>
              <w14:schemeClr w14:val="tx1"/>
            </w14:solidFill>
          </w14:textFill>
        </w:rPr>
        <w:t>评价工作等级</w:t>
      </w:r>
    </w:p>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（1）大气环境评价等级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根据《环境影响评价技术导则 大气环境》（HJ 2.2-2018），环境空气评价等级按污染物的最大落地浓度占标率P</w:t>
      </w:r>
      <w:r>
        <w:rPr>
          <w:rFonts w:eastAsia="宋体"/>
          <w:color w:val="000000" w:themeColor="text1"/>
          <w:vertAlign w:val="subscript"/>
          <w14:textFill>
            <w14:solidFill>
              <w14:schemeClr w14:val="tx1"/>
            </w14:solidFill>
          </w14:textFill>
        </w:rPr>
        <w:t>i</w:t>
      </w:r>
      <w:r>
        <w:rPr>
          <w:rFonts w:eastAsia="宋体"/>
          <w:color w:val="000000" w:themeColor="text1"/>
          <w14:textFill>
            <w14:solidFill>
              <w14:schemeClr w14:val="tx1"/>
            </w14:solidFill>
          </w14:textFill>
        </w:rPr>
        <w:t>确定。P</w:t>
      </w:r>
      <w:r>
        <w:rPr>
          <w:rFonts w:eastAsia="宋体"/>
          <w:color w:val="000000" w:themeColor="text1"/>
          <w:vertAlign w:val="subscript"/>
          <w14:textFill>
            <w14:solidFill>
              <w14:schemeClr w14:val="tx1"/>
            </w14:solidFill>
          </w14:textFill>
        </w:rPr>
        <w:t>i</w:t>
      </w:r>
      <w:r>
        <w:rPr>
          <w:rFonts w:eastAsia="宋体"/>
          <w:color w:val="000000" w:themeColor="text1"/>
          <w14:textFill>
            <w14:solidFill>
              <w14:schemeClr w14:val="tx1"/>
            </w14:solidFill>
          </w14:textFill>
        </w:rPr>
        <w:t>定义为：</w:t>
      </w:r>
    </w:p>
    <w:p>
      <w:pPr>
        <w:jc w:val="center"/>
        <w:rPr>
          <w:rFonts w:eastAsia="宋体"/>
          <w:color w:val="000000" w:themeColor="text1"/>
          <w14:textFill>
            <w14:solidFill>
              <w14:schemeClr w14:val="tx1"/>
            </w14:solidFill>
          </w14:textFill>
        </w:rPr>
      </w:pPr>
      <m:oMathPara>
        <m:oMath>
          <m:sSub>
            <m:sSubPr>
              <m:ctrlPr>
                <w:rPr>
                  <w:rFonts w:ascii="Cambria Math" w:hAnsi="Cambria Math" w:eastAsia="宋体"/>
                  <w:i/>
                  <w:color w:val="000000" w:themeColor="text1"/>
                  <w14:textFill>
                    <w14:solidFill>
                      <w14:schemeClr w14:val="tx1"/>
                    </w14:solidFill>
                  </w14:textFill>
                </w:rPr>
              </m:ctrlPr>
            </m:sSubPr>
            <m:e>
              <m:r>
                <m:rPr/>
                <w:rPr>
                  <w:rFonts w:ascii="Cambria Math" w:hAnsi="Cambria Math" w:eastAsia="宋体"/>
                  <w:color w:val="000000" w:themeColor="text1"/>
                  <w14:textFill>
                    <w14:solidFill>
                      <w14:schemeClr w14:val="tx1"/>
                    </w14:solidFill>
                  </w14:textFill>
                </w:rPr>
                <m:t>P</m:t>
              </m:r>
              <m:ctrlPr>
                <w:rPr>
                  <w:rFonts w:ascii="Cambria Math" w:hAnsi="Cambria Math" w:eastAsia="宋体"/>
                  <w:i/>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i</m:t>
              </m:r>
              <m:ctrlPr>
                <w:rPr>
                  <w:rFonts w:ascii="Cambria Math" w:hAnsi="Cambria Math" w:eastAsia="宋体"/>
                  <w:i/>
                  <w:color w:val="000000" w:themeColor="text1"/>
                  <w14:textFill>
                    <w14:solidFill>
                      <w14:schemeClr w14:val="tx1"/>
                    </w14:solidFill>
                  </w14:textFill>
                </w:rPr>
              </m:ctrlPr>
            </m:sub>
          </m:sSub>
          <m:r>
            <m:rPr/>
            <w:rPr>
              <w:rFonts w:ascii="Cambria Math" w:hAnsi="Cambria Math" w:eastAsia="宋体"/>
              <w:color w:val="000000" w:themeColor="text1"/>
              <w14:textFill>
                <w14:solidFill>
                  <w14:schemeClr w14:val="tx1"/>
                </w14:solidFill>
              </w14:textFill>
            </w:rPr>
            <m:t>=</m:t>
          </m:r>
          <m:f>
            <m:fPr>
              <m:ctrlPr>
                <w:rPr>
                  <w:rFonts w:ascii="Cambria Math" w:hAnsi="Cambria Math" w:eastAsia="宋体"/>
                  <w:i/>
                  <w:color w:val="000000" w:themeColor="text1"/>
                  <w14:textFill>
                    <w14:solidFill>
                      <w14:schemeClr w14:val="tx1"/>
                    </w14:solidFill>
                  </w14:textFill>
                </w:rPr>
              </m:ctrlPr>
            </m:fPr>
            <m:num>
              <m:sSub>
                <m:sSubPr>
                  <m:ctrlPr>
                    <w:rPr>
                      <w:rFonts w:ascii="Cambria Math" w:hAnsi="Cambria Math" w:eastAsia="宋体"/>
                      <w:i/>
                      <w:color w:val="000000" w:themeColor="text1"/>
                      <w14:textFill>
                        <w14:solidFill>
                          <w14:schemeClr w14:val="tx1"/>
                        </w14:solidFill>
                      </w14:textFill>
                    </w:rPr>
                  </m:ctrlPr>
                </m:sSubPr>
                <m:e>
                  <m:r>
                    <m:rPr/>
                    <w:rPr>
                      <w:rFonts w:ascii="Cambria Math" w:hAnsi="Cambria Math" w:eastAsia="宋体"/>
                      <w:color w:val="000000" w:themeColor="text1"/>
                      <w14:textFill>
                        <w14:solidFill>
                          <w14:schemeClr w14:val="tx1"/>
                        </w14:solidFill>
                      </w14:textFill>
                    </w:rPr>
                    <m:t>C</m:t>
                  </m:r>
                  <m:ctrlPr>
                    <w:rPr>
                      <w:rFonts w:ascii="Cambria Math" w:hAnsi="Cambria Math" w:eastAsia="宋体"/>
                      <w:i/>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i</m:t>
                  </m:r>
                  <m:ctrlPr>
                    <w:rPr>
                      <w:rFonts w:ascii="Cambria Math" w:hAnsi="Cambria Math" w:eastAsia="宋体"/>
                      <w:i/>
                      <w:color w:val="000000" w:themeColor="text1"/>
                      <w14:textFill>
                        <w14:solidFill>
                          <w14:schemeClr w14:val="tx1"/>
                        </w14:solidFill>
                      </w14:textFill>
                    </w:rPr>
                  </m:ctrlPr>
                </m:sub>
              </m:sSub>
              <m:ctrlPr>
                <w:rPr>
                  <w:rFonts w:ascii="Cambria Math" w:hAnsi="Cambria Math" w:eastAsia="宋体"/>
                  <w:i/>
                  <w:color w:val="000000" w:themeColor="text1"/>
                  <w14:textFill>
                    <w14:solidFill>
                      <w14:schemeClr w14:val="tx1"/>
                    </w14:solidFill>
                  </w14:textFill>
                </w:rPr>
              </m:ctrlPr>
            </m:num>
            <m:den>
              <m:sSub>
                <m:sSubPr>
                  <m:ctrlPr>
                    <w:rPr>
                      <w:rFonts w:ascii="Cambria Math" w:hAnsi="Cambria Math" w:eastAsia="宋体"/>
                      <w:i/>
                      <w:color w:val="000000" w:themeColor="text1"/>
                      <w14:textFill>
                        <w14:solidFill>
                          <w14:schemeClr w14:val="tx1"/>
                        </w14:solidFill>
                      </w14:textFill>
                    </w:rPr>
                  </m:ctrlPr>
                </m:sSubPr>
                <m:e>
                  <m:r>
                    <m:rPr/>
                    <w:rPr>
                      <w:rFonts w:ascii="Cambria Math" w:hAnsi="Cambria Math" w:eastAsia="宋体"/>
                      <w:color w:val="000000" w:themeColor="text1"/>
                      <w14:textFill>
                        <w14:solidFill>
                          <w14:schemeClr w14:val="tx1"/>
                        </w14:solidFill>
                      </w14:textFill>
                    </w:rPr>
                    <m:t>C</m:t>
                  </m:r>
                  <m:ctrlPr>
                    <w:rPr>
                      <w:rFonts w:ascii="Cambria Math" w:hAnsi="Cambria Math" w:eastAsia="宋体"/>
                      <w:i/>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oi</m:t>
                  </m:r>
                  <m:ctrlPr>
                    <w:rPr>
                      <w:rFonts w:ascii="Cambria Math" w:hAnsi="Cambria Math" w:eastAsia="宋体"/>
                      <w:i/>
                      <w:color w:val="000000" w:themeColor="text1"/>
                      <w14:textFill>
                        <w14:solidFill>
                          <w14:schemeClr w14:val="tx1"/>
                        </w14:solidFill>
                      </w14:textFill>
                    </w:rPr>
                  </m:ctrlPr>
                </m:sub>
              </m:sSub>
              <m:ctrlPr>
                <w:rPr>
                  <w:rFonts w:ascii="Cambria Math" w:hAnsi="Cambria Math" w:eastAsia="宋体"/>
                  <w:i/>
                  <w:color w:val="000000" w:themeColor="text1"/>
                  <w14:textFill>
                    <w14:solidFill>
                      <w14:schemeClr w14:val="tx1"/>
                    </w14:solidFill>
                  </w14:textFill>
                </w:rPr>
              </m:ctrlPr>
            </m:den>
          </m:f>
          <m:r>
            <m:rPr/>
            <w:rPr>
              <w:rFonts w:ascii="Cambria Math" w:hAnsi="Cambria Math" w:eastAsia="宋体"/>
              <w:color w:val="000000" w:themeColor="text1"/>
              <w14:textFill>
                <w14:solidFill>
                  <w14:schemeClr w14:val="tx1"/>
                </w14:solidFill>
              </w14:textFill>
            </w:rPr>
            <m:t>×10%</m:t>
          </m:r>
        </m:oMath>
      </m:oMathPara>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式中：P</w:t>
      </w:r>
      <w:r>
        <w:rPr>
          <w:rFonts w:eastAsia="宋体"/>
          <w:color w:val="000000" w:themeColor="text1"/>
          <w:vertAlign w:val="subscript"/>
          <w14:textFill>
            <w14:solidFill>
              <w14:schemeClr w14:val="tx1"/>
            </w14:solidFill>
          </w14:textFill>
        </w:rPr>
        <w:t>i</w:t>
      </w:r>
      <w:r>
        <w:rPr>
          <w:rFonts w:eastAsia="宋体"/>
          <w:color w:val="000000" w:themeColor="text1"/>
          <w14:textFill>
            <w14:solidFill>
              <w14:schemeClr w14:val="tx1"/>
            </w14:solidFill>
          </w14:textFill>
        </w:rPr>
        <w:t>—第i个污染物的最大地面浓度占标率，%；</w:t>
      </w:r>
    </w:p>
    <w:p>
      <w:pPr>
        <w:ind w:firstLine="1200" w:firstLineChars="5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w:t>
      </w:r>
      <w:r>
        <w:rPr>
          <w:rFonts w:eastAsia="宋体"/>
          <w:color w:val="000000" w:themeColor="text1"/>
          <w:vertAlign w:val="subscript"/>
          <w14:textFill>
            <w14:solidFill>
              <w14:schemeClr w14:val="tx1"/>
            </w14:solidFill>
          </w14:textFill>
        </w:rPr>
        <w:t>i</w:t>
      </w:r>
      <w:r>
        <w:rPr>
          <w:rFonts w:eastAsia="宋体"/>
          <w:color w:val="000000" w:themeColor="text1"/>
          <w14:textFill>
            <w14:solidFill>
              <w14:schemeClr w14:val="tx1"/>
            </w14:solidFill>
          </w14:textFill>
        </w:rPr>
        <w:t>—采用估算模式计算出的第i个污染物的最大地面浓度，mg/m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w:t>
      </w:r>
    </w:p>
    <w:p>
      <w:pPr>
        <w:ind w:firstLine="1200" w:firstLineChars="5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w:t>
      </w:r>
      <w:r>
        <w:rPr>
          <w:rFonts w:eastAsia="宋体"/>
          <w:color w:val="000000" w:themeColor="text1"/>
          <w:vertAlign w:val="subscript"/>
          <w14:textFill>
            <w14:solidFill>
              <w14:schemeClr w14:val="tx1"/>
            </w14:solidFill>
          </w14:textFill>
        </w:rPr>
        <w:t>oi</w:t>
      </w:r>
      <w:r>
        <w:rPr>
          <w:rFonts w:eastAsia="宋体"/>
          <w:color w:val="000000" w:themeColor="text1"/>
          <w14:textFill>
            <w14:solidFill>
              <w14:schemeClr w14:val="tx1"/>
            </w14:solidFill>
          </w14:textFill>
        </w:rPr>
        <w:t>—第i个污染物的环境空气质量标准，mg/m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w:t>
      </w:r>
    </w:p>
    <w:p>
      <w:pPr>
        <w:ind w:firstLine="482"/>
        <w:jc w:val="left"/>
        <w:rPr>
          <w:rFonts w:eastAsia="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①</w:t>
      </w:r>
      <w:r>
        <w:rPr>
          <w:rFonts w:eastAsia="宋体"/>
          <w:b/>
          <w:bCs/>
          <w:color w:val="000000" w:themeColor="text1"/>
          <w14:textFill>
            <w14:solidFill>
              <w14:schemeClr w14:val="tx1"/>
            </w14:solidFill>
          </w14:textFill>
        </w:rPr>
        <w:t>源强排放参数</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根据工程分析，项目各污染源排放参数情况见表1.6-1。</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表1.6-1  项目废气污染物排放参数</w:t>
      </w:r>
    </w:p>
    <w:tbl>
      <w:tblPr>
        <w:tblStyle w:val="8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06"/>
        <w:gridCol w:w="1187"/>
        <w:gridCol w:w="1048"/>
        <w:gridCol w:w="1242"/>
        <w:gridCol w:w="1170"/>
        <w:gridCol w:w="1068"/>
        <w:gridCol w:w="959"/>
        <w:gridCol w:w="9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污染源</w:t>
            </w:r>
          </w:p>
        </w:tc>
        <w:tc>
          <w:tcPr>
            <w:tcW w:w="642"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w:t>
            </w:r>
          </w:p>
        </w:tc>
        <w:tc>
          <w:tcPr>
            <w:tcW w:w="567"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年排放时间/h</w:t>
            </w:r>
          </w:p>
        </w:tc>
        <w:tc>
          <w:tcPr>
            <w:tcW w:w="672"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源强</w:t>
            </w:r>
          </w:p>
        </w:tc>
        <w:tc>
          <w:tcPr>
            <w:tcW w:w="633"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设计排气量（m³/h）</w:t>
            </w:r>
          </w:p>
        </w:tc>
        <w:tc>
          <w:tcPr>
            <w:tcW w:w="1618" w:type="pct"/>
            <w:gridSpan w:val="3"/>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排放源参数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9"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42"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567"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72"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33"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578"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内径（m）</w:t>
            </w:r>
          </w:p>
        </w:tc>
        <w:tc>
          <w:tcPr>
            <w:tcW w:w="519"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高度</w:t>
            </w:r>
            <w:r>
              <w:rPr>
                <w:rFonts w:hint="eastAsia" w:ascii="Times New Roman" w:hAnsi="Times New Roman" w:cs="Times New Roman"/>
                <w:b/>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m</w:t>
            </w:r>
            <w:r>
              <w:rPr>
                <w:rFonts w:hint="eastAsia" w:ascii="Times New Roman" w:hAnsi="Times New Roman" w:cs="Times New Roman"/>
                <w:b/>
                <w:color w:val="000000" w:themeColor="text1"/>
                <w:szCs w:val="21"/>
                <w:lang w:eastAsia="zh-CN"/>
                <w14:textFill>
                  <w14:solidFill>
                    <w14:schemeClr w14:val="tx1"/>
                  </w14:solidFill>
                </w14:textFill>
              </w:rPr>
              <w:t>）</w:t>
            </w:r>
          </w:p>
        </w:tc>
        <w:tc>
          <w:tcPr>
            <w:tcW w:w="521"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温度（℃）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DA001</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0.271</w:t>
            </w:r>
            <w:r>
              <w:rPr>
                <w:rFonts w:hint="eastAsia" w:ascii="Times New Roman" w:hAnsi="Times New Roman" w:cs="Times New Roman"/>
                <w:color w:val="000000" w:themeColor="text1"/>
                <w:szCs w:val="21"/>
                <w14:textFill>
                  <w14:solidFill>
                    <w14:schemeClr w14:val="tx1"/>
                  </w14:solidFill>
                </w14:textFill>
              </w:rPr>
              <w:t>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0.8</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.136</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DA002</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0.662</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.331</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DA003</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567"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4800</w:t>
            </w: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二甲苯</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.331</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.383</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切割下料面源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.390</w:t>
            </w:r>
            <w:r>
              <w:rPr>
                <w:rFonts w:hint="eastAsia" w:ascii="Times New Roman" w:hAnsi="Times New Roman" w:cs="Times New Roman"/>
                <w:color w:val="000000" w:themeColor="text1"/>
                <w:szCs w:val="21"/>
                <w14:textFill>
                  <w14:solidFill>
                    <w14:schemeClr w14:val="tx1"/>
                  </w14:solidFill>
                </w14:textFill>
              </w:rPr>
              <w:t>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长×宽×高=210×50×14m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.695</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焊接面源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.312</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长×宽×高=103×269×14m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.606</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喷砂车间</w:t>
            </w:r>
            <w:r>
              <w:rPr>
                <w:rFonts w:ascii="Times New Roman" w:hAnsi="Times New Roman" w:cs="Times New Roman"/>
                <w:color w:val="000000" w:themeColor="text1"/>
                <w:szCs w:val="21"/>
                <w14:textFill>
                  <w14:solidFill>
                    <w14:schemeClr w14:val="tx1"/>
                  </w14:solidFill>
                </w14:textFill>
              </w:rPr>
              <w:t>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.384</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长×宽×高=20×18×7m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.642</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涂装面源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567"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4800</w:t>
            </w: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.059</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长×宽×高=6×26×7m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二甲苯</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.022</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.453</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.583</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.292</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bl>
    <w:p>
      <w:pPr>
        <w:ind w:firstLine="482"/>
        <w:jc w:val="left"/>
        <w:rPr>
          <w:rFonts w:eastAsia="宋体"/>
          <w:b/>
          <w:bCs/>
          <w:color w:val="000000" w:themeColor="text1"/>
          <w:szCs w:val="24"/>
          <w14:textFill>
            <w14:solidFill>
              <w14:schemeClr w14:val="tx1"/>
            </w14:solidFill>
          </w14:textFill>
        </w:rPr>
      </w:pPr>
      <w:r>
        <w:rPr>
          <w:rFonts w:hint="eastAsia" w:ascii="宋体" w:hAnsi="宋体" w:eastAsia="宋体" w:cs="宋体"/>
          <w:b/>
          <w:bCs/>
          <w:color w:val="000000" w:themeColor="text1"/>
          <w:szCs w:val="24"/>
          <w14:textFill>
            <w14:solidFill>
              <w14:schemeClr w14:val="tx1"/>
            </w14:solidFill>
          </w14:textFill>
        </w:rPr>
        <w:t>②</w:t>
      </w:r>
      <w:r>
        <w:rPr>
          <w:rFonts w:eastAsia="宋体"/>
          <w:b/>
          <w:bCs/>
          <w:color w:val="000000" w:themeColor="text1"/>
          <w:szCs w:val="24"/>
          <w14:textFill>
            <w14:solidFill>
              <w14:schemeClr w14:val="tx1"/>
            </w14:solidFill>
          </w14:textFill>
        </w:rPr>
        <w:t>评价标准</w:t>
      </w:r>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评价所需标准见表1.6-2。</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表1.6-2  评价因子和评价标准表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695"/>
        <w:gridCol w:w="2006"/>
        <w:gridCol w:w="3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评价因子</w:t>
            </w:r>
          </w:p>
        </w:tc>
        <w:tc>
          <w:tcPr>
            <w:tcW w:w="917"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取值时间</w:t>
            </w:r>
          </w:p>
        </w:tc>
        <w:tc>
          <w:tcPr>
            <w:tcW w:w="1085"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标准值（μg/m</w:t>
            </w:r>
            <w:r>
              <w:rPr>
                <w:rFonts w:eastAsia="宋体"/>
                <w:b/>
                <w:bCs/>
                <w:color w:val="000000" w:themeColor="text1"/>
                <w:kern w:val="0"/>
                <w:sz w:val="21"/>
                <w:szCs w:val="21"/>
                <w:vertAlign w:val="superscript"/>
                <w14:textFill>
                  <w14:solidFill>
                    <w14:schemeClr w14:val="tx1"/>
                  </w14:solidFill>
                </w14:textFill>
              </w:rPr>
              <w:t>3</w:t>
            </w:r>
            <w:r>
              <w:rPr>
                <w:rFonts w:eastAsia="宋体"/>
                <w:b/>
                <w:bCs/>
                <w:color w:val="000000" w:themeColor="text1"/>
                <w:kern w:val="0"/>
                <w:sz w:val="21"/>
                <w:szCs w:val="21"/>
                <w14:textFill>
                  <w14:solidFill>
                    <w14:schemeClr w14:val="tx1"/>
                  </w14:solidFill>
                </w14:textFill>
              </w:rPr>
              <w:t>）</w:t>
            </w:r>
          </w:p>
        </w:tc>
        <w:tc>
          <w:tcPr>
            <w:tcW w:w="2134"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P</w:t>
            </w:r>
            <w:r>
              <w:rPr>
                <w:rFonts w:eastAsia="宋体"/>
                <w:color w:val="000000" w:themeColor="text1"/>
                <w:kern w:val="0"/>
                <w:sz w:val="21"/>
                <w:szCs w:val="21"/>
                <w14:textFill>
                  <w14:solidFill>
                    <w14:schemeClr w14:val="tx1"/>
                  </w14:solidFill>
                </w14:textFill>
              </w:rPr>
              <w:t>M</w:t>
            </w:r>
            <w:r>
              <w:rPr>
                <w:rFonts w:eastAsia="宋体"/>
                <w:color w:val="000000" w:themeColor="text1"/>
                <w:kern w:val="0"/>
                <w:sz w:val="21"/>
                <w:szCs w:val="21"/>
                <w:vertAlign w:val="subscript"/>
                <w14:textFill>
                  <w14:solidFill>
                    <w14:schemeClr w14:val="tx1"/>
                  </w14:solidFill>
                </w14:textFill>
              </w:rPr>
              <w:t>2.5</w:t>
            </w: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小时值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25</w:t>
            </w:r>
          </w:p>
        </w:tc>
        <w:tc>
          <w:tcPr>
            <w:tcW w:w="2134"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日均值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年均值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PM</w:t>
            </w:r>
            <w:r>
              <w:rPr>
                <w:rFonts w:eastAsia="宋体"/>
                <w:color w:val="000000" w:themeColor="text1"/>
                <w:kern w:val="0"/>
                <w:sz w:val="21"/>
                <w:szCs w:val="21"/>
                <w:vertAlign w:val="subscript"/>
                <w14:textFill>
                  <w14:solidFill>
                    <w14:schemeClr w14:val="tx1"/>
                  </w14:solidFill>
                </w14:textFill>
              </w:rPr>
              <w:t>10</w:t>
            </w: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小时值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450</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日均值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年均值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w:t>
            </w:r>
            <w:r>
              <w:rPr>
                <w:rFonts w:eastAsia="宋体"/>
                <w:color w:val="000000" w:themeColor="text1"/>
                <w:kern w:val="0"/>
                <w:sz w:val="21"/>
                <w:szCs w:val="21"/>
                <w14:textFill>
                  <w14:solidFill>
                    <w14:schemeClr w14:val="tx1"/>
                  </w14:solidFill>
                </w14:textFill>
              </w:rPr>
              <w:t>0</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甲苯</w:t>
            </w: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小时值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200</w:t>
            </w:r>
          </w:p>
        </w:tc>
        <w:tc>
          <w:tcPr>
            <w:tcW w:w="2134"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《环境影响评价技术导则 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二甲苯</w:t>
            </w: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小时值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200</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4"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非甲烷总烃</w:t>
            </w:r>
          </w:p>
        </w:tc>
        <w:tc>
          <w:tcPr>
            <w:tcW w:w="9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小时值</w:t>
            </w:r>
          </w:p>
        </w:tc>
        <w:tc>
          <w:tcPr>
            <w:tcW w:w="108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2000</w:t>
            </w:r>
          </w:p>
        </w:tc>
        <w:tc>
          <w:tcPr>
            <w:tcW w:w="2134"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注：PM</w:t>
            </w:r>
            <w:r>
              <w:rPr>
                <w:rFonts w:eastAsia="宋体"/>
                <w:color w:val="000000" w:themeColor="text1"/>
                <w:kern w:val="0"/>
                <w:sz w:val="21"/>
                <w:szCs w:val="21"/>
                <w:vertAlign w:val="subscript"/>
                <w14:textFill>
                  <w14:solidFill>
                    <w14:schemeClr w14:val="tx1"/>
                  </w14:solidFill>
                </w14:textFill>
              </w:rPr>
              <w:t>10</w:t>
            </w:r>
            <w:r>
              <w:rPr>
                <w:rFonts w:eastAsia="宋体"/>
                <w:color w:val="000000" w:themeColor="text1"/>
                <w:kern w:val="0"/>
                <w:sz w:val="21"/>
                <w:szCs w:val="21"/>
                <w14:textFill>
                  <w14:solidFill>
                    <w14:schemeClr w14:val="tx1"/>
                  </w14:solidFill>
                </w14:textFill>
              </w:rPr>
              <w:t>、PM</w:t>
            </w:r>
            <w:r>
              <w:rPr>
                <w:rFonts w:eastAsia="宋体"/>
                <w:color w:val="000000" w:themeColor="text1"/>
                <w:kern w:val="0"/>
                <w:sz w:val="21"/>
                <w:szCs w:val="21"/>
                <w:vertAlign w:val="subscript"/>
                <w14:textFill>
                  <w14:solidFill>
                    <w14:schemeClr w14:val="tx1"/>
                  </w14:solidFill>
                </w14:textFill>
              </w:rPr>
              <w:t>2.5</w:t>
            </w:r>
            <w:r>
              <w:rPr>
                <w:rFonts w:eastAsia="宋体"/>
                <w:color w:val="000000" w:themeColor="text1"/>
                <w:kern w:val="0"/>
                <w:sz w:val="21"/>
                <w:szCs w:val="21"/>
                <w14:textFill>
                  <w14:solidFill>
                    <w14:schemeClr w14:val="tx1"/>
                  </w14:solidFill>
                </w14:textFill>
              </w:rPr>
              <w:t>小时值取日均值的3倍</w:t>
            </w:r>
            <w:r>
              <w:rPr>
                <w:rFonts w:hint="eastAsia" w:eastAsia="宋体"/>
                <w:color w:val="000000" w:themeColor="text1"/>
                <w:kern w:val="0"/>
                <w:sz w:val="21"/>
                <w:szCs w:val="21"/>
                <w14:textFill>
                  <w14:solidFill>
                    <w14:schemeClr w14:val="tx1"/>
                  </w14:solidFill>
                </w14:textFill>
              </w:rPr>
              <w:t>。</w:t>
            </w:r>
          </w:p>
        </w:tc>
      </w:tr>
    </w:tbl>
    <w:p>
      <w:pPr>
        <w:ind w:firstLine="482"/>
        <w:rPr>
          <w:rFonts w:eastAsia="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③</w:t>
      </w:r>
      <w:r>
        <w:rPr>
          <w:rFonts w:eastAsia="宋体"/>
          <w:b/>
          <w:bCs/>
          <w:color w:val="000000" w:themeColor="text1"/>
          <w14:textFill>
            <w14:solidFill>
              <w14:schemeClr w14:val="tx1"/>
            </w14:solidFill>
          </w14:textFill>
        </w:rPr>
        <w:t>评价模式参数选取</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估算模型参数详见表1.6-3。</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表1.6-3  估算模型参数表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13"/>
        <w:gridCol w:w="4124"/>
        <w:gridCol w:w="24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98" w:type="pct"/>
            <w:gridSpan w:val="2"/>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参数</w:t>
            </w:r>
          </w:p>
        </w:tc>
        <w:tc>
          <w:tcPr>
            <w:tcW w:w="1302" w:type="pc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城市/农村选项</w:t>
            </w: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城市/农村</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人口数（城市选项时）</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30万人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98"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最高环境温度/℃</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98"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最低环境温度/℃</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98"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地表类型</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698"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区域湿度类型</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潮湿气候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是否考虑地形</w:t>
            </w: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考虑地形</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√是   </w:t>
            </w:r>
            <w:r>
              <w:rPr>
                <w:rFonts w:eastAsia="宋体"/>
                <w:color w:val="000000" w:themeColor="text1"/>
                <w14:textFill>
                  <w14:solidFill>
                    <w14:schemeClr w14:val="tx1"/>
                  </w14:solidFill>
                </w14:textFill>
              </w:rPr>
              <w:t>□</w:t>
            </w:r>
            <w:r>
              <w:rPr>
                <w:rFonts w:eastAsia="宋体"/>
                <w:color w:val="000000" w:themeColor="text1"/>
                <w:sz w:val="2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地形数据分辨率/m</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是否考虑岸线熏烟</w:t>
            </w: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考虑岸线熏烟</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岸线距离/km</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6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23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岸线方向/°</w:t>
            </w:r>
          </w:p>
        </w:tc>
        <w:tc>
          <w:tcPr>
            <w:tcW w:w="130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bl>
    <w:p>
      <w:pPr>
        <w:ind w:firstLine="482"/>
        <w:rPr>
          <w:rFonts w:eastAsia="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④</w:t>
      </w:r>
      <w:r>
        <w:rPr>
          <w:rFonts w:eastAsia="宋体"/>
          <w:b/>
          <w:bCs/>
          <w:color w:val="000000" w:themeColor="text1"/>
          <w14:textFill>
            <w14:solidFill>
              <w14:schemeClr w14:val="tx1"/>
            </w14:solidFill>
          </w14:textFill>
        </w:rPr>
        <w:t>计算结果</w:t>
      </w:r>
    </w:p>
    <w:p>
      <w:pPr>
        <w:ind w:firstLine="480"/>
        <w:rPr>
          <w:rFonts w:eastAsia="宋体"/>
          <w:color w:val="000000" w:themeColor="text1"/>
          <w14:textFill>
            <w14:solidFill>
              <w14:schemeClr w14:val="tx1"/>
            </w14:solidFill>
          </w14:textFill>
        </w:rPr>
        <w:sectPr>
          <w:pgSz w:w="11906" w:h="16838"/>
          <w:pgMar w:top="1276" w:right="1440" w:bottom="1800" w:left="1440" w:header="720" w:footer="720" w:gutter="0"/>
          <w:pgNumType w:start="1"/>
          <w:cols w:space="720" w:num="1"/>
          <w:docGrid w:linePitch="326" w:charSpace="0"/>
        </w:sectPr>
      </w:pPr>
      <w:r>
        <w:rPr>
          <w:rFonts w:eastAsia="宋体"/>
          <w:color w:val="000000" w:themeColor="text1"/>
          <w14:textFill>
            <w14:solidFill>
              <w14:schemeClr w14:val="tx1"/>
            </w14:solidFill>
          </w14:textFill>
        </w:rPr>
        <w:t>主要污染源估算模型计算结果详见表1.6-4。</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表1.6-4  主要污染源估算模型计算结果表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218"/>
        <w:gridCol w:w="2218"/>
        <w:gridCol w:w="1656"/>
        <w:gridCol w:w="1486"/>
        <w:gridCol w:w="2283"/>
        <w:gridCol w:w="1612"/>
        <w:gridCol w:w="1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序号</w:t>
            </w:r>
          </w:p>
        </w:tc>
        <w:tc>
          <w:tcPr>
            <w:tcW w:w="796" w:type="pct"/>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rFonts w:hint="eastAsia"/>
                <w:b/>
                <w:color w:val="000000" w:themeColor="text1"/>
                <w:sz w:val="21"/>
                <w:szCs w:val="21"/>
                <w:shd w:val="clear" w:color="auto" w:fill="FFFFFF"/>
                <w14:textFill>
                  <w14:solidFill>
                    <w14:schemeClr w14:val="tx1"/>
                  </w14:solidFill>
                </w14:textFill>
              </w:rPr>
              <w:t>位置</w:t>
            </w:r>
          </w:p>
        </w:tc>
        <w:tc>
          <w:tcPr>
            <w:tcW w:w="796" w:type="pct"/>
            <w:noWrap/>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污染源名称</w:t>
            </w:r>
          </w:p>
        </w:tc>
        <w:tc>
          <w:tcPr>
            <w:tcW w:w="575" w:type="pct"/>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离源距离</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m</w:t>
            </w:r>
            <w:r>
              <w:rPr>
                <w:rFonts w:hint="eastAsia" w:eastAsia="宋体"/>
                <w:b/>
                <w:color w:val="000000" w:themeColor="text1"/>
                <w:sz w:val="21"/>
                <w:szCs w:val="21"/>
                <w:lang w:eastAsia="zh-CN"/>
                <w14:textFill>
                  <w14:solidFill>
                    <w14:schemeClr w14:val="tx1"/>
                  </w14:solidFill>
                </w14:textFill>
              </w:rPr>
              <w:t>）</w:t>
            </w:r>
          </w:p>
        </w:tc>
        <w:tc>
          <w:tcPr>
            <w:tcW w:w="534" w:type="pct"/>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PM</w:t>
            </w:r>
            <w:r>
              <w:rPr>
                <w:rFonts w:eastAsia="宋体"/>
                <w:b/>
                <w:color w:val="000000" w:themeColor="text1"/>
                <w:sz w:val="21"/>
                <w:szCs w:val="21"/>
                <w:vertAlign w:val="subscript"/>
                <w14:textFill>
                  <w14:solidFill>
                    <w14:schemeClr w14:val="tx1"/>
                  </w14:solidFill>
                </w14:textFill>
              </w:rPr>
              <w:t>10</w:t>
            </w:r>
            <w:r>
              <w:rPr>
                <w:rFonts w:eastAsia="宋体"/>
                <w:b/>
                <w:color w:val="000000" w:themeColor="text1"/>
                <w:sz w:val="21"/>
                <w:szCs w:val="21"/>
                <w14:textFill>
                  <w14:solidFill>
                    <w14:schemeClr w14:val="tx1"/>
                  </w14:solidFill>
                </w14:textFill>
              </w:rPr>
              <w:t>|D10(m)</w:t>
            </w:r>
          </w:p>
        </w:tc>
        <w:tc>
          <w:tcPr>
            <w:tcW w:w="819" w:type="pct"/>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非甲烷总烃</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D10(m)</w:t>
            </w:r>
          </w:p>
        </w:tc>
        <w:tc>
          <w:tcPr>
            <w:tcW w:w="579" w:type="pct"/>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甲苯</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D10(m)</w:t>
            </w:r>
          </w:p>
        </w:tc>
        <w:tc>
          <w:tcPr>
            <w:tcW w:w="659"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二甲苯</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D10(m)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1</w:t>
            </w:r>
          </w:p>
        </w:tc>
        <w:tc>
          <w:tcPr>
            <w:tcW w:w="7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w:t>
            </w: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DA001（切割下料）</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23</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4.69|0</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2</w:t>
            </w:r>
          </w:p>
        </w:tc>
        <w:tc>
          <w:tcPr>
            <w:tcW w:w="796"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w:t>
            </w: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DA002（喷砂）</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w:t>
            </w:r>
            <w:r>
              <w:rPr>
                <w:rFonts w:eastAsia="宋体"/>
                <w:color w:val="000000" w:themeColor="text1"/>
                <w:sz w:val="21"/>
                <w:szCs w:val="21"/>
                <w14:textFill>
                  <w14:solidFill>
                    <w14:schemeClr w14:val="tx1"/>
                  </w14:solidFill>
                </w14:textFill>
              </w:rPr>
              <w:t>2</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19.79|200</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3</w:t>
            </w:r>
          </w:p>
        </w:tc>
        <w:tc>
          <w:tcPr>
            <w:tcW w:w="79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DA003（涂装）</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9</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0.86|0</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0.67|0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0.97|0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4</w:t>
            </w:r>
          </w:p>
        </w:tc>
        <w:tc>
          <w:tcPr>
            <w:tcW w:w="796"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w:t>
            </w: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1、2#车间</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06</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13.59|125</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5</w:t>
            </w:r>
          </w:p>
        </w:tc>
        <w:tc>
          <w:tcPr>
            <w:tcW w:w="79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3~6#车间</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36</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7.58|0</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6</w:t>
            </w:r>
          </w:p>
        </w:tc>
        <w:tc>
          <w:tcPr>
            <w:tcW w:w="796"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w:t>
            </w: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喷砂车间</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84.25|125</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2" w:type="pct"/>
            <w:noWrap/>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7</w:t>
            </w:r>
          </w:p>
        </w:tc>
        <w:tc>
          <w:tcPr>
            <w:tcW w:w="79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796"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涂装车间</w:t>
            </w:r>
          </w:p>
        </w:tc>
        <w:tc>
          <w:tcPr>
            <w:tcW w:w="575"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44.77|50</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7.83|0</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10.19|14</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09" w:type="pct"/>
            <w:gridSpan w:val="4"/>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各源最大值</w:t>
            </w:r>
          </w:p>
        </w:tc>
        <w:tc>
          <w:tcPr>
            <w:tcW w:w="534"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84.25</w:t>
            </w:r>
          </w:p>
        </w:tc>
        <w:tc>
          <w:tcPr>
            <w:tcW w:w="81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7.83</w:t>
            </w:r>
          </w:p>
        </w:tc>
        <w:tc>
          <w:tcPr>
            <w:tcW w:w="579"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0.19</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.80</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根据《环境影响评价技术导则 大气环境》（HJ 2.2-2018），评价工作分级判依据见表1.6-5。</w:t>
      </w:r>
    </w:p>
    <w:p>
      <w:pPr>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表1.6-5  大气环境影响评价工作等级</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813"/>
        <w:gridCol w:w="1016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64"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评价工作等级</w:t>
            </w:r>
          </w:p>
        </w:tc>
        <w:tc>
          <w:tcPr>
            <w:tcW w:w="3636" w:type="pct"/>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评价工作分级判据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64"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一级</w:t>
            </w:r>
          </w:p>
        </w:tc>
        <w:tc>
          <w:tcPr>
            <w:tcW w:w="3636"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P</w:t>
            </w:r>
            <w:r>
              <w:rPr>
                <w:rFonts w:eastAsia="宋体"/>
                <w:b w:val="0"/>
                <w:bCs/>
                <w:color w:val="000000" w:themeColor="text1"/>
                <w:vertAlign w:val="subscript"/>
                <w14:textFill>
                  <w14:solidFill>
                    <w14:schemeClr w14:val="tx1"/>
                  </w14:solidFill>
                </w14:textFill>
              </w:rPr>
              <w:t>max</w:t>
            </w:r>
            <w:r>
              <w:rPr>
                <w:rFonts w:eastAsia="宋体"/>
                <w:b w:val="0"/>
                <w:bCs/>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64"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二级</w:t>
            </w:r>
          </w:p>
        </w:tc>
        <w:tc>
          <w:tcPr>
            <w:tcW w:w="3636"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1%≤P</w:t>
            </w:r>
            <w:r>
              <w:rPr>
                <w:rFonts w:eastAsia="宋体"/>
                <w:b w:val="0"/>
                <w:bCs/>
                <w:color w:val="000000" w:themeColor="text1"/>
                <w:vertAlign w:val="subscript"/>
                <w14:textFill>
                  <w14:solidFill>
                    <w14:schemeClr w14:val="tx1"/>
                  </w14:solidFill>
                </w14:textFill>
              </w:rPr>
              <w:t>max</w:t>
            </w:r>
            <w:r>
              <w:rPr>
                <w:rFonts w:eastAsia="宋体"/>
                <w:b w:val="0"/>
                <w:bCs/>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64"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三级</w:t>
            </w:r>
          </w:p>
        </w:tc>
        <w:tc>
          <w:tcPr>
            <w:tcW w:w="3636"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P</w:t>
            </w:r>
            <w:r>
              <w:rPr>
                <w:rFonts w:eastAsia="宋体"/>
                <w:b w:val="0"/>
                <w:bCs/>
                <w:color w:val="000000" w:themeColor="text1"/>
                <w:vertAlign w:val="subscript"/>
                <w14:textFill>
                  <w14:solidFill>
                    <w14:schemeClr w14:val="tx1"/>
                  </w14:solidFill>
                </w14:textFill>
              </w:rPr>
              <w:t>max</w:t>
            </w:r>
            <w:r>
              <w:rPr>
                <w:rFonts w:eastAsia="宋体"/>
                <w:b w:val="0"/>
                <w:bCs/>
                <w:color w:val="000000" w:themeColor="text1"/>
                <w14:textFill>
                  <w14:solidFill>
                    <w14:schemeClr w14:val="tx1"/>
                  </w14:solidFill>
                </w14:textFill>
              </w:rPr>
              <w:t>＜1%</w:t>
            </w:r>
          </w:p>
        </w:tc>
      </w:tr>
    </w:tbl>
    <w:p>
      <w:pPr>
        <w:ind w:firstLine="480"/>
        <w:rPr>
          <w:rFonts w:eastAsia="宋体"/>
          <w:color w:val="000000" w:themeColor="text1"/>
          <w14:textFill>
            <w14:solidFill>
              <w14:schemeClr w14:val="tx1"/>
            </w14:solidFill>
          </w14:textFill>
        </w:rPr>
        <w:sectPr>
          <w:pgSz w:w="16838" w:h="11906" w:orient="landscape"/>
          <w:pgMar w:top="1440" w:right="1276" w:bottom="1440" w:left="1800" w:header="720" w:footer="720" w:gutter="0"/>
          <w:cols w:space="720" w:num="1"/>
          <w:docGrid w:linePitch="326" w:charSpace="0"/>
        </w:sectPr>
      </w:pPr>
      <w:r>
        <w:rPr>
          <w:rFonts w:eastAsia="宋体"/>
          <w:color w:val="000000" w:themeColor="text1"/>
          <w14:textFill>
            <w14:solidFill>
              <w14:schemeClr w14:val="tx1"/>
            </w14:solidFill>
          </w14:textFill>
        </w:rPr>
        <w:t>由表1.6-4可知，本项目P</w:t>
      </w:r>
      <w:r>
        <w:rPr>
          <w:rFonts w:eastAsia="宋体"/>
          <w:color w:val="000000" w:themeColor="text1"/>
          <w:vertAlign w:val="subscript"/>
          <w14:textFill>
            <w14:solidFill>
              <w14:schemeClr w14:val="tx1"/>
            </w14:solidFill>
          </w14:textFill>
        </w:rPr>
        <w:t>max</w:t>
      </w:r>
      <w:r>
        <w:rPr>
          <w:rFonts w:eastAsia="宋体"/>
          <w:color w:val="000000" w:themeColor="text1"/>
          <w14:textFill>
            <w14:solidFill>
              <w14:schemeClr w14:val="tx1"/>
            </w14:solidFill>
          </w14:textFill>
        </w:rPr>
        <w:t>=84.25%，P</w:t>
      </w:r>
      <w:r>
        <w:rPr>
          <w:rFonts w:eastAsia="宋体"/>
          <w:color w:val="000000" w:themeColor="text1"/>
          <w:vertAlign w:val="subscript"/>
          <w14:textFill>
            <w14:solidFill>
              <w14:schemeClr w14:val="tx1"/>
            </w14:solidFill>
          </w14:textFill>
        </w:rPr>
        <w:t>max</w:t>
      </w:r>
      <w:r>
        <w:rPr>
          <w:rFonts w:eastAsia="宋体"/>
          <w:color w:val="000000" w:themeColor="text1"/>
          <w14:textFill>
            <w14:solidFill>
              <w14:schemeClr w14:val="tx1"/>
            </w14:solidFill>
          </w14:textFill>
        </w:rPr>
        <w:t>≥10%。项目大气评价等级为一级。</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（2）地表水环境评价工作等级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本项目1号地块的废水经厂区生化池处理达标后，经市政污水管网排入双桥工业园区污水处理厂；2号地块的废水经厂区生化池处理达标后，经市政污水管网排入双桥工业园区污水处理厂。</w:t>
      </w:r>
      <w:r>
        <w:rPr>
          <w:rFonts w:hint="eastAsia" w:eastAsia="宋体"/>
          <w:color w:val="000000" w:themeColor="text1"/>
          <w14:textFill>
            <w14:solidFill>
              <w14:schemeClr w14:val="tx1"/>
            </w14:solidFill>
          </w14:textFill>
        </w:rPr>
        <w:t>项目废水排放</w:t>
      </w:r>
      <w:r>
        <w:rPr>
          <w:rFonts w:eastAsia="宋体"/>
          <w:color w:val="000000" w:themeColor="text1"/>
          <w14:textFill>
            <w14:solidFill>
              <w14:schemeClr w14:val="tx1"/>
            </w14:solidFill>
          </w14:textFill>
        </w:rPr>
        <w:t>属于间接排放。根据《环境影响评价技术导则地表水环境》（HJ2.3-2018），确定项目地表水评价等级为三级B。</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本次评价不对地表水环境影响进行预测，仅分析水污染控制和水环境影响减缓措施有效性评价、污水处理设施的环境可行性评价。</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（3）声环境评价工作等级</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根据</w:t>
      </w:r>
      <w:r>
        <w:rPr>
          <w:rFonts w:eastAsia="宋体"/>
          <w:color w:val="000000" w:themeColor="text1"/>
          <w14:textFill>
            <w14:solidFill>
              <w14:schemeClr w14:val="tx1"/>
            </w14:solidFill>
          </w14:textFill>
        </w:rPr>
        <w:t>《重庆市大足区人民政府关于印发大足区“十四五”声环境功能区划分调整方案的通知》（大足府发〔2023〕20号），本项目位于</w:t>
      </w:r>
      <w:r>
        <w:rPr>
          <w:rFonts w:hint="eastAsia" w:eastAsia="宋体"/>
          <w:color w:val="000000" w:themeColor="text1"/>
          <w14:textFill>
            <w14:solidFill>
              <w14:schemeClr w14:val="tx1"/>
            </w14:solidFill>
          </w14:textFill>
        </w:rPr>
        <w:t>大足高新区邮亭组团</w:t>
      </w:r>
      <w:r>
        <w:rPr>
          <w:rFonts w:eastAsia="宋体"/>
          <w:color w:val="000000" w:themeColor="text1"/>
          <w14:textFill>
            <w14:solidFill>
              <w14:schemeClr w14:val="tx1"/>
            </w14:solidFill>
          </w14:textFill>
        </w:rPr>
        <w:t>，属于声环境3类功能区，驿新大道、天红路两侧属于4a类声环境功能区。根据《环境影响评价技术导则声环境》（HJ2.4-2009），本项目声环境评价等级为三级。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声环境影响评价范围为1号地块厂界外200m以内的范围；2号地块厂界外200m以内的范围。</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（4）地下水环境评价工作等级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对照《环境影响评价技术导则地下水》（HJ610-2016）附录A，本项目属于“I、金属制品，53、金属制品加工制造，有电镀或喷漆工艺的”，地下水环境影响评价项目类别为Ⅲ类。项目所在区域不涉及饮用水源等地下水环境敏感区，所在区域不处在集中式饮用水水源的准保护区及其保护区以外的补给径流区，且无分散式居民饮用水井，本项目地下水环境敏感程度为不敏感。因此，本项目地下水评价等级为三级。</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（5）环境风险评价工作等级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根据《建设项目环境风险评价技术导则》（HJ 169-2018），环境风险评价工作等级需先根据建设项目涉及的物质及工艺系统危险性和所在地的环境敏感性确定环境风险潜势，再根据环境风险潜势来进行判定，具体见表1.6-6。</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表1.6-6  环境风险评价工作等级划分</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1695"/>
        <w:gridCol w:w="1695"/>
        <w:gridCol w:w="1695"/>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333"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环境风险潜势</w:t>
            </w:r>
          </w:p>
        </w:tc>
        <w:tc>
          <w:tcPr>
            <w:tcW w:w="917"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Ⅳ、Ⅳ</w:t>
            </w:r>
            <w:r>
              <w:rPr>
                <w:rFonts w:eastAsia="宋体"/>
                <w:color w:val="000000" w:themeColor="text1"/>
                <w:vertAlign w:val="superscript"/>
                <w14:textFill>
                  <w14:solidFill>
                    <w14:schemeClr w14:val="tx1"/>
                  </w14:solidFill>
                </w14:textFill>
              </w:rPr>
              <w:t>+</w:t>
            </w:r>
          </w:p>
        </w:tc>
        <w:tc>
          <w:tcPr>
            <w:tcW w:w="917"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Ⅲ</w:t>
            </w:r>
          </w:p>
        </w:tc>
        <w:tc>
          <w:tcPr>
            <w:tcW w:w="917"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Ⅱ</w:t>
            </w:r>
          </w:p>
        </w:tc>
        <w:tc>
          <w:tcPr>
            <w:tcW w:w="916"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3"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评价工作等级</w:t>
            </w:r>
          </w:p>
        </w:tc>
        <w:tc>
          <w:tcPr>
            <w:tcW w:w="917"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一</w:t>
            </w:r>
          </w:p>
        </w:tc>
        <w:tc>
          <w:tcPr>
            <w:tcW w:w="917"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二</w:t>
            </w:r>
          </w:p>
        </w:tc>
        <w:tc>
          <w:tcPr>
            <w:tcW w:w="917"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三</w:t>
            </w:r>
          </w:p>
        </w:tc>
        <w:tc>
          <w:tcPr>
            <w:tcW w:w="916"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简单分析</w:t>
            </w:r>
            <w:r>
              <w:rPr>
                <w:rFonts w:eastAsia="宋体"/>
                <w:b w:val="0"/>
                <w:bCs/>
                <w:color w:val="000000" w:themeColor="text1"/>
                <w:vertAlign w:val="superscript"/>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bottom w:val="single" w:color="auto" w:sz="12" w:space="0"/>
            </w:tcBorders>
            <w:vAlign w:val="center"/>
          </w:tcPr>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a.是相对于详细评价工作内容而言，在描述危险物质、环境影响途径、环境危害后果、风险防范措施等方面给出定性的说明。</w:t>
            </w:r>
          </w:p>
        </w:tc>
      </w:tr>
    </w:tbl>
    <w:p>
      <w:pPr>
        <w:ind w:firstLine="480"/>
        <w:rPr>
          <w:rFonts w:eastAsia="宋体"/>
          <w:color w:val="000000" w:themeColor="text1"/>
          <w14:textFill>
            <w14:solidFill>
              <w14:schemeClr w14:val="tx1"/>
            </w14:solidFill>
          </w14:textFill>
        </w:rPr>
      </w:pPr>
      <w:bookmarkStart w:id="70" w:name="_Toc489281018"/>
      <w:bookmarkStart w:id="71" w:name="_Toc12007"/>
      <w:bookmarkStart w:id="72" w:name="_Toc490235519"/>
      <w:r>
        <w:rPr>
          <w:rFonts w:eastAsia="宋体"/>
          <w:color w:val="000000" w:themeColor="text1"/>
          <w14:textFill>
            <w14:solidFill>
              <w14:schemeClr w14:val="tx1"/>
            </w14:solidFill>
          </w14:textFill>
        </w:rPr>
        <w:t>本项目涉及的环境风险物质是</w:t>
      </w:r>
      <w:r>
        <w:rPr>
          <w:rFonts w:hint="eastAsia" w:eastAsia="宋体"/>
          <w:color w:val="000000" w:themeColor="text1"/>
          <w14:textFill>
            <w14:solidFill>
              <w14:schemeClr w14:val="tx1"/>
            </w14:solidFill>
          </w14:textFill>
        </w:rPr>
        <w:t>各类油漆</w:t>
      </w:r>
      <w:r>
        <w:rPr>
          <w:rFonts w:eastAsia="宋体"/>
          <w:color w:val="000000" w:themeColor="text1"/>
          <w14:textFill>
            <w14:solidFill>
              <w14:schemeClr w14:val="tx1"/>
            </w14:solidFill>
          </w14:textFill>
        </w:rPr>
        <w:t>、润滑油等，Q值为0.3480，小于1，项目风险潜势为I，仅进行简单分析。本次评价将在危险物质、环境影响途径、环境危害后果、风险防范措施等方面进行定性分析。</w:t>
      </w:r>
    </w:p>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（6）土壤环境评价等级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根据《建设项目环境影响评价技术导则 土壤》（HJ 964-2018），“当同一建设项目涉及两个或两个以上场地时，各场地应分别判定评价工作等级，并按相应等级分别开展评价工作”。本项目为C3311金属结构制造业，分为1号地块和2号地块，</w:t>
      </w:r>
      <w:r>
        <w:rPr>
          <w:rFonts w:hint="eastAsia" w:eastAsia="宋体"/>
          <w:color w:val="000000" w:themeColor="text1"/>
          <w14:textFill>
            <w14:solidFill>
              <w14:schemeClr w14:val="tx1"/>
            </w14:solidFill>
          </w14:textFill>
        </w:rPr>
        <w:t>两个</w:t>
      </w:r>
      <w:r>
        <w:rPr>
          <w:rFonts w:eastAsia="宋体"/>
          <w:color w:val="000000" w:themeColor="text1"/>
          <w14:textFill>
            <w14:solidFill>
              <w14:schemeClr w14:val="tx1"/>
            </w14:solidFill>
          </w14:textFill>
        </w:rPr>
        <w:t>地块分别判定评价工作等级。</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1号地块：1号地块涉及钢板下料、焊接等工序，属于“金属制品中的其他”，土壤环境影响评价项目类别为Ⅲ类。根据导则中污染影响型评价工作等级划分表，1号地块占地面积88951.34m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，占地规模属于中型（5~50hm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）；项目位于</w:t>
      </w:r>
      <w:r>
        <w:rPr>
          <w:rFonts w:hint="eastAsia" w:eastAsia="宋体"/>
          <w:color w:val="000000" w:themeColor="text1"/>
          <w14:textFill>
            <w14:solidFill>
              <w14:schemeClr w14:val="tx1"/>
            </w14:solidFill>
          </w14:textFill>
        </w:rPr>
        <w:t>大足高新区邮亭组团</w:t>
      </w:r>
      <w:r>
        <w:rPr>
          <w:rFonts w:eastAsia="宋体"/>
          <w:color w:val="000000" w:themeColor="text1"/>
          <w14:textFill>
            <w14:solidFill>
              <w14:schemeClr w14:val="tx1"/>
            </w14:solidFill>
          </w14:textFill>
        </w:rPr>
        <w:t>，周边无土壤环境敏感目标，土壤环境敏感程度为不敏感。因此，1号地块可不开展土壤环境影响评价工作。</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2号地块：2号地块涉及喷涂、喷砂等工序，属于“金属制品使用有机涂层的（喷粉、喷塑和电泳除外）”，土壤环境影响评价项目类别为Ⅰ类。根据导则中污染影响型评价工作等级划分表，2号地块占地面积约18000m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，占地规模属于小型（≤5hm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）；项目位于</w:t>
      </w:r>
      <w:r>
        <w:rPr>
          <w:rFonts w:hint="eastAsia" w:eastAsia="宋体"/>
          <w:color w:val="000000" w:themeColor="text1"/>
          <w14:textFill>
            <w14:solidFill>
              <w14:schemeClr w14:val="tx1"/>
            </w14:solidFill>
          </w14:textFill>
        </w:rPr>
        <w:t>大足高新区邮亭组团</w:t>
      </w:r>
      <w:r>
        <w:rPr>
          <w:rFonts w:eastAsia="宋体"/>
          <w:color w:val="000000" w:themeColor="text1"/>
          <w14:textFill>
            <w14:solidFill>
              <w14:schemeClr w14:val="tx1"/>
            </w14:solidFill>
          </w14:textFill>
        </w:rPr>
        <w:t>，周边无土壤环境敏感目标，土壤环境敏感程度为不敏感。因此，2号地块土壤环境影响评价等级为二级。</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1.6.2评价范围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本项目各环境要素评价范围，详见表1.6-7。</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表1.6-7  项目环境评价范围</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179"/>
        <w:gridCol w:w="5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评价要素</w:t>
            </w:r>
          </w:p>
        </w:tc>
        <w:tc>
          <w:tcPr>
            <w:tcW w:w="1179"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评价等级</w:t>
            </w:r>
          </w:p>
        </w:tc>
        <w:tc>
          <w:tcPr>
            <w:tcW w:w="3194" w:type="pct"/>
            <w:tcBorders>
              <w:top w:val="single" w:color="auto" w:sz="12" w:space="0"/>
            </w:tcBorders>
            <w:vAlign w:val="center"/>
          </w:tcPr>
          <w:p>
            <w:pPr>
              <w:pStyle w:val="186"/>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环境空气</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一级</w:t>
            </w:r>
          </w:p>
        </w:tc>
        <w:tc>
          <w:tcPr>
            <w:tcW w:w="3194"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1</w:t>
            </w:r>
            <w:r>
              <w:rPr>
                <w:rFonts w:hint="eastAsia" w:eastAsia="宋体"/>
                <w:b w:val="0"/>
                <w:bCs/>
                <w:color w:val="000000" w:themeColor="text1"/>
                <w14:textFill>
                  <w14:solidFill>
                    <w14:schemeClr w14:val="tx1"/>
                  </w14:solidFill>
                </w14:textFill>
              </w:rPr>
              <w:t>号地块：以1号地块厂址为中心区域，边长5km的矩形。</w:t>
            </w:r>
            <w:r>
              <w:rPr>
                <w:rFonts w:eastAsia="宋体"/>
                <w:b w:val="0"/>
                <w:bCs/>
                <w:color w:val="000000" w:themeColor="text1"/>
                <w14:textFill>
                  <w14:solidFill>
                    <w14:schemeClr w14:val="tx1"/>
                  </w14:solidFill>
                </w14:textFill>
              </w:rPr>
              <w:t>2号地块</w:t>
            </w:r>
            <w:r>
              <w:rPr>
                <w:rFonts w:hint="eastAsia" w:eastAsia="宋体"/>
                <w:b w:val="0"/>
                <w:bCs/>
                <w:color w:val="000000" w:themeColor="text1"/>
                <w14:textFill>
                  <w14:solidFill>
                    <w14:schemeClr w14:val="tx1"/>
                  </w14:solidFill>
                </w14:textFill>
              </w:rPr>
              <w:t>：以2号地块</w:t>
            </w:r>
            <w:r>
              <w:rPr>
                <w:rFonts w:eastAsia="宋体"/>
                <w:b w:val="0"/>
                <w:bCs/>
                <w:color w:val="000000" w:themeColor="text1"/>
                <w14:textFill>
                  <w14:solidFill>
                    <w14:schemeClr w14:val="tx1"/>
                  </w14:solidFill>
                </w14:textFill>
              </w:rPr>
              <w:t>厂址为中心区域，边长5km的矩形。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地表水</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三级B</w:t>
            </w:r>
          </w:p>
        </w:tc>
        <w:tc>
          <w:tcPr>
            <w:tcW w:w="3194" w:type="pct"/>
            <w:vAlign w:val="center"/>
          </w:tcPr>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本次评价不对地表水环境影响进行预测，仅分析水污染控制和水环境影响减缓措施有效性评价、污水处理设施的环境可行性评价。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地下水</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三级</w:t>
            </w:r>
          </w:p>
        </w:tc>
        <w:tc>
          <w:tcPr>
            <w:tcW w:w="3194" w:type="pct"/>
            <w:vAlign w:val="center"/>
          </w:tcPr>
          <w:p>
            <w:pPr>
              <w:pStyle w:val="186"/>
              <w:jc w:val="left"/>
              <w:rPr>
                <w:rFonts w:eastAsia="宋体"/>
                <w:b w:val="0"/>
                <w:bCs/>
                <w:color w:val="000000" w:themeColor="text1"/>
                <w14:textFill>
                  <w14:solidFill>
                    <w14:schemeClr w14:val="tx1"/>
                  </w14:solidFill>
                </w14:textFill>
              </w:rPr>
            </w:pPr>
            <w:r>
              <w:rPr>
                <w:rFonts w:hint="eastAsia" w:eastAsia="宋体"/>
                <w:b w:val="0"/>
                <w:color w:val="000000" w:themeColor="text1"/>
                <w14:textFill>
                  <w14:solidFill>
                    <w14:schemeClr w14:val="tx1"/>
                  </w14:solidFill>
                </w14:textFill>
              </w:rPr>
              <w:t>东侧以苦水河为边界，南侧-西侧-西北侧以高铁大足南站-龙坎寺-观音岩-六角坵-八块田-黑山青-长福村-长石村-油坊坳地表水分水岭为界。评价范围约18.04km</w:t>
            </w:r>
            <w:r>
              <w:rPr>
                <w:rFonts w:hint="eastAsia" w:eastAsia="宋体"/>
                <w:b w:val="0"/>
                <w:color w:val="000000" w:themeColor="text1"/>
                <w:vertAlign w:val="superscript"/>
                <w14:textFill>
                  <w14:solidFill>
                    <w14:schemeClr w14:val="tx1"/>
                  </w14:solidFill>
                </w14:textFill>
              </w:rPr>
              <w:t>2</w:t>
            </w:r>
            <w:r>
              <w:rPr>
                <w:rFonts w:hint="eastAsia" w:eastAsia="宋体"/>
                <w:b w:val="0"/>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声环境</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三级</w:t>
            </w:r>
          </w:p>
        </w:tc>
        <w:tc>
          <w:tcPr>
            <w:tcW w:w="3194" w:type="pct"/>
            <w:vAlign w:val="center"/>
          </w:tcPr>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1号地块：厂界外200m以内的</w:t>
            </w:r>
            <w:r>
              <w:rPr>
                <w:rFonts w:hint="eastAsia" w:eastAsia="宋体"/>
                <w:b w:val="0"/>
                <w:bCs/>
                <w:color w:val="000000" w:themeColor="text1"/>
                <w14:textFill>
                  <w14:solidFill>
                    <w14:schemeClr w14:val="tx1"/>
                  </w14:solidFill>
                </w14:textFill>
              </w:rPr>
              <w:t>区域</w:t>
            </w:r>
          </w:p>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2号地块：厂界外200m以内的区域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土壤</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二级（2号地块）</w:t>
            </w:r>
          </w:p>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不开展（1号地块）</w:t>
            </w:r>
          </w:p>
        </w:tc>
        <w:tc>
          <w:tcPr>
            <w:tcW w:w="3194" w:type="pct"/>
            <w:vAlign w:val="center"/>
          </w:tcPr>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1号地块：无</w:t>
            </w:r>
          </w:p>
          <w:p>
            <w:pPr>
              <w:pStyle w:val="186"/>
              <w:jc w:val="left"/>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2号地块：2号地块的占地范围内全部，占地范围外0.2km范围内。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8"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环境风险</w:t>
            </w:r>
          </w:p>
        </w:tc>
        <w:tc>
          <w:tcPr>
            <w:tcW w:w="1179"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简单分析</w:t>
            </w:r>
          </w:p>
        </w:tc>
        <w:tc>
          <w:tcPr>
            <w:tcW w:w="3194" w:type="pct"/>
            <w:vAlign w:val="center"/>
          </w:tcPr>
          <w:p>
            <w:pPr>
              <w:pStyle w:val="186"/>
              <w:rPr>
                <w:rFonts w:eastAsia="宋体"/>
                <w:b w:val="0"/>
                <w:bCs/>
                <w:color w:val="000000" w:themeColor="text1"/>
                <w14:textFill>
                  <w14:solidFill>
                    <w14:schemeClr w14:val="tx1"/>
                  </w14:solidFill>
                </w14:textFill>
              </w:rPr>
            </w:pPr>
            <w:r>
              <w:rPr>
                <w:rFonts w:eastAsia="宋体"/>
                <w:b w:val="0"/>
                <w:bCs/>
                <w:color w:val="000000" w:themeColor="text1"/>
                <w14:textFill>
                  <w14:solidFill>
                    <w14:schemeClr w14:val="tx1"/>
                  </w14:solidFill>
                </w14:textFill>
              </w:rPr>
              <w:t>环境风险评价为简要分析，风险评价范围为企业厂区。</w:t>
            </w:r>
          </w:p>
        </w:tc>
      </w:tr>
    </w:tbl>
    <w:p>
      <w:pPr>
        <w:pStyle w:val="179"/>
        <w:rPr>
          <w:rFonts w:eastAsia="宋体"/>
          <w:color w:val="000000" w:themeColor="text1"/>
          <w14:textFill>
            <w14:solidFill>
              <w14:schemeClr w14:val="tx1"/>
            </w14:solidFill>
          </w14:textFill>
        </w:rPr>
      </w:pPr>
      <w:bookmarkStart w:id="73" w:name="_Toc155271408"/>
      <w:r>
        <w:rPr>
          <w:rFonts w:eastAsia="宋体"/>
          <w:color w:val="000000" w:themeColor="text1"/>
          <w14:textFill>
            <w14:solidFill>
              <w14:schemeClr w14:val="tx1"/>
            </w14:solidFill>
          </w14:textFill>
        </w:rPr>
        <w:t>1.7评价内容、重点及时段</w:t>
      </w:r>
      <w:bookmarkEnd w:id="73"/>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1.7.1评价内容</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建设项目工程分析、</w:t>
      </w:r>
      <w:r>
        <w:rPr>
          <w:rFonts w:hint="eastAsia" w:eastAsia="宋体"/>
          <w:color w:val="000000" w:themeColor="text1"/>
          <w14:textFill>
            <w14:solidFill>
              <w14:schemeClr w14:val="tx1"/>
            </w14:solidFill>
          </w14:textFill>
        </w:rPr>
        <w:t>环境现状调查与评价、</w:t>
      </w:r>
      <w:r>
        <w:rPr>
          <w:rFonts w:eastAsia="宋体"/>
          <w:color w:val="000000" w:themeColor="text1"/>
          <w14:textFill>
            <w14:solidFill>
              <w14:schemeClr w14:val="tx1"/>
            </w14:solidFill>
          </w14:textFill>
        </w:rPr>
        <w:t>环境影响</w:t>
      </w:r>
      <w:r>
        <w:rPr>
          <w:rFonts w:hint="eastAsia" w:eastAsia="宋体"/>
          <w:color w:val="000000" w:themeColor="text1"/>
          <w14:textFill>
            <w14:solidFill>
              <w14:schemeClr w14:val="tx1"/>
            </w14:solidFill>
          </w14:textFill>
        </w:rPr>
        <w:t>预测与评价</w:t>
      </w:r>
      <w:r>
        <w:rPr>
          <w:rFonts w:eastAsia="宋体"/>
          <w:color w:val="000000" w:themeColor="text1"/>
          <w14:textFill>
            <w14:solidFill>
              <w14:schemeClr w14:val="tx1"/>
            </w14:solidFill>
          </w14:textFill>
        </w:rPr>
        <w:t>、环境风险评价、</w:t>
      </w:r>
      <w:r>
        <w:rPr>
          <w:rFonts w:hint="eastAsia" w:eastAsia="宋体"/>
          <w:color w:val="000000" w:themeColor="text1"/>
          <w14:textFill>
            <w14:solidFill>
              <w14:schemeClr w14:val="tx1"/>
            </w14:solidFill>
          </w14:textFill>
        </w:rPr>
        <w:t>环境保护措施及其可行性论证</w:t>
      </w:r>
      <w:r>
        <w:rPr>
          <w:rFonts w:eastAsia="宋体"/>
          <w:color w:val="000000" w:themeColor="text1"/>
          <w14:textFill>
            <w14:solidFill>
              <w14:schemeClr w14:val="tx1"/>
            </w14:solidFill>
          </w14:textFill>
        </w:rPr>
        <w:t>、环境影响经济损益分析、环境管理与监测</w:t>
      </w:r>
      <w:r>
        <w:rPr>
          <w:rFonts w:hint="eastAsia" w:eastAsia="宋体"/>
          <w:color w:val="000000" w:themeColor="text1"/>
          <w14:textFill>
            <w14:solidFill>
              <w14:schemeClr w14:val="tx1"/>
            </w14:solidFill>
          </w14:textFill>
        </w:rPr>
        <w:t>计划</w:t>
      </w:r>
      <w:r>
        <w:rPr>
          <w:rFonts w:eastAsia="宋体"/>
          <w:color w:val="000000" w:themeColor="text1"/>
          <w14:textFill>
            <w14:solidFill>
              <w14:schemeClr w14:val="tx1"/>
            </w14:solidFill>
          </w14:textFill>
        </w:rPr>
        <w:t>、结论与建议。</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1.7.2评价重点</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以工程分析为基础，以大气、地表水、噪声、固体废物等环境影响分析、环境风险评价为重点。</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1.7.3评价时段</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施工期、运营期。</w:t>
      </w:r>
    </w:p>
    <w:p>
      <w:pPr>
        <w:pStyle w:val="179"/>
        <w:rPr>
          <w:rFonts w:eastAsia="宋体"/>
          <w:color w:val="000000" w:themeColor="text1"/>
          <w14:textFill>
            <w14:solidFill>
              <w14:schemeClr w14:val="tx1"/>
            </w14:solidFill>
          </w14:textFill>
        </w:rPr>
      </w:pPr>
      <w:bookmarkStart w:id="74" w:name="_Toc155271409"/>
      <w:r>
        <w:rPr>
          <w:rFonts w:eastAsia="宋体"/>
          <w:color w:val="000000" w:themeColor="text1"/>
          <w14:textFill>
            <w14:solidFill>
              <w14:schemeClr w14:val="tx1"/>
            </w14:solidFill>
          </w14:textFill>
        </w:rPr>
        <w:t>1.</w:t>
      </w:r>
      <w:bookmarkEnd w:id="70"/>
      <w:bookmarkEnd w:id="71"/>
      <w:bookmarkEnd w:id="72"/>
      <w:r>
        <w:rPr>
          <w:rFonts w:eastAsia="宋体"/>
          <w:color w:val="000000" w:themeColor="text1"/>
          <w14:textFill>
            <w14:solidFill>
              <w14:schemeClr w14:val="tx1"/>
            </w14:solidFill>
          </w14:textFill>
        </w:rPr>
        <w:t>8环境保护目标</w:t>
      </w:r>
      <w:bookmarkEnd w:id="74"/>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1.8.1外环境关系</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本项目位于大足高新区邮亭组团。经现场踏勘，项目由1号、2号地块组成，</w:t>
      </w:r>
      <w:r>
        <w:rPr>
          <w:rFonts w:hint="eastAsia" w:eastAsia="宋体"/>
          <w:color w:val="000000" w:themeColor="text1"/>
          <w:lang w:eastAsia="zh-CN"/>
          <w14:textFill>
            <w14:solidFill>
              <w14:schemeClr w14:val="tx1"/>
            </w14:solidFill>
          </w14:textFill>
        </w:rPr>
        <w:t>两个</w:t>
      </w:r>
      <w:r>
        <w:rPr>
          <w:rFonts w:eastAsia="宋体"/>
          <w:color w:val="000000" w:themeColor="text1"/>
          <w14:textFill>
            <w14:solidFill>
              <w14:schemeClr w14:val="tx1"/>
            </w14:solidFill>
          </w14:textFill>
        </w:rPr>
        <w:t>地块直线距离约1.35km。</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本项目外环境关系见表1.8-1和表1.8-2，项目5km范围内主要环境保护目标见表1.8-3和表1.8-4，企业外环境分布见附图4，环境保护目标见附图5。</w:t>
      </w:r>
    </w:p>
    <w:p>
      <w:pPr>
        <w:spacing w:line="240" w:lineRule="auto"/>
        <w:jc w:val="center"/>
        <w:rPr>
          <w:rFonts w:eastAsia="宋体"/>
          <w:b/>
          <w:bCs/>
          <w:color w:val="000000" w:themeColor="text1"/>
          <w14:textFill>
            <w14:solidFill>
              <w14:schemeClr w14:val="tx1"/>
            </w14:solidFill>
          </w14:textFill>
        </w:rPr>
      </w:pPr>
      <w:bookmarkStart w:id="75" w:name="_Toc31932"/>
      <w:r>
        <w:rPr>
          <w:rFonts w:eastAsia="宋体"/>
          <w:b/>
          <w:bCs/>
          <w:color w:val="000000" w:themeColor="text1"/>
          <w14:textFill>
            <w14:solidFill>
              <w14:schemeClr w14:val="tx1"/>
            </w14:solidFill>
          </w14:textFill>
        </w:rPr>
        <w:t>表1.8-1  本项目1号地块周边外环境关系</w:t>
      </w:r>
      <w:bookmarkEnd w:id="75"/>
      <w:r>
        <w:rPr>
          <w:rFonts w:eastAsia="宋体"/>
          <w:b/>
          <w:bCs/>
          <w:color w:val="000000" w:themeColor="text1"/>
          <w14:textFill>
            <w14:solidFill>
              <w14:schemeClr w14:val="tx1"/>
            </w14:solidFill>
          </w14:textFill>
        </w:rPr>
        <w:t>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377"/>
        <w:gridCol w:w="1011"/>
        <w:gridCol w:w="1871"/>
        <w:gridCol w:w="198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企业名称</w:t>
            </w:r>
          </w:p>
        </w:tc>
        <w:tc>
          <w:tcPr>
            <w:tcW w:w="547"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方位</w:t>
            </w:r>
          </w:p>
        </w:tc>
        <w:tc>
          <w:tcPr>
            <w:tcW w:w="1012"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厂界距离</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m</w:t>
            </w:r>
            <w:r>
              <w:rPr>
                <w:rFonts w:hint="eastAsia" w:eastAsia="宋体"/>
                <w:b/>
                <w:color w:val="000000" w:themeColor="text1"/>
                <w:kern w:val="0"/>
                <w:sz w:val="21"/>
                <w:szCs w:val="21"/>
                <w:lang w:eastAsia="zh-CN"/>
                <w14:textFill>
                  <w14:solidFill>
                    <w14:schemeClr w14:val="tx1"/>
                  </w14:solidFill>
                </w14:textFill>
              </w:rPr>
              <w:t>）</w:t>
            </w:r>
          </w:p>
        </w:tc>
        <w:tc>
          <w:tcPr>
            <w:tcW w:w="1074"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天红路</w:t>
            </w:r>
          </w:p>
        </w:tc>
        <w:tc>
          <w:tcPr>
            <w:tcW w:w="5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w:t>
            </w:r>
          </w:p>
        </w:tc>
        <w:tc>
          <w:tcPr>
            <w:tcW w:w="101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相邻</w:t>
            </w:r>
          </w:p>
        </w:tc>
        <w:tc>
          <w:tcPr>
            <w:tcW w:w="107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城市次干路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重庆思也其汽车零部件有限公司</w:t>
            </w:r>
          </w:p>
        </w:tc>
        <w:tc>
          <w:tcPr>
            <w:tcW w:w="5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E</w:t>
            </w:r>
          </w:p>
        </w:tc>
        <w:tc>
          <w:tcPr>
            <w:tcW w:w="101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07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汽车零部件制造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大旭宝电子科技有限公司</w:t>
            </w:r>
          </w:p>
        </w:tc>
        <w:tc>
          <w:tcPr>
            <w:tcW w:w="5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SW</w:t>
            </w:r>
          </w:p>
        </w:tc>
        <w:tc>
          <w:tcPr>
            <w:tcW w:w="101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107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电子产品制造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重庆元塑管业有限公司</w:t>
            </w:r>
          </w:p>
        </w:tc>
        <w:tc>
          <w:tcPr>
            <w:tcW w:w="5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SE</w:t>
            </w:r>
          </w:p>
        </w:tc>
        <w:tc>
          <w:tcPr>
            <w:tcW w:w="101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107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管道制品制造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36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重庆何发报废汽车回收有限公司</w:t>
            </w:r>
          </w:p>
        </w:tc>
        <w:tc>
          <w:tcPr>
            <w:tcW w:w="5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w:t>
            </w:r>
          </w:p>
        </w:tc>
        <w:tc>
          <w:tcPr>
            <w:tcW w:w="101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07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报废汽车回收</w:t>
            </w:r>
          </w:p>
        </w:tc>
      </w:tr>
    </w:tbl>
    <w:p>
      <w:pPr>
        <w:spacing w:line="240" w:lineRule="auto"/>
        <w:jc w:val="center"/>
        <w:rPr>
          <w:rFonts w:eastAsia="宋体"/>
          <w:b/>
          <w:bCs/>
          <w:color w:val="000000" w:themeColor="text1"/>
          <w14:textFill>
            <w14:solidFill>
              <w14:schemeClr w14:val="tx1"/>
            </w14:solidFill>
          </w14:textFill>
        </w:rPr>
      </w:pPr>
      <w:bookmarkStart w:id="76" w:name="_Toc12208"/>
      <w:r>
        <w:rPr>
          <w:rFonts w:eastAsia="宋体"/>
          <w:b/>
          <w:bCs/>
          <w:color w:val="000000" w:themeColor="text1"/>
          <w14:textFill>
            <w14:solidFill>
              <w14:schemeClr w14:val="tx1"/>
            </w14:solidFill>
          </w14:textFill>
        </w:rPr>
        <w:t>表1.8-2  本项目2号地块周边外环境关系表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209"/>
        <w:gridCol w:w="1179"/>
        <w:gridCol w:w="1725"/>
        <w:gridCol w:w="212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名称</w:t>
            </w:r>
          </w:p>
        </w:tc>
        <w:tc>
          <w:tcPr>
            <w:tcW w:w="638"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方位</w:t>
            </w:r>
          </w:p>
        </w:tc>
        <w:tc>
          <w:tcPr>
            <w:tcW w:w="933"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厂界距离</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m</w:t>
            </w:r>
            <w:r>
              <w:rPr>
                <w:rFonts w:hint="eastAsia" w:eastAsia="宋体"/>
                <w:b/>
                <w:color w:val="000000" w:themeColor="text1"/>
                <w:kern w:val="0"/>
                <w:sz w:val="21"/>
                <w:szCs w:val="21"/>
                <w:lang w:eastAsia="zh-CN"/>
                <w14:textFill>
                  <w14:solidFill>
                    <w14:schemeClr w14:val="tx1"/>
                  </w14:solidFill>
                </w14:textFill>
              </w:rPr>
              <w:t>）</w:t>
            </w:r>
          </w:p>
        </w:tc>
        <w:tc>
          <w:tcPr>
            <w:tcW w:w="1152" w:type="pct"/>
            <w:tcBorders>
              <w:top w:val="single" w:color="000000"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驿新大道</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二级公路（省道）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重庆天亘建筑工程有限公司</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SE</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保温材料制造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中国石油</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加油站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中国石化</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95</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加油站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重庆市圣特诺五金制品有限公司</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E</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五金加工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227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大足洗选厂</w:t>
            </w:r>
          </w:p>
        </w:tc>
        <w:tc>
          <w:tcPr>
            <w:tcW w:w="6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w:t>
            </w:r>
          </w:p>
        </w:tc>
        <w:tc>
          <w:tcPr>
            <w:tcW w:w="9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86</w:t>
            </w:r>
          </w:p>
        </w:tc>
        <w:tc>
          <w:tcPr>
            <w:tcW w:w="1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煤炭仓储</w:t>
            </w:r>
          </w:p>
        </w:tc>
      </w:tr>
    </w:tbl>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1.8.2环境保护目标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根据现场踏勘及调查，本项目评价范围内不涉及自然保护区、风景名胜区</w:t>
      </w:r>
      <w:r>
        <w:rPr>
          <w:rFonts w:hint="eastAsia" w:eastAsia="宋体"/>
          <w:color w:val="000000" w:themeColor="text1"/>
          <w14:textFill>
            <w14:solidFill>
              <w14:schemeClr w14:val="tx1"/>
            </w14:solidFill>
          </w14:textFill>
        </w:rPr>
        <w:t>和其</w:t>
      </w:r>
      <w:r>
        <w:rPr>
          <w:rFonts w:hint="eastAsia" w:eastAsia="宋体"/>
          <w:color w:val="000000" w:themeColor="text1"/>
          <w:lang w:eastAsia="zh-CN"/>
          <w14:textFill>
            <w14:solidFill>
              <w14:schemeClr w14:val="tx1"/>
            </w14:solidFill>
          </w14:textFill>
        </w:rPr>
        <w:t>他需要</w:t>
      </w:r>
      <w:r>
        <w:rPr>
          <w:rFonts w:hint="eastAsia" w:eastAsia="宋体"/>
          <w:color w:val="000000" w:themeColor="text1"/>
          <w14:textFill>
            <w14:solidFill>
              <w14:schemeClr w14:val="tx1"/>
            </w14:solidFill>
          </w14:textFill>
        </w:rPr>
        <w:t>特殊保护的区域</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（1）环境空气保护目标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项目环境空气评价范围为：</w:t>
      </w:r>
      <w:r>
        <w:rPr>
          <w:rFonts w:hint="eastAsia" w:eastAsia="宋体"/>
          <w:color w:val="000000" w:themeColor="text1"/>
          <w14:textFill>
            <w14:solidFill>
              <w14:schemeClr w14:val="tx1"/>
            </w14:solidFill>
          </w14:textFill>
        </w:rPr>
        <w:t>分别</w:t>
      </w:r>
      <w:r>
        <w:rPr>
          <w:rFonts w:eastAsia="宋体"/>
          <w:color w:val="000000" w:themeColor="text1"/>
          <w14:textFill>
            <w14:solidFill>
              <w14:schemeClr w14:val="tx1"/>
            </w14:solidFill>
          </w14:textFill>
        </w:rPr>
        <w:t>以</w:t>
      </w:r>
      <w:r>
        <w:rPr>
          <w:rFonts w:hint="eastAsia" w:eastAsia="宋体"/>
          <w:color w:val="000000" w:themeColor="text1"/>
          <w14:textFill>
            <w14:solidFill>
              <w14:schemeClr w14:val="tx1"/>
            </w14:solidFill>
          </w14:textFill>
        </w:rPr>
        <w:t>1号地块和2号地块</w:t>
      </w:r>
      <w:r>
        <w:rPr>
          <w:rFonts w:eastAsia="宋体"/>
          <w:color w:val="000000" w:themeColor="text1"/>
          <w14:textFill>
            <w14:solidFill>
              <w14:schemeClr w14:val="tx1"/>
            </w14:solidFill>
          </w14:textFill>
        </w:rPr>
        <w:t>厂址为中心，边长为5km的矩形区域。该区域内大气环境保护目标主要为邮亭镇场镇的居民区、学校，以及农村居民集中区等。</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（2）声环境保护目标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项目声环境评价范围内：</w:t>
      </w:r>
      <w:r>
        <w:rPr>
          <w:rFonts w:hint="eastAsia" w:eastAsia="宋体"/>
          <w:color w:val="000000" w:themeColor="text1"/>
          <w14:textFill>
            <w14:solidFill>
              <w14:schemeClr w14:val="tx1"/>
            </w14:solidFill>
          </w14:textFill>
        </w:rPr>
        <w:t>项目2个地块</w:t>
      </w:r>
      <w:r>
        <w:rPr>
          <w:rFonts w:eastAsia="宋体"/>
          <w:color w:val="000000" w:themeColor="text1"/>
          <w14:textFill>
            <w14:solidFill>
              <w14:schemeClr w14:val="tx1"/>
            </w14:solidFill>
          </w14:textFill>
        </w:rPr>
        <w:t>厂界</w:t>
      </w:r>
      <w:r>
        <w:rPr>
          <w:rFonts w:hint="eastAsia" w:eastAsia="宋体"/>
          <w:color w:val="000000" w:themeColor="text1"/>
          <w14:textFill>
            <w14:solidFill>
              <w14:schemeClr w14:val="tx1"/>
            </w14:solidFill>
          </w14:textFill>
        </w:rPr>
        <w:t>分别</w:t>
      </w:r>
      <w:r>
        <w:rPr>
          <w:rFonts w:eastAsia="宋体"/>
          <w:color w:val="000000" w:themeColor="text1"/>
          <w14:textFill>
            <w14:solidFill>
              <w14:schemeClr w14:val="tx1"/>
            </w14:solidFill>
          </w14:textFill>
        </w:rPr>
        <w:t>向外200m范围。该范围内无声环境保护目标。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（3）地下水环境保护目标</w:t>
      </w:r>
    </w:p>
    <w:p>
      <w:pPr>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项目所在地下水评价范围为：东侧以苦水河为边界，南侧-西侧-西北侧以高铁大足南站-龙坎寺-观音岩-六角坵-八块田-黑山青-长福村-长石村-油坊坳地表水分水岭为界。评价范围约18.04km</w:t>
      </w:r>
      <w:r>
        <w:rPr>
          <w:rFonts w:eastAsia="宋体"/>
          <w:color w:val="000000" w:themeColor="text1"/>
          <w:vertAlign w:val="superscript"/>
          <w14:textFill>
            <w14:solidFill>
              <w14:schemeClr w14:val="tx1"/>
            </w14:solidFill>
          </w14:textFill>
        </w:rPr>
        <w:t>2</w:t>
      </w:r>
      <w:r>
        <w:rPr>
          <w:rFonts w:hint="eastAsia" w:eastAsia="宋体"/>
          <w:color w:val="000000" w:themeColor="text1"/>
          <w:vertAlign w:val="superscript"/>
          <w14:textFill>
            <w14:solidFill>
              <w14:schemeClr w14:val="tx1"/>
            </w14:solidFill>
          </w14:textFill>
        </w:rPr>
        <w:t>。</w:t>
      </w:r>
      <w:r>
        <w:rPr>
          <w:rFonts w:eastAsia="宋体"/>
          <w:color w:val="000000" w:themeColor="text1"/>
          <w:szCs w:val="24"/>
          <w14:textFill>
            <w14:solidFill>
              <w14:schemeClr w14:val="tx1"/>
            </w14:solidFill>
          </w14:textFill>
        </w:rPr>
        <w:t>根据调查了解，评价范围内的居民已基本实现自来水供水，无居民使用地下水，无地下水环境保护目标。</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（4）地表水环境保护目标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项目废水经双桥工业园区污水处理厂处理后排入苦水河，故本次评价将苦水河作为地表水环境保护目标。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（5）土壤环境保护目标</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项目土壤环境评价范围为：</w:t>
      </w:r>
      <w:r>
        <w:rPr>
          <w:rFonts w:hint="eastAsia" w:eastAsia="宋体"/>
          <w:color w:val="000000" w:themeColor="text1"/>
          <w14:textFill>
            <w14:solidFill>
              <w14:schemeClr w14:val="tx1"/>
            </w14:solidFill>
          </w14:textFill>
        </w:rPr>
        <w:t>项目1号地块不开展土壤评价，</w:t>
      </w:r>
      <w:r>
        <w:rPr>
          <w:rFonts w:eastAsia="宋体"/>
          <w:color w:val="000000" w:themeColor="text1"/>
          <w14:textFill>
            <w14:solidFill>
              <w14:schemeClr w14:val="tx1"/>
            </w14:solidFill>
          </w14:textFill>
        </w:rPr>
        <w:t>项目2号地块的厂界外200m范围，属于大足高新区邮亭组团内，主要分布为工业企业。该评价范围内无耕地、园地、牧草地、饮用水水源地或居民区、学校、医院等土壤环境保护目标。</w:t>
      </w:r>
    </w:p>
    <w:p>
      <w:pPr>
        <w:ind w:firstLine="480"/>
        <w:rPr>
          <w:rFonts w:eastAsia="宋体"/>
          <w:color w:val="000000" w:themeColor="text1"/>
          <w14:textFill>
            <w14:solidFill>
              <w14:schemeClr w14:val="tx1"/>
            </w14:solidFill>
          </w14:textFill>
        </w:rPr>
        <w:sectPr>
          <w:pgSz w:w="11906" w:h="16838"/>
          <w:pgMar w:top="1276" w:right="1440" w:bottom="1800" w:left="1440" w:header="720" w:footer="720" w:gutter="0"/>
          <w:cols w:space="720" w:num="1"/>
          <w:docGrid w:linePitch="326" w:charSpace="0"/>
        </w:sectPr>
      </w:pPr>
      <w:r>
        <w:rPr>
          <w:rFonts w:eastAsia="宋体"/>
          <w:color w:val="000000" w:themeColor="text1"/>
          <w14:textFill>
            <w14:solidFill>
              <w14:schemeClr w14:val="tx1"/>
            </w14:solidFill>
          </w14:textFill>
        </w:rPr>
        <w:t>项目环境保护目标详见表1.8-3。</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表1.8-3  项目环境保护目标一览表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892"/>
        <w:gridCol w:w="1115"/>
        <w:gridCol w:w="2589"/>
        <w:gridCol w:w="2016"/>
        <w:gridCol w:w="1904"/>
        <w:gridCol w:w="1440"/>
        <w:gridCol w:w="1431"/>
        <w:gridCol w:w="1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名称</w:t>
            </w:r>
          </w:p>
        </w:tc>
        <w:tc>
          <w:tcPr>
            <w:tcW w:w="718" w:type="pct"/>
            <w:gridSpan w:val="2"/>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坐标/m</w:t>
            </w:r>
          </w:p>
        </w:tc>
        <w:tc>
          <w:tcPr>
            <w:tcW w:w="926"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保护对象</w:t>
            </w:r>
          </w:p>
        </w:tc>
        <w:tc>
          <w:tcPr>
            <w:tcW w:w="721"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保护内容</w:t>
            </w:r>
          </w:p>
        </w:tc>
        <w:tc>
          <w:tcPr>
            <w:tcW w:w="681"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环境功能区</w:t>
            </w:r>
          </w:p>
        </w:tc>
        <w:tc>
          <w:tcPr>
            <w:tcW w:w="515"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相对厂址方位</w:t>
            </w:r>
          </w:p>
        </w:tc>
        <w:tc>
          <w:tcPr>
            <w:tcW w:w="512" w:type="pct"/>
            <w:vMerge w:val="restart"/>
            <w:tcBorders>
              <w:top w:val="single" w:color="auto" w:sz="12" w:space="0"/>
            </w:tcBorders>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相对</w:t>
            </w:r>
            <w:r>
              <w:rPr>
                <w:rFonts w:hint="eastAsia" w:eastAsia="宋体"/>
                <w:b/>
                <w:color w:val="000000" w:themeColor="text1"/>
                <w:kern w:val="0"/>
                <w:sz w:val="21"/>
                <w:szCs w:val="21"/>
                <w14:textFill>
                  <w14:solidFill>
                    <w14:schemeClr w14:val="tx1"/>
                  </w14:solidFill>
                </w14:textFill>
              </w:rPr>
              <w:t>1号地块</w:t>
            </w:r>
            <w:r>
              <w:rPr>
                <w:rFonts w:eastAsia="宋体"/>
                <w:b/>
                <w:color w:val="000000" w:themeColor="text1"/>
                <w:kern w:val="0"/>
                <w:sz w:val="21"/>
                <w:szCs w:val="21"/>
                <w14:textFill>
                  <w14:solidFill>
                    <w14:schemeClr w14:val="tx1"/>
                  </w14:solidFill>
                </w14:textFill>
              </w:rPr>
              <w:t>厂界距离/m</w:t>
            </w:r>
          </w:p>
        </w:tc>
        <w:tc>
          <w:tcPr>
            <w:tcW w:w="511" w:type="pct"/>
            <w:vMerge w:val="restart"/>
            <w:tcBorders>
              <w:top w:val="single" w:color="auto" w:sz="12" w:space="0"/>
            </w:tcBorders>
          </w:tcPr>
          <w:p>
            <w:pPr>
              <w:spacing w:line="240" w:lineRule="auto"/>
              <w:jc w:val="center"/>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相对2号地块厂界距离/m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Merge w:val="continue"/>
          </w:tcPr>
          <w:p>
            <w:pPr>
              <w:pStyle w:val="35"/>
            </w:pPr>
          </w:p>
        </w:tc>
        <w:tc>
          <w:tcPr>
            <w:tcW w:w="319"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X</w:t>
            </w:r>
          </w:p>
        </w:tc>
        <w:tc>
          <w:tcPr>
            <w:tcW w:w="399" w:type="pc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Y</w:t>
            </w:r>
          </w:p>
        </w:tc>
        <w:tc>
          <w:tcPr>
            <w:tcW w:w="926" w:type="pct"/>
            <w:vMerge w:val="continue"/>
          </w:tcPr>
          <w:p>
            <w:pPr>
              <w:pStyle w:val="35"/>
            </w:pPr>
          </w:p>
        </w:tc>
        <w:tc>
          <w:tcPr>
            <w:tcW w:w="721" w:type="pct"/>
            <w:vMerge w:val="continue"/>
          </w:tcPr>
          <w:p>
            <w:pPr>
              <w:pStyle w:val="35"/>
            </w:pPr>
          </w:p>
        </w:tc>
        <w:tc>
          <w:tcPr>
            <w:tcW w:w="681" w:type="pct"/>
            <w:vMerge w:val="continue"/>
          </w:tcPr>
          <w:p>
            <w:pPr>
              <w:pStyle w:val="35"/>
            </w:pPr>
          </w:p>
        </w:tc>
        <w:tc>
          <w:tcPr>
            <w:tcW w:w="515" w:type="pct"/>
            <w:vMerge w:val="continue"/>
          </w:tcPr>
          <w:p>
            <w:pPr>
              <w:pStyle w:val="35"/>
            </w:pPr>
          </w:p>
        </w:tc>
        <w:tc>
          <w:tcPr>
            <w:tcW w:w="512" w:type="pct"/>
            <w:vMerge w:val="continue"/>
          </w:tcPr>
          <w:p>
            <w:pPr>
              <w:pStyle w:val="35"/>
            </w:pPr>
          </w:p>
        </w:tc>
        <w:tc>
          <w:tcPr>
            <w:tcW w:w="511" w:type="pct"/>
            <w:vMerge w:val="continue"/>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曹家院子</w:t>
            </w:r>
          </w:p>
        </w:tc>
        <w:tc>
          <w:tcPr>
            <w:tcW w:w="31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554</w:t>
            </w:r>
          </w:p>
        </w:tc>
        <w:tc>
          <w:tcPr>
            <w:tcW w:w="39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2450</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居民约100人</w:t>
            </w:r>
          </w:p>
        </w:tc>
        <w:tc>
          <w:tcPr>
            <w:tcW w:w="681" w:type="pct"/>
            <w:vMerge w:val="restar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环境空气二类功能区</w:t>
            </w: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554</w:t>
            </w:r>
          </w:p>
        </w:tc>
        <w:tc>
          <w:tcPr>
            <w:tcW w:w="511" w:type="pct"/>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红林村</w:t>
            </w:r>
          </w:p>
        </w:tc>
        <w:tc>
          <w:tcPr>
            <w:tcW w:w="31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395</w:t>
            </w:r>
          </w:p>
        </w:tc>
        <w:tc>
          <w:tcPr>
            <w:tcW w:w="39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2035</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居民约300人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248</w:t>
            </w:r>
          </w:p>
        </w:tc>
        <w:tc>
          <w:tcPr>
            <w:tcW w:w="511" w:type="pct"/>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天福村</w:t>
            </w:r>
          </w:p>
        </w:tc>
        <w:tc>
          <w:tcPr>
            <w:tcW w:w="31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204</w:t>
            </w:r>
          </w:p>
        </w:tc>
        <w:tc>
          <w:tcPr>
            <w:tcW w:w="39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3213</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居民约300人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1171</w:t>
            </w:r>
          </w:p>
        </w:tc>
        <w:tc>
          <w:tcPr>
            <w:tcW w:w="511" w:type="pct"/>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陈家新院子</w:t>
            </w:r>
          </w:p>
        </w:tc>
        <w:tc>
          <w:tcPr>
            <w:tcW w:w="31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-2394</w:t>
            </w:r>
          </w:p>
        </w:tc>
        <w:tc>
          <w:tcPr>
            <w:tcW w:w="39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2873</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居民约60人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3115</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3</w:t>
            </w:r>
            <w:r>
              <w:rPr>
                <w:rFonts w:eastAsia="宋体"/>
                <w:bCs/>
                <w:color w:val="000000" w:themeColor="text1"/>
                <w:kern w:val="0"/>
                <w:sz w:val="21"/>
                <w:szCs w:val="21"/>
                <w14:textFill>
                  <w14:solidFill>
                    <w14:schemeClr w14:val="tx1"/>
                  </w14:solidFill>
                </w14:textFill>
              </w:rPr>
              <w:t>582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碧绿村</w:t>
            </w:r>
          </w:p>
        </w:tc>
        <w:tc>
          <w:tcPr>
            <w:tcW w:w="31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1468</w:t>
            </w:r>
          </w:p>
        </w:tc>
        <w:tc>
          <w:tcPr>
            <w:tcW w:w="399" w:type="pct"/>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2579</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居民约300人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909</w:t>
            </w:r>
          </w:p>
        </w:tc>
        <w:tc>
          <w:tcPr>
            <w:tcW w:w="511" w:type="pct"/>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774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东胜村</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414</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约600人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186</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大足国家粮库</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-720</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国家粮食储备库</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储粮规模10万吨</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749</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邮亭镇</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-728</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-705</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包含邮亭镇政府、幼儿园、</w:t>
            </w:r>
            <w:r>
              <w:rPr>
                <w:rFonts w:hint="eastAsia" w:eastAsia="宋体"/>
                <w:bCs/>
                <w:color w:val="000000" w:themeColor="text1"/>
                <w:kern w:val="0"/>
                <w:sz w:val="21"/>
                <w:szCs w:val="21"/>
                <w14:textFill>
                  <w14:solidFill>
                    <w14:schemeClr w14:val="tx1"/>
                  </w14:solidFill>
                </w14:textFill>
              </w:rPr>
              <w:t>邮亭中心</w:t>
            </w:r>
            <w:r>
              <w:rPr>
                <w:rFonts w:eastAsia="宋体"/>
                <w:bCs/>
                <w:color w:val="000000" w:themeColor="text1"/>
                <w:kern w:val="0"/>
                <w:sz w:val="21"/>
                <w:szCs w:val="21"/>
                <w14:textFill>
                  <w14:solidFill>
                    <w14:schemeClr w14:val="tx1"/>
                  </w14:solidFill>
                </w14:textFill>
              </w:rPr>
              <w:t>小学</w:t>
            </w:r>
            <w:r>
              <w:rPr>
                <w:rFonts w:hint="eastAsia" w:eastAsia="宋体"/>
                <w:bCs/>
                <w:color w:val="000000" w:themeColor="text1"/>
                <w:kern w:val="0"/>
                <w:sz w:val="21"/>
                <w:szCs w:val="21"/>
                <w14:textFill>
                  <w14:solidFill>
                    <w14:schemeClr w14:val="tx1"/>
                  </w14:solidFill>
                </w14:textFill>
              </w:rPr>
              <w:t>、邮亭中心卫生院</w:t>
            </w:r>
            <w:r>
              <w:rPr>
                <w:rFonts w:eastAsia="宋体"/>
                <w:bCs/>
                <w:color w:val="000000" w:themeColor="text1"/>
                <w:kern w:val="0"/>
                <w:sz w:val="21"/>
                <w:szCs w:val="21"/>
                <w14:textFill>
                  <w14:solidFill>
                    <w14:schemeClr w14:val="tx1"/>
                  </w14:solidFill>
                </w14:textFill>
              </w:rPr>
              <w:t>及场镇居民等</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约10000人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838</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邮亭中学</w:t>
            </w:r>
            <w:r>
              <w:rPr>
                <w:rFonts w:hint="eastAsia" w:eastAsia="宋体"/>
                <w:bCs/>
                <w:color w:val="000000" w:themeColor="text1"/>
                <w:kern w:val="0"/>
                <w:sz w:val="21"/>
                <w:szCs w:val="21"/>
                <w14:textFill>
                  <w14:solidFill>
                    <w14:schemeClr w14:val="tx1"/>
                  </w14:solidFill>
                </w14:textFill>
              </w:rPr>
              <w:t>新校区</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-1222</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-903</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学校</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在校师生约600人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799</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邮亭中学</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659</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72</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学校</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在校师生约600人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N</w:t>
            </w:r>
            <w:r>
              <w:rPr>
                <w:rFonts w:eastAsia="宋体"/>
                <w:bCs/>
                <w:color w:val="000000" w:themeColor="text1"/>
                <w:kern w:val="0"/>
                <w:sz w:val="21"/>
                <w:szCs w:val="21"/>
                <w14:textFill>
                  <w14:solidFill>
                    <w14:schemeClr w14:val="tx1"/>
                  </w14:solidFill>
                </w14:textFill>
              </w:rPr>
              <w:t>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598</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5</w:t>
            </w:r>
            <w:r>
              <w:rPr>
                <w:rFonts w:eastAsia="宋体"/>
                <w:bCs/>
                <w:color w:val="000000" w:themeColor="text1"/>
                <w:kern w:val="0"/>
                <w:sz w:val="21"/>
                <w:szCs w:val="21"/>
                <w14:textFill>
                  <w14:solidFill>
                    <w14:schemeClr w14:val="tx1"/>
                  </w14:solidFill>
                </w14:textFill>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大足区春晖学校</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839</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-637</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学校</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在校师生约1100人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834</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八百春村</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-2270</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334</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约240人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3</w:t>
            </w:r>
            <w:r>
              <w:rPr>
                <w:rFonts w:eastAsia="宋体"/>
                <w:bCs/>
                <w:color w:val="000000" w:themeColor="text1"/>
                <w:kern w:val="0"/>
                <w:sz w:val="21"/>
                <w:szCs w:val="21"/>
                <w14:textFill>
                  <w14:solidFill>
                    <w14:schemeClr w14:val="tx1"/>
                  </w14:solidFill>
                </w14:textFill>
              </w:rPr>
              <w:t>070</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大足南站</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-501</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-1335</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高铁站</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最高聚集人数约1200人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2</w:t>
            </w:r>
            <w:r>
              <w:rPr>
                <w:rFonts w:eastAsia="宋体"/>
                <w:bCs/>
                <w:color w:val="000000" w:themeColor="text1"/>
                <w:kern w:val="0"/>
                <w:sz w:val="21"/>
                <w:szCs w:val="21"/>
                <w14:textFill>
                  <w14:solidFill>
                    <w14:schemeClr w14:val="tx1"/>
                  </w14:solidFill>
                </w14:textFill>
              </w:rPr>
              <w:t>687</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石股岭</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-1087</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-2163</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约80人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SW</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3</w:t>
            </w:r>
            <w:r>
              <w:rPr>
                <w:rFonts w:eastAsia="宋体"/>
                <w:bCs/>
                <w:color w:val="000000" w:themeColor="text1"/>
                <w:kern w:val="0"/>
                <w:sz w:val="21"/>
                <w:szCs w:val="21"/>
                <w14:textFill>
                  <w14:solidFill>
                    <w14:schemeClr w14:val="tx1"/>
                  </w14:solidFill>
                </w14:textFill>
              </w:rPr>
              <w:t>519</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驿新苑小区</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160</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537</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居民约1500人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NE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6</w:t>
            </w:r>
            <w:r>
              <w:rPr>
                <w:rFonts w:eastAsia="宋体"/>
                <w:bCs/>
                <w:color w:val="000000" w:themeColor="text1"/>
                <w:kern w:val="0"/>
                <w:sz w:val="21"/>
                <w:szCs w:val="21"/>
                <w14:textFill>
                  <w14:solidFill>
                    <w14:schemeClr w14:val="tx1"/>
                  </w14:solidFill>
                </w14:textFill>
              </w:rPr>
              <w:t>13</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东风村</w:t>
            </w:r>
          </w:p>
        </w:tc>
        <w:tc>
          <w:tcPr>
            <w:tcW w:w="31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736</w:t>
            </w:r>
          </w:p>
        </w:tc>
        <w:tc>
          <w:tcPr>
            <w:tcW w:w="39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-146</w:t>
            </w:r>
          </w:p>
        </w:tc>
        <w:tc>
          <w:tcPr>
            <w:tcW w:w="926"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农村居民集中居住区</w:t>
            </w:r>
          </w:p>
        </w:tc>
        <w:tc>
          <w:tcPr>
            <w:tcW w:w="72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居民约400人</w:t>
            </w:r>
          </w:p>
        </w:tc>
        <w:tc>
          <w:tcPr>
            <w:tcW w:w="681" w:type="pct"/>
            <w:vMerge w:val="continue"/>
            <w:vAlign w:val="center"/>
          </w:tcPr>
          <w:p>
            <w:pPr>
              <w:spacing w:line="240" w:lineRule="auto"/>
              <w:jc w:val="center"/>
              <w:rPr>
                <w:rFonts w:eastAsia="宋体"/>
                <w:bCs/>
                <w:color w:val="000000" w:themeColor="text1"/>
                <w:kern w:val="0"/>
                <w:sz w:val="21"/>
                <w:szCs w:val="21"/>
                <w14:textFill>
                  <w14:solidFill>
                    <w14:schemeClr w14:val="tx1"/>
                  </w14:solidFill>
                </w14:textFill>
              </w:rPr>
            </w:pPr>
          </w:p>
        </w:tc>
        <w:tc>
          <w:tcPr>
            <w:tcW w:w="515"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SE</w:t>
            </w:r>
          </w:p>
        </w:tc>
        <w:tc>
          <w:tcPr>
            <w:tcW w:w="512"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hint="eastAsia" w:eastAsia="宋体"/>
                <w:bCs/>
                <w:color w:val="000000" w:themeColor="text1"/>
                <w:kern w:val="0"/>
                <w:sz w:val="21"/>
                <w:szCs w:val="21"/>
                <w14:textFill>
                  <w14:solidFill>
                    <w14:schemeClr w14:val="tx1"/>
                  </w14:solidFill>
                </w14:textFill>
              </w:rPr>
              <w:t>1</w:t>
            </w:r>
            <w:r>
              <w:rPr>
                <w:rFonts w:eastAsia="宋体"/>
                <w:bCs/>
                <w:color w:val="000000" w:themeColor="text1"/>
                <w:kern w:val="0"/>
                <w:sz w:val="21"/>
                <w:szCs w:val="21"/>
                <w14:textFill>
                  <w14:solidFill>
                    <w14:schemeClr w14:val="tx1"/>
                  </w14:solidFill>
                </w14:textFill>
              </w:rPr>
              <w:t>153</w:t>
            </w:r>
          </w:p>
        </w:tc>
        <w:tc>
          <w:tcPr>
            <w:tcW w:w="511" w:type="pct"/>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543</w:t>
            </w:r>
          </w:p>
        </w:tc>
      </w:tr>
    </w:tbl>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注：</w:t>
      </w:r>
      <w:r>
        <w:rPr>
          <w:rFonts w:hint="eastAsia" w:ascii="宋体" w:hAnsi="宋体" w:eastAsia="宋体" w:cs="宋体"/>
          <w:color w:val="000000" w:themeColor="text1"/>
          <w:sz w:val="21"/>
          <w:szCs w:val="21"/>
          <w14:textFill>
            <w14:solidFill>
              <w14:schemeClr w14:val="tx1"/>
            </w14:solidFill>
          </w14:textFill>
        </w:rPr>
        <w:t>①</w:t>
      </w:r>
      <w:r>
        <w:rPr>
          <w:rFonts w:eastAsia="宋体"/>
          <w:color w:val="000000" w:themeColor="text1"/>
          <w:sz w:val="21"/>
          <w:szCs w:val="21"/>
          <w14:textFill>
            <w14:solidFill>
              <w14:schemeClr w14:val="tx1"/>
            </w14:solidFill>
          </w14:textFill>
        </w:rPr>
        <w:t>由于项目涉及2个地块，</w:t>
      </w:r>
      <w:r>
        <w:rPr>
          <w:rFonts w:hint="eastAsia" w:eastAsia="宋体"/>
          <w:color w:val="000000" w:themeColor="text1"/>
          <w:sz w:val="21"/>
          <w:szCs w:val="21"/>
          <w14:textFill>
            <w14:solidFill>
              <w14:schemeClr w14:val="tx1"/>
            </w14:solidFill>
          </w14:textFill>
        </w:rPr>
        <w:t>分别对2</w:t>
      </w:r>
      <w:r>
        <w:rPr>
          <w:rFonts w:hint="eastAsia" w:eastAsia="宋体"/>
          <w:color w:val="000000" w:themeColor="text1"/>
          <w:sz w:val="21"/>
          <w:szCs w:val="21"/>
          <w:lang w:eastAsia="zh-CN"/>
          <w14:textFill>
            <w14:solidFill>
              <w14:schemeClr w14:val="tx1"/>
            </w14:solidFill>
          </w14:textFill>
        </w:rPr>
        <w:t>个</w:t>
      </w:r>
      <w:r>
        <w:rPr>
          <w:rFonts w:hint="eastAsia" w:eastAsia="宋体"/>
          <w:color w:val="000000" w:themeColor="text1"/>
          <w:sz w:val="21"/>
          <w:szCs w:val="21"/>
          <w14:textFill>
            <w14:solidFill>
              <w14:schemeClr w14:val="tx1"/>
            </w14:solidFill>
          </w14:textFill>
        </w:rPr>
        <w:t>地块的环境保护目标统计，然后给出了分别距离2</w:t>
      </w:r>
      <w:r>
        <w:rPr>
          <w:rFonts w:hint="eastAsia" w:eastAsia="宋体"/>
          <w:color w:val="000000" w:themeColor="text1"/>
          <w:sz w:val="21"/>
          <w:szCs w:val="21"/>
          <w:lang w:eastAsia="zh-CN"/>
          <w14:textFill>
            <w14:solidFill>
              <w14:schemeClr w14:val="tx1"/>
            </w14:solidFill>
          </w14:textFill>
        </w:rPr>
        <w:t>个</w:t>
      </w:r>
      <w:r>
        <w:rPr>
          <w:rFonts w:hint="eastAsia" w:eastAsia="宋体"/>
          <w:color w:val="000000" w:themeColor="text1"/>
          <w:sz w:val="21"/>
          <w:szCs w:val="21"/>
          <w14:textFill>
            <w14:solidFill>
              <w14:schemeClr w14:val="tx1"/>
            </w14:solidFill>
          </w14:textFill>
        </w:rPr>
        <w:t>地块的距离</w:t>
      </w:r>
      <w:r>
        <w:rPr>
          <w:rFonts w:eastAsia="宋体"/>
          <w:color w:val="000000" w:themeColor="text1"/>
          <w:sz w:val="21"/>
          <w:szCs w:val="21"/>
          <w14:textFill>
            <w14:solidFill>
              <w14:schemeClr w14:val="tx1"/>
            </w14:solidFill>
          </w14:textFill>
        </w:rPr>
        <w:t>。</w:t>
      </w:r>
    </w:p>
    <w:p>
      <w:pPr>
        <w:spacing w:line="240" w:lineRule="auto"/>
        <w:ind w:firstLine="420" w:firstLineChars="200"/>
        <w:rPr>
          <w:rFonts w:eastAsia="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eastAsia="宋体"/>
          <w:color w:val="000000" w:themeColor="text1"/>
          <w:sz w:val="21"/>
          <w:szCs w:val="21"/>
          <w14:textFill>
            <w14:solidFill>
              <w14:schemeClr w14:val="tx1"/>
            </w14:solidFill>
          </w14:textFill>
        </w:rPr>
        <w:t>以2号地块厂址中央作为坐标原点（0,0）。</w:t>
      </w:r>
    </w:p>
    <w:p>
      <w:pPr>
        <w:ind w:firstLine="480"/>
        <w:rPr>
          <w:rFonts w:eastAsia="宋体"/>
          <w:color w:val="000000" w:themeColor="text1"/>
          <w14:textFill>
            <w14:solidFill>
              <w14:schemeClr w14:val="tx1"/>
            </w14:solidFill>
          </w14:textFill>
        </w:rPr>
      </w:pPr>
    </w:p>
    <w:p>
      <w:pPr>
        <w:ind w:firstLine="480"/>
        <w:rPr>
          <w:rFonts w:eastAsia="宋体"/>
          <w:color w:val="000000" w:themeColor="text1"/>
          <w14:textFill>
            <w14:solidFill>
              <w14:schemeClr w14:val="tx1"/>
            </w14:solidFill>
          </w14:textFill>
        </w:rPr>
        <w:sectPr>
          <w:pgSz w:w="16838" w:h="11906" w:orient="landscape"/>
          <w:pgMar w:top="1440" w:right="1276" w:bottom="1440" w:left="1800" w:header="720" w:footer="720" w:gutter="0"/>
          <w:cols w:space="720" w:num="1"/>
          <w:docGrid w:linePitch="326" w:charSpace="0"/>
        </w:sectPr>
      </w:pPr>
    </w:p>
    <w:bookmarkEnd w:id="76"/>
    <w:p>
      <w:pPr>
        <w:pStyle w:val="179"/>
        <w:rPr>
          <w:rFonts w:eastAsia="宋体"/>
          <w:color w:val="000000" w:themeColor="text1"/>
          <w14:textFill>
            <w14:solidFill>
              <w14:schemeClr w14:val="tx1"/>
            </w14:solidFill>
          </w14:textFill>
        </w:rPr>
      </w:pPr>
      <w:bookmarkStart w:id="77" w:name="_Toc155271410"/>
      <w:r>
        <w:rPr>
          <w:rFonts w:eastAsia="宋体"/>
          <w:color w:val="000000" w:themeColor="text1"/>
          <w14:textFill>
            <w14:solidFill>
              <w14:schemeClr w14:val="tx1"/>
            </w14:solidFill>
          </w14:textFill>
        </w:rPr>
        <w:t>1.9政策、规划及选址符合性</w:t>
      </w:r>
      <w:bookmarkEnd w:id="77"/>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1.9.1政策符合性分析</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（1）《产业结构调整指导目录（2024年本）》</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属于C3311金属结构制造业。对照《产业结构调整指导目录（2024年本）》，本项目原料、规模、工艺、设备和产品均不属于该目录中的鼓励类、限制类、淘汰类。根据国务院《促进产业结构调整暂行规定》（国发</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2005</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40号）第十三条“不属于鼓励类、限制类和淘汰类，且符合国家有关</w:t>
      </w:r>
      <w:r>
        <w:rPr>
          <w:rFonts w:hint="eastAsia" w:eastAsia="宋体"/>
          <w:color w:val="000000" w:themeColor="text1"/>
          <w14:textFill>
            <w14:solidFill>
              <w14:schemeClr w14:val="tx1"/>
            </w14:solidFill>
          </w14:textFill>
        </w:rPr>
        <w:t>法律法规</w:t>
      </w:r>
      <w:r>
        <w:rPr>
          <w:rFonts w:eastAsia="宋体"/>
          <w:color w:val="000000" w:themeColor="text1"/>
          <w14:textFill>
            <w14:solidFill>
              <w14:schemeClr w14:val="tx1"/>
            </w14:solidFill>
          </w14:textFill>
        </w:rPr>
        <w:t>和政策规定的，为允许类”。对照《高耗能落后机电设备（产品）淘汰目录（第一、二、三、四批）》等文件，项目不涉及高能耗及淘汰类设备。故本项目属于允许类，符合国家现行产业政策。</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同时，重庆市双桥经济技术开发区经济发展局于2023年11月15日对本项目予以备案，项目代码：2103-500111-04-01-153503。因此，本项目符合国家现行产业政策。</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（2）与《重庆市发展和改革委员会关于印发重庆市产业投资准入工作手册》（渝发改投资</w:t>
      </w:r>
      <w:r>
        <w:rPr>
          <w:rFonts w:hint="eastAsia" w:eastAsia="宋体"/>
          <w:b/>
          <w:bCs/>
          <w:color w:val="000000" w:themeColor="text1"/>
          <w14:textFill>
            <w14:solidFill>
              <w14:schemeClr w14:val="tx1"/>
            </w14:solidFill>
          </w14:textFill>
        </w:rPr>
        <w:t>〔</w:t>
      </w:r>
      <w:r>
        <w:rPr>
          <w:rFonts w:eastAsia="宋体"/>
          <w:b/>
          <w:bCs/>
          <w:color w:val="000000" w:themeColor="text1"/>
          <w14:textFill>
            <w14:solidFill>
              <w14:schemeClr w14:val="tx1"/>
            </w14:solidFill>
          </w14:textFill>
        </w:rPr>
        <w:t>2022</w:t>
      </w:r>
      <w:r>
        <w:rPr>
          <w:rFonts w:hint="eastAsia" w:eastAsia="宋体"/>
          <w:b/>
          <w:bCs/>
          <w:color w:val="000000" w:themeColor="text1"/>
          <w14:textFill>
            <w14:solidFill>
              <w14:schemeClr w14:val="tx1"/>
            </w14:solidFill>
          </w14:textFill>
        </w:rPr>
        <w:t>〕</w:t>
      </w:r>
      <w:r>
        <w:rPr>
          <w:rFonts w:eastAsia="宋体"/>
          <w:b/>
          <w:bCs/>
          <w:color w:val="000000" w:themeColor="text1"/>
          <w14:textFill>
            <w14:solidFill>
              <w14:schemeClr w14:val="tx1"/>
            </w14:solidFill>
          </w14:textFill>
        </w:rPr>
        <w:t>1436号）符合性分析</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项目与《重庆市发展和改革委员会关于印发重庆市产业投资准入工作手册》中相关要求符合性分析，详见表1.9-1。</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表1.9-1  项目与产业投资准入符合性分析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6057"/>
        <w:gridCol w:w="1543"/>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75" w:type="pct"/>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目录</w:t>
            </w:r>
          </w:p>
        </w:tc>
        <w:tc>
          <w:tcPr>
            <w:tcW w:w="3277" w:type="pct"/>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产业投资准入规定</w:t>
            </w:r>
          </w:p>
        </w:tc>
        <w:tc>
          <w:tcPr>
            <w:tcW w:w="835" w:type="pct"/>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项目情况</w:t>
            </w:r>
          </w:p>
        </w:tc>
        <w:tc>
          <w:tcPr>
            <w:tcW w:w="613" w:type="pct"/>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5" w:type="pct"/>
            <w:vMerge w:val="restar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不予准入类</w:t>
            </w:r>
          </w:p>
        </w:tc>
        <w:tc>
          <w:tcPr>
            <w:tcW w:w="3277" w:type="pct"/>
            <w:vAlign w:val="center"/>
          </w:tcPr>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（一）全市范围内不予准入的产业</w:t>
            </w:r>
          </w:p>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1．国家产业结构调整指导目录中的淘汰类项目。</w:t>
            </w:r>
          </w:p>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2．天然林商业性采伐。</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3．法律法规和相关政策明令不予准入的其他项目。</w:t>
            </w:r>
          </w:p>
        </w:tc>
        <w:tc>
          <w:tcPr>
            <w:tcW w:w="835"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本项目不属于国家产业结构调整指导目录中的淘汰类、不予准入项目，属于允许类项目。</w:t>
            </w:r>
          </w:p>
        </w:tc>
        <w:tc>
          <w:tcPr>
            <w:tcW w:w="613"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3277"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（二）重点区域不予准入的产业</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1．外环绕城高速公路以内长江、嘉陵江水域采砂。</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2．二十五度以上陡坡地开垦种植农作物。</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3．在自然保护区核心区、缓冲区的岸线和河段范围内投资建设旅游和生产经营项目。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5．长江干流岸线3公里范围内和重要支流岸线1公里范围内新建、改建、扩建尾矿库、冶炼渣库和磷石膏库（以提升安全、生态环境保护水平为目的的改建除外）。</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6．在风景名胜区核心景区的岸线和河段范围内投资建设与风景名胜资源保护无关的项目。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7．在国家湿地公园的岸线和河段范围内挖沙、采矿，以及任何不符合主体功能定位的投资建设项目。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8．在《长江岸线保护和开发利用总体规划》划定的岸线保护区和保留区内投资建设除事关公共安全及公众利益的防洪护岸、河道治理、供水、生态环境保护、航道整治、国家重要基础设施以外的项目。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9．在《全国重要江河湖泊水功能区划》划定的河段及湖泊保护区、保留区内投资建设不利于水资源及自然生态保护的项目。</w:t>
            </w:r>
          </w:p>
        </w:tc>
        <w:tc>
          <w:tcPr>
            <w:tcW w:w="835"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项目位于大足高新区邮亭组团，不涉及上述区域。</w:t>
            </w:r>
          </w:p>
        </w:tc>
        <w:tc>
          <w:tcPr>
            <w:tcW w:w="613"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restar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限制准入类</w:t>
            </w:r>
          </w:p>
        </w:tc>
        <w:tc>
          <w:tcPr>
            <w:tcW w:w="3277"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（一）全市范围内限制准入的产业</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1．新建、扩建不符合国家产能置换要求的严重过剩产能行业的项目。新建、扩建不符合要求的高耗能高排放项目。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2．新建、扩建不符合国家石化、现代煤化工等产业布局规划的项目。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3．在合规园区外新建、扩建钢铁、石化、化工、焦化、建材、有色、制浆造纸等高污染项目。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4．《汽车产业投资管理规定》（国家发展和改革委员会令第22号）明确禁止建设的汽车投资项目。</w:t>
            </w:r>
          </w:p>
        </w:tc>
        <w:tc>
          <w:tcPr>
            <w:tcW w:w="835"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项目不属于高耗能高排放项目；不属于高污染项目和汽车投资项目。</w:t>
            </w:r>
          </w:p>
        </w:tc>
        <w:tc>
          <w:tcPr>
            <w:tcW w:w="613" w:type="pct"/>
            <w:vMerge w:val="restar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p>
        </w:tc>
        <w:tc>
          <w:tcPr>
            <w:tcW w:w="3277"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（二）重点区域范围内限制准入的产业</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1．长江干支流、重要湖泊岸线1公里范围内新建、扩建化工园区和化工项目，长江、嘉陵江、乌江岸线1公里范围内布局新建纸浆制造、印染等存在环境风险的项目。</w:t>
            </w:r>
          </w:p>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2．在水产种质资源保护区的岸线和河段范围内新建围湖造田等投资建设项目。</w:t>
            </w:r>
          </w:p>
        </w:tc>
        <w:tc>
          <w:tcPr>
            <w:tcW w:w="835" w:type="pct"/>
            <w:vAlign w:val="center"/>
          </w:tcPr>
          <w:p>
            <w:pPr>
              <w:autoSpaceDE w:val="0"/>
              <w:autoSpaceDN w:val="0"/>
              <w:adjustRightInd w:val="0"/>
              <w:snapToGri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项目不属于化工项目；不属于纸浆制造、印染等项目；不属于围湖造田项目</w:t>
            </w:r>
          </w:p>
        </w:tc>
        <w:tc>
          <w:tcPr>
            <w:tcW w:w="613"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由上表可知，项目的建设符合《重庆市发展和改革委员会关于印发重庆市产业投资准入工作手册》（渝发改投资</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2022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1436号）中相关要求。</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（3）与《四川省、重庆市长江经济带发展负面清单实施细则（试行，2022年版）》（川长江办〔2022〕17号）的符合性分析</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项目与《四川省、重庆市长江经济带发展负面清单实施细则（试行，2022年版）》（川长江办〔2022〕17号）的符合性分析，见表1.9-2。</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表1.9-2  项目与川长江办〔2022〕17号符合性分析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6"/>
        <w:gridCol w:w="6708"/>
        <w:gridCol w:w="19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3629" w:type="pct"/>
            <w:vAlign w:val="center"/>
          </w:tcPr>
          <w:p>
            <w:pPr>
              <w:autoSpaceDE w:val="0"/>
              <w:autoSpaceDN w:val="0"/>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相关</w:t>
            </w:r>
            <w:r>
              <w:rPr>
                <w:rFonts w:eastAsia="宋体"/>
                <w:b/>
                <w:color w:val="000000" w:themeColor="text1"/>
                <w:kern w:val="0"/>
                <w:sz w:val="21"/>
                <w:szCs w:val="21"/>
                <w14:textFill>
                  <w14:solidFill>
                    <w14:schemeClr w14:val="tx1"/>
                  </w14:solidFill>
                </w14:textFill>
              </w:rPr>
              <w:t>要求</w:t>
            </w:r>
          </w:p>
        </w:tc>
        <w:tc>
          <w:tcPr>
            <w:tcW w:w="1054" w:type="pct"/>
            <w:vAlign w:val="center"/>
          </w:tcPr>
          <w:p>
            <w:pPr>
              <w:autoSpaceDE w:val="0"/>
              <w:autoSpaceDN w:val="0"/>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本项目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禁止新建、改建和扩建不符合全国港口布局规划，以及《重庆港总体规划（2035年）》等省级港口布局规划及市级港口总体规划的码头项目。</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项目不属于码头项目。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2</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禁止新建、改建和扩建不符合《长江干线过江通道布局规划（2020-2035年）》的过长江通道项目（含桥梁、隧道），国家发展和改革委同意过长江通道线位调整的除外。</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项目不属于过长江通道项目。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3</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项目不属于自然保护区核心区、缓冲区的岸线和河段范围。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禁止违反风景名胜区规划，在风景名胜区内设立各类开发区。禁止在风景名胜区核心景区的岸线和河段范围内建设宾馆、招待所、培训中心、疗养院以及与风景名</w:t>
            </w:r>
            <w:r>
              <w:rPr>
                <w:rFonts w:hint="eastAsia" w:eastAsia="宋体"/>
                <w:bCs/>
                <w:color w:val="000000" w:themeColor="text1"/>
                <w:kern w:val="0"/>
                <w:sz w:val="21"/>
                <w:szCs w:val="21"/>
                <w14:textFill>
                  <w14:solidFill>
                    <w14:schemeClr w14:val="tx1"/>
                  </w14:solidFill>
                </w14:textFill>
              </w:rPr>
              <w:t>胜区</w:t>
            </w:r>
            <w:r>
              <w:rPr>
                <w:rFonts w:eastAsia="宋体"/>
                <w:bCs/>
                <w:color w:val="000000" w:themeColor="text1"/>
                <w:kern w:val="0"/>
                <w:sz w:val="21"/>
                <w:szCs w:val="21"/>
                <w14:textFill>
                  <w14:solidFill>
                    <w14:schemeClr w14:val="tx1"/>
                  </w14:solidFill>
                </w14:textFill>
              </w:rPr>
              <w:t>资源保护无关的项目。</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项目不属于风景名胜区范围。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5</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禁止在饮用水水源准保护区的岸线和河段范围内新建、扩建对水体污染严重的建设项目，禁止改建增加排污量的建设项目。</w:t>
            </w:r>
          </w:p>
        </w:tc>
        <w:tc>
          <w:tcPr>
            <w:tcW w:w="1054" w:type="pct"/>
            <w:vMerge w:val="restar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本项目不在划定的饮用水水源保护区的岸线和河段范围内。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6</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1054" w:type="pct"/>
            <w:vMerge w:val="continue"/>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7</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054" w:type="pct"/>
            <w:vMerge w:val="continue"/>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8</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禁止在水产种质资源保护区岸线和河段范围内新建围湖造田、围湖造地或挖沙采石等投资建设项目。</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本项目不属于水产种质资源保护区范围内。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沺游通道。</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本项目不在国家湿地公园的岸线和河段范围内，且不属于上述项目。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10</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项目不占用长江流域河湖岸线。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11</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禁止在《全国重要江河湖泊水功能区划》划定的河段及湖泊保护区、保留区内投资建设不利于水资源及自然生态保护的项目。</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项目不在《全国重要江河湖泊水功能区划》划定的河段及湖泊保护区。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7" w:type="pct"/>
            <w:vAlign w:val="center"/>
          </w:tcPr>
          <w:p>
            <w:pPr>
              <w:autoSpaceDE w:val="0"/>
              <w:autoSpaceDN w:val="0"/>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12</w:t>
            </w:r>
          </w:p>
        </w:tc>
        <w:tc>
          <w:tcPr>
            <w:tcW w:w="3629"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1054" w:type="pct"/>
            <w:vAlign w:val="center"/>
          </w:tcPr>
          <w:p>
            <w:pPr>
              <w:autoSpaceDE w:val="0"/>
              <w:autoSpaceDN w:val="0"/>
              <w:adjustRightInd w:val="0"/>
              <w:snapToGrid w:val="0"/>
              <w:spacing w:line="240" w:lineRule="auto"/>
              <w:jc w:val="left"/>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本项目</w:t>
            </w:r>
            <w:r>
              <w:rPr>
                <w:rFonts w:hint="eastAsia" w:eastAsia="宋体"/>
                <w:bCs/>
                <w:color w:val="000000" w:themeColor="text1"/>
                <w:kern w:val="0"/>
                <w:sz w:val="21"/>
                <w:szCs w:val="21"/>
                <w14:textFill>
                  <w14:solidFill>
                    <w14:schemeClr w14:val="tx1"/>
                  </w14:solidFill>
                </w14:textFill>
              </w:rPr>
              <w:t>属于间接排放，不在长江等</w:t>
            </w:r>
            <w:r>
              <w:rPr>
                <w:rFonts w:eastAsia="宋体"/>
                <w:bCs/>
                <w:color w:val="000000" w:themeColor="text1"/>
                <w:kern w:val="0"/>
                <w:sz w:val="21"/>
                <w:szCs w:val="21"/>
                <w14:textFill>
                  <w14:solidFill>
                    <w14:schemeClr w14:val="tx1"/>
                  </w14:solidFill>
                </w14:textFill>
              </w:rPr>
              <w:t>设排污口。</w:t>
            </w:r>
          </w:p>
        </w:tc>
      </w:tr>
    </w:tbl>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由上表可知，项目不属于《四川省、重庆市长江经济带发展负面清单实施细则（试行，2022年版）》负面清单中的项目。</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（4）与《挥发性有机物（VOCs）污染防治技术政策》符合性</w:t>
      </w:r>
    </w:p>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本项目与《挥发性有机物（VOCs）污染防治技术政策》相关要求符合性分析，见表1.9-3。</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表1.9-3  与《挥发性有机物（VOCs）污染防治技术政策》符合性分析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4514"/>
        <w:gridCol w:w="3218"/>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88"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442"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相关要求</w:t>
            </w:r>
          </w:p>
        </w:tc>
        <w:tc>
          <w:tcPr>
            <w:tcW w:w="1741"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本项目情况</w:t>
            </w:r>
          </w:p>
        </w:tc>
        <w:tc>
          <w:tcPr>
            <w:tcW w:w="529"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442"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741"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color w:val="000000" w:themeColor="text1"/>
                <w:spacing w:val="-4"/>
                <w:sz w:val="21"/>
                <w:szCs w:val="21"/>
                <w14:textFill>
                  <w14:solidFill>
                    <w14:schemeClr w14:val="tx1"/>
                  </w14:solidFill>
                </w14:textFill>
              </w:rPr>
              <w:t>所采用水性漆占油漆总量比例＞50%</w:t>
            </w:r>
            <w:r>
              <w:rPr>
                <w:color w:val="000000" w:themeColor="text1"/>
                <w:sz w:val="21"/>
                <w:szCs w:val="21"/>
                <w14:textFill>
                  <w14:solidFill>
                    <w14:schemeClr w14:val="tx1"/>
                  </w14:solidFill>
                </w14:textFill>
              </w:rPr>
              <w:t>，</w:t>
            </w:r>
            <w:r>
              <w:rPr>
                <w:color w:val="000000" w:themeColor="text1"/>
                <w:spacing w:val="-4"/>
                <w:sz w:val="21"/>
                <w:szCs w:val="21"/>
                <w14:textFill>
                  <w14:solidFill>
                    <w14:schemeClr w14:val="tx1"/>
                  </w14:solidFill>
                </w14:textFill>
              </w:rPr>
              <w:t>涂料满足</w:t>
            </w:r>
            <w:r>
              <w:rPr>
                <w:color w:val="000000" w:themeColor="text1"/>
                <w:sz w:val="21"/>
                <w:szCs w:val="21"/>
                <w14:textFill>
                  <w14:solidFill>
                    <w14:schemeClr w14:val="tx1"/>
                  </w14:solidFill>
                </w14:textFill>
              </w:rPr>
              <w:t>《工业防护涂料中有害物质限量》（GB 30981-2020）；</w:t>
            </w:r>
            <w:r>
              <w:rPr>
                <w:color w:val="000000" w:themeColor="text1"/>
                <w:spacing w:val="-7"/>
                <w:sz w:val="21"/>
                <w:szCs w:val="21"/>
                <w14:textFill>
                  <w14:solidFill>
                    <w14:schemeClr w14:val="tx1"/>
                  </w14:solidFill>
                </w14:textFill>
              </w:rPr>
              <w:t>喷涂</w:t>
            </w:r>
            <w:r>
              <w:rPr>
                <w:rFonts w:hint="eastAsia"/>
                <w:color w:val="000000" w:themeColor="text1"/>
                <w:spacing w:val="-7"/>
                <w:sz w:val="21"/>
                <w:szCs w:val="21"/>
                <w:lang w:eastAsia="zh-CN"/>
                <w14:textFill>
                  <w14:solidFill>
                    <w14:schemeClr w14:val="tx1"/>
                  </w14:solidFill>
                </w14:textFill>
              </w:rPr>
              <w:t>作业</w:t>
            </w:r>
            <w:r>
              <w:rPr>
                <w:color w:val="000000" w:themeColor="text1"/>
                <w:spacing w:val="-7"/>
                <w:sz w:val="21"/>
                <w:szCs w:val="21"/>
                <w14:textFill>
                  <w14:solidFill>
                    <w14:schemeClr w14:val="tx1"/>
                  </w14:solidFill>
                </w14:textFill>
              </w:rPr>
              <w:t>均密闭操作，无露天喷涂作业</w:t>
            </w:r>
            <w:r>
              <w:rPr>
                <w:color w:val="000000" w:themeColor="text1"/>
                <w:sz w:val="21"/>
                <w:szCs w:val="21"/>
                <w14:textFill>
                  <w14:solidFill>
                    <w14:schemeClr w14:val="tx1"/>
                  </w14:solidFill>
                </w14:textFill>
              </w:rPr>
              <w:t>。</w:t>
            </w:r>
          </w:p>
        </w:tc>
        <w:tc>
          <w:tcPr>
            <w:tcW w:w="52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442"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741"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本项目废气属于低浓度废气，处理工艺采用气旋喷淋+干式过滤+活性炭吸附浓缩+催化燃烧的处理工艺，属于吸附浓缩燃烧技术。</w:t>
            </w:r>
            <w:bookmarkStart w:id="78" w:name="_Toc406595413"/>
            <w:bookmarkStart w:id="79" w:name="_Toc398590862"/>
            <w:r>
              <w:rPr>
                <w:color w:val="000000" w:themeColor="text1"/>
                <w:sz w:val="21"/>
                <w:szCs w:val="21"/>
                <w14:textFill>
                  <w14:solidFill>
                    <w14:schemeClr w14:val="tx1"/>
                  </w14:solidFill>
                </w14:textFill>
              </w:rPr>
              <w:t>采取上述措施后，根据预测，本项目有机废气可实现达标排放。</w:t>
            </w:r>
            <w:bookmarkEnd w:id="78"/>
            <w:bookmarkEnd w:id="79"/>
          </w:p>
        </w:tc>
        <w:tc>
          <w:tcPr>
            <w:tcW w:w="52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442"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对于不能再生的过滤材料、吸附剂及催化剂等净化材料，应按照国家固体废物管理的相关规定处理处置。</w:t>
            </w:r>
          </w:p>
        </w:tc>
        <w:tc>
          <w:tcPr>
            <w:tcW w:w="1741"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本项目废过滤棉、废活性炭、废催化剂等净化材料委托有资质单位处理。</w:t>
            </w:r>
          </w:p>
        </w:tc>
        <w:tc>
          <w:tcPr>
            <w:tcW w:w="52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442"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企业应建立健全VOCs治理设施的运行维护规程和台账等日常管理制度，并根据工艺要求定期对各类设备、电气、自控仪表等进行检修维护，确保设施的稳定运行。</w:t>
            </w:r>
          </w:p>
        </w:tc>
        <w:tc>
          <w:tcPr>
            <w:tcW w:w="1741"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本项目营运期将配备环保管理人员，建立健全VOCs治理设施的运行维护规程和台账等日常管理制度，并对废气治理设施进行维护管理。</w:t>
            </w:r>
          </w:p>
        </w:tc>
        <w:tc>
          <w:tcPr>
            <w:tcW w:w="52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综上所述，项目符合《挥发性有机物（VOCs）污染防治技术政策》中相关要求。</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（5）与《重点行业挥发性有机物综合治理方案》（环大气[2019]53号）符合性分析</w:t>
      </w:r>
    </w:p>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对照《重点行业挥发性有机物综合治理方案》（环大气[2019]53号），项目与其符合性分析见表1.9-4。</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表1.9-4  与《重点行业挥发性有机物综合治理方案》符合性分析</w:t>
      </w:r>
    </w:p>
    <w:tbl>
      <w:tblPr>
        <w:tblStyle w:val="89"/>
        <w:tblW w:w="492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5363"/>
        <w:gridCol w:w="2485"/>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944"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重点行业挥发性有机物综合治理方案相关内容</w:t>
            </w:r>
          </w:p>
        </w:tc>
        <w:tc>
          <w:tcPr>
            <w:tcW w:w="1364"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本项目情况</w:t>
            </w:r>
          </w:p>
        </w:tc>
        <w:tc>
          <w:tcPr>
            <w:tcW w:w="369"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力推进源头替代。通过使用水性、粉末、高固体分、无溶剂、辐射固化等低VOCs含量的涂料，水性、辐射固化、植物基等低VOCs含量的油漆，水基、热熔、无溶剂、辐射固化、改性、生物降解等低VOCs含量的胶粘剂，以及低VOCs含量、低反应活性的清洗剂等，替代溶剂型涂料、油漆、胶粘剂、清洗剂等，从源头减少VOCs产生。工业涂装、包装涂装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漆和胶粘剂，重点区域到2020年年底前基本完成。鼓励加快低VOCs含量涂料、油漆、胶粘剂等研发和生产。</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本项目所采用水性漆占油漆总量比例＞50%，涂料满足《工业防护涂料中有害物质限量》（GB 30981-2020）。</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加强政策引导。企业采用符合国家有关低VOCs含量产品规定的涂料、油漆、胶粘剂等，排放浓度稳定达标且排放速率、排放绩效等满足相关规定的，相应生产工序可不要求建设末端治理设施。</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使用的原辅材料VOCs含量（质量比）低于10%的工序，可不要求采取无组织排放收集措施。</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企业VOCs采取环保措施，能实现达标排放；企业通过对涂装车间密闭，微负压收集废气等措施对无组织排放进行收集。</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储存：油漆桶密闭储存，危废暂存间全密闭储存同时对废气收集处理。</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转移和输送：调漆、喷漆均在密闭的涂装车间内进行。</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设备与管线组件泄漏：每日对管道进行巡查，发现泄漏即刻维修，尽可能避免泄露。</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敞开液面逸散：涂装水帘废水循环池全密闭</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工艺过程：企业采取了设备与场所密闭、工艺改进、废气有效收集等措施，对VOCs进行了合理收集和处理</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加强设备与场所密闭管理。含VOCs物料应储存于密闭容器、包装袋，高效密封储罐，封闭式储库、料仓等。</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含VOCs物料转移和输送，应采用密闭管道或密闭容器、罐车等。高VOCs含量废水（废水液面上方100毫米处VOCs检测浓度超过200ppm，其中，重点区域超过100ppm，以碳计）的集输、储存和处理过程，应加盖密闭。</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含VOCs物料生产和使用过程，应采取有效收集措施或在密闭空间中操作。</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喷涂作业均密闭操作，无露天喷涂作业。</w:t>
            </w:r>
            <w:r>
              <w:rPr>
                <w:color w:val="000000" w:themeColor="text1"/>
                <w:sz w:val="21"/>
                <w:szCs w:val="21"/>
                <w14:textFill>
                  <w14:solidFill>
                    <w14:schemeClr w14:val="tx1"/>
                  </w14:solidFill>
                </w14:textFill>
              </w:rPr>
              <w:t>油漆采用油漆桶密闭储存。</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设备与场所密闭、工艺改进、废气有效收集等措施，对VOCs进行了合理收集和处理。</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推进使用先进生产工艺。通过采用全密闭、连续化、自动化等生产技术，以及高效工艺与设备等，减少工艺过程无组织排放。</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涂装车间进行了密闭；不涉及挥发性有机液体装载；不属于石化、化工行业；</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采用了较为先进高效高压无气喷涂。</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涂装车间、危废暂存间等工位均对VOCs废气进行了收集处理；本项目涂装车间全密闭，涂装工位上进风下出风，保持微负压。</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本项目涂装废气采用气旋喷淋+干式过滤+活性炭吸附浓缩+催化燃烧的处理工艺，属于推荐工艺，能确保污染物达标排放。同时设计参数满足《吸附法工业有机废气治理工程技术规范》要求。</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294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36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本项目对涂装工序VOCs的处理效率为85%，不低于80%</w:t>
            </w:r>
          </w:p>
        </w:tc>
        <w:tc>
          <w:tcPr>
            <w:tcW w:w="36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ind w:firstLine="480"/>
        <w:rPr>
          <w:rFonts w:eastAsia="宋体"/>
          <w:b/>
          <w:bCs/>
          <w:color w:val="000000" w:themeColor="text1"/>
          <w14:textFill>
            <w14:solidFill>
              <w14:schemeClr w14:val="tx1"/>
            </w14:solidFill>
          </w14:textFill>
        </w:rPr>
      </w:pPr>
      <w:r>
        <w:rPr>
          <w:rFonts w:eastAsia="宋体"/>
          <w:bCs/>
          <w:color w:val="000000" w:themeColor="text1"/>
          <w14:textFill>
            <w14:solidFill>
              <w14:schemeClr w14:val="tx1"/>
            </w14:solidFill>
          </w14:textFill>
        </w:rPr>
        <w:t>综上所述，项目符合《重点行业挥发性有机物综合治理方案》中提出的要求。</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（6）与《挥发性有机物无组织排放控制标准》（GB37822-2019）的符合性分析</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项目生产过程中将不可避免的产生一些无组织排放的废气。主要由装置自身无组织排放，以及物料贮运设施的无组织排放。</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本项目与《挥发性有机物无组织排放控制标准》（GB37822-2019）的符合性分析</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见表1.9-5。</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表1.9-5  与《挥发性有机物无组织排放控制标准》（GB37822-2019）</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的符合性分析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3981"/>
        <w:gridCol w:w="3346"/>
        <w:gridCol w:w="6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分类</w:t>
            </w:r>
          </w:p>
        </w:tc>
        <w:tc>
          <w:tcPr>
            <w:tcW w:w="2154"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文件要求</w:t>
            </w:r>
          </w:p>
        </w:tc>
        <w:tc>
          <w:tcPr>
            <w:tcW w:w="1810"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本项目情况</w:t>
            </w:r>
          </w:p>
        </w:tc>
        <w:tc>
          <w:tcPr>
            <w:tcW w:w="358"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VOCs物料储存无组织排放控制要求</w:t>
            </w: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VOCs物料应储存于密闭的容器、包装袋、储罐、储库、料仓中</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本项目油漆均采用密闭的包装桶输送至企业，</w:t>
            </w:r>
            <w:r>
              <w:rPr>
                <w:rFonts w:hint="eastAsia"/>
                <w:color w:val="000000" w:themeColor="text1"/>
                <w:sz w:val="21"/>
                <w:szCs w:val="21"/>
                <w14:textFill>
                  <w14:solidFill>
                    <w14:schemeClr w14:val="tx1"/>
                  </w14:solidFill>
                </w14:textFill>
              </w:rPr>
              <w:t>油漆</w:t>
            </w:r>
            <w:r>
              <w:rPr>
                <w:color w:val="000000" w:themeColor="text1"/>
                <w:sz w:val="21"/>
                <w:szCs w:val="21"/>
                <w14:textFill>
                  <w14:solidFill>
                    <w14:schemeClr w14:val="tx1"/>
                  </w14:solidFill>
                </w14:textFill>
              </w:rPr>
              <w:t>库房除人员、物料进出时门窗处于关闭状态。</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盛装VOCs物料的容器或包装袋应存放于室内，或放于设置有雨棚、遮阳和防渗设施的专用场地。盛装VOCs物料的容器或包装袋在非取用状态时应加盖、封口，保持密闭</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本项目油漆等物料的密闭物料桶（带盖）放于</w:t>
            </w:r>
            <w:r>
              <w:rPr>
                <w:rFonts w:hint="eastAsia"/>
                <w:color w:val="000000" w:themeColor="text1"/>
                <w:sz w:val="21"/>
                <w:szCs w:val="21"/>
                <w14:textFill>
                  <w14:solidFill>
                    <w14:schemeClr w14:val="tx1"/>
                  </w14:solidFill>
                </w14:textFill>
              </w:rPr>
              <w:t>油漆</w:t>
            </w:r>
            <w:r>
              <w:rPr>
                <w:color w:val="000000" w:themeColor="text1"/>
                <w:sz w:val="21"/>
                <w:szCs w:val="21"/>
                <w14:textFill>
                  <w14:solidFill>
                    <w14:schemeClr w14:val="tx1"/>
                  </w14:solidFill>
                </w14:textFill>
              </w:rPr>
              <w:t>库房内，库房防风、防雨、防晒，地面做重点防渗、防腐处理。</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物料储库、料仓应满足3.6条对密闭空间的要求。（3.6条密闭空间：利用完整的围护结构将污染物质、作业场所等与周围空间阻隔所形成的封闭区域或封闭式建筑物。该封闭区域或封闭式建筑物除人员、车辆、设备、物料进出时，以及依法设立的排气筒、通风口外，门窗及其他开口（孔）部位应随时保持关闭状态。）</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油漆</w:t>
            </w:r>
            <w:r>
              <w:rPr>
                <w:color w:val="000000" w:themeColor="text1"/>
                <w:sz w:val="21"/>
                <w:szCs w:val="21"/>
                <w14:textFill>
                  <w14:solidFill>
                    <w14:schemeClr w14:val="tx1"/>
                  </w14:solidFill>
                </w14:textFill>
              </w:rPr>
              <w:t>库房为独立带锁房间，防风、防雨、防晒、地面重点防渗防腐，库房除人员、物料进出时门窗处于关闭状态。</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VOCs物料转移和输送无组织排放控制要求</w:t>
            </w: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液态VOCs物料应采用密闭输送管道输送。采用非管道输送方式转移液态VOCs物料时，应采用密闭容器、罐车</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本项目油漆等物料采用密闭桶转运。</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工艺过程VOCs无组织排放控制要求</w:t>
            </w: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含VOCs产品的使用过程VOCs质量占比大于等于10%的含VOCs产品，其使用过程应采用密闭设备或在密闭空间内操作，废气应排至VOCs废气收集处理系统；无法密闭的，应采用局部气体收集措施，废气应排至VOCs废气收集处理系统</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本项目调漆、喷漆、晾干均位于密闭涂装车间内，涂装废气采用“气旋喷淋+干式过滤+活性炭吸附浓缩+催化燃烧”处理后经15m排气筒排放。</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其他要求</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企业应建立台账，记录VOCs原辅料和含VOCs产品的名称、使用量、回收量、废弃量、去向以及VOCs含量等信息。台账保存期限不少于3年</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企业建立台账，记录原辅料和产品的名称、使用量、回收量、废弃量、去向等信息。</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通风生产设备、操作工位、车间厂房等应在符合安全生产、职业卫生相关规定的前提下，根据行业作业规程与标准、工业建筑和洁净厂房通风设计规范等的要求，采用合理的通风量</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本项目调漆、喷漆、晾干均在密闭涂装车间内进行，工序采用合理的通风量。</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载有VOCs物料的设备及其管道在开停工（车），检维修和清洗时，应在退料阶段将残存物料退净，并用密闭容器盛装，退料过程废气应排至VOCs废气收集处理系统；清洗及吹扫过程废气应排至VOCs废气收集处理系统</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载有VOCs物料的设备在开停工（车）、检维修和清洗时，在退料阶段将残存物料退净，并用密闭容器盛装，退料过程废气排至VOCs废气收集处理系统。</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工艺过程中产生的含VOCs废料（渣、液）应按要求进行储存、转移和输送。盛装过VOCs物料的废包装容器应加盖密闭</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废油漆桶密闭后暂存于危废暂存间。</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设备与管线组件VOCs泄露控制要求</w:t>
            </w: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管控范围</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企业中载有气态VOCs物料、液态VOCs物料的设备与管线组件的密封点≥2000个，应开展泄露检测与修复工作</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企业按规范定期对喷漆设备进行检测。</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泄露源修复</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当检测到泄露时，对泄露源应予以标识并及时修复。发现泄露之日起5d内应进行首次修复，除8.4.2条规定外，应在发现泄露之日起15d内完成修复</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当检测到喷漆设备泄露时，企业按规范对泄露源进行标识并及时修复。</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记录要求</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泄露检测应建立台账，记录检测时间、检测仪器读数、修复时间、采取的修复措施、修复后检测仪器读数等。台账保存期限不少于3年</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企业建立泄露检测台账，记录时间、修复时间、采取的修复措施等。台账保存期限不少于3年。</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VOCs无组织排放废气收集处理系统</w:t>
            </w: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本项目调漆、喷漆、晾干过程VOCs废气收集处理系统与生产工艺设备同步运行。VOCs废气收集处理系统发生故障或检修时，对应的生产工艺设备停止运行，待检修完毕后同步投入使用。</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企业应考虑生产工艺、操作方式、废气性质、处理方法等因素，对VOCs废气进行分类收集</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涂装废气采用“气旋喷淋+干式过滤+活性炭吸附浓缩+催化燃烧”处理后经15m排气筒排放。</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收集系统的输送管道应密闭。废气收集系统应在负压下运行，若处于正压状态，应对输送管道组件的密封点进行泄露检测，泄露检测值不应超过500μmol/mol，亦不应有感官可察觉泄露。泄露检测频次、修复与记录的要求按照第8章规定执行</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本项目废气收集系统的输送管道密闭，并采用负压收集</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VOCs废气收集处理系统污染物排放应</w:t>
            </w:r>
            <w:r>
              <w:rPr>
                <w:rFonts w:hint="eastAsia"/>
                <w:color w:val="000000" w:themeColor="text1"/>
                <w:sz w:val="21"/>
                <w:szCs w:val="21"/>
                <w14:textFill>
                  <w14:solidFill>
                    <w14:schemeClr w14:val="tx1"/>
                  </w14:solidFill>
                </w14:textFill>
              </w:rPr>
              <w:t>符合</w:t>
            </w:r>
            <w:r>
              <w:rPr>
                <w:color w:val="000000" w:themeColor="text1"/>
                <w:sz w:val="21"/>
                <w:szCs w:val="21"/>
                <w14:textFill>
                  <w14:solidFill>
                    <w14:schemeClr w14:val="tx1"/>
                  </w14:solidFill>
                </w14:textFill>
              </w:rPr>
              <w:t>GB16297或相关行业排放标准的规定</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本项目VOCs废气收集处理系统污染物排放符合《挥发性有机物排放标准第5部分：表面涂装行业》（DB37/2801.5-2018）相关标准要求的规定。</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涂装废气处理设施为“气旋喷淋+干式过滤+活性炭吸附浓缩+催化燃烧”，处理效率90%。</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79"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15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810"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企业建立台账，记录废气收集系统、VOCs处理设施的运行时间、废气处理量、操作温度、停留时间、活性炭更换周期和更换量等关键运行参数。台账保存期限不少于5年。</w:t>
            </w:r>
          </w:p>
        </w:tc>
        <w:tc>
          <w:tcPr>
            <w:tcW w:w="35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综上，本项目符合《挥发性有机物无组织排放控制标准》</w:t>
      </w:r>
      <w:r>
        <w:rPr>
          <w:rFonts w:hint="eastAsia" w:eastAsia="宋体"/>
          <w:color w:val="000000" w:themeColor="text1"/>
          <w:szCs w:val="24"/>
          <w:lang w:eastAsia="zh-CN"/>
          <w14:textFill>
            <w14:solidFill>
              <w14:schemeClr w14:val="tx1"/>
            </w14:solidFill>
          </w14:textFill>
        </w:rPr>
        <w:t>（</w:t>
      </w:r>
      <w:r>
        <w:rPr>
          <w:rFonts w:eastAsia="宋体"/>
          <w:color w:val="000000" w:themeColor="text1"/>
          <w:szCs w:val="24"/>
          <w14:textFill>
            <w14:solidFill>
              <w14:schemeClr w14:val="tx1"/>
            </w14:solidFill>
          </w14:textFill>
        </w:rPr>
        <w:t>GB 37822-2019）中相关要求。</w:t>
      </w:r>
    </w:p>
    <w:p>
      <w:pPr>
        <w:ind w:firstLine="482"/>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（7）与“三线一单”符合性分析</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重庆市人民政府关于落实生态保护红线、环境质量底线、资源利用上线制定生态环境准入清单实施生态环境分区管控的实施意见》（渝府发〔2020〕11号）、《长江经济带战略环境评价重庆市大足区“三线一单”》及重庆市“三线一单”智检服务检测结果，分析本项目“三线一单”符合性见表1.9-6。</w:t>
      </w:r>
    </w:p>
    <w:p>
      <w:pPr>
        <w:pStyle w:val="4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表1.9-6  与“三线一单”的符合性</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808"/>
        <w:gridCol w:w="4869"/>
        <w:gridCol w:w="1680"/>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gridSpan w:val="2"/>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环境管控单元编码</w:t>
            </w:r>
          </w:p>
        </w:tc>
        <w:tc>
          <w:tcPr>
            <w:tcW w:w="2634"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环境管控单元名称</w:t>
            </w:r>
          </w:p>
        </w:tc>
        <w:tc>
          <w:tcPr>
            <w:tcW w:w="1424" w:type="pct"/>
            <w:gridSpan w:val="2"/>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环境管控单元类型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gridSpan w:val="2"/>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ZH50011120002</w:t>
            </w:r>
          </w:p>
        </w:tc>
        <w:tc>
          <w:tcPr>
            <w:tcW w:w="2634"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大足区重点管控单元-太平河漫水桥</w:t>
            </w:r>
          </w:p>
        </w:tc>
        <w:tc>
          <w:tcPr>
            <w:tcW w:w="1424" w:type="pct"/>
            <w:gridSpan w:val="2"/>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管控要求层级</w:t>
            </w:r>
          </w:p>
        </w:tc>
        <w:tc>
          <w:tcPr>
            <w:tcW w:w="437"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管控类型</w:t>
            </w:r>
          </w:p>
        </w:tc>
        <w:tc>
          <w:tcPr>
            <w:tcW w:w="2634"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909"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本项目相关情况</w:t>
            </w:r>
          </w:p>
        </w:tc>
        <w:tc>
          <w:tcPr>
            <w:tcW w:w="515"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全市总体管控要求</w:t>
            </w:r>
          </w:p>
        </w:tc>
        <w:tc>
          <w:tcPr>
            <w:tcW w:w="437"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第一条 严格执行《产业结构调整指导目录</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重庆市产业投资准入工作手册</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重庆市工业项目环境准入规定</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重庆市长江经济带发展负面清单指南实施细则（试行）》等文件要求，优化重点区域、流域、产业的空间布局。对不符合准入要求的既有项目，依法依规实施整改、退出等分类治理方案。</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本项目为金属结构制造业，符合园区准入要求。</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第二条 禁止在长江干流及主要支流岸线1公里范围内新建重化工、纺织、造纸等存在污染风险的工业项目，禁止在长江干支流1公里范围内新建、技改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技改）项目。</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本项目不属于重化工、纺织、造纸等存在污染风险的工业项目，本项目位于大足高新区邮亭组团内，距离长江岸线超过5km。</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第三条 在长江鱼嘴以上江段及其一级支流汇入口上游20公里、嘉陵江及其一级支流汇入口上游20公里、集中式饮用水水源取水口上游20公里范围内的沿岸地区（江河50年一遇洪水位向陆域一侧1公里范围内），禁止新建、技改排放重点重金属（铬、镉、汞、砷、铅等五类重金属）、剧毒物质和持久性有机污染物的工业项目。</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本项目不涉及前述区域，不排放五类重金属、剧毒物质和持久性有机污染物。</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第四条 严格执行相关行业企业布局选址要求，优化环境防护距离设置；按要求设置生态隔离带，防范工业园区（工业集聚区）涉生态环境“邻避”问题，将环境防护距离优化控制在园区边界或用地红线以内。</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本项目选址合理，不涉及大气环境防护距离。</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第五条 加快布局分散的企业向园区集中，鼓励现有工业项</w:t>
            </w:r>
            <w:r>
              <w:rPr>
                <w:rFonts w:hint="eastAsia"/>
                <w:color w:val="000000" w:themeColor="text1"/>
                <w:sz w:val="21"/>
                <w:szCs w:val="21"/>
                <w:lang w:bidi="ar"/>
                <w14:textFill>
                  <w14:solidFill>
                    <w14:schemeClr w14:val="tx1"/>
                  </w14:solidFill>
                </w14:textFill>
              </w:rPr>
              <w:t>目和</w:t>
            </w:r>
            <w:r>
              <w:rPr>
                <w:color w:val="000000" w:themeColor="text1"/>
                <w:sz w:val="21"/>
                <w:szCs w:val="21"/>
                <w:lang w:bidi="ar"/>
                <w14:textFill>
                  <w14:solidFill>
                    <w14:schemeClr w14:val="tx1"/>
                  </w14:solidFill>
                </w14:textFill>
              </w:rPr>
              <w:t>化工项目分别搬入工业集聚区、化工产业集聚区。</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本项目位于大足高新区邮亭组团内。</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第六条 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本项目用地性质为工业用地，</w:t>
            </w:r>
            <w:r>
              <w:rPr>
                <w:color w:val="000000" w:themeColor="text1"/>
                <w:sz w:val="21"/>
                <w:szCs w:val="21"/>
                <w:lang w:bidi="ar"/>
                <w14:textFill>
                  <w14:solidFill>
                    <w14:schemeClr w14:val="tx1"/>
                  </w14:solidFill>
                </w14:textFill>
              </w:rPr>
              <w:t>建设在区域资源环境承载能力之内。</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第七条 未达到国家环境质量标准的重点区域、流域的有关地方人民政府，应当制定限期达标规划，并采取措施按期达标。</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大足区属于大气环境达标区。</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第八条 巩固（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本项目不涉及前述行业。</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第九条 主城区及江津区、合川区、璧山区、铜梁区二氧化硫、氮氧化物、颗粒物、挥发性有机物严格执行大气污染物特别排放限值，并逐步将执行范围扩大到重点控制区重点行业。</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本项目不位于上述区域。</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第十条 新建、改建、技改涉VOCs排放的项目，加强源头控制，使用低（无）VOCs含量的原辅料，加强废气收集，安装高效治理设施，有条件的工业集聚区建设集中喷涂中心，配备高效治污设施，替代企业独立喷涂工序。</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本项目采用气旋喷淋+干式过滤+活性炭吸附浓缩+催化燃烧的处理工艺。</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第十一条 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大足高新区邮亭组团配套建设有污水处理厂集中处理园区废水，本项目废水可实现接管排放。</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第十二条 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大足高新区邮亭组团已开展园区级突发环境事件风险评估。</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第十三条 禁止建设存在重大环境安全隐患的工业项目，严禁工艺技术落后、环境风险高的化工企业向我市转移。</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本项目不涉及前述行业。</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资源开发利用效率</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第十四条 加强资源节约集约利用。实行能源，水资源，建设用地总量和强度双控行动，推进节能、节水、节地，节材等节约自然资源行动，从源头减少污染物排放。</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本项目在满足工艺生产要求前提下优先选用节能设备。</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第十五条 在禁燃区内，禁止销售、燃用高污染燃料，禁止新建、改建、技改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本项目不涉及高污染燃料。</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大足区总体管控要求</w:t>
            </w: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第一条 针对玉龙山森林公园内矿山开采现状，对已开采矿区提出生态环境修复要求，并由政府引导矿业开采公司逐步退出玉龙山森林公园。</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条针对部分区域存在工业、居住、商业三区混杂的局面，严格产业准入，除确需单独布局的项目外，新建工业企业必须进入园区或工业集聚区，涉及VOCs、恶臭气体等产生项目应由环评确定合理的环境防护距离；园区外的锶盐精细化工企业应逐步实施搬迁进入园区。</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第三条在国家</w:t>
            </w:r>
            <w:r>
              <w:rPr>
                <w:rFonts w:hint="eastAsia"/>
                <w:color w:val="000000" w:themeColor="text1"/>
                <w:sz w:val="21"/>
                <w:szCs w:val="21"/>
                <w14:textFill>
                  <w14:solidFill>
                    <w14:schemeClr w14:val="tx1"/>
                  </w14:solidFill>
                </w14:textFill>
              </w:rPr>
              <w:t>法律法规</w:t>
            </w:r>
            <w:r>
              <w:rPr>
                <w:color w:val="000000" w:themeColor="text1"/>
                <w:sz w:val="21"/>
                <w:szCs w:val="21"/>
                <w14:textFill>
                  <w14:solidFill>
                    <w14:schemeClr w14:val="tx1"/>
                  </w14:solidFill>
                </w14:textFill>
              </w:rPr>
              <w:t>、行政规章及规划确定或县级以上人民政府批准的饮用水水源保护区、基本农田保护区、自然保护区、风景名胜区、生态功能保护区等需要特殊保护的地区，大中城市及其近郊，居民集中区、疗养地、医院周边1km内不得新建再生铅企业。</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第四条 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第五条大足高新区（万古组团）可布局发展锶盐深加工及新材料特色产业。</w:t>
            </w:r>
          </w:p>
        </w:tc>
        <w:tc>
          <w:tcPr>
            <w:tcW w:w="909"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本项目不涉及</w:t>
            </w:r>
          </w:p>
        </w:tc>
        <w:tc>
          <w:tcPr>
            <w:tcW w:w="515"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第六条 太平河漫水桥管控单元对新建工业项目增加的总磷污染物排放量，须在该区域内实行等量削减；濑溪河玉滩水库管控单元在玉滩水库水质未达标前，严格控制引入新增相应超标因子水污染物排放的工业项目。</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第七条 新建、改建、技改涉VOCs排放的项目，要加强源头控制，使用低（无）VOCs含量的原辅料，加强废气收集，安装高效治理设施。鼓励推广使用符合环保要求的高固体分、水性涂料、粉末涂料、紫外光固化涂料。</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本项目不属于排放含重金属、剧毒物质的工业项目，</w:t>
            </w:r>
            <w:r>
              <w:rPr>
                <w:color w:val="000000" w:themeColor="text1"/>
                <w:sz w:val="21"/>
                <w:szCs w:val="21"/>
                <w14:textFill>
                  <w14:solidFill>
                    <w14:schemeClr w14:val="tx1"/>
                  </w14:solidFill>
                </w14:textFill>
              </w:rPr>
              <w:t>太平河流域水环境质量已达标，本项目产生的污废水经生产废水处理设施和生化池处理后排入双桥工业园区水处理厂处理；</w:t>
            </w:r>
          </w:p>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14:textFill>
                  <w14:solidFill>
                    <w14:schemeClr w14:val="tx1"/>
                  </w14:solidFill>
                </w14:textFill>
              </w:rPr>
              <w:t>VOCs采用气旋喷淋+干式过滤+活性炭吸附浓缩+催化燃烧的处理工艺。</w:t>
            </w:r>
          </w:p>
        </w:tc>
        <w:tc>
          <w:tcPr>
            <w:tcW w:w="515"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第八条 大足工业园（龙水园区）、龙水镇小微企业园应严禁引入排放含重金属（汞、铬、镉、铅和类金属砷）、剧毒物质的工业项目。</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第九条进一步推进污染地块场地评估及修复。持续推进龙水电镀园区、重庆大足红蝶锶业有限公司（龙水工厂）等企业搬迁后遗留污染地块的修复与治理工作，并在修复过程中</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防止二次污染。</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w:t>
            </w:r>
          </w:p>
        </w:tc>
        <w:tc>
          <w:tcPr>
            <w:tcW w:w="515"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资源开发利用效率</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第十条 新、改建工业项目的水资源消耗水平应优于《重庆市工业项目环境准入规定》中的准入值及行业平均值，企业水耗应达到先进定额标准。城区污水处理厂推广中水回用。</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第十一条 高污染燃料禁燃区禁止燃煤，其他区域燃煤应严格限制用煤，禁止新建20蒸吨/小时及以下的燃煤锅炉，要求使用低硫、低灰分及洁净煤燃烧技术。</w:t>
            </w:r>
          </w:p>
        </w:tc>
        <w:tc>
          <w:tcPr>
            <w:tcW w:w="909" w:type="pct"/>
            <w:vAlign w:val="center"/>
          </w:tcPr>
          <w:p>
            <w:pPr>
              <w:pStyle w:val="294"/>
              <w:ind w:firstLine="0"/>
              <w:outlineLvl w:val="9"/>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本项目水资源消耗水平低；本项目使用电能，不使用燃煤。</w:t>
            </w:r>
          </w:p>
        </w:tc>
        <w:tc>
          <w:tcPr>
            <w:tcW w:w="515" w:type="pct"/>
            <w:vAlign w:val="center"/>
          </w:tcPr>
          <w:p>
            <w:pPr>
              <w:pStyle w:val="294"/>
              <w:ind w:firstLine="0"/>
              <w:outlineLvl w:val="9"/>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单元管控要求</w:t>
            </w: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1.双桥工业园区工业用地与居住用地之间设置绿化隔离带；艾诺斯电池等现有企业应严格管控环境防护距离。</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2.邮亭工业园A区再生铅企业与环境敏感点应设置不小于1公里的环境防护距离；智伦电镀园区等企业严格管控环境防护距离。</w:t>
            </w:r>
          </w:p>
        </w:tc>
        <w:tc>
          <w:tcPr>
            <w:tcW w:w="909"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本项目无需设置环境防护距离。</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2634" w:type="pct"/>
            <w:vAlign w:val="center"/>
          </w:tcPr>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1.在太平河流域水质达标前，新增总磷污染物的工业项目，须在区域内实行等量削减。</w:t>
            </w:r>
          </w:p>
          <w:p>
            <w:pPr>
              <w:pStyle w:val="294"/>
              <w:ind w:firstLine="0"/>
              <w:jc w:val="left"/>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2.太平河流域内新建城镇污水处理设施要执行一级A排放标准。包括邮亭镇污水处理厂在内的现有集中式污水处理设施应逐步进行提标改造，排水执行一级A排放标准。</w:t>
            </w:r>
          </w:p>
          <w:p>
            <w:pPr>
              <w:pStyle w:val="294"/>
              <w:ind w:firstLine="0"/>
              <w:jc w:val="left"/>
              <w:outlineLvl w:val="9"/>
              <w:rPr>
                <w:color w:val="000000" w:themeColor="text1"/>
                <w:spacing w:val="2"/>
                <w:sz w:val="21"/>
                <w:szCs w:val="21"/>
                <w:lang w:bidi="en-US"/>
                <w14:textFill>
                  <w14:solidFill>
                    <w14:schemeClr w14:val="tx1"/>
                  </w14:solidFill>
                </w14:textFill>
              </w:rPr>
            </w:pPr>
            <w:r>
              <w:rPr>
                <w:color w:val="000000" w:themeColor="text1"/>
                <w:sz w:val="21"/>
                <w:szCs w:val="21"/>
                <w14:textFill>
                  <w14:solidFill>
                    <w14:schemeClr w14:val="tx1"/>
                  </w14:solidFill>
                </w14:textFill>
              </w:rPr>
              <w:t>3.加强对废气尤其是有毒及恶臭气体的收集和处理率。新建、改建、技改涉VOCs排放的项目，要加强源头控制，使用低（无）VOCs含量的原辅料，加强废气收集，安装高效治理设施。鼓励推广使用符合环保要求的高固体分、水性涂料、粉末涂料、紫外光固化涂料。</w:t>
            </w:r>
          </w:p>
        </w:tc>
        <w:tc>
          <w:tcPr>
            <w:tcW w:w="909" w:type="pct"/>
            <w:vAlign w:val="center"/>
          </w:tcPr>
          <w:p>
            <w:pPr>
              <w:pStyle w:val="294"/>
              <w:ind w:firstLine="0"/>
              <w:outlineLvl w:val="9"/>
              <w:rPr>
                <w:color w:val="000000" w:themeColor="text1"/>
                <w:spacing w:val="2"/>
                <w:sz w:val="21"/>
                <w:szCs w:val="21"/>
                <w14:textFill>
                  <w14:solidFill>
                    <w14:schemeClr w14:val="tx1"/>
                  </w14:solidFill>
                </w14:textFill>
              </w:rPr>
            </w:pPr>
            <w:r>
              <w:rPr>
                <w:color w:val="000000" w:themeColor="text1"/>
                <w:sz w:val="21"/>
                <w:szCs w:val="21"/>
                <w14:textFill>
                  <w14:solidFill>
                    <w14:schemeClr w14:val="tx1"/>
                  </w14:solidFill>
                </w14:textFill>
              </w:rPr>
              <w:t>太平河流域水环境质量已达标；VOCs采用气旋喷淋+干式过滤+活性炭吸附浓缩+催化燃烧的处理工艺。</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2634" w:type="pct"/>
            <w:vAlign w:val="center"/>
          </w:tcPr>
          <w:p>
            <w:pPr>
              <w:pStyle w:val="294"/>
              <w:ind w:firstLine="0"/>
              <w:jc w:val="left"/>
              <w:outlineLvl w:val="9"/>
              <w:rPr>
                <w:color w:val="000000" w:themeColor="text1"/>
                <w:spacing w:val="2"/>
                <w:sz w:val="21"/>
                <w:szCs w:val="21"/>
                <w:lang w:bidi="en-US"/>
                <w14:textFill>
                  <w14:solidFill>
                    <w14:schemeClr w14:val="tx1"/>
                  </w14:solidFill>
                </w14:textFill>
              </w:rPr>
            </w:pPr>
            <w:r>
              <w:rPr>
                <w:color w:val="000000" w:themeColor="text1"/>
                <w:sz w:val="21"/>
                <w:szCs w:val="21"/>
                <w14:textFill>
                  <w14:solidFill>
                    <w14:schemeClr w14:val="tx1"/>
                  </w14:solidFill>
                </w14:textFill>
              </w:rPr>
              <w:t>1.区域内重金属污染防控地块3块：艾诺斯（重庆）华达电源系统有限公司、重庆德能再生资源股份有限公司、重庆智伦电镀有限公司，企业应严控重金属污染物排放，严格按排污自行监测规范要求，开展土壤环境现状监测，严格管控土壤环境风险。</w:t>
            </w:r>
          </w:p>
        </w:tc>
        <w:tc>
          <w:tcPr>
            <w:tcW w:w="909" w:type="pct"/>
            <w:vAlign w:val="center"/>
          </w:tcPr>
          <w:p>
            <w:pPr>
              <w:pStyle w:val="294"/>
              <w:ind w:firstLine="0"/>
              <w:outlineLvl w:val="9"/>
              <w:rPr>
                <w:color w:val="000000" w:themeColor="text1"/>
                <w:spacing w:val="2"/>
                <w:sz w:val="21"/>
                <w:szCs w:val="21"/>
                <w14:textFill>
                  <w14:solidFill>
                    <w14:schemeClr w14:val="tx1"/>
                  </w14:solidFill>
                </w14:textFill>
              </w:rPr>
            </w:pPr>
            <w:r>
              <w:rPr>
                <w:color w:val="000000" w:themeColor="text1"/>
                <w:sz w:val="21"/>
                <w:szCs w:val="21"/>
                <w14:textFill>
                  <w14:solidFill>
                    <w14:schemeClr w14:val="tx1"/>
                  </w14:solidFill>
                </w14:textFill>
              </w:rPr>
              <w:t>本项目不涉及前述地块。</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43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资源开发利用效率</w:t>
            </w:r>
          </w:p>
        </w:tc>
        <w:tc>
          <w:tcPr>
            <w:tcW w:w="2634" w:type="pct"/>
            <w:vAlign w:val="center"/>
          </w:tcPr>
          <w:p>
            <w:pPr>
              <w:pStyle w:val="294"/>
              <w:ind w:firstLine="0"/>
              <w:jc w:val="left"/>
              <w:outlineLvl w:val="9"/>
              <w:rPr>
                <w:bCs w:val="0"/>
                <w:color w:val="000000" w:themeColor="text1"/>
                <w:spacing w:val="2"/>
                <w:sz w:val="21"/>
                <w:szCs w:val="21"/>
                <w:lang w:bidi="en-US"/>
                <w14:textFill>
                  <w14:solidFill>
                    <w14:schemeClr w14:val="tx1"/>
                  </w14:solidFill>
                </w14:textFill>
              </w:rPr>
            </w:pPr>
            <w:r>
              <w:rPr>
                <w:color w:val="000000" w:themeColor="text1"/>
                <w:sz w:val="21"/>
                <w:szCs w:val="21"/>
                <w14:textFill>
                  <w14:solidFill>
                    <w14:schemeClr w14:val="tx1"/>
                  </w14:solidFill>
                </w14:textFill>
              </w:rPr>
              <w:t>1.龙滩子、双路、通桥街道辖区禁止新建使用煤、重油等为高污染燃料的工业项目。</w:t>
            </w:r>
          </w:p>
        </w:tc>
        <w:tc>
          <w:tcPr>
            <w:tcW w:w="909" w:type="pct"/>
            <w:vAlign w:val="center"/>
          </w:tcPr>
          <w:p>
            <w:pPr>
              <w:pStyle w:val="294"/>
              <w:ind w:firstLine="0"/>
              <w:outlineLvl w:val="9"/>
              <w:rPr>
                <w:color w:val="000000" w:themeColor="text1"/>
                <w:spacing w:val="2"/>
                <w:sz w:val="21"/>
                <w:szCs w:val="21"/>
                <w14:textFill>
                  <w14:solidFill>
                    <w14:schemeClr w14:val="tx1"/>
                  </w14:solidFill>
                </w14:textFill>
              </w:rPr>
            </w:pPr>
            <w:r>
              <w:rPr>
                <w:color w:val="000000" w:themeColor="text1"/>
                <w:sz w:val="21"/>
                <w:szCs w:val="21"/>
                <w14:textFill>
                  <w14:solidFill>
                    <w14:schemeClr w14:val="tx1"/>
                  </w14:solidFill>
                </w14:textFill>
              </w:rPr>
              <w:t>本项目不涉及</w:t>
            </w:r>
          </w:p>
        </w:tc>
        <w:tc>
          <w:tcPr>
            <w:tcW w:w="515"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由上表可知，本项目符合“三线一单”相关管控要求。</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1.9.2相关规划符合性分析</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（1）与《</w:t>
      </w:r>
      <w:r>
        <w:rPr>
          <w:rFonts w:hint="eastAsia" w:eastAsia="宋体"/>
          <w:b/>
          <w:bCs/>
          <w:color w:val="000000" w:themeColor="text1"/>
          <w14:textFill>
            <w14:solidFill>
              <w14:schemeClr w14:val="tx1"/>
            </w14:solidFill>
          </w14:textFill>
        </w:rPr>
        <w:t>大足高新区邮亭组团规划</w:t>
      </w:r>
      <w:r>
        <w:rPr>
          <w:rFonts w:eastAsia="宋体"/>
          <w:b/>
          <w:bCs/>
          <w:color w:val="000000" w:themeColor="text1"/>
          <w14:textFill>
            <w14:solidFill>
              <w14:schemeClr w14:val="tx1"/>
            </w14:solidFill>
          </w14:textFill>
        </w:rPr>
        <w:t>》符合分析</w:t>
      </w:r>
    </w:p>
    <w:p>
      <w:pPr>
        <w:ind w:firstLine="480"/>
        <w:rPr>
          <w:rFonts w:eastAsia="宋体"/>
          <w:color w:val="000000" w:themeColor="text1"/>
          <w:szCs w:val="24"/>
          <w14:textFill>
            <w14:solidFill>
              <w14:schemeClr w14:val="tx1"/>
            </w14:solidFill>
          </w14:textFill>
        </w:rPr>
      </w:pPr>
      <w:r>
        <w:rPr>
          <w:rFonts w:hint="eastAsia" w:eastAsia="宋体"/>
          <w:bCs/>
          <w:color w:val="000000" w:themeColor="text1"/>
          <w14:textFill>
            <w14:solidFill>
              <w14:schemeClr w14:val="tx1"/>
            </w14:solidFill>
          </w14:textFill>
        </w:rPr>
        <w:t>大足高新区邮亭组团作为重庆市循环经济试点园区，发展至今，已形成一定的静脉产业集群，目前已基本形成再生资源回收→报废汽车拆解→废钢利用；再生资源回收→铅酸蓄电池拆解→再生铅→铅酸蓄电池制造；再生资源回收→废旧电子电器产品拆解→危险固废处理；汽摩及装备制造零部件电镀→电镀危废处理四条循环经济产业链</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规划目标定位：</w:t>
      </w:r>
      <w:r>
        <w:rPr>
          <w:rFonts w:hint="eastAsia" w:eastAsia="宋体"/>
          <w:color w:val="000000" w:themeColor="text1"/>
          <w:szCs w:val="24"/>
          <w14:textFill>
            <w14:solidFill>
              <w14:schemeClr w14:val="tx1"/>
            </w14:solidFill>
          </w14:textFill>
        </w:rPr>
        <w:t>规划主导产业发展资源循环利用产业、汽车零部件产业</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规划范围：</w:t>
      </w:r>
      <w:r>
        <w:rPr>
          <w:rFonts w:hint="eastAsia" w:eastAsia="宋体"/>
          <w:color w:val="000000" w:themeColor="text1"/>
          <w:szCs w:val="24"/>
          <w14:textFill>
            <w14:solidFill>
              <w14:schemeClr w14:val="tx1"/>
            </w14:solidFill>
          </w14:textFill>
        </w:rPr>
        <w:t>规划四至范围为东至经开大道，西至大邮西路，北至新胜水库，南至成渝高速公路</w:t>
      </w:r>
      <w:r>
        <w:rPr>
          <w:rFonts w:eastAsia="宋体"/>
          <w:color w:val="000000" w:themeColor="text1"/>
          <w:szCs w:val="24"/>
          <w14:textFill>
            <w14:solidFill>
              <w14:schemeClr w14:val="tx1"/>
            </w14:solidFill>
          </w14:textFill>
        </w:rPr>
        <w:t>。规划区面积6.68</w:t>
      </w:r>
      <w:r>
        <w:rPr>
          <w:rFonts w:hint="eastAsia" w:eastAsia="宋体"/>
          <w:color w:val="000000" w:themeColor="text1"/>
          <w:szCs w:val="24"/>
          <w14:textFill>
            <w14:solidFill>
              <w14:schemeClr w14:val="tx1"/>
            </w14:solidFill>
          </w14:textFill>
        </w:rPr>
        <w:t>km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项目为金属结构制品业，不属于禁止入园项目，与园区规划相符。</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（2）与《</w:t>
      </w:r>
      <w:r>
        <w:rPr>
          <w:rFonts w:hint="eastAsia" w:eastAsia="宋体"/>
          <w:b/>
          <w:bCs/>
          <w:color w:val="000000" w:themeColor="text1"/>
          <w14:textFill>
            <w14:solidFill>
              <w14:schemeClr w14:val="tx1"/>
            </w14:solidFill>
          </w14:textFill>
        </w:rPr>
        <w:t>大足高新区邮亭组团规划环境影响报告书</w:t>
      </w:r>
      <w:r>
        <w:rPr>
          <w:rFonts w:eastAsia="宋体"/>
          <w:b/>
          <w:bCs/>
          <w:color w:val="000000" w:themeColor="text1"/>
          <w14:textFill>
            <w14:solidFill>
              <w14:schemeClr w14:val="tx1"/>
            </w14:solidFill>
          </w14:textFill>
        </w:rPr>
        <w:t>》符合性分析</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2023年</w:t>
      </w:r>
      <w:r>
        <w:rPr>
          <w:rFonts w:hint="eastAsia" w:eastAsia="宋体"/>
          <w:color w:val="000000" w:themeColor="text1"/>
          <w:szCs w:val="24"/>
          <w14:textFill>
            <w14:solidFill>
              <w14:schemeClr w14:val="tx1"/>
            </w14:solidFill>
          </w14:textFill>
        </w:rPr>
        <w:t>重庆环科源博达环保科技有限公司</w:t>
      </w:r>
      <w:r>
        <w:rPr>
          <w:rFonts w:eastAsia="宋体"/>
          <w:color w:val="000000" w:themeColor="text1"/>
          <w:szCs w:val="24"/>
          <w14:textFill>
            <w14:solidFill>
              <w14:schemeClr w14:val="tx1"/>
            </w14:solidFill>
          </w14:textFill>
        </w:rPr>
        <w:t>编制完成《</w:t>
      </w:r>
      <w:r>
        <w:rPr>
          <w:rFonts w:hint="eastAsia" w:eastAsia="宋体"/>
          <w:color w:val="000000" w:themeColor="text1"/>
          <w:szCs w:val="24"/>
          <w14:textFill>
            <w14:solidFill>
              <w14:schemeClr w14:val="tx1"/>
            </w14:solidFill>
          </w14:textFill>
        </w:rPr>
        <w:t>大足高新区邮亭组团规划环境影响报告书</w:t>
      </w:r>
      <w:r>
        <w:rPr>
          <w:rFonts w:eastAsia="宋体"/>
          <w:color w:val="000000" w:themeColor="text1"/>
          <w:szCs w:val="24"/>
          <w14:textFill>
            <w14:solidFill>
              <w14:schemeClr w14:val="tx1"/>
            </w14:solidFill>
          </w14:textFill>
        </w:rPr>
        <w:t>》并取得审查意见。</w:t>
      </w:r>
      <w:r>
        <w:rPr>
          <w:rFonts w:hint="eastAsia" w:eastAsia="宋体"/>
          <w:color w:val="000000" w:themeColor="text1"/>
          <w:szCs w:val="24"/>
          <w14:textFill>
            <w14:solidFill>
              <w14:schemeClr w14:val="tx1"/>
            </w14:solidFill>
          </w14:textFill>
        </w:rPr>
        <w:t>项目与规划环评管控要求符合性分析，见表1</w:t>
      </w:r>
      <w:r>
        <w:rPr>
          <w:rFonts w:eastAsia="宋体"/>
          <w:color w:val="000000" w:themeColor="text1"/>
          <w:szCs w:val="24"/>
          <w14:textFill>
            <w14:solidFill>
              <w14:schemeClr w14:val="tx1"/>
            </w14:solidFill>
          </w14:textFill>
        </w:rPr>
        <w:t>.9-7</w:t>
      </w:r>
      <w:r>
        <w:rPr>
          <w:rFonts w:hint="eastAsia" w:eastAsia="宋体"/>
          <w:color w:val="000000" w:themeColor="text1"/>
          <w:szCs w:val="24"/>
          <w14:textFill>
            <w14:solidFill>
              <w14:schemeClr w14:val="tx1"/>
            </w14:solidFill>
          </w14:textFill>
        </w:rPr>
        <w:t>。</w:t>
      </w:r>
    </w:p>
    <w:p>
      <w:pPr>
        <w:widowControl w:val="0"/>
        <w:adjustRightInd w:val="0"/>
        <w:snapToGrid w:val="0"/>
        <w:spacing w:line="240" w:lineRule="auto"/>
        <w:jc w:val="center"/>
        <w:rPr>
          <w:rFonts w:eastAsia="宋体"/>
          <w:b/>
          <w:bCs/>
          <w:color w:val="000000" w:themeColor="text1"/>
          <w:kern w:val="0"/>
          <w14:textFill>
            <w14:solidFill>
              <w14:schemeClr w14:val="tx1"/>
            </w14:solidFill>
          </w14:textFill>
        </w:rPr>
      </w:pPr>
      <w:r>
        <w:rPr>
          <w:rFonts w:eastAsia="宋体"/>
          <w:b/>
          <w:bCs/>
          <w:color w:val="000000" w:themeColor="text1"/>
          <w:kern w:val="0"/>
          <w14:textFill>
            <w14:solidFill>
              <w14:schemeClr w14:val="tx1"/>
            </w14:solidFill>
          </w14:textFill>
        </w:rPr>
        <w:t>表1.9-7  与</w:t>
      </w:r>
      <w:r>
        <w:rPr>
          <w:rFonts w:hint="eastAsia" w:eastAsia="宋体"/>
          <w:b/>
          <w:bCs/>
          <w:color w:val="000000" w:themeColor="text1"/>
          <w:kern w:val="0"/>
          <w14:textFill>
            <w14:solidFill>
              <w14:schemeClr w14:val="tx1"/>
            </w14:solidFill>
          </w14:textFill>
        </w:rPr>
        <w:t>规划环评生态环境准入清单</w:t>
      </w:r>
      <w:r>
        <w:rPr>
          <w:rFonts w:eastAsia="宋体"/>
          <w:b/>
          <w:bCs/>
          <w:color w:val="000000" w:themeColor="text1"/>
          <w:kern w:val="0"/>
          <w14:textFill>
            <w14:solidFill>
              <w14:schemeClr w14:val="tx1"/>
            </w14:solidFill>
          </w14:textFill>
        </w:rPr>
        <w:t>的符合性分析</w:t>
      </w:r>
    </w:p>
    <w:tbl>
      <w:tblPr>
        <w:tblStyle w:val="89"/>
        <w:tblW w:w="9071" w:type="dxa"/>
        <w:jc w:val="right"/>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5104"/>
        <w:gridCol w:w="2336"/>
        <w:gridCol w:w="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Align w:val="center"/>
          </w:tcPr>
          <w:p>
            <w:pPr>
              <w:pStyle w:val="452"/>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分类</w:t>
            </w:r>
          </w:p>
        </w:tc>
        <w:tc>
          <w:tcPr>
            <w:tcW w:w="5104" w:type="dxa"/>
            <w:vAlign w:val="center"/>
          </w:tcPr>
          <w:p>
            <w:pPr>
              <w:pStyle w:val="452"/>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清单内容</w:t>
            </w:r>
          </w:p>
        </w:tc>
        <w:tc>
          <w:tcPr>
            <w:tcW w:w="2336" w:type="dxa"/>
            <w:vAlign w:val="center"/>
          </w:tcPr>
          <w:p>
            <w:pPr>
              <w:pStyle w:val="452"/>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本项目情况</w:t>
            </w:r>
          </w:p>
        </w:tc>
        <w:tc>
          <w:tcPr>
            <w:tcW w:w="956" w:type="dxa"/>
            <w:vAlign w:val="center"/>
          </w:tcPr>
          <w:p>
            <w:pPr>
              <w:pStyle w:val="452"/>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restart"/>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5104" w:type="dxa"/>
            <w:vAlign w:val="center"/>
          </w:tcPr>
          <w:p>
            <w:pPr>
              <w:pStyle w:val="452"/>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紧邻</w:t>
            </w:r>
            <w:r>
              <w:rPr>
                <w:bCs/>
                <w:color w:val="000000" w:themeColor="text1"/>
                <w:szCs w:val="21"/>
                <w14:textFill>
                  <w14:solidFill>
                    <w14:schemeClr w14:val="tx1"/>
                  </w14:solidFill>
                </w14:textFill>
              </w:rPr>
              <w:t>居住用地的</w:t>
            </w:r>
            <w:r>
              <w:rPr>
                <w:rFonts w:hint="eastAsia"/>
                <w:bCs/>
                <w:color w:val="000000" w:themeColor="text1"/>
                <w:szCs w:val="21"/>
                <w14:textFill>
                  <w14:solidFill>
                    <w14:schemeClr w14:val="tx1"/>
                  </w14:solidFill>
                </w14:textFill>
              </w:rPr>
              <w:t>A</w:t>
            </w:r>
            <w:r>
              <w:rPr>
                <w:bCs/>
                <w:color w:val="000000" w:themeColor="text1"/>
                <w:szCs w:val="21"/>
                <w14:textFill>
                  <w14:solidFill>
                    <w14:schemeClr w14:val="tx1"/>
                  </w14:solidFill>
                </w14:textFill>
              </w:rPr>
              <w:t>03-16/02工业</w:t>
            </w:r>
            <w:r>
              <w:rPr>
                <w:rFonts w:hint="eastAsia"/>
                <w:bCs/>
                <w:color w:val="000000" w:themeColor="text1"/>
                <w:szCs w:val="21"/>
                <w14:textFill>
                  <w14:solidFill>
                    <w14:schemeClr w14:val="tx1"/>
                  </w14:solidFill>
                </w14:textFill>
              </w:rPr>
              <w:t>地块禁止布局资源循环利用产业项目，不宜新引入涉及铸造、冶炼、喷漆等大气污染较重或异味明显等易扰民的项目。同时应优化平面布置图，临居住用地一侧布置仓库、办公楼、倒班宿舍等污染影响相对较小的非生产设施。</w:t>
            </w:r>
          </w:p>
        </w:tc>
        <w:tc>
          <w:tcPr>
            <w:tcW w:w="2336" w:type="dxa"/>
            <w:vAlign w:val="center"/>
          </w:tcPr>
          <w:p>
            <w:pPr>
              <w:pStyle w:val="452"/>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项目地块为</w:t>
            </w:r>
            <w:r>
              <w:rPr>
                <w:bCs/>
                <w:color w:val="000000" w:themeColor="text1"/>
                <w:szCs w:val="21"/>
                <w14:textFill>
                  <w14:solidFill>
                    <w14:schemeClr w14:val="tx1"/>
                  </w14:solidFill>
                </w14:textFill>
              </w:rPr>
              <w:t>B30-05-01/02</w:t>
            </w:r>
            <w:r>
              <w:rPr>
                <w:rFonts w:hint="eastAsia"/>
                <w:bCs/>
                <w:color w:val="000000" w:themeColor="text1"/>
                <w:szCs w:val="21"/>
                <w14:textFill>
                  <w14:solidFill>
                    <w14:schemeClr w14:val="tx1"/>
                  </w14:solidFill>
                </w14:textFill>
              </w:rPr>
              <w:t>和B</w:t>
            </w:r>
            <w:r>
              <w:rPr>
                <w:bCs/>
                <w:color w:val="000000" w:themeColor="text1"/>
                <w:szCs w:val="21"/>
                <w14:textFill>
                  <w14:solidFill>
                    <w14:schemeClr w14:val="tx1"/>
                  </w14:solidFill>
                </w14:textFill>
              </w:rPr>
              <w:t>35-05/01</w:t>
            </w:r>
            <w:r>
              <w:rPr>
                <w:rFonts w:hint="eastAsia"/>
                <w:bCs/>
                <w:color w:val="000000" w:themeColor="text1"/>
                <w:szCs w:val="21"/>
                <w14:textFill>
                  <w14:solidFill>
                    <w14:schemeClr w14:val="tx1"/>
                  </w14:solidFill>
                </w14:textFill>
              </w:rPr>
              <w:t>，不属于清单所列地块；且项目总图布置合理，满足清单要求。</w:t>
            </w:r>
          </w:p>
        </w:tc>
        <w:tc>
          <w:tcPr>
            <w:tcW w:w="956" w:type="dxa"/>
            <w:vAlign w:val="center"/>
          </w:tcPr>
          <w:p>
            <w:pPr>
              <w:pStyle w:val="452"/>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 xml:space="preserve"> 合理布局有环境防护距离要求的工业企业，确保满足“环境防护距离不应超出园区边界”要求。</w:t>
            </w:r>
          </w:p>
        </w:tc>
        <w:tc>
          <w:tcPr>
            <w:tcW w:w="2336" w:type="dxa"/>
            <w:vAlign w:val="center"/>
          </w:tcPr>
          <w:p>
            <w:pPr>
              <w:pStyle w:val="452"/>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项目无需设置环境防护距离。</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restart"/>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5104" w:type="dxa"/>
            <w:vAlign w:val="center"/>
          </w:tcPr>
          <w:p>
            <w:pPr>
              <w:pStyle w:val="452"/>
              <w:jc w:val="left"/>
              <w:rPr>
                <w:color w:val="000000" w:themeColor="text1"/>
                <w:szCs w:val="21"/>
                <w14:textFill>
                  <w14:solidFill>
                    <w14:schemeClr w14:val="tx1"/>
                  </w14:solidFill>
                </w14:textFill>
              </w:rPr>
            </w:pPr>
            <w:r>
              <w:rPr>
                <w:bCs/>
                <w:color w:val="000000" w:themeColor="text1"/>
                <w:szCs w:val="21"/>
                <w:lang w:bidi="en-US"/>
                <w14:textFill>
                  <w14:solidFill>
                    <w14:schemeClr w14:val="tx1"/>
                  </w14:solidFill>
                </w14:textFill>
              </w:rPr>
              <w:t>1.</w:t>
            </w:r>
            <w:r>
              <w:rPr>
                <w:rFonts w:hint="eastAsia"/>
                <w:bCs/>
                <w:color w:val="000000" w:themeColor="text1"/>
                <w:szCs w:val="21"/>
                <w:lang w:bidi="en-US"/>
                <w14:textFill>
                  <w14:solidFill>
                    <w14:schemeClr w14:val="tx1"/>
                  </w14:solidFill>
                </w14:textFill>
              </w:rPr>
              <w:t>规划实施排放的主要污染物及特征污染物排放量不得突破本次确定的总量管控指标（废水C</w:t>
            </w:r>
            <w:r>
              <w:rPr>
                <w:bCs/>
                <w:color w:val="000000" w:themeColor="text1"/>
                <w:szCs w:val="21"/>
                <w:lang w:bidi="en-US"/>
                <w14:textFill>
                  <w14:solidFill>
                    <w14:schemeClr w14:val="tx1"/>
                  </w14:solidFill>
                </w14:textFill>
              </w:rPr>
              <w:t>OD</w:t>
            </w:r>
            <w:r>
              <w:rPr>
                <w:rFonts w:hint="eastAsia"/>
                <w:bCs/>
                <w:color w:val="000000" w:themeColor="text1"/>
                <w:szCs w:val="21"/>
                <w:lang w:bidi="en-US"/>
                <w14:textFill>
                  <w14:solidFill>
                    <w14:schemeClr w14:val="tx1"/>
                  </w14:solidFill>
                </w14:textFill>
              </w:rPr>
              <w:t>：</w:t>
            </w:r>
            <w:r>
              <w:rPr>
                <w:color w:val="000000" w:themeColor="text1"/>
                <w:szCs w:val="21"/>
                <w14:textFill>
                  <w14:solidFill>
                    <w14:schemeClr w14:val="tx1"/>
                  </w14:solidFill>
                </w14:textFill>
              </w:rPr>
              <w:t>116.17</w:t>
            </w:r>
            <w:r>
              <w:rPr>
                <w:bCs/>
                <w:color w:val="000000" w:themeColor="text1"/>
                <w:szCs w:val="21"/>
                <w:lang w:bidi="en-US"/>
                <w14:textFill>
                  <w14:solidFill>
                    <w14:schemeClr w14:val="tx1"/>
                  </w14:solidFill>
                </w14:textFill>
              </w:rPr>
              <w:t>t/a</w:t>
            </w:r>
            <w:r>
              <w:rPr>
                <w:rFonts w:hint="eastAsia"/>
                <w:bCs/>
                <w:color w:val="000000" w:themeColor="text1"/>
                <w:szCs w:val="21"/>
                <w:lang w:bidi="en-US"/>
                <w14:textFill>
                  <w14:solidFill>
                    <w14:schemeClr w14:val="tx1"/>
                  </w14:solidFill>
                </w14:textFill>
              </w:rPr>
              <w:t>、氨氮：</w:t>
            </w:r>
            <w:r>
              <w:rPr>
                <w:color w:val="000000" w:themeColor="text1"/>
                <w:szCs w:val="21"/>
                <w14:textFill>
                  <w14:solidFill>
                    <w14:schemeClr w14:val="tx1"/>
                  </w14:solidFill>
                </w14:textFill>
              </w:rPr>
              <w:t>12.83</w:t>
            </w:r>
            <w:r>
              <w:rPr>
                <w:bCs/>
                <w:color w:val="000000" w:themeColor="text1"/>
                <w:szCs w:val="21"/>
                <w:lang w:bidi="en-US"/>
                <w14:textFill>
                  <w14:solidFill>
                    <w14:schemeClr w14:val="tx1"/>
                  </w14:solidFill>
                </w14:textFill>
              </w:rPr>
              <w:t>t/a</w:t>
            </w:r>
            <w:r>
              <w:rPr>
                <w:rFonts w:hint="eastAsia"/>
                <w:bCs/>
                <w:color w:val="000000" w:themeColor="text1"/>
                <w:szCs w:val="21"/>
                <w:lang w:bidi="en-US"/>
                <w14:textFill>
                  <w14:solidFill>
                    <w14:schemeClr w14:val="tx1"/>
                  </w14:solidFill>
                </w14:textFill>
              </w:rPr>
              <w:t>；废气</w:t>
            </w:r>
            <w:r>
              <w:rPr>
                <w:bCs/>
                <w:color w:val="000000" w:themeColor="text1"/>
                <w:szCs w:val="21"/>
                <w:lang w:bidi="en-US"/>
                <w14:textFill>
                  <w14:solidFill>
                    <w14:schemeClr w14:val="tx1"/>
                  </w14:solidFill>
                </w14:textFill>
              </w:rPr>
              <w:t>SO</w:t>
            </w:r>
            <w:r>
              <w:rPr>
                <w:bCs/>
                <w:color w:val="000000" w:themeColor="text1"/>
                <w:szCs w:val="21"/>
                <w:vertAlign w:val="subscript"/>
                <w:lang w:bidi="en-US"/>
                <w14:textFill>
                  <w14:solidFill>
                    <w14:schemeClr w14:val="tx1"/>
                  </w14:solidFill>
                </w14:textFill>
              </w:rPr>
              <w:t>2</w:t>
            </w:r>
            <w:r>
              <w:rPr>
                <w:rFonts w:hint="eastAsia"/>
                <w:bCs/>
                <w:color w:val="000000" w:themeColor="text1"/>
                <w:szCs w:val="21"/>
                <w:lang w:bidi="en-US"/>
                <w14:textFill>
                  <w14:solidFill>
                    <w14:schemeClr w14:val="tx1"/>
                  </w14:solidFill>
                </w14:textFill>
              </w:rPr>
              <w:t>：</w:t>
            </w:r>
            <w:r>
              <w:rPr>
                <w:rFonts w:eastAsiaTheme="minorEastAsia"/>
                <w:color w:val="000000" w:themeColor="text1"/>
                <w:szCs w:val="21"/>
                <w14:textFill>
                  <w14:solidFill>
                    <w14:schemeClr w14:val="tx1"/>
                  </w14:solidFill>
                </w14:textFill>
              </w:rPr>
              <w:t>513.89</w:t>
            </w:r>
            <w:r>
              <w:rPr>
                <w:bCs/>
                <w:color w:val="000000" w:themeColor="text1"/>
                <w:szCs w:val="21"/>
                <w:lang w:bidi="en-US"/>
                <w14:textFill>
                  <w14:solidFill>
                    <w14:schemeClr w14:val="tx1"/>
                  </w14:solidFill>
                </w14:textFill>
              </w:rPr>
              <w:t>t/a</w:t>
            </w:r>
            <w:r>
              <w:rPr>
                <w:rFonts w:hint="eastAsia"/>
                <w:bCs/>
                <w:color w:val="000000" w:themeColor="text1"/>
                <w:szCs w:val="21"/>
                <w:lang w:bidi="en-US"/>
                <w14:textFill>
                  <w14:solidFill>
                    <w14:schemeClr w14:val="tx1"/>
                  </w14:solidFill>
                </w14:textFill>
              </w:rPr>
              <w:t>、</w:t>
            </w:r>
            <w:r>
              <w:rPr>
                <w:bCs/>
                <w:color w:val="000000" w:themeColor="text1"/>
                <w:szCs w:val="21"/>
                <w:lang w:bidi="en-US"/>
                <w14:textFill>
                  <w14:solidFill>
                    <w14:schemeClr w14:val="tx1"/>
                  </w14:solidFill>
                </w14:textFill>
              </w:rPr>
              <w:t>NO</w:t>
            </w:r>
            <w:r>
              <w:rPr>
                <w:bCs/>
                <w:color w:val="000000" w:themeColor="text1"/>
                <w:szCs w:val="21"/>
                <w:vertAlign w:val="subscript"/>
                <w:lang w:bidi="en-US"/>
                <w14:textFill>
                  <w14:solidFill>
                    <w14:schemeClr w14:val="tx1"/>
                  </w14:solidFill>
                </w14:textFill>
              </w:rPr>
              <w:t>X</w:t>
            </w:r>
            <w:r>
              <w:rPr>
                <w:rFonts w:hint="eastAsia"/>
                <w:bCs/>
                <w:color w:val="000000" w:themeColor="text1"/>
                <w:szCs w:val="21"/>
                <w:lang w:bidi="en-US"/>
                <w14:textFill>
                  <w14:solidFill>
                    <w14:schemeClr w14:val="tx1"/>
                  </w14:solidFill>
                </w14:textFill>
              </w:rPr>
              <w:t xml:space="preserve"> ：</w:t>
            </w:r>
            <w:r>
              <w:rPr>
                <w:rFonts w:eastAsia="等线"/>
                <w:color w:val="000000" w:themeColor="text1"/>
                <w:szCs w:val="21"/>
                <w14:textFill>
                  <w14:solidFill>
                    <w14:schemeClr w14:val="tx1"/>
                  </w14:solidFill>
                </w14:textFill>
              </w:rPr>
              <w:t>729.08</w:t>
            </w:r>
            <w:r>
              <w:rPr>
                <w:bCs/>
                <w:color w:val="000000" w:themeColor="text1"/>
                <w:szCs w:val="21"/>
                <w:lang w:bidi="en-US"/>
                <w14:textFill>
                  <w14:solidFill>
                    <w14:schemeClr w14:val="tx1"/>
                  </w14:solidFill>
                </w14:textFill>
              </w:rPr>
              <w:t>t/a</w:t>
            </w:r>
            <w:r>
              <w:rPr>
                <w:rFonts w:hint="eastAsia"/>
                <w:bCs/>
                <w:color w:val="000000" w:themeColor="text1"/>
                <w:szCs w:val="21"/>
                <w:lang w:bidi="en-US"/>
                <w14:textFill>
                  <w14:solidFill>
                    <w14:schemeClr w14:val="tx1"/>
                  </w14:solidFill>
                </w14:textFill>
              </w:rPr>
              <w:t>、</w:t>
            </w:r>
            <w:r>
              <w:rPr>
                <w:bCs/>
                <w:color w:val="000000" w:themeColor="text1"/>
                <w:szCs w:val="21"/>
                <w:lang w:bidi="en-US"/>
                <w14:textFill>
                  <w14:solidFill>
                    <w14:schemeClr w14:val="tx1"/>
                  </w14:solidFill>
                </w14:textFill>
              </w:rPr>
              <w:t>VOCs</w:t>
            </w:r>
            <w:r>
              <w:rPr>
                <w:rFonts w:hint="eastAsia"/>
                <w:bCs/>
                <w:color w:val="000000" w:themeColor="text1"/>
                <w:szCs w:val="21"/>
                <w:lang w:bidi="en-US"/>
                <w14:textFill>
                  <w14:solidFill>
                    <w14:schemeClr w14:val="tx1"/>
                  </w14:solidFill>
                </w14:textFill>
              </w:rPr>
              <w:t>：</w:t>
            </w:r>
            <w:r>
              <w:rPr>
                <w:rFonts w:eastAsia="等线"/>
                <w:color w:val="000000" w:themeColor="text1"/>
                <w:szCs w:val="21"/>
                <w14:textFill>
                  <w14:solidFill>
                    <w14:schemeClr w14:val="tx1"/>
                  </w14:solidFill>
                </w14:textFill>
              </w:rPr>
              <w:t>354.01</w:t>
            </w:r>
            <w:r>
              <w:rPr>
                <w:bCs/>
                <w:color w:val="000000" w:themeColor="text1"/>
                <w:szCs w:val="21"/>
                <w:lang w:bidi="en-US"/>
                <w14:textFill>
                  <w14:solidFill>
                    <w14:schemeClr w14:val="tx1"/>
                  </w14:solidFill>
                </w14:textFill>
              </w:rPr>
              <w:t>t/a</w:t>
            </w:r>
            <w:r>
              <w:rPr>
                <w:rFonts w:hint="eastAsia"/>
                <w:bCs/>
                <w:color w:val="000000" w:themeColor="text1"/>
                <w:szCs w:val="21"/>
                <w:lang w:bidi="en-US"/>
                <w14:textFill>
                  <w14:solidFill>
                    <w14:schemeClr w14:val="tx1"/>
                  </w14:solidFill>
                </w14:textFill>
              </w:rPr>
              <w:t>、铅：0</w:t>
            </w:r>
            <w:r>
              <w:rPr>
                <w:bCs/>
                <w:color w:val="000000" w:themeColor="text1"/>
                <w:szCs w:val="21"/>
                <w:lang w:bidi="en-US"/>
                <w14:textFill>
                  <w14:solidFill>
                    <w14:schemeClr w14:val="tx1"/>
                  </w14:solidFill>
                </w14:textFill>
              </w:rPr>
              <w:t>.887t/a</w:t>
            </w:r>
            <w:r>
              <w:rPr>
                <w:rFonts w:hint="eastAsia"/>
                <w:bCs/>
                <w:color w:val="000000" w:themeColor="text1"/>
                <w:szCs w:val="21"/>
                <w:lang w:bidi="en-US"/>
                <w14:textFill>
                  <w14:solidFill>
                    <w14:schemeClr w14:val="tx1"/>
                  </w14:solidFill>
                </w14:textFill>
              </w:rPr>
              <w:t>）。</w:t>
            </w:r>
          </w:p>
        </w:tc>
        <w:tc>
          <w:tcPr>
            <w:tcW w:w="2336" w:type="dxa"/>
            <w:vAlign w:val="center"/>
          </w:tcPr>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项目污染物总量为：COD：</w:t>
            </w:r>
            <w:r>
              <w:rPr>
                <w:color w:val="000000" w:themeColor="text1"/>
                <w:szCs w:val="21"/>
                <w14:textFill>
                  <w14:solidFill>
                    <w14:schemeClr w14:val="tx1"/>
                  </w14:solidFill>
                </w14:textFill>
              </w:rPr>
              <w:t>0.537</w:t>
            </w:r>
            <w:r>
              <w:rPr>
                <w:rFonts w:hint="eastAsia"/>
                <w:color w:val="000000" w:themeColor="text1"/>
                <w:szCs w:val="21"/>
                <w14:textFill>
                  <w14:solidFill>
                    <w14:schemeClr w14:val="tx1"/>
                  </w14:solidFill>
                </w14:textFill>
              </w:rPr>
              <w:t>t/a；</w:t>
            </w:r>
          </w:p>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氨氮：0</w:t>
            </w:r>
            <w:r>
              <w:rPr>
                <w:color w:val="000000" w:themeColor="text1"/>
                <w:szCs w:val="21"/>
                <w14:textFill>
                  <w14:solidFill>
                    <w14:schemeClr w14:val="tx1"/>
                  </w14:solidFill>
                </w14:textFill>
              </w:rPr>
              <w:t>.072</w:t>
            </w:r>
            <w:r>
              <w:rPr>
                <w:rFonts w:hint="eastAsia"/>
                <w:color w:val="000000" w:themeColor="text1"/>
                <w:szCs w:val="21"/>
                <w14:textFill>
                  <w14:solidFill>
                    <w14:schemeClr w14:val="tx1"/>
                  </w14:solidFill>
                </w14:textFill>
              </w:rPr>
              <w:t>t/a；</w:t>
            </w:r>
          </w:p>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r>
              <w:rPr>
                <w:color w:val="000000" w:themeColor="text1"/>
                <w:szCs w:val="21"/>
                <w14:textFill>
                  <w14:solidFill>
                    <w14:schemeClr w14:val="tx1"/>
                  </w14:solidFill>
                </w14:textFill>
              </w:rPr>
              <w:t>3.331</w:t>
            </w:r>
            <w:r>
              <w:rPr>
                <w:rFonts w:hint="eastAsia"/>
                <w:color w:val="000000" w:themeColor="text1"/>
                <w:szCs w:val="21"/>
                <w14:textFill>
                  <w14:solidFill>
                    <w14:schemeClr w14:val="tx1"/>
                  </w14:solidFill>
                </w14:textFill>
              </w:rPr>
              <w:t>t/a。均远小于总量管控指标要求。</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b/>
                <w:bCs/>
                <w:color w:val="000000" w:themeColor="text1"/>
                <w:szCs w:val="21"/>
                <w:lang w:bidi="en-US"/>
                <w14:textFill>
                  <w14:solidFill>
                    <w14:schemeClr w14:val="tx1"/>
                  </w14:solidFill>
                </w14:textFill>
              </w:rPr>
            </w:pPr>
            <w:r>
              <w:rPr>
                <w:bCs/>
                <w:color w:val="000000" w:themeColor="text1"/>
                <w:szCs w:val="21"/>
                <w:lang w:bidi="en-US"/>
                <w14:textFill>
                  <w14:solidFill>
                    <w14:schemeClr w14:val="tx1"/>
                  </w14:solidFill>
                </w14:textFill>
              </w:rPr>
              <w:t>2.</w:t>
            </w:r>
            <w:r>
              <w:rPr>
                <w:rFonts w:hint="eastAsia"/>
                <w:color w:val="000000" w:themeColor="text1"/>
                <w:szCs w:val="21"/>
                <w14:textFill>
                  <w14:solidFill>
                    <w14:schemeClr w14:val="tx1"/>
                  </w14:solidFill>
                </w14:textFill>
              </w:rPr>
              <w:t xml:space="preserve"> 双桥工业园区污水处理厂出水执行《城镇污水处理厂污染物排放标准》（GB18918-2002）中一级A标准（其中COD、</w:t>
            </w:r>
            <w:r>
              <w:rPr>
                <w:rFonts w:hint="eastAsia" w:eastAsiaTheme="minorEastAsia"/>
                <w:color w:val="000000" w:themeColor="text1"/>
                <w:szCs w:val="21"/>
                <w14:textFill>
                  <w14:solidFill>
                    <w14:schemeClr w14:val="tx1"/>
                  </w14:solidFill>
                </w14:textFill>
              </w:rPr>
              <w:t>B</w:t>
            </w:r>
            <w:r>
              <w:rPr>
                <w:rFonts w:eastAsiaTheme="minorEastAsia"/>
                <w:color w:val="000000" w:themeColor="text1"/>
                <w:szCs w:val="21"/>
                <w14:textFill>
                  <w14:solidFill>
                    <w14:schemeClr w14:val="tx1"/>
                  </w14:solidFill>
                </w14:textFill>
              </w:rPr>
              <w:t>OD</w:t>
            </w:r>
            <w:r>
              <w:rPr>
                <w:rFonts w:eastAsiaTheme="minorEastAsia"/>
                <w:color w:val="000000" w:themeColor="text1"/>
                <w:szCs w:val="21"/>
                <w:vertAlign w:val="subscript"/>
                <w14:textFill>
                  <w14:solidFill>
                    <w14:schemeClr w14:val="tx1"/>
                  </w14:solidFill>
                </w14:textFill>
              </w:rPr>
              <w:t>5</w:t>
            </w:r>
            <w:r>
              <w:rPr>
                <w:rFonts w:hint="eastAsia" w:eastAsiaTheme="minorEastAsia"/>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氨氮、TP执行《地表水环境质量标准》（GB 3838-2002）Ⅳ类标准）；电镀集中加工区污水处理站外排废水量不得超过3</w:t>
            </w:r>
            <w:r>
              <w:rPr>
                <w:color w:val="000000" w:themeColor="text1"/>
                <w:szCs w:val="21"/>
                <w14:textFill>
                  <w14:solidFill>
                    <w14:schemeClr w14:val="tx1"/>
                  </w14:solidFill>
                </w14:textFill>
              </w:rPr>
              <w:t>500m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w:t>
            </w:r>
          </w:p>
        </w:tc>
        <w:tc>
          <w:tcPr>
            <w:tcW w:w="2336" w:type="dxa"/>
            <w:vAlign w:val="center"/>
          </w:tcPr>
          <w:p>
            <w:pPr>
              <w:pStyle w:val="452"/>
              <w:jc w:val="left"/>
              <w:rPr>
                <w:bCs/>
                <w:color w:val="000000" w:themeColor="text1"/>
                <w:szCs w:val="21"/>
                <w:lang w:bidi="en-US"/>
                <w14:textFill>
                  <w14:solidFill>
                    <w14:schemeClr w14:val="tx1"/>
                  </w14:solidFill>
                </w14:textFill>
              </w:rPr>
            </w:pPr>
            <w:r>
              <w:rPr>
                <w:color w:val="000000" w:themeColor="text1"/>
                <w:szCs w:val="21"/>
                <w14:textFill>
                  <w14:solidFill>
                    <w14:schemeClr w14:val="tx1"/>
                  </w14:solidFill>
                </w14:textFill>
              </w:rPr>
              <w:t>根据调查</w:t>
            </w:r>
            <w:r>
              <w:rPr>
                <w:rFonts w:hint="eastAsia"/>
                <w:color w:val="000000" w:themeColor="text1"/>
                <w:szCs w:val="21"/>
                <w14:textFill>
                  <w14:solidFill>
                    <w14:schemeClr w14:val="tx1"/>
                  </w14:solidFill>
                </w14:textFill>
              </w:rPr>
              <w:t>，</w:t>
            </w:r>
            <w:r>
              <w:rPr>
                <w:bCs/>
                <w:color w:val="000000" w:themeColor="text1"/>
                <w:szCs w:val="21"/>
                <w14:textFill>
                  <w14:solidFill>
                    <w14:schemeClr w14:val="tx1"/>
                  </w14:solidFill>
                </w14:textFill>
              </w:rPr>
              <w:t>双桥工业园区污水处理厂</w:t>
            </w:r>
            <w:r>
              <w:rPr>
                <w:rFonts w:hint="eastAsia"/>
                <w:bCs/>
                <w:color w:val="000000" w:themeColor="text1"/>
                <w:szCs w:val="21"/>
                <w14:textFill>
                  <w14:solidFill>
                    <w14:schemeClr w14:val="tx1"/>
                  </w14:solidFill>
                </w14:textFill>
              </w:rPr>
              <w:t>目前正在开展提标</w:t>
            </w:r>
            <w:r>
              <w:rPr>
                <w:bCs/>
                <w:color w:val="000000" w:themeColor="text1"/>
                <w:szCs w:val="21"/>
                <w14:textFill>
                  <w14:solidFill>
                    <w14:schemeClr w14:val="tx1"/>
                  </w14:solidFill>
                </w14:textFill>
              </w:rPr>
              <w:t>改造前期可研工作</w:t>
            </w:r>
            <w:r>
              <w:rPr>
                <w:rFonts w:hint="eastAsia"/>
                <w:bCs/>
                <w:color w:val="000000" w:themeColor="text1"/>
                <w:szCs w:val="21"/>
                <w14:textFill>
                  <w14:solidFill>
                    <w14:schemeClr w14:val="tx1"/>
                  </w14:solidFill>
                </w14:textFill>
              </w:rPr>
              <w:t>，改造完成后</w:t>
            </w:r>
            <w:r>
              <w:rPr>
                <w:color w:val="000000" w:themeColor="text1"/>
                <w:szCs w:val="21"/>
                <w14:textFill>
                  <w14:solidFill>
                    <w14:schemeClr w14:val="tx1"/>
                  </w14:solidFill>
                </w14:textFill>
              </w:rPr>
              <w:t>尾水执行《城镇污水处理厂污染物排放标准》（GB18918-2002）中一级A标准</w:t>
            </w:r>
            <w:r>
              <w:rPr>
                <w:rFonts w:hint="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其中</w:t>
            </w:r>
            <w:r>
              <w:rPr>
                <w:rFonts w:eastAsiaTheme="minorEastAsia"/>
                <w:color w:val="000000" w:themeColor="text1"/>
                <w:szCs w:val="21"/>
                <w14:textFill>
                  <w14:solidFill>
                    <w14:schemeClr w14:val="tx1"/>
                  </w14:solidFill>
                </w14:textFill>
              </w:rPr>
              <w:t>COD、</w:t>
            </w:r>
            <w:r>
              <w:rPr>
                <w:rFonts w:hint="eastAsia" w:eastAsiaTheme="minorEastAsia"/>
                <w:color w:val="000000" w:themeColor="text1"/>
                <w:szCs w:val="21"/>
                <w14:textFill>
                  <w14:solidFill>
                    <w14:schemeClr w14:val="tx1"/>
                  </w14:solidFill>
                </w14:textFill>
              </w:rPr>
              <w:t>B</w:t>
            </w:r>
            <w:r>
              <w:rPr>
                <w:rFonts w:eastAsiaTheme="minorEastAsia"/>
                <w:color w:val="000000" w:themeColor="text1"/>
                <w:szCs w:val="21"/>
                <w14:textFill>
                  <w14:solidFill>
                    <w14:schemeClr w14:val="tx1"/>
                  </w14:solidFill>
                </w14:textFill>
              </w:rPr>
              <w:t>OD</w:t>
            </w:r>
            <w:r>
              <w:rPr>
                <w:rFonts w:eastAsiaTheme="minorEastAsia"/>
                <w:color w:val="000000" w:themeColor="text1"/>
                <w:szCs w:val="21"/>
                <w:vertAlign w:val="subscript"/>
                <w14:textFill>
                  <w14:solidFill>
                    <w14:schemeClr w14:val="tx1"/>
                  </w14:solidFill>
                </w14:textFill>
              </w:rPr>
              <w:t>5</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氨氮、TP</w:t>
            </w:r>
            <w:r>
              <w:rPr>
                <w:rFonts w:hint="eastAsia" w:eastAsiaTheme="minorEastAsia"/>
                <w:color w:val="000000" w:themeColor="text1"/>
                <w:szCs w:val="21"/>
                <w14:textFill>
                  <w14:solidFill>
                    <w14:schemeClr w14:val="tx1"/>
                  </w14:solidFill>
                </w14:textFill>
              </w:rPr>
              <w:t>执行</w:t>
            </w:r>
            <w:r>
              <w:rPr>
                <w:rFonts w:eastAsiaTheme="minorEastAsia"/>
                <w:color w:val="000000" w:themeColor="text1"/>
                <w:szCs w:val="21"/>
                <w14:textFill>
                  <w14:solidFill>
                    <w14:schemeClr w14:val="tx1"/>
                  </w14:solidFill>
                </w14:textFill>
              </w:rPr>
              <w:t>《地表水环境质量标准》（GB 3838-2002）</w:t>
            </w:r>
            <w:r>
              <w:rPr>
                <w:color w:val="000000" w:themeColor="text1"/>
                <w:szCs w:val="21"/>
                <w14:textFill>
                  <w14:solidFill>
                    <w14:schemeClr w14:val="tx1"/>
                  </w14:solidFill>
                </w14:textFill>
              </w:rPr>
              <w:t>Ⅳ</w:t>
            </w:r>
            <w:r>
              <w:rPr>
                <w:rFonts w:eastAsiaTheme="minorEastAsia"/>
                <w:color w:val="000000" w:themeColor="text1"/>
                <w:szCs w:val="21"/>
                <w14:textFill>
                  <w14:solidFill>
                    <w14:schemeClr w14:val="tx1"/>
                  </w14:solidFill>
                </w14:textFill>
              </w:rPr>
              <w:t>类标准</w:t>
            </w:r>
            <w:r>
              <w:rPr>
                <w:rFonts w:hint="eastAsia"/>
                <w:color w:val="000000" w:themeColor="text1"/>
                <w:szCs w:val="21"/>
                <w14:textFill>
                  <w14:solidFill>
                    <w14:schemeClr w14:val="tx1"/>
                  </w14:solidFill>
                </w14:textFill>
              </w:rPr>
              <w:t>）。</w:t>
            </w:r>
          </w:p>
        </w:tc>
        <w:tc>
          <w:tcPr>
            <w:tcW w:w="956" w:type="dxa"/>
            <w:vAlign w:val="center"/>
          </w:tcPr>
          <w:p>
            <w:pPr>
              <w:pStyle w:val="452"/>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3、新、改、扩建重点行业建设项目应明确重点重金属污染物排放总量及来源。</w:t>
            </w:r>
          </w:p>
        </w:tc>
        <w:tc>
          <w:tcPr>
            <w:tcW w:w="2336" w:type="dxa"/>
            <w:vAlign w:val="center"/>
          </w:tcPr>
          <w:p>
            <w:pPr>
              <w:pStyle w:val="452"/>
              <w:jc w:val="left"/>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项目不涉及重金属污染物排放。</w:t>
            </w:r>
          </w:p>
        </w:tc>
        <w:tc>
          <w:tcPr>
            <w:tcW w:w="956" w:type="dxa"/>
            <w:vAlign w:val="center"/>
          </w:tcPr>
          <w:p>
            <w:pPr>
              <w:pStyle w:val="452"/>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4</w:t>
            </w:r>
            <w:r>
              <w:rPr>
                <w:bCs/>
                <w:color w:val="000000" w:themeColor="text1"/>
                <w:szCs w:val="21"/>
                <w:lang w:bidi="en-US"/>
                <w14:textFill>
                  <w14:solidFill>
                    <w14:schemeClr w14:val="tx1"/>
                  </w14:solidFill>
                </w14:textFill>
              </w:rPr>
              <w:t>.</w:t>
            </w:r>
            <w:r>
              <w:rPr>
                <w:rFonts w:hint="eastAsia"/>
                <w:bCs/>
                <w:color w:val="000000" w:themeColor="text1"/>
                <w:szCs w:val="21"/>
                <w:lang w:bidi="en-US"/>
                <w14:textFill>
                  <w14:solidFill>
                    <w14:schemeClr w14:val="tx1"/>
                  </w14:solidFill>
                </w14:textFill>
              </w:rPr>
              <w:t>涉</w:t>
            </w:r>
            <w:r>
              <w:rPr>
                <w:bCs/>
                <w:color w:val="000000" w:themeColor="text1"/>
                <w:szCs w:val="21"/>
                <w:lang w:bidi="en-US"/>
                <w14:textFill>
                  <w14:solidFill>
                    <w14:schemeClr w14:val="tx1"/>
                  </w14:solidFill>
                </w14:textFill>
              </w:rPr>
              <w:t>VOCs</w:t>
            </w:r>
            <w:r>
              <w:rPr>
                <w:rFonts w:hint="eastAsia"/>
                <w:bCs/>
                <w:color w:val="000000" w:themeColor="text1"/>
                <w:szCs w:val="21"/>
                <w:lang w:bidi="en-US"/>
                <w14:textFill>
                  <w14:solidFill>
                    <w14:schemeClr w14:val="tx1"/>
                  </w14:solidFill>
                </w14:textFill>
              </w:rPr>
              <w:t>排放的项目，应加强源头控制，使用低（无）</w:t>
            </w:r>
            <w:r>
              <w:rPr>
                <w:bCs/>
                <w:color w:val="000000" w:themeColor="text1"/>
                <w:szCs w:val="21"/>
                <w:lang w:bidi="en-US"/>
                <w14:textFill>
                  <w14:solidFill>
                    <w14:schemeClr w14:val="tx1"/>
                  </w14:solidFill>
                </w14:textFill>
              </w:rPr>
              <w:t>VOCs</w:t>
            </w:r>
            <w:r>
              <w:rPr>
                <w:rFonts w:hint="eastAsia"/>
                <w:bCs/>
                <w:color w:val="000000" w:themeColor="text1"/>
                <w:szCs w:val="21"/>
                <w:lang w:bidi="en-US"/>
                <w14:textFill>
                  <w14:solidFill>
                    <w14:schemeClr w14:val="tx1"/>
                  </w14:solidFill>
                </w14:textFill>
              </w:rPr>
              <w:t>含量的原辅料，提高废气收集效率，安装高效治理设施。</w:t>
            </w:r>
          </w:p>
        </w:tc>
        <w:tc>
          <w:tcPr>
            <w:tcW w:w="2336" w:type="dxa"/>
            <w:vAlign w:val="center"/>
          </w:tcPr>
          <w:p>
            <w:pPr>
              <w:pStyle w:val="452"/>
              <w:jc w:val="left"/>
              <w:rPr>
                <w:bCs/>
                <w:color w:val="000000" w:themeColor="text1"/>
                <w:szCs w:val="21"/>
                <w:lang w:bidi="en-US"/>
                <w14:textFill>
                  <w14:solidFill>
                    <w14:schemeClr w14:val="tx1"/>
                  </w14:solidFill>
                </w14:textFill>
              </w:rPr>
            </w:pPr>
            <w:r>
              <w:rPr>
                <w:rFonts w:hint="eastAsia"/>
                <w:color w:val="000000" w:themeColor="text1"/>
                <w:szCs w:val="21"/>
                <w14:textFill>
                  <w14:solidFill>
                    <w14:schemeClr w14:val="tx1"/>
                  </w14:solidFill>
                </w14:textFill>
              </w:rPr>
              <w:t>项目涂装</w:t>
            </w:r>
            <w:r>
              <w:rPr>
                <w:color w:val="000000" w:themeColor="text1"/>
                <w:szCs w:val="21"/>
                <w14:textFill>
                  <w14:solidFill>
                    <w14:schemeClr w14:val="tx1"/>
                  </w14:solidFill>
                </w14:textFill>
              </w:rPr>
              <w:t>废气经收集后</w:t>
            </w:r>
            <w:r>
              <w:rPr>
                <w:rFonts w:hint="eastAsia"/>
                <w:color w:val="000000" w:themeColor="text1"/>
                <w:szCs w:val="21"/>
                <w14:textFill>
                  <w14:solidFill>
                    <w14:schemeClr w14:val="tx1"/>
                  </w14:solidFill>
                </w14:textFill>
              </w:rPr>
              <w:t>经</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气旋喷淋+干式过滤</w:t>
            </w:r>
            <w:r>
              <w:rPr>
                <w:color w:val="000000" w:themeColor="text1"/>
                <w:szCs w:val="21"/>
                <w14:textFill>
                  <w14:solidFill>
                    <w14:schemeClr w14:val="tx1"/>
                  </w14:solidFill>
                </w14:textFill>
              </w:rPr>
              <w:t>+活性炭吸附</w:t>
            </w:r>
            <w:r>
              <w:rPr>
                <w:rFonts w:hint="eastAsia"/>
                <w:color w:val="000000" w:themeColor="text1"/>
                <w:szCs w:val="21"/>
                <w14:textFill>
                  <w14:solidFill>
                    <w14:schemeClr w14:val="tx1"/>
                  </w14:solidFill>
                </w14:textFill>
              </w:rPr>
              <w:t>浓缩</w:t>
            </w:r>
            <w:r>
              <w:rPr>
                <w:color w:val="000000" w:themeColor="text1"/>
                <w:szCs w:val="21"/>
                <w14:textFill>
                  <w14:solidFill>
                    <w14:schemeClr w14:val="tx1"/>
                  </w14:solidFill>
                </w14:textFill>
              </w:rPr>
              <w:t>+催化燃烧”处理达标后由15m</w:t>
            </w:r>
            <w:r>
              <w:rPr>
                <w:rFonts w:hint="eastAsia"/>
                <w:color w:val="000000" w:themeColor="text1"/>
                <w:szCs w:val="21"/>
                <w14:textFill>
                  <w14:solidFill>
                    <w14:schemeClr w14:val="tx1"/>
                  </w14:solidFill>
                </w14:textFill>
              </w:rPr>
              <w:t>高</w:t>
            </w:r>
            <w:r>
              <w:rPr>
                <w:color w:val="000000" w:themeColor="text1"/>
                <w:szCs w:val="21"/>
                <w14:textFill>
                  <w14:solidFill>
                    <w14:schemeClr w14:val="tx1"/>
                  </w14:solidFill>
                </w14:textFill>
              </w:rPr>
              <w:t>排气筒排放。</w:t>
            </w:r>
          </w:p>
        </w:tc>
        <w:tc>
          <w:tcPr>
            <w:tcW w:w="956" w:type="dxa"/>
            <w:vAlign w:val="center"/>
          </w:tcPr>
          <w:p>
            <w:pPr>
              <w:pStyle w:val="452"/>
              <w:rPr>
                <w:bCs/>
                <w:color w:val="000000" w:themeColor="text1"/>
                <w:szCs w:val="21"/>
                <w:lang w:bidi="en-US"/>
                <w14:textFill>
                  <w14:solidFill>
                    <w14:schemeClr w14:val="tx1"/>
                  </w14:solidFill>
                </w14:textFill>
              </w:rPr>
            </w:pPr>
            <w:r>
              <w:rPr>
                <w:rFonts w:hint="eastAsia"/>
                <w:bCs/>
                <w:color w:val="000000" w:themeColor="text1"/>
                <w:szCs w:val="21"/>
                <w:lang w:bidi="en-US"/>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restart"/>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环境风险防控</w:t>
            </w:r>
          </w:p>
        </w:tc>
        <w:tc>
          <w:tcPr>
            <w:tcW w:w="5104" w:type="dxa"/>
            <w:vAlign w:val="center"/>
          </w:tcPr>
          <w:p>
            <w:pPr>
              <w:pStyle w:val="45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 xml:space="preserve"> 严格控制项目环境风险，合理布局生产装置及危险化学品仓储等设施。</w:t>
            </w:r>
            <w:r>
              <w:rPr>
                <w:rFonts w:hint="eastAsia"/>
                <w:color w:val="000000" w:themeColor="text1"/>
                <w:szCs w:val="21"/>
                <w:lang w:bidi="en-US"/>
                <w14:textFill>
                  <w14:solidFill>
                    <w14:schemeClr w14:val="tx1"/>
                  </w14:solidFill>
                </w14:textFill>
              </w:rPr>
              <w:t>规划区</w:t>
            </w:r>
            <w:r>
              <w:rPr>
                <w:color w:val="000000" w:themeColor="text1"/>
                <w:szCs w:val="21"/>
                <w:lang w:bidi="en-US"/>
                <w14:textFill>
                  <w14:solidFill>
                    <w14:schemeClr w14:val="tx1"/>
                  </w14:solidFill>
                </w14:textFill>
              </w:rPr>
              <w:t>仓储物流用地禁止</w:t>
            </w:r>
            <w:r>
              <w:rPr>
                <w:rFonts w:hint="eastAsia"/>
                <w:color w:val="000000" w:themeColor="text1"/>
                <w:szCs w:val="21"/>
                <w:lang w:bidi="en-US"/>
                <w14:textFill>
                  <w14:solidFill>
                    <w14:schemeClr w14:val="tx1"/>
                  </w14:solidFill>
                </w14:textFill>
              </w:rPr>
              <w:t>储存易燃、易爆和剧毒等</w:t>
            </w:r>
            <w:r>
              <w:rPr>
                <w:color w:val="000000" w:themeColor="text1"/>
                <w:szCs w:val="21"/>
                <w:lang w:bidi="en-US"/>
                <w14:textFill>
                  <w14:solidFill>
                    <w14:schemeClr w14:val="tx1"/>
                  </w14:solidFill>
                </w14:textFill>
              </w:rPr>
              <w:t>危险化学品</w:t>
            </w:r>
            <w:r>
              <w:rPr>
                <w:rFonts w:hint="eastAsia"/>
                <w:color w:val="000000" w:themeColor="text1"/>
                <w:szCs w:val="21"/>
                <w:lang w:bidi="en-US"/>
                <w14:textFill>
                  <w14:solidFill>
                    <w14:schemeClr w14:val="tx1"/>
                  </w14:solidFill>
                </w14:textFill>
              </w:rPr>
              <w:t>。</w:t>
            </w:r>
          </w:p>
        </w:tc>
        <w:tc>
          <w:tcPr>
            <w:tcW w:w="2336" w:type="dxa"/>
            <w:vAlign w:val="center"/>
          </w:tcPr>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项目合理布局油品库房、油漆库房，环境风险可控。</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color w:val="000000" w:themeColor="text1"/>
                <w:szCs w:val="21"/>
                <w:lang w:bidi="en-US"/>
                <w14:textFill>
                  <w14:solidFill>
                    <w14:schemeClr w14:val="tx1"/>
                  </w14:solidFill>
                </w14:textFill>
              </w:rPr>
            </w:pPr>
            <w:r>
              <w:rPr>
                <w:color w:val="000000" w:themeColor="text1"/>
                <w:szCs w:val="21"/>
                <w:lang w:bidi="en-US"/>
                <w14:textFill>
                  <w14:solidFill>
                    <w14:schemeClr w14:val="tx1"/>
                  </w14:solidFill>
                </w14:textFill>
              </w:rPr>
              <w:t>2.</w:t>
            </w:r>
            <w:r>
              <w:rPr>
                <w:rFonts w:hint="eastAsia"/>
                <w:color w:val="000000" w:themeColor="text1"/>
                <w:szCs w:val="21"/>
                <w:lang w:bidi="en-US"/>
                <w14:textFill>
                  <w14:solidFill>
                    <w14:schemeClr w14:val="tx1"/>
                  </w14:solidFill>
                </w14:textFill>
              </w:rPr>
              <w:t>涉及入渗途径影响的企业，应根据相关标准规范要求，对设备设施采取相应的防渗措施。</w:t>
            </w:r>
          </w:p>
        </w:tc>
        <w:tc>
          <w:tcPr>
            <w:tcW w:w="2336" w:type="dxa"/>
            <w:vAlign w:val="center"/>
          </w:tcPr>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厂区采取分区防渗，对土壤、地下水影响较小。</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Merge w:val="continue"/>
            <w:vAlign w:val="center"/>
          </w:tcPr>
          <w:p>
            <w:pPr>
              <w:pStyle w:val="452"/>
              <w:rPr>
                <w:color w:val="000000" w:themeColor="text1"/>
                <w:szCs w:val="21"/>
                <w14:textFill>
                  <w14:solidFill>
                    <w14:schemeClr w14:val="tx1"/>
                  </w14:solidFill>
                </w14:textFill>
              </w:rPr>
            </w:pPr>
          </w:p>
        </w:tc>
        <w:tc>
          <w:tcPr>
            <w:tcW w:w="5104" w:type="dxa"/>
            <w:vAlign w:val="center"/>
          </w:tcPr>
          <w:p>
            <w:pPr>
              <w:pStyle w:val="45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园区和园区内企业应按相关文件要求，编制或修订环境风险应急预案，并报生态环境行政执法部门备案。</w:t>
            </w:r>
          </w:p>
        </w:tc>
        <w:tc>
          <w:tcPr>
            <w:tcW w:w="2336" w:type="dxa"/>
            <w:vAlign w:val="center"/>
          </w:tcPr>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企业按照要求编制突发环境事件风险评估与应急预案，并定期进行演练。</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675"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资源利用效率</w:t>
            </w:r>
          </w:p>
        </w:tc>
        <w:tc>
          <w:tcPr>
            <w:tcW w:w="5104" w:type="dxa"/>
            <w:vAlign w:val="center"/>
          </w:tcPr>
          <w:p>
            <w:pPr>
              <w:pStyle w:val="45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新建、改建、扩建“两高”项目应采取先进适用的工艺技术和装备，单位产品能耗、物耗和水耗等达到清洁生产先进水平。</w:t>
            </w:r>
          </w:p>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2.强化能源消费强度和总量双控，提升</w:t>
            </w:r>
            <w:r>
              <w:rPr>
                <w:rFonts w:hint="eastAsia"/>
                <w:bCs/>
                <w:color w:val="000000" w:themeColor="text1"/>
                <w:szCs w:val="21"/>
                <w14:textFill>
                  <w14:solidFill>
                    <w14:schemeClr w14:val="tx1"/>
                  </w14:solidFill>
                </w14:textFill>
              </w:rPr>
              <w:t>能源利用效率。不得引入低于国家相关行业能耗基准水平的项目。</w:t>
            </w:r>
          </w:p>
          <w:p>
            <w:pPr>
              <w:pStyle w:val="452"/>
              <w:jc w:val="left"/>
              <w:rPr>
                <w:bCs/>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资源循环利用产业深化废弃物综合利用，变废为宝的同时提升资源利用效率。</w:t>
            </w:r>
          </w:p>
        </w:tc>
        <w:tc>
          <w:tcPr>
            <w:tcW w:w="2336" w:type="dxa"/>
            <w:vAlign w:val="center"/>
          </w:tcPr>
          <w:p>
            <w:pPr>
              <w:pStyle w:val="452"/>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项目采用先进适用的工艺技术和装备，能耗、物耗、水耗等达到清洁生产先进水平。</w:t>
            </w:r>
          </w:p>
        </w:tc>
        <w:tc>
          <w:tcPr>
            <w:tcW w:w="956" w:type="dxa"/>
            <w:vAlign w:val="center"/>
          </w:tcPr>
          <w:p>
            <w:pPr>
              <w:pStyle w:val="45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widowControl w:val="0"/>
        <w:autoSpaceDE w:val="0"/>
        <w:autoSpaceDN w:val="0"/>
        <w:adjustRightInd w:val="0"/>
        <w:snapToGrid w:val="0"/>
        <w:ind w:firstLine="480" w:firstLineChars="200"/>
        <w:rPr>
          <w:rFonts w:eastAsia="宋体"/>
          <w:color w:val="000000" w:themeColor="text1"/>
          <w:szCs w:val="24"/>
          <w14:textFill>
            <w14:solidFill>
              <w14:schemeClr w14:val="tx1"/>
            </w14:solidFill>
          </w14:textFill>
        </w:rPr>
      </w:pPr>
      <w:r>
        <w:rPr>
          <w:rFonts w:hint="eastAsia" w:eastAsia="宋体"/>
          <w:bCs/>
          <w:color w:val="000000" w:themeColor="text1"/>
          <w:szCs w:val="24"/>
          <w14:textFill>
            <w14:solidFill>
              <w14:schemeClr w14:val="tx1"/>
            </w14:solidFill>
          </w14:textFill>
        </w:rPr>
        <w:t>由上表可知，项目满足园区规划环评生态环境准入清单的相关要求。</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（3）与</w:t>
      </w:r>
      <w:r>
        <w:rPr>
          <w:rFonts w:hint="eastAsia" w:eastAsia="宋体"/>
          <w:b/>
          <w:bCs/>
          <w:color w:val="000000" w:themeColor="text1"/>
          <w14:textFill>
            <w14:solidFill>
              <w14:schemeClr w14:val="tx1"/>
            </w14:solidFill>
          </w14:textFill>
        </w:rPr>
        <w:t>《重庆市生态环境局关于大足高新区邮亭组团规划环境影响报告书审查意见的函》（渝环函〔2023〕629号）</w:t>
      </w:r>
      <w:r>
        <w:rPr>
          <w:rFonts w:eastAsia="宋体"/>
          <w:b/>
          <w:bCs/>
          <w:color w:val="000000" w:themeColor="text1"/>
          <w14:textFill>
            <w14:solidFill>
              <w14:schemeClr w14:val="tx1"/>
            </w14:solidFill>
          </w14:textFill>
        </w:rPr>
        <w:t>的符合性分析</w:t>
      </w:r>
    </w:p>
    <w:p>
      <w:pPr>
        <w:widowControl w:val="0"/>
        <w:autoSpaceDE w:val="0"/>
        <w:autoSpaceDN w:val="0"/>
        <w:adjustRightInd w:val="0"/>
        <w:snapToGrid w:val="0"/>
        <w:ind w:firstLine="480" w:firstLineChars="200"/>
        <w:rPr>
          <w:rFonts w:eastAsia="宋体"/>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项目与</w:t>
      </w:r>
      <w:r>
        <w:rPr>
          <w:rFonts w:hint="eastAsia" w:eastAsia="宋体"/>
          <w:bCs/>
          <w:color w:val="000000" w:themeColor="text1"/>
          <w:szCs w:val="24"/>
          <w14:textFill>
            <w14:solidFill>
              <w14:schemeClr w14:val="tx1"/>
            </w14:solidFill>
          </w14:textFill>
        </w:rPr>
        <w:t>《重庆市生态环境局关于大足高新区邮亭组团规划环境影响报告书审查意见的函》（渝环函〔2023〕629号）</w:t>
      </w:r>
      <w:r>
        <w:rPr>
          <w:rFonts w:eastAsia="宋体"/>
          <w:bCs/>
          <w:color w:val="000000" w:themeColor="text1"/>
          <w:szCs w:val="24"/>
          <w14:textFill>
            <w14:solidFill>
              <w14:schemeClr w14:val="tx1"/>
            </w14:solidFill>
          </w14:textFill>
        </w:rPr>
        <w:t>的符合性分析，见表1.9-8。</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表1.9-8  与规划环评审查意见符合性分析</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2"/>
        <w:gridCol w:w="4536"/>
        <w:gridCol w:w="2382"/>
        <w:gridCol w:w="8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Align w:val="center"/>
          </w:tcPr>
          <w:p>
            <w:pPr>
              <w:spacing w:line="240" w:lineRule="auto"/>
              <w:jc w:val="center"/>
              <w:rPr>
                <w:rFonts w:eastAsia="宋体" w:cs="Calibri"/>
                <w:b/>
                <w:color w:val="000000" w:themeColor="text1"/>
                <w:sz w:val="21"/>
                <w:szCs w:val="21"/>
                <w14:textFill>
                  <w14:solidFill>
                    <w14:schemeClr w14:val="tx1"/>
                  </w14:solidFill>
                </w14:textFill>
              </w:rPr>
            </w:pPr>
            <w:r>
              <w:rPr>
                <w:rFonts w:eastAsia="宋体" w:cs="Calibri"/>
                <w:b/>
                <w:color w:val="000000" w:themeColor="text1"/>
                <w:sz w:val="21"/>
                <w:szCs w:val="21"/>
                <w14:textFill>
                  <w14:solidFill>
                    <w14:schemeClr w14:val="tx1"/>
                  </w14:solidFill>
                </w14:textFill>
              </w:rPr>
              <w:t>类别</w:t>
            </w:r>
          </w:p>
        </w:tc>
        <w:tc>
          <w:tcPr>
            <w:tcW w:w="4536" w:type="dxa"/>
            <w:vAlign w:val="center"/>
          </w:tcPr>
          <w:p>
            <w:pPr>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审查意见相关要求</w:t>
            </w:r>
          </w:p>
        </w:tc>
        <w:tc>
          <w:tcPr>
            <w:tcW w:w="2382" w:type="dxa"/>
            <w:vAlign w:val="center"/>
          </w:tcPr>
          <w:p>
            <w:pPr>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本</w:t>
            </w:r>
            <w:r>
              <w:rPr>
                <w:rFonts w:eastAsia="宋体" w:cs="Calibri"/>
                <w:b/>
                <w:color w:val="000000" w:themeColor="text1"/>
                <w:sz w:val="21"/>
                <w:szCs w:val="21"/>
                <w14:textFill>
                  <w14:solidFill>
                    <w14:schemeClr w14:val="tx1"/>
                  </w14:solidFill>
                </w14:textFill>
              </w:rPr>
              <w:t>项目情况</w:t>
            </w:r>
          </w:p>
        </w:tc>
        <w:tc>
          <w:tcPr>
            <w:tcW w:w="878" w:type="dxa"/>
            <w:vAlign w:val="center"/>
          </w:tcPr>
          <w:p>
            <w:pPr>
              <w:spacing w:line="240" w:lineRule="auto"/>
              <w:jc w:val="center"/>
              <w:rPr>
                <w:rFonts w:eastAsia="宋体" w:cs="Calibri"/>
                <w:b/>
                <w:color w:val="000000" w:themeColor="text1"/>
                <w:sz w:val="21"/>
                <w:szCs w:val="21"/>
                <w14:textFill>
                  <w14:solidFill>
                    <w14:schemeClr w14:val="tx1"/>
                  </w14:solidFill>
                </w14:textFill>
              </w:rPr>
            </w:pPr>
            <w:r>
              <w:rPr>
                <w:rFonts w:eastAsia="宋体" w:cs="Calibri"/>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（一）严格生态环境准入</w:t>
            </w: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强化规划环评与“三线一单”生态环境分区管控要求的联动，主要管控措施应符合重庆市及大足区“三线一单”生态环境分区管控要求。入驻建设项目应满足相关产业政策和生态环境准入要求以及《报告书》提出的生态环境管控要求。规划范围部分区域位于大足区城镇开发边界外，其后续开发建设应进一步衔接国土空间规划和土地用途管制的相关要求。</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w:t>
            </w:r>
            <w:r>
              <w:rPr>
                <w:rFonts w:hint="eastAsia" w:eastAsia="宋体" w:cs="Calibri"/>
                <w:color w:val="000000" w:themeColor="text1"/>
                <w:sz w:val="21"/>
                <w:szCs w:val="21"/>
                <w14:textFill>
                  <w14:solidFill>
                    <w14:schemeClr w14:val="tx1"/>
                  </w14:solidFill>
                </w14:textFill>
              </w:rPr>
              <w:t>满足园区规划环评生态环境准入清单的相关要求，满足三线一单。</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Align w:val="center"/>
          </w:tcPr>
          <w:p>
            <w:pPr>
              <w:adjustRightInd w:val="0"/>
              <w:snapToGrid w:val="0"/>
              <w:spacing w:line="240" w:lineRule="auto"/>
              <w:outlineLvl w:val="0"/>
              <w:rPr>
                <w:rFonts w:eastAsia="宋体" w:cs="Calibri"/>
                <w:color w:val="000000" w:themeColor="text1"/>
                <w:sz w:val="21"/>
                <w:szCs w:val="21"/>
                <w14:textFill>
                  <w14:solidFill>
                    <w14:schemeClr w14:val="tx1"/>
                  </w14:solidFill>
                </w14:textFill>
              </w:rPr>
            </w:pPr>
            <w:bookmarkStart w:id="80" w:name="_Toc153741315"/>
            <w:r>
              <w:rPr>
                <w:rFonts w:eastAsia="宋体" w:cs="Calibri"/>
                <w:color w:val="000000" w:themeColor="text1"/>
                <w:sz w:val="21"/>
                <w:szCs w:val="21"/>
                <w14:textFill>
                  <w14:solidFill>
                    <w14:schemeClr w14:val="tx1"/>
                  </w14:solidFill>
                </w14:textFill>
              </w:rPr>
              <w:t>（二）强化空间布局约束。</w:t>
            </w:r>
            <w:bookmarkEnd w:id="80"/>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bookmarkStart w:id="81" w:name="_Hlk136000435"/>
            <w:r>
              <w:rPr>
                <w:rFonts w:eastAsia="宋体" w:cs="Calibri"/>
                <w:color w:val="000000" w:themeColor="text1"/>
                <w:sz w:val="21"/>
                <w:szCs w:val="21"/>
                <w14:textFill>
                  <w14:solidFill>
                    <w14:schemeClr w14:val="tx1"/>
                  </w14:solidFill>
                </w14:textFill>
              </w:rPr>
              <w:t>合理布局有防护距离要求的工业企业，其环境防护距离包络线原则上应控制在规划边界或用地红线内。</w:t>
            </w:r>
            <w:bookmarkEnd w:id="81"/>
            <w:r>
              <w:rPr>
                <w:rFonts w:eastAsia="宋体" w:cs="Calibri"/>
                <w:color w:val="000000" w:themeColor="text1"/>
                <w:sz w:val="21"/>
                <w:szCs w:val="21"/>
                <w14:textFill>
                  <w14:solidFill>
                    <w14:schemeClr w14:val="tx1"/>
                  </w14:solidFill>
                </w14:textFill>
              </w:rPr>
              <w:t>紧邻居住用地的A03-16/02工业地块不宜新引入涉及铸造、冶炼、喷漆等大气污染较重或异味明显等易扰民的项目。</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bCs/>
                <w:color w:val="000000" w:themeColor="text1"/>
                <w:sz w:val="21"/>
                <w:szCs w:val="21"/>
                <w14:textFill>
                  <w14:solidFill>
                    <w14:schemeClr w14:val="tx1"/>
                  </w14:solidFill>
                </w14:textFill>
              </w:rPr>
              <w:t>项目地块为B30-05-01/02和B35-05/01，不属于清单所列地块；项目无需设施环境防护距离。</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restart"/>
            <w:vAlign w:val="center"/>
          </w:tcPr>
          <w:p>
            <w:pPr>
              <w:spacing w:line="240" w:lineRule="auto"/>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（三）污染排放管控。</w:t>
            </w: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1.水污染物排放管控。</w:t>
            </w:r>
          </w:p>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规划区排水系统采用雨、污分流制，污水统一收集集中处理。入驻企业应尽量做到一水多用，提高工业用水重复利用率，减少废水排放量，强化规划污水管网排查巡查，杜绝跑冒滴漏，确保污废水得到有效收集。尽快完成双桥工业园区污水处理厂提标改造，避免园区排水对区域地表水体造成不利影响。规划区内表面集中加工区污废水经分质分类收集至加工区污水处理站处理达《电镀污染物排放标准》（GB21900-2008）表3标准（其中第一类污染物及五类重点重金属达到《重庆市电镀行业废水污染物自愿性排放标准》（T/CQSES02-2017）相关限值要求）后排放，外排废水量不得超过3500m</w:t>
            </w:r>
            <w:r>
              <w:rPr>
                <w:rFonts w:eastAsia="宋体" w:cs="Calibri"/>
                <w:color w:val="000000" w:themeColor="text1"/>
                <w:sz w:val="21"/>
                <w:szCs w:val="21"/>
                <w:vertAlign w:val="superscript"/>
                <w14:textFill>
                  <w14:solidFill>
                    <w14:schemeClr w14:val="tx1"/>
                  </w14:solidFill>
                </w14:textFill>
              </w:rPr>
              <w:t>3</w:t>
            </w:r>
            <w:r>
              <w:rPr>
                <w:rFonts w:eastAsia="宋体" w:cs="Calibri"/>
                <w:color w:val="000000" w:themeColor="text1"/>
                <w:sz w:val="21"/>
                <w:szCs w:val="21"/>
                <w14:textFill>
                  <w14:solidFill>
                    <w14:schemeClr w14:val="tx1"/>
                  </w14:solidFill>
                </w14:textFill>
              </w:rPr>
              <w:t>/d；其他区域各企业污废水应自行预处理达到行业排放标准或《污水综合排放标准》（GB8978-1996）三级标准后再进入双桥工业园区污水处理厂进一步处理达《城镇污水处理厂污染物排放标准》（GB18918-2002）中一级A标准（其中COD、BOD</w:t>
            </w:r>
            <w:r>
              <w:rPr>
                <w:rFonts w:eastAsia="宋体" w:cs="Calibri"/>
                <w:color w:val="000000" w:themeColor="text1"/>
                <w:sz w:val="21"/>
                <w:szCs w:val="21"/>
                <w:vertAlign w:val="subscript"/>
                <w14:textFill>
                  <w14:solidFill>
                    <w14:schemeClr w14:val="tx1"/>
                  </w14:solidFill>
                </w14:textFill>
              </w:rPr>
              <w:t>5</w:t>
            </w:r>
            <w:r>
              <w:rPr>
                <w:rFonts w:eastAsia="宋体" w:cs="Calibri"/>
                <w:color w:val="000000" w:themeColor="text1"/>
                <w:sz w:val="21"/>
                <w:szCs w:val="21"/>
                <w14:textFill>
                  <w14:solidFill>
                    <w14:schemeClr w14:val="tx1"/>
                  </w14:solidFill>
                </w14:textFill>
              </w:rPr>
              <w:t>、氨氮、TP达到《地表水环境质量标准》（GB 3838-2002）Ⅳ类标准限值）后排放。</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项目废水经</w:t>
            </w:r>
            <w:r>
              <w:rPr>
                <w:rFonts w:hint="eastAsia" w:eastAsia="宋体" w:cs="Calibri"/>
                <w:color w:val="000000" w:themeColor="text1"/>
                <w:sz w:val="21"/>
                <w:szCs w:val="21"/>
                <w14:textFill>
                  <w14:solidFill>
                    <w14:schemeClr w14:val="tx1"/>
                  </w14:solidFill>
                </w14:textFill>
              </w:rPr>
              <w:t>隔油沉淀设施、生产废水处理设施、</w:t>
            </w:r>
            <w:r>
              <w:rPr>
                <w:rFonts w:eastAsia="宋体" w:cs="Calibri"/>
                <w:color w:val="000000" w:themeColor="text1"/>
                <w:sz w:val="21"/>
                <w:szCs w:val="21"/>
                <w14:textFill>
                  <w14:solidFill>
                    <w14:schemeClr w14:val="tx1"/>
                  </w14:solidFill>
                </w14:textFill>
              </w:rPr>
              <w:t>生化池处理后进入园区污水管网，经园区污水处理厂处理后排放。根据调查</w:t>
            </w:r>
            <w:r>
              <w:rPr>
                <w:rFonts w:hint="eastAsia" w:eastAsia="宋体" w:cs="Calibri"/>
                <w:color w:val="000000" w:themeColor="text1"/>
                <w:sz w:val="21"/>
                <w:szCs w:val="21"/>
                <w14:textFill>
                  <w14:solidFill>
                    <w14:schemeClr w14:val="tx1"/>
                  </w14:solidFill>
                </w14:textFill>
              </w:rPr>
              <w:t>，</w:t>
            </w:r>
            <w:r>
              <w:rPr>
                <w:rFonts w:eastAsia="宋体" w:cs="Calibri"/>
                <w:bCs/>
                <w:color w:val="000000" w:themeColor="text1"/>
                <w:sz w:val="21"/>
                <w:szCs w:val="21"/>
                <w14:textFill>
                  <w14:solidFill>
                    <w14:schemeClr w14:val="tx1"/>
                  </w14:solidFill>
                </w14:textFill>
              </w:rPr>
              <w:t>双桥工业园区污水处理厂</w:t>
            </w:r>
            <w:r>
              <w:rPr>
                <w:rFonts w:hint="eastAsia" w:eastAsia="宋体" w:cs="Calibri"/>
                <w:bCs/>
                <w:color w:val="000000" w:themeColor="text1"/>
                <w:sz w:val="21"/>
                <w:szCs w:val="21"/>
                <w14:textFill>
                  <w14:solidFill>
                    <w14:schemeClr w14:val="tx1"/>
                  </w14:solidFill>
                </w14:textFill>
              </w:rPr>
              <w:t>目前正在开展提标</w:t>
            </w:r>
            <w:r>
              <w:rPr>
                <w:rFonts w:eastAsia="宋体" w:cs="Calibri"/>
                <w:bCs/>
                <w:color w:val="000000" w:themeColor="text1"/>
                <w:sz w:val="21"/>
                <w:szCs w:val="21"/>
                <w14:textFill>
                  <w14:solidFill>
                    <w14:schemeClr w14:val="tx1"/>
                  </w14:solidFill>
                </w14:textFill>
              </w:rPr>
              <w:t>改造前期可研工作</w:t>
            </w:r>
            <w:r>
              <w:rPr>
                <w:rFonts w:hint="eastAsia" w:eastAsia="宋体" w:cs="Calibri"/>
                <w:bCs/>
                <w:color w:val="000000" w:themeColor="text1"/>
                <w:sz w:val="21"/>
                <w:szCs w:val="21"/>
                <w14:textFill>
                  <w14:solidFill>
                    <w14:schemeClr w14:val="tx1"/>
                  </w14:solidFill>
                </w14:textFill>
              </w:rPr>
              <w:t>，改造完成后</w:t>
            </w:r>
            <w:r>
              <w:rPr>
                <w:rFonts w:eastAsia="宋体" w:cs="Calibri"/>
                <w:color w:val="000000" w:themeColor="text1"/>
                <w:sz w:val="21"/>
                <w:szCs w:val="21"/>
                <w14:textFill>
                  <w14:solidFill>
                    <w14:schemeClr w14:val="tx1"/>
                  </w14:solidFill>
                </w14:textFill>
              </w:rPr>
              <w:t>尾水执行《城镇污水处理厂污染物排放标准》（GB18918-2002）中一级A标准</w:t>
            </w:r>
            <w:r>
              <w:rPr>
                <w:rFonts w:hint="eastAsia" w:eastAsia="宋体" w:cs="Calibri"/>
                <w:color w:val="000000" w:themeColor="text1"/>
                <w:sz w:val="21"/>
                <w:szCs w:val="21"/>
                <w14:textFill>
                  <w14:solidFill>
                    <w14:schemeClr w14:val="tx1"/>
                  </w14:solidFill>
                </w14:textFill>
              </w:rPr>
              <w:t>（其中</w:t>
            </w:r>
            <w:r>
              <w:rPr>
                <w:rFonts w:eastAsia="宋体" w:cs="Calibri"/>
                <w:color w:val="000000" w:themeColor="text1"/>
                <w:sz w:val="21"/>
                <w:szCs w:val="21"/>
                <w14:textFill>
                  <w14:solidFill>
                    <w14:schemeClr w14:val="tx1"/>
                  </w14:solidFill>
                </w14:textFill>
              </w:rPr>
              <w:t>COD、</w:t>
            </w:r>
            <w:r>
              <w:rPr>
                <w:rFonts w:hint="eastAsia" w:eastAsia="宋体" w:cs="Calibri"/>
                <w:color w:val="000000" w:themeColor="text1"/>
                <w:sz w:val="21"/>
                <w:szCs w:val="21"/>
                <w14:textFill>
                  <w14:solidFill>
                    <w14:schemeClr w14:val="tx1"/>
                  </w14:solidFill>
                </w14:textFill>
              </w:rPr>
              <w:t>B</w:t>
            </w:r>
            <w:r>
              <w:rPr>
                <w:rFonts w:eastAsia="宋体" w:cs="Calibri"/>
                <w:color w:val="000000" w:themeColor="text1"/>
                <w:sz w:val="21"/>
                <w:szCs w:val="21"/>
                <w14:textFill>
                  <w14:solidFill>
                    <w14:schemeClr w14:val="tx1"/>
                  </w14:solidFill>
                </w14:textFill>
              </w:rPr>
              <w:t>OD</w:t>
            </w:r>
            <w:r>
              <w:rPr>
                <w:rFonts w:eastAsia="宋体" w:cs="Calibri"/>
                <w:color w:val="000000" w:themeColor="text1"/>
                <w:sz w:val="21"/>
                <w:szCs w:val="21"/>
                <w:vertAlign w:val="subscript"/>
                <w14:textFill>
                  <w14:solidFill>
                    <w14:schemeClr w14:val="tx1"/>
                  </w14:solidFill>
                </w14:textFill>
              </w:rPr>
              <w:t>5</w:t>
            </w:r>
            <w:r>
              <w:rPr>
                <w:rFonts w:hint="eastAsia" w:eastAsia="宋体" w:cs="Calibri"/>
                <w:color w:val="000000" w:themeColor="text1"/>
                <w:sz w:val="21"/>
                <w:szCs w:val="21"/>
                <w14:textFill>
                  <w14:solidFill>
                    <w14:schemeClr w14:val="tx1"/>
                  </w14:solidFill>
                </w14:textFill>
              </w:rPr>
              <w:t>、</w:t>
            </w:r>
            <w:r>
              <w:rPr>
                <w:rFonts w:eastAsia="宋体" w:cs="Calibri"/>
                <w:color w:val="000000" w:themeColor="text1"/>
                <w:sz w:val="21"/>
                <w:szCs w:val="21"/>
                <w14:textFill>
                  <w14:solidFill>
                    <w14:schemeClr w14:val="tx1"/>
                  </w14:solidFill>
                </w14:textFill>
              </w:rPr>
              <w:t>氨氮、TP</w:t>
            </w:r>
            <w:r>
              <w:rPr>
                <w:rFonts w:hint="eastAsia" w:eastAsia="宋体" w:cs="Calibri"/>
                <w:color w:val="000000" w:themeColor="text1"/>
                <w:sz w:val="21"/>
                <w:szCs w:val="21"/>
                <w14:textFill>
                  <w14:solidFill>
                    <w14:schemeClr w14:val="tx1"/>
                  </w14:solidFill>
                </w14:textFill>
              </w:rPr>
              <w:t>执行</w:t>
            </w:r>
            <w:r>
              <w:rPr>
                <w:rFonts w:eastAsia="宋体" w:cs="Calibri"/>
                <w:color w:val="000000" w:themeColor="text1"/>
                <w:sz w:val="21"/>
                <w:szCs w:val="21"/>
                <w14:textFill>
                  <w14:solidFill>
                    <w14:schemeClr w14:val="tx1"/>
                  </w14:solidFill>
                </w14:textFill>
              </w:rPr>
              <w:t>《地表水环境质量标准》（GB 3838-2002）Ⅳ类标准</w:t>
            </w:r>
            <w:r>
              <w:rPr>
                <w:rFonts w:hint="eastAsia" w:eastAsia="宋体" w:cs="Calibri"/>
                <w:color w:val="000000" w:themeColor="text1"/>
                <w:sz w:val="21"/>
                <w:szCs w:val="21"/>
                <w14:textFill>
                  <w14:solidFill>
                    <w14:schemeClr w14:val="tx1"/>
                  </w14:solidFill>
                </w14:textFill>
              </w:rPr>
              <w:t>）。目前执行</w:t>
            </w:r>
            <w:r>
              <w:rPr>
                <w:rFonts w:eastAsia="宋体" w:cs="Calibri"/>
                <w:color w:val="000000" w:themeColor="text1"/>
                <w:sz w:val="21"/>
                <w:szCs w:val="21"/>
                <w14:textFill>
                  <w14:solidFill>
                    <w14:schemeClr w14:val="tx1"/>
                  </w14:solidFill>
                </w14:textFill>
              </w:rPr>
              <w:t>《城镇污水处理厂污染物排放标准》（GB18918-2002）中一级</w:t>
            </w:r>
            <w:r>
              <w:rPr>
                <w:rFonts w:hint="eastAsia" w:eastAsia="宋体" w:cs="Calibri"/>
                <w:color w:val="000000" w:themeColor="text1"/>
                <w:sz w:val="21"/>
                <w:szCs w:val="21"/>
                <w14:textFill>
                  <w14:solidFill>
                    <w14:schemeClr w14:val="tx1"/>
                  </w14:solidFill>
                </w14:textFill>
              </w:rPr>
              <w:t>B</w:t>
            </w:r>
            <w:r>
              <w:rPr>
                <w:rFonts w:eastAsia="宋体" w:cs="Calibri"/>
                <w:color w:val="000000" w:themeColor="text1"/>
                <w:sz w:val="21"/>
                <w:szCs w:val="21"/>
                <w14:textFill>
                  <w14:solidFill>
                    <w14:schemeClr w14:val="tx1"/>
                  </w14:solidFill>
                </w14:textFill>
              </w:rPr>
              <w:t>标准。</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continue"/>
            <w:vAlign w:val="center"/>
          </w:tcPr>
          <w:p>
            <w:pPr>
              <w:spacing w:line="240" w:lineRule="auto"/>
              <w:jc w:val="center"/>
              <w:rPr>
                <w:rFonts w:eastAsia="宋体" w:cs="Calibri"/>
                <w:color w:val="000000" w:themeColor="text1"/>
                <w:sz w:val="21"/>
                <w:szCs w:val="21"/>
                <w14:textFill>
                  <w14:solidFill>
                    <w14:schemeClr w14:val="tx1"/>
                  </w14:solidFill>
                </w14:textFill>
              </w:rPr>
            </w:pP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2.大气污染物排放管控。</w:t>
            </w:r>
          </w:p>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优化能源结构，严格落实清洁能源计划。入驻企业生产废气应采用高效的收集措施和污染防治措施，确保工艺废气稳定达标排放。</w:t>
            </w:r>
            <w:bookmarkStart w:id="82" w:name="_Hlk151050136"/>
            <w:r>
              <w:rPr>
                <w:rFonts w:eastAsia="宋体" w:cs="Calibri"/>
                <w:color w:val="000000" w:themeColor="text1"/>
                <w:sz w:val="21"/>
                <w:szCs w:val="21"/>
                <w14:textFill>
                  <w14:solidFill>
                    <w14:schemeClr w14:val="tx1"/>
                  </w14:solidFill>
                </w14:textFill>
              </w:rPr>
              <w:t>重点排污单位按照要求设置主要污染物在线监控设施。</w:t>
            </w:r>
            <w:bookmarkEnd w:id="82"/>
            <w:r>
              <w:rPr>
                <w:rFonts w:eastAsia="宋体" w:cs="Calibri"/>
                <w:color w:val="000000" w:themeColor="text1"/>
                <w:sz w:val="21"/>
                <w:szCs w:val="21"/>
                <w14:textFill>
                  <w14:solidFill>
                    <w14:schemeClr w14:val="tx1"/>
                  </w14:solidFill>
                </w14:textFill>
              </w:rPr>
              <w:t>涉及挥发性有机物排放的项目应从源头加强控制，优先使用低（无）VOCs含量的原辅料，并按照《挥发性有机物无组织排放控制标准》（GB37822-2019）相关要求，通过采用先进生产技术、高效工艺和设备等，减少工艺过程无组织排放。粉尘产生量大的企业应实施全过程降尘管理，建设高效的废气收集处置系统。</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项目燃料使用清洁燃料天然气；项目有机废气经处理后达标排放，经前述分析，项目符合</w:t>
            </w:r>
            <w:r>
              <w:rPr>
                <w:rStyle w:val="266"/>
                <w:color w:val="000000" w:themeColor="text1"/>
                <w:sz w:val="21"/>
                <w:szCs w:val="21"/>
                <w14:textFill>
                  <w14:solidFill>
                    <w14:schemeClr w14:val="tx1"/>
                  </w14:solidFill>
                </w14:textFill>
              </w:rPr>
              <w:t>《重点行业挥发性有机物综合治理方案</w:t>
            </w:r>
            <w:r>
              <w:rPr>
                <w:rStyle w:val="266"/>
                <w:rFonts w:hint="eastAsia"/>
                <w:color w:val="000000" w:themeColor="text1"/>
                <w:sz w:val="21"/>
                <w:szCs w:val="21"/>
                <w14:textFill>
                  <w14:solidFill>
                    <w14:schemeClr w14:val="tx1"/>
                  </w14:solidFill>
                </w14:textFill>
              </w:rPr>
              <w:t>》《</w:t>
            </w:r>
            <w:r>
              <w:rPr>
                <w:rStyle w:val="266"/>
                <w:color w:val="000000" w:themeColor="text1"/>
                <w:sz w:val="21"/>
                <w:szCs w:val="21"/>
                <w14:textFill>
                  <w14:solidFill>
                    <w14:schemeClr w14:val="tx1"/>
                  </w14:solidFill>
                </w14:textFill>
              </w:rPr>
              <w:t>挥发性有机物无组织排放控制标准》等相关要求。</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continue"/>
            <w:vAlign w:val="center"/>
          </w:tcPr>
          <w:p>
            <w:pPr>
              <w:spacing w:line="240" w:lineRule="auto"/>
              <w:jc w:val="center"/>
              <w:rPr>
                <w:rFonts w:eastAsia="宋体" w:cs="Calibri"/>
                <w:color w:val="000000" w:themeColor="text1"/>
                <w:sz w:val="21"/>
                <w:szCs w:val="21"/>
                <w14:textFill>
                  <w14:solidFill>
                    <w14:schemeClr w14:val="tx1"/>
                  </w14:solidFill>
                </w14:textFill>
              </w:rPr>
            </w:pP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3.工业固废排放管控。</w:t>
            </w:r>
          </w:p>
          <w:p>
            <w:pPr>
              <w:spacing w:line="240" w:lineRule="auto"/>
              <w:jc w:val="left"/>
              <w:rPr>
                <w:rFonts w:eastAsia="宋体" w:cs="Calibri"/>
                <w:color w:val="000000" w:themeColor="text1"/>
                <w:sz w:val="21"/>
                <w:szCs w:val="21"/>
                <w14:textFill>
                  <w14:solidFill>
                    <w14:schemeClr w14:val="tx1"/>
                  </w14:solidFill>
                </w14:textFill>
              </w:rPr>
            </w:pPr>
            <w:bookmarkStart w:id="83" w:name="_Hlk151050232"/>
            <w:r>
              <w:rPr>
                <w:rFonts w:eastAsia="宋体" w:cs="Calibri"/>
                <w:color w:val="000000" w:themeColor="text1"/>
                <w:sz w:val="21"/>
                <w:szCs w:val="21"/>
                <w14:textFill>
                  <w14:solidFill>
                    <w14:schemeClr w14:val="tx1"/>
                  </w14:solidFill>
                </w14:textFill>
              </w:rPr>
              <w:t>加强一般工业固体废物综合利用和处置，鼓励企业自行回收利用一般工业固体废物，按资源化、减量化、无害化原则妥善收集、处置。危险废物产生单位应严格落实危险废物环境管理制度，做好危险废物管理计划和管理台账，对项目危险废物收集、贮存、运输、利用、处置各环节进行全过程环境监管。严格按照《危险废物贮存污染控制标准》（GB18597-2023）等有关规定，设置危险废物暂存场所。危险废物转移应严格执行《危险废物转移管理办法》（生态环境部 公安部 交通运输部 部令 第23号）等相关要求。</w:t>
            </w:r>
            <w:bookmarkEnd w:id="83"/>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项目产生的一般固废、危险废物以及生活垃圾均得到妥善处置，不会造成二次污染。</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continue"/>
            <w:vAlign w:val="center"/>
          </w:tcPr>
          <w:p>
            <w:pPr>
              <w:spacing w:line="240" w:lineRule="auto"/>
              <w:jc w:val="center"/>
              <w:rPr>
                <w:rFonts w:eastAsia="宋体" w:cs="Calibri"/>
                <w:color w:val="000000" w:themeColor="text1"/>
                <w:sz w:val="21"/>
                <w:szCs w:val="21"/>
                <w14:textFill>
                  <w14:solidFill>
                    <w14:schemeClr w14:val="tx1"/>
                  </w14:solidFill>
                </w14:textFill>
              </w:rPr>
            </w:pP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4.噪声污染管控。</w:t>
            </w:r>
          </w:p>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规划区应合理布局企业噪声源，紧邻居住区的工业用地后续应避免引入易发生噪声扰民的企业。入驻企业应优先选择低噪声设备，采取消声、隔声、减振等措施，确保厂界噪声达标；加强运输车辆的管理，合理规划区域运输线路和时间，</w:t>
            </w:r>
            <w:bookmarkStart w:id="84" w:name="_Hlk141868234"/>
            <w:r>
              <w:rPr>
                <w:rFonts w:eastAsia="宋体" w:cs="Calibri"/>
                <w:color w:val="000000" w:themeColor="text1"/>
                <w:sz w:val="21"/>
                <w:szCs w:val="21"/>
                <w14:textFill>
                  <w14:solidFill>
                    <w14:schemeClr w14:val="tx1"/>
                  </w14:solidFill>
                </w14:textFill>
              </w:rPr>
              <w:t>采取道路两侧设置绿化隔离带等方式</w:t>
            </w:r>
            <w:bookmarkStart w:id="85" w:name="_Hlk151050273"/>
            <w:r>
              <w:rPr>
                <w:rFonts w:eastAsia="宋体" w:cs="Calibri"/>
                <w:color w:val="000000" w:themeColor="text1"/>
                <w:sz w:val="21"/>
                <w:szCs w:val="21"/>
                <w14:textFill>
                  <w14:solidFill>
                    <w14:schemeClr w14:val="tx1"/>
                  </w14:solidFill>
                </w14:textFill>
              </w:rPr>
              <w:t>减轻</w:t>
            </w:r>
            <w:bookmarkEnd w:id="85"/>
            <w:r>
              <w:rPr>
                <w:rFonts w:eastAsia="宋体" w:cs="Calibri"/>
                <w:color w:val="000000" w:themeColor="text1"/>
                <w:sz w:val="21"/>
                <w:szCs w:val="21"/>
                <w14:textFill>
                  <w14:solidFill>
                    <w14:schemeClr w14:val="tx1"/>
                  </w14:solidFill>
                </w14:textFill>
              </w:rPr>
              <w:t>交通噪声对周边的环境影响。</w:t>
            </w:r>
            <w:bookmarkEnd w:id="84"/>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w:t>
            </w:r>
            <w:r>
              <w:rPr>
                <w:rStyle w:val="266"/>
                <w:color w:val="000000" w:themeColor="text1"/>
                <w:sz w:val="21"/>
                <w:szCs w:val="21"/>
                <w14:textFill>
                  <w14:solidFill>
                    <w14:schemeClr w14:val="tx1"/>
                  </w14:solidFill>
                </w14:textFill>
              </w:rPr>
              <w:t>采取</w:t>
            </w:r>
            <w:r>
              <w:rPr>
                <w:rStyle w:val="266"/>
                <w:rFonts w:hint="eastAsia"/>
                <w:color w:val="000000" w:themeColor="text1"/>
                <w:sz w:val="21"/>
                <w:szCs w:val="21"/>
                <w14:textFill>
                  <w14:solidFill>
                    <w14:schemeClr w14:val="tx1"/>
                  </w14:solidFill>
                </w14:textFill>
              </w:rPr>
              <w:t>厂房隔声、减振</w:t>
            </w:r>
            <w:r>
              <w:rPr>
                <w:rStyle w:val="266"/>
                <w:color w:val="000000" w:themeColor="text1"/>
                <w:sz w:val="21"/>
                <w:szCs w:val="21"/>
                <w14:textFill>
                  <w14:solidFill>
                    <w14:schemeClr w14:val="tx1"/>
                  </w14:solidFill>
                </w14:textFill>
              </w:rPr>
              <w:t>等措施，确保厂界噪声达标。</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continue"/>
            <w:vAlign w:val="center"/>
          </w:tcPr>
          <w:p>
            <w:pPr>
              <w:spacing w:line="240" w:lineRule="auto"/>
              <w:jc w:val="center"/>
              <w:rPr>
                <w:rFonts w:eastAsia="宋体" w:cs="Calibri"/>
                <w:color w:val="000000" w:themeColor="text1"/>
                <w:sz w:val="21"/>
                <w:szCs w:val="21"/>
                <w14:textFill>
                  <w14:solidFill>
                    <w14:schemeClr w14:val="tx1"/>
                  </w14:solidFill>
                </w14:textFill>
              </w:rPr>
            </w:pP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bookmarkStart w:id="86" w:name="_Hlk122706229"/>
            <w:bookmarkStart w:id="87" w:name="_Hlk151050301"/>
            <w:r>
              <w:rPr>
                <w:rFonts w:eastAsia="宋体" w:cs="Calibri"/>
                <w:color w:val="000000" w:themeColor="text1"/>
                <w:sz w:val="21"/>
                <w:szCs w:val="21"/>
                <w14:textFill>
                  <w14:solidFill>
                    <w14:schemeClr w14:val="tx1"/>
                  </w14:solidFill>
                </w14:textFill>
              </w:rPr>
              <w:t>5.土壤、地下水污染风险防控。</w:t>
            </w:r>
          </w:p>
          <w:bookmarkEnd w:id="86"/>
          <w:p>
            <w:pPr>
              <w:spacing w:line="240" w:lineRule="auto"/>
              <w:jc w:val="left"/>
              <w:rPr>
                <w:rFonts w:eastAsia="宋体" w:cs="Calibri"/>
                <w:color w:val="000000" w:themeColor="text1"/>
                <w:sz w:val="21"/>
                <w:szCs w:val="21"/>
                <w14:textFill>
                  <w14:solidFill>
                    <w14:schemeClr w14:val="tx1"/>
                  </w14:solidFill>
                </w14:textFill>
              </w:rPr>
            </w:pPr>
            <w:bookmarkStart w:id="88" w:name="_Hlk122706255"/>
            <w:r>
              <w:rPr>
                <w:rFonts w:eastAsia="宋体" w:cs="Calibri"/>
                <w:color w:val="000000" w:themeColor="text1"/>
                <w:sz w:val="21"/>
                <w:szCs w:val="21"/>
                <w14:textFill>
                  <w14:solidFill>
                    <w14:schemeClr w14:val="tx1"/>
                  </w14:solidFill>
                </w14:textFill>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w:t>
            </w:r>
            <w:bookmarkEnd w:id="87"/>
            <w:bookmarkEnd w:id="88"/>
          </w:p>
        </w:tc>
        <w:tc>
          <w:tcPr>
            <w:tcW w:w="2382" w:type="dxa"/>
            <w:vAlign w:val="center"/>
          </w:tcPr>
          <w:p>
            <w:pPr>
              <w:spacing w:line="240" w:lineRule="auto"/>
              <w:jc w:val="center"/>
              <w:rPr>
                <w:rStyle w:val="266"/>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项目按照要求进行分区防渗，并设置地下水监测井，定期开展地下水跟踪监测。</w:t>
            </w:r>
            <w:r>
              <w:rPr>
                <w:rStyle w:val="266"/>
                <w:color w:val="000000" w:themeColor="text1"/>
                <w:sz w:val="21"/>
                <w:szCs w:val="21"/>
                <w14:textFill>
                  <w14:solidFill>
                    <w14:schemeClr w14:val="tx1"/>
                  </w14:solidFill>
                </w14:textFill>
              </w:rPr>
              <w:t>企业根据监测计划要求，定期自行开展土壤环境质量跟踪监测。</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Merge w:val="continue"/>
            <w:vAlign w:val="center"/>
          </w:tcPr>
          <w:p>
            <w:pPr>
              <w:spacing w:line="240" w:lineRule="auto"/>
              <w:jc w:val="center"/>
              <w:rPr>
                <w:rFonts w:eastAsia="宋体" w:cs="Calibri"/>
                <w:color w:val="000000" w:themeColor="text1"/>
                <w:sz w:val="21"/>
                <w:szCs w:val="21"/>
                <w14:textFill>
                  <w14:solidFill>
                    <w14:schemeClr w14:val="tx1"/>
                  </w14:solidFill>
                </w14:textFill>
              </w:rPr>
            </w:pP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6.碳排放管控。</w:t>
            </w:r>
          </w:p>
          <w:p>
            <w:pPr>
              <w:spacing w:line="240" w:lineRule="auto"/>
              <w:jc w:val="left"/>
              <w:rPr>
                <w:rFonts w:eastAsia="宋体" w:cs="Calibri"/>
                <w:color w:val="000000" w:themeColor="text1"/>
                <w:sz w:val="21"/>
                <w:szCs w:val="21"/>
                <w14:textFill>
                  <w14:solidFill>
                    <w14:schemeClr w14:val="tx1"/>
                  </w14:solidFill>
                </w14:textFill>
              </w:rPr>
            </w:pPr>
            <w:bookmarkStart w:id="89" w:name="_Hlk136003151"/>
            <w:r>
              <w:rPr>
                <w:rFonts w:eastAsia="宋体" w:cs="Calibri"/>
                <w:color w:val="000000" w:themeColor="text1"/>
                <w:sz w:val="21"/>
                <w:szCs w:val="21"/>
                <w14:textFill>
                  <w14:solidFill>
                    <w14:schemeClr w14:val="tx1"/>
                  </w14:solidFill>
                </w14:textFill>
              </w:rPr>
              <w:t>按照碳达峰、碳中和相关政策要求，统筹抓好碳排放控制管理和生态环境保护工作，推动实现减污降碳协同共治。入驻企业应采用先进的生产工艺技术，提高能源综合利用效率，从源头减少和控制温室气体排放。园区应建立碳排放管理制度，从源头控制碳排放强度，加强碳排放重点企业管控。加强园区建筑、交通低碳化发展，强化绿色低碳理念宣传教育，促进园区产业绿色低碳循环发展。</w:t>
            </w:r>
            <w:bookmarkEnd w:id="89"/>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Align w:val="center"/>
          </w:tcPr>
          <w:p>
            <w:pPr>
              <w:spacing w:line="240" w:lineRule="auto"/>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（四）环境风险防控。</w:t>
            </w: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规划区应严格执行环境风险防范的相关法律法规和政策要求，建立健全环境风险防范体系，完善区域层面环境风险防范措施，尽快完成园区级事故池建设，全面杜绝事故废水外排。园区管理部门应加强对企业环境风险源的监督管理，相关企业应严格落实各项环境风险防范措施，防范突发性环境风险事故发生。严格控制项目环境风险，合理布局生产装置及危险化学品仓储等设施。涉及重点风险源企业的危险品生产装置、储存区或罐区应在装置区周围设置围堰及导流设施，围堰、围堤外设置切换阀并连接企业事故池。规划区应根据后续开发建设情况及时修订园区环境风险应急预案。</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Style w:val="266"/>
                <w:color w:val="000000" w:themeColor="text1"/>
                <w:sz w:val="21"/>
                <w:szCs w:val="21"/>
                <w14:textFill>
                  <w14:solidFill>
                    <w14:schemeClr w14:val="tx1"/>
                  </w14:solidFill>
                </w14:textFill>
              </w:rPr>
              <w:t>项目建成后将按照环境风险管控要求采取相关措施，定期进行应急演练等</w:t>
            </w:r>
            <w:r>
              <w:rPr>
                <w:rFonts w:eastAsia="宋体" w:cs="Calibri"/>
                <w:color w:val="000000" w:themeColor="text1"/>
                <w:sz w:val="21"/>
                <w:szCs w:val="21"/>
                <w14:textFill>
                  <w14:solidFill>
                    <w14:schemeClr w14:val="tx1"/>
                  </w14:solidFill>
                </w14:textFill>
              </w:rPr>
              <w:t>。</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62" w:type="dxa"/>
            <w:vAlign w:val="center"/>
          </w:tcPr>
          <w:p>
            <w:pPr>
              <w:spacing w:line="240" w:lineRule="auto"/>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w:t>
            </w:r>
            <w:r>
              <w:rPr>
                <w:rFonts w:hint="eastAsia" w:eastAsia="宋体" w:cs="Calibri"/>
                <w:color w:val="000000" w:themeColor="text1"/>
                <w:sz w:val="21"/>
                <w:szCs w:val="21"/>
                <w14:textFill>
                  <w14:solidFill>
                    <w14:schemeClr w14:val="tx1"/>
                  </w14:solidFill>
                </w14:textFill>
              </w:rPr>
              <w:t>五</w:t>
            </w:r>
            <w:r>
              <w:rPr>
                <w:rFonts w:eastAsia="宋体" w:cs="Calibri"/>
                <w:color w:val="000000" w:themeColor="text1"/>
                <w:sz w:val="21"/>
                <w:szCs w:val="21"/>
                <w14:textFill>
                  <w14:solidFill>
                    <w14:schemeClr w14:val="tx1"/>
                  </w14:solidFill>
                </w14:textFill>
              </w:rPr>
              <w:t>）规范环境管理。</w:t>
            </w:r>
          </w:p>
        </w:tc>
        <w:tc>
          <w:tcPr>
            <w:tcW w:w="4536" w:type="dxa"/>
            <w:vAlign w:val="center"/>
          </w:tcPr>
          <w:p>
            <w:pPr>
              <w:spacing w:line="240" w:lineRule="auto"/>
              <w:jc w:val="left"/>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加强日常环境监管，严格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规划环境影响评价。表面处理加工区规划修编应当单独编制规划并开展规划环境影响评价。</w:t>
            </w:r>
          </w:p>
        </w:tc>
        <w:tc>
          <w:tcPr>
            <w:tcW w:w="2382"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w:t>
            </w:r>
          </w:p>
        </w:tc>
        <w:tc>
          <w:tcPr>
            <w:tcW w:w="878" w:type="dxa"/>
            <w:vAlign w:val="center"/>
          </w:tcPr>
          <w:p>
            <w:pPr>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w:t>
            </w:r>
          </w:p>
        </w:tc>
      </w:tr>
    </w:tbl>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综上所述，项目符合</w:t>
      </w:r>
      <w:r>
        <w:rPr>
          <w:rFonts w:hint="eastAsia" w:eastAsia="宋体"/>
          <w:color w:val="000000" w:themeColor="text1"/>
          <w:szCs w:val="24"/>
          <w14:textFill>
            <w14:solidFill>
              <w14:schemeClr w14:val="tx1"/>
            </w14:solidFill>
          </w14:textFill>
        </w:rPr>
        <w:t>规划环评</w:t>
      </w:r>
      <w:r>
        <w:rPr>
          <w:rFonts w:eastAsia="宋体"/>
          <w:color w:val="000000" w:themeColor="text1"/>
          <w:szCs w:val="24"/>
          <w14:textFill>
            <w14:solidFill>
              <w14:schemeClr w14:val="tx1"/>
            </w14:solidFill>
          </w14:textFill>
        </w:rPr>
        <w:t>审查意见要求，项目选址符合园区规划。</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1.9.3选址合理性分析</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（1）选址合理性分析</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与用地规划符合性：本项目2个地块均位于大足高新区邮亭组团，用地性质均为工业用地，用地符合相关规划。</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环境容量承载力分析：根据大足区2022年环境空气质量数据，大足区属于达标区；非甲烷总烃满足《环境空气质量 非甲烷总烃限值》（DB13/1577-2012）中的二级标准限值；</w:t>
      </w:r>
      <w:r>
        <w:rPr>
          <w:rFonts w:eastAsia="宋体"/>
          <w:color w:val="000000" w:themeColor="text1"/>
          <w14:textFill>
            <w14:solidFill>
              <w14:schemeClr w14:val="tx1"/>
            </w14:solidFill>
          </w14:textFill>
        </w:rPr>
        <w:t>甲苯、二甲苯满足《环境影响评价技术导则 大气环境》（HJ2.2-2018）附录D中限值要求。</w:t>
      </w:r>
      <w:r>
        <w:rPr>
          <w:rFonts w:eastAsia="宋体"/>
          <w:color w:val="000000" w:themeColor="text1"/>
          <w:szCs w:val="24"/>
          <w14:textFill>
            <w14:solidFill>
              <w14:schemeClr w14:val="tx1"/>
            </w14:solidFill>
          </w14:textFill>
        </w:rPr>
        <w:t>评价河段监测断面中各监测因子中pH、氨氮、化学需氧量、五日生化需氧量、石油类</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P均满足《地表水环境质量标准》(GB3838-2002)Ⅳ类水域标准。地下水</w:t>
      </w:r>
      <w:r>
        <w:rPr>
          <w:rFonts w:eastAsia="宋体"/>
          <w:bCs/>
          <w:color w:val="000000" w:themeColor="text1"/>
          <w:szCs w:val="32"/>
          <w14:textFill>
            <w14:solidFill>
              <w14:schemeClr w14:val="tx1"/>
            </w14:solidFill>
          </w14:textFill>
        </w:rPr>
        <w:t>满足《地下水质量标准》（GB/T 14848-2017）中的Ⅲ类水质标准要求</w:t>
      </w:r>
      <w:r>
        <w:rPr>
          <w:rFonts w:eastAsia="宋体"/>
          <w:color w:val="000000" w:themeColor="text1"/>
          <w:szCs w:val="24"/>
          <w14:textFill>
            <w14:solidFill>
              <w14:schemeClr w14:val="tx1"/>
            </w14:solidFill>
          </w14:textFill>
        </w:rPr>
        <w:t>。监测点昼夜间噪声满足《声环境质量标准》（GB3096-2008）3类、4a类标准。土壤监测点各监测因子均满足《土壤环境质量 建设用地土壤污染风险管控标准（试行）》（GB 36600-2018）中第二类用地筛选值。</w:t>
      </w:r>
    </w:p>
    <w:p>
      <w:pPr>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本项目主要污染物为噪声、废水、废气及固体废物。废水、噪声、废气污染物采取相应环保措施后均能实现达标排放，固体废物得到妥善处置。</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外环境关系分析：本项目位于大足高新区邮亭组团，周边均为工业企业，对本项目无制约。</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hint="eastAsia" w:eastAsia="宋体"/>
          <w:color w:val="000000" w:themeColor="text1"/>
          <w:szCs w:val="24"/>
          <w14:textFill>
            <w14:solidFill>
              <w14:schemeClr w14:val="tx1"/>
            </w14:solidFill>
          </w14:textFill>
        </w:rPr>
        <w:t>项目区域内不涉及自然保护区、森林公园及风景名胜区、生活饮用水水源保护区及其他需要特别保护的区域，调查阶段区域内无国家保护的重点野生动物栖息地，无名木古树及珍稀动植物等，无特殊文物保护单位</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综上所述，从环境保护角度看，本项目选址合理。</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（3）总平面布置合理性分析</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（1）1号地块</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本项目1号地块位于重庆市大足区邮亭镇天堂</w:t>
      </w:r>
      <w:r>
        <w:rPr>
          <w:rFonts w:hint="eastAsia"/>
          <w:color w:val="000000" w:themeColor="text1"/>
          <w14:textFill>
            <w14:solidFill>
              <w14:schemeClr w14:val="tx1"/>
            </w14:solidFill>
          </w14:textFill>
        </w:rPr>
        <w:t>村九组</w:t>
      </w:r>
      <w:r>
        <w:rPr>
          <w:color w:val="000000" w:themeColor="text1"/>
          <w14:textFill>
            <w14:solidFill>
              <w14:schemeClr w14:val="tx1"/>
            </w14:solidFill>
          </w14:textFill>
        </w:rPr>
        <w:t>129号。项目厂区内建有A、B、C、D、E五栋厂房，沿厂房四周布置有厂内道路，厂区主要出入口位于地块北侧，连接天红路。</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保留</w:t>
      </w:r>
      <w:r>
        <w:rPr>
          <w:color w:val="000000" w:themeColor="text1"/>
          <w14:textFill>
            <w14:solidFill>
              <w14:schemeClr w14:val="tx1"/>
            </w14:solidFill>
          </w14:textFill>
        </w:rPr>
        <w:t>现有厂房</w:t>
      </w:r>
      <w:r>
        <w:rPr>
          <w:rFonts w:hint="eastAsia"/>
          <w:color w:val="000000" w:themeColor="text1"/>
          <w14:textFill>
            <w14:solidFill>
              <w14:schemeClr w14:val="tx1"/>
            </w14:solidFill>
          </w14:textFill>
        </w:rPr>
        <w:t>结构，</w:t>
      </w:r>
      <w:r>
        <w:rPr>
          <w:color w:val="000000" w:themeColor="text1"/>
          <w14:textFill>
            <w14:solidFill>
              <w14:schemeClr w14:val="tx1"/>
            </w14:solidFill>
          </w14:textFill>
        </w:rPr>
        <w:t>进行</w:t>
      </w:r>
      <w:r>
        <w:rPr>
          <w:rFonts w:hint="eastAsia"/>
          <w:color w:val="000000" w:themeColor="text1"/>
          <w14:textFill>
            <w14:solidFill>
              <w14:schemeClr w14:val="tx1"/>
            </w14:solidFill>
          </w14:textFill>
        </w:rPr>
        <w:t>适应性</w:t>
      </w:r>
      <w:r>
        <w:rPr>
          <w:color w:val="000000" w:themeColor="text1"/>
          <w14:textFill>
            <w14:solidFill>
              <w14:schemeClr w14:val="tx1"/>
            </w14:solidFill>
          </w14:textFill>
        </w:rPr>
        <w:t>改造，其中A栋厂房作为办公楼；B栋厂房改造后，布置1~2#车间，作为下料、拼装等车间；C栋厂房改造后，布置3~6#车间，作为焊接车间；D栋厂房改造后，布置钢板存放。</w:t>
      </w:r>
      <w:r>
        <w:rPr>
          <w:rFonts w:hint="eastAsia"/>
          <w:color w:val="000000" w:themeColor="text1"/>
          <w14:textFill>
            <w14:solidFill>
              <w14:schemeClr w14:val="tx1"/>
            </w14:solidFill>
          </w14:textFill>
        </w:rPr>
        <w:t>各车间之间由内部道路连接，根据物料走向进行布置，可以减少生产流程的迂回、往返，布置紧凑，物料输送顺畅便利。</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（2）2号地块</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本项目2号地块位于重庆市大足区邮亭镇工业园区烈火村17组，租用重庆市渝标汽车配件制造有限公司的闲置土地。厂区地块呈梯形，涂装车间和喷砂车间位于地块东南侧。办公楼位于地块</w:t>
      </w:r>
      <w:r>
        <w:rPr>
          <w:rFonts w:hint="eastAsia"/>
          <w:color w:val="000000" w:themeColor="text1"/>
          <w14:textFill>
            <w14:solidFill>
              <w14:schemeClr w14:val="tx1"/>
            </w14:solidFill>
          </w14:textFill>
        </w:rPr>
        <w:t>东</w:t>
      </w:r>
      <w:r>
        <w:rPr>
          <w:color w:val="000000" w:themeColor="text1"/>
          <w14:textFill>
            <w14:solidFill>
              <w14:schemeClr w14:val="tx1"/>
            </w14:solidFill>
          </w14:textFill>
        </w:rPr>
        <w:t>侧。厂区中部为存梁区域，布置有</w:t>
      </w:r>
      <w:r>
        <w:rPr>
          <w:rFonts w:hint="eastAsia"/>
          <w:color w:val="000000" w:themeColor="text1"/>
          <w14:textFill>
            <w14:solidFill>
              <w14:schemeClr w14:val="tx1"/>
            </w14:solidFill>
          </w14:textFill>
        </w:rPr>
        <w:t>2套桁车</w:t>
      </w:r>
      <w:r>
        <w:rPr>
          <w:color w:val="000000" w:themeColor="text1"/>
          <w14:textFill>
            <w14:solidFill>
              <w14:schemeClr w14:val="tx1"/>
            </w14:solidFill>
          </w14:textFill>
        </w:rPr>
        <w:t>。</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项目有机废气处理设施布置在涂装车间</w:t>
      </w:r>
      <w:r>
        <w:rPr>
          <w:rFonts w:hint="eastAsia"/>
          <w:color w:val="000000" w:themeColor="text1"/>
          <w14:textFill>
            <w14:solidFill>
              <w14:schemeClr w14:val="tx1"/>
            </w14:solidFill>
          </w14:textFill>
        </w:rPr>
        <w:t>东</w:t>
      </w:r>
      <w:r>
        <w:rPr>
          <w:color w:val="000000" w:themeColor="text1"/>
          <w14:textFill>
            <w14:solidFill>
              <w14:schemeClr w14:val="tx1"/>
            </w14:solidFill>
          </w14:textFill>
        </w:rPr>
        <w:t>侧，喷砂除尘设施布置在喷砂车间</w:t>
      </w:r>
      <w:r>
        <w:rPr>
          <w:rFonts w:hint="eastAsia"/>
          <w:color w:val="000000" w:themeColor="text1"/>
          <w14:textFill>
            <w14:solidFill>
              <w14:schemeClr w14:val="tx1"/>
            </w14:solidFill>
          </w14:textFill>
        </w:rPr>
        <w:t>旁。</w:t>
      </w:r>
    </w:p>
    <w:p>
      <w:pPr>
        <w:ind w:firstLine="480"/>
        <w:rPr>
          <w:rFonts w:eastAsia="宋体"/>
          <w:color w:val="000000" w:themeColor="text1"/>
          <w14:textFill>
            <w14:solidFill>
              <w14:schemeClr w14:val="tx1"/>
            </w14:solidFill>
          </w14:textFill>
        </w:rPr>
        <w:sectPr>
          <w:pgSz w:w="11906" w:h="16838"/>
          <w:pgMar w:top="1276" w:right="1440" w:bottom="1800" w:left="1440" w:header="720" w:footer="720" w:gutter="0"/>
          <w:cols w:space="720" w:num="1"/>
          <w:docGrid w:linePitch="326" w:charSpace="0"/>
        </w:sectPr>
      </w:pPr>
      <w:r>
        <w:rPr>
          <w:rFonts w:eastAsia="宋体"/>
          <w:color w:val="000000" w:themeColor="text1"/>
          <w:szCs w:val="24"/>
          <w14:textFill>
            <w14:solidFill>
              <w14:schemeClr w14:val="tx1"/>
            </w14:solidFill>
          </w14:textFill>
        </w:rPr>
        <w:t>本项目总体结构清晰，用地配置紧凑，设计因地制宜，项目总平面布置合理。</w:t>
      </w:r>
    </w:p>
    <w:p>
      <w:pPr>
        <w:pStyle w:val="181"/>
        <w:rPr>
          <w:rFonts w:eastAsia="宋体"/>
          <w:color w:val="000000" w:themeColor="text1"/>
          <w14:textFill>
            <w14:solidFill>
              <w14:schemeClr w14:val="tx1"/>
            </w14:solidFill>
          </w14:textFill>
        </w:rPr>
      </w:pPr>
      <w:bookmarkStart w:id="90" w:name="_Toc155271411"/>
      <w:r>
        <w:rPr>
          <w:rFonts w:eastAsia="宋体"/>
          <w:color w:val="000000" w:themeColor="text1"/>
          <w14:textFill>
            <w14:solidFill>
              <w14:schemeClr w14:val="tx1"/>
            </w14:solidFill>
          </w14:textFill>
        </w:rPr>
        <w:t>2建设项目工程分析</w:t>
      </w:r>
      <w:bookmarkEnd w:id="90"/>
    </w:p>
    <w:p>
      <w:pPr>
        <w:pStyle w:val="179"/>
        <w:rPr>
          <w:rFonts w:eastAsia="宋体"/>
          <w:color w:val="000000" w:themeColor="text1"/>
          <w14:textFill>
            <w14:solidFill>
              <w14:schemeClr w14:val="tx1"/>
            </w14:solidFill>
          </w14:textFill>
        </w:rPr>
      </w:pPr>
      <w:bookmarkStart w:id="91" w:name="_Toc11761"/>
      <w:bookmarkStart w:id="92" w:name="_Toc155271412"/>
      <w:r>
        <w:rPr>
          <w:rFonts w:eastAsia="宋体"/>
          <w:color w:val="000000" w:themeColor="text1"/>
          <w14:textFill>
            <w14:solidFill>
              <w14:schemeClr w14:val="tx1"/>
            </w14:solidFill>
          </w14:textFill>
        </w:rPr>
        <w:t>2.1</w:t>
      </w:r>
      <w:bookmarkEnd w:id="91"/>
      <w:r>
        <w:rPr>
          <w:rFonts w:eastAsia="宋体"/>
          <w:color w:val="000000" w:themeColor="text1"/>
          <w14:textFill>
            <w14:solidFill>
              <w14:schemeClr w14:val="tx1"/>
            </w14:solidFill>
          </w14:textFill>
        </w:rPr>
        <w:t>建设项目概况</w:t>
      </w:r>
      <w:bookmarkEnd w:id="92"/>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2.1.1基本情况</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项目名称：年产3万吨钢桥建设项目；</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建设单位：</w:t>
      </w:r>
      <w:r>
        <w:rPr>
          <w:rFonts w:eastAsia="宋体"/>
          <w:color w:val="000000" w:themeColor="text1"/>
          <w:szCs w:val="24"/>
          <w14:textFill>
            <w14:solidFill>
              <w14:schemeClr w14:val="tx1"/>
            </w14:solidFill>
          </w14:textFill>
        </w:rPr>
        <w:t>重庆航鑫新型建材有限公司；</w:t>
      </w:r>
    </w:p>
    <w:p>
      <w:pPr>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建设地址：重庆市大足区邮亭镇天堂</w:t>
      </w:r>
      <w:r>
        <w:rPr>
          <w:rFonts w:hint="eastAsia" w:eastAsia="宋体"/>
          <w:color w:val="000000" w:themeColor="text1"/>
          <w14:textFill>
            <w14:solidFill>
              <w14:schemeClr w14:val="tx1"/>
            </w14:solidFill>
          </w14:textFill>
        </w:rPr>
        <w:t>村九组</w:t>
      </w:r>
      <w:r>
        <w:rPr>
          <w:rFonts w:eastAsia="宋体"/>
          <w:color w:val="000000" w:themeColor="text1"/>
          <w14:textFill>
            <w14:solidFill>
              <w14:schemeClr w14:val="tx1"/>
            </w14:solidFill>
          </w14:textFill>
        </w:rPr>
        <w:t>129号（1号地块）、重庆市大足区邮亭镇工业园区烈火村17组（2号地块）；</w:t>
      </w:r>
      <w:bookmarkStart w:id="93" w:name="_Toc26197"/>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项目投资：总投资2680万元，其中环保投资243万元；</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建设性质：新建；</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劳动定员及工作制度：项目劳动定员200人（其中1号地块180人，2号地块20人），实行两班制，每班8小时，全年生产320天；</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建设内容及规模：1号地块</w:t>
      </w:r>
      <w:r>
        <w:rPr>
          <w:rFonts w:ascii="Times New Roman" w:hAnsi="Times New Roman" w:eastAsia="宋体"/>
          <w:color w:val="000000" w:themeColor="text1"/>
          <w14:textFill>
            <w14:solidFill>
              <w14:schemeClr w14:val="tx1"/>
            </w14:solidFill>
          </w14:textFill>
        </w:rPr>
        <w:t>占地面积88951.34m</w:t>
      </w:r>
      <w:r>
        <w:rPr>
          <w:rFonts w:ascii="Times New Roman" w:hAnsi="Times New Roman" w:eastAsia="宋体"/>
          <w:color w:val="000000" w:themeColor="text1"/>
          <w:vertAlign w:val="super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依托现有厂房，建设</w:t>
      </w:r>
      <w:r>
        <w:rPr>
          <w:rFonts w:ascii="Times New Roman" w:hAnsi="Times New Roman" w:eastAsia="宋体"/>
          <w:color w:val="000000" w:themeColor="text1"/>
          <w14:textFill>
            <w14:solidFill>
              <w14:schemeClr w14:val="tx1"/>
            </w14:solidFill>
          </w14:textFill>
        </w:rPr>
        <w:t>办公楼、1~6#生产车间及其配套设施，主要用于钢板下料、焊接等工序，设置有食堂、住宿；2号地块占地面积约18000m</w:t>
      </w:r>
      <w:r>
        <w:rPr>
          <w:rFonts w:ascii="Times New Roman" w:hAnsi="Times New Roman" w:eastAsia="宋体"/>
          <w:color w:val="000000" w:themeColor="text1"/>
          <w:vertAlign w:val="super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，建有涂装车间、喷砂车间、办公楼及其配套设施，主要用于钢桥涂装、喷砂等工序，设置有食堂、住宿。建成后年产钢桥3万吨</w:t>
      </w:r>
      <w:r>
        <w:rPr>
          <w:rFonts w:ascii="Times New Roman" w:hAnsi="Times New Roman" w:eastAsia="宋体"/>
          <w:color w:val="000000" w:themeColor="text1"/>
          <w:szCs w:val="24"/>
          <w14:textFill>
            <w14:solidFill>
              <w14:schemeClr w14:val="tx1"/>
            </w14:solidFill>
          </w14:textFill>
        </w:rPr>
        <w:t>。</w:t>
      </w:r>
    </w:p>
    <w:bookmarkEnd w:id="93"/>
    <w:p>
      <w:pPr>
        <w:pStyle w:val="188"/>
        <w:rPr>
          <w:rFonts w:eastAsia="宋体"/>
          <w:color w:val="000000" w:themeColor="text1"/>
          <w14:textFill>
            <w14:solidFill>
              <w14:schemeClr w14:val="tx1"/>
            </w14:solidFill>
          </w14:textFill>
        </w:rPr>
      </w:pPr>
      <w:bookmarkStart w:id="94" w:name="_Toc27186"/>
      <w:r>
        <w:rPr>
          <w:rFonts w:eastAsia="宋体"/>
          <w:color w:val="000000" w:themeColor="text1"/>
          <w14:textFill>
            <w14:solidFill>
              <w14:schemeClr w14:val="tx1"/>
            </w14:solidFill>
          </w14:textFill>
        </w:rPr>
        <w:t>2.1.2产品方案</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建设单位提供资料，本项目生产的产品为钢桥（结构件），年产量为3万吨。其中约三分之一产品采用油性漆喷涂，三分之二产品采用水性漆喷涂，根据客户需求选用油性漆还是水性漆。本项目产品方案及规模，详见表2.1-1。</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表2.1-1  本项目产品方案及规模</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7" w:type="dxa"/>
          <w:left w:w="17" w:type="dxa"/>
          <w:bottom w:w="17" w:type="dxa"/>
          <w:right w:w="17" w:type="dxa"/>
        </w:tblCellMar>
      </w:tblPr>
      <w:tblGrid>
        <w:gridCol w:w="709"/>
        <w:gridCol w:w="992"/>
        <w:gridCol w:w="851"/>
        <w:gridCol w:w="992"/>
        <w:gridCol w:w="851"/>
        <w:gridCol w:w="4110"/>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709" w:type="dxa"/>
            <w:tcBorders>
              <w:top w:val="single" w:color="auto" w:sz="12" w:space="0"/>
            </w:tcBorders>
            <w:vAlign w:val="center"/>
          </w:tcPr>
          <w:p>
            <w:pPr>
              <w:pStyle w:val="273"/>
              <w:rPr>
                <w:b/>
              </w:rPr>
            </w:pPr>
            <w:r>
              <w:rPr>
                <w:b/>
              </w:rPr>
              <w:t>序号</w:t>
            </w:r>
          </w:p>
        </w:tc>
        <w:tc>
          <w:tcPr>
            <w:tcW w:w="1843" w:type="dxa"/>
            <w:gridSpan w:val="2"/>
            <w:tcBorders>
              <w:top w:val="single" w:color="auto" w:sz="12" w:space="0"/>
            </w:tcBorders>
            <w:vAlign w:val="center"/>
          </w:tcPr>
          <w:p>
            <w:pPr>
              <w:pStyle w:val="273"/>
              <w:rPr>
                <w:b/>
              </w:rPr>
            </w:pPr>
            <w:r>
              <w:rPr>
                <w:b/>
              </w:rPr>
              <w:t>产品名称</w:t>
            </w:r>
          </w:p>
        </w:tc>
        <w:tc>
          <w:tcPr>
            <w:tcW w:w="992" w:type="dxa"/>
            <w:tcBorders>
              <w:top w:val="single" w:color="auto" w:sz="12" w:space="0"/>
            </w:tcBorders>
            <w:vAlign w:val="center"/>
          </w:tcPr>
          <w:p>
            <w:pPr>
              <w:pStyle w:val="273"/>
              <w:rPr>
                <w:b/>
              </w:rPr>
            </w:pPr>
            <w:r>
              <w:rPr>
                <w:b/>
              </w:rPr>
              <w:t>产品规模（t/a）</w:t>
            </w:r>
          </w:p>
        </w:tc>
        <w:tc>
          <w:tcPr>
            <w:tcW w:w="4961" w:type="dxa"/>
            <w:gridSpan w:val="2"/>
            <w:tcBorders>
              <w:top w:val="single" w:color="auto" w:sz="12" w:space="0"/>
            </w:tcBorders>
            <w:vAlign w:val="center"/>
          </w:tcPr>
          <w:p>
            <w:pPr>
              <w:pStyle w:val="273"/>
              <w:rPr>
                <w:b/>
              </w:rPr>
            </w:pPr>
            <w:r>
              <w:rPr>
                <w:b/>
              </w:rPr>
              <w:t>典型规格</w:t>
            </w:r>
          </w:p>
        </w:tc>
        <w:tc>
          <w:tcPr>
            <w:tcW w:w="708" w:type="dxa"/>
            <w:tcBorders>
              <w:top w:val="single" w:color="auto" w:sz="12" w:space="0"/>
            </w:tcBorders>
            <w:vAlign w:val="center"/>
          </w:tcPr>
          <w:p>
            <w:pPr>
              <w:pStyle w:val="273"/>
              <w:rPr>
                <w:b/>
              </w:rPr>
            </w:pPr>
            <w:r>
              <w:rPr>
                <w:b/>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709" w:type="dxa"/>
            <w:vAlign w:val="center"/>
          </w:tcPr>
          <w:p>
            <w:pPr>
              <w:pStyle w:val="273"/>
            </w:pPr>
            <w:r>
              <w:t>1</w:t>
            </w:r>
          </w:p>
        </w:tc>
        <w:tc>
          <w:tcPr>
            <w:tcW w:w="992" w:type="dxa"/>
            <w:vMerge w:val="restart"/>
            <w:vAlign w:val="center"/>
          </w:tcPr>
          <w:p>
            <w:pPr>
              <w:pStyle w:val="273"/>
            </w:pPr>
            <w:r>
              <w:t>钢桥结构件（油性漆）</w:t>
            </w:r>
          </w:p>
        </w:tc>
        <w:tc>
          <w:tcPr>
            <w:tcW w:w="851" w:type="dxa"/>
            <w:vAlign w:val="center"/>
          </w:tcPr>
          <w:p>
            <w:pPr>
              <w:pStyle w:val="273"/>
            </w:pPr>
            <w:r>
              <w:t>T型钢</w:t>
            </w:r>
          </w:p>
        </w:tc>
        <w:tc>
          <w:tcPr>
            <w:tcW w:w="992" w:type="dxa"/>
            <w:vAlign w:val="center"/>
          </w:tcPr>
          <w:p>
            <w:pPr>
              <w:pStyle w:val="273"/>
            </w:pPr>
            <w:r>
              <w:t>6000</w:t>
            </w:r>
          </w:p>
        </w:tc>
        <w:tc>
          <w:tcPr>
            <w:tcW w:w="4961" w:type="dxa"/>
            <w:gridSpan w:val="2"/>
            <w:vAlign w:val="center"/>
          </w:tcPr>
          <w:p>
            <w:pPr>
              <w:pStyle w:val="273"/>
            </w:pPr>
            <w:r>
              <w:t>H*B*</w:t>
            </w:r>
            <w:r>
              <w:rPr>
                <w:rFonts w:hint="eastAsia"/>
              </w:rPr>
              <w:t>t</w:t>
            </w:r>
            <w:r>
              <w:rPr>
                <w:vertAlign w:val="subscript"/>
              </w:rPr>
              <w:t>1</w:t>
            </w:r>
            <w:r>
              <w:t>*</w:t>
            </w:r>
            <w:r>
              <w:rPr>
                <w:rFonts w:hint="eastAsia"/>
              </w:rPr>
              <w:t>t</w:t>
            </w:r>
            <w:r>
              <w:rPr>
                <w:vertAlign w:val="subscript"/>
              </w:rPr>
              <w:t>2</w:t>
            </w:r>
            <w:r>
              <w:t>=420*292*16*22mm，</w:t>
            </w:r>
            <w:r>
              <w:rPr>
                <w:rFonts w:hint="eastAsia"/>
              </w:rPr>
              <w:t>长1</w:t>
            </w:r>
            <w:r>
              <w:t>2</w:t>
            </w:r>
            <w:r>
              <w:rPr>
                <w:rFonts w:hint="eastAsia"/>
              </w:rPr>
              <w:t>m，</w:t>
            </w:r>
            <w:r>
              <w:t>单位长度的表面积1.45m</w:t>
            </w:r>
            <w:r>
              <w:rPr>
                <w:vertAlign w:val="superscript"/>
              </w:rPr>
              <w:t>2</w:t>
            </w:r>
            <w:r>
              <w:t>/m，单位长度的理论重量158kg/m。</w:t>
            </w:r>
          </w:p>
        </w:tc>
        <w:tc>
          <w:tcPr>
            <w:tcW w:w="708" w:type="dxa"/>
            <w:vMerge w:val="restart"/>
            <w:vAlign w:val="center"/>
          </w:tcPr>
          <w:p>
            <w:pPr>
              <w:pStyle w:val="273"/>
            </w:pPr>
            <w:r>
              <w:t>用于钢桥的桥梁、弦杆、拱肋、钢结构连接件等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709" w:type="dxa"/>
            <w:vAlign w:val="center"/>
          </w:tcPr>
          <w:p>
            <w:pPr>
              <w:pStyle w:val="273"/>
            </w:pPr>
            <w:r>
              <w:t>2</w:t>
            </w:r>
          </w:p>
        </w:tc>
        <w:tc>
          <w:tcPr>
            <w:tcW w:w="992" w:type="dxa"/>
            <w:vMerge w:val="continue"/>
            <w:vAlign w:val="center"/>
          </w:tcPr>
          <w:p>
            <w:pPr>
              <w:pStyle w:val="273"/>
            </w:pPr>
          </w:p>
        </w:tc>
        <w:tc>
          <w:tcPr>
            <w:tcW w:w="851" w:type="dxa"/>
            <w:vAlign w:val="center"/>
          </w:tcPr>
          <w:p>
            <w:pPr>
              <w:pStyle w:val="273"/>
            </w:pPr>
            <w:r>
              <w:t>H型钢</w:t>
            </w:r>
          </w:p>
        </w:tc>
        <w:tc>
          <w:tcPr>
            <w:tcW w:w="992" w:type="dxa"/>
            <w:vAlign w:val="center"/>
          </w:tcPr>
          <w:p>
            <w:pPr>
              <w:pStyle w:val="273"/>
            </w:pPr>
            <w:r>
              <w:t>6000</w:t>
            </w:r>
          </w:p>
        </w:tc>
        <w:tc>
          <w:tcPr>
            <w:tcW w:w="4961" w:type="dxa"/>
            <w:gridSpan w:val="2"/>
            <w:vAlign w:val="center"/>
          </w:tcPr>
          <w:p>
            <w:pPr>
              <w:pStyle w:val="273"/>
            </w:pPr>
            <w:r>
              <w:t>H*B*</w:t>
            </w:r>
            <w:r>
              <w:rPr>
                <w:rFonts w:hint="eastAsia"/>
              </w:rPr>
              <w:t>t</w:t>
            </w:r>
            <w:r>
              <w:rPr>
                <w:vertAlign w:val="subscript"/>
              </w:rPr>
              <w:t>1</w:t>
            </w:r>
            <w:r>
              <w:t>*</w:t>
            </w:r>
            <w:r>
              <w:rPr>
                <w:rFonts w:hint="eastAsia"/>
              </w:rPr>
              <w:t>t</w:t>
            </w:r>
            <w:r>
              <w:rPr>
                <w:vertAlign w:val="subscript"/>
              </w:rPr>
              <w:t>2</w:t>
            </w:r>
            <w:r>
              <w:t>=1008*302*21*40mm，</w:t>
            </w:r>
            <w:r>
              <w:rPr>
                <w:rFonts w:hint="eastAsia"/>
              </w:rPr>
              <w:t>长1</w:t>
            </w:r>
            <w:r>
              <w:t>2</w:t>
            </w:r>
            <w:r>
              <w:rPr>
                <w:rFonts w:hint="eastAsia"/>
              </w:rPr>
              <w:t>m，</w:t>
            </w:r>
            <w:r>
              <w:t>单位长度的表面积3.15m</w:t>
            </w:r>
            <w:r>
              <w:rPr>
                <w:vertAlign w:val="superscript"/>
              </w:rPr>
              <w:t>2</w:t>
            </w:r>
            <w:r>
              <w:t>/m，单位长度的理论重量345kg/m。</w:t>
            </w:r>
          </w:p>
        </w:tc>
        <w:tc>
          <w:tcPr>
            <w:tcW w:w="708" w:type="dxa"/>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709" w:type="dxa"/>
            <w:vAlign w:val="center"/>
          </w:tcPr>
          <w:p>
            <w:pPr>
              <w:pStyle w:val="273"/>
            </w:pPr>
            <w:r>
              <w:t>3</w:t>
            </w:r>
          </w:p>
        </w:tc>
        <w:tc>
          <w:tcPr>
            <w:tcW w:w="992" w:type="dxa"/>
            <w:vMerge w:val="restart"/>
            <w:vAlign w:val="center"/>
          </w:tcPr>
          <w:p>
            <w:pPr>
              <w:pStyle w:val="273"/>
            </w:pPr>
            <w:r>
              <w:t>钢桥结构件（水性漆）</w:t>
            </w:r>
          </w:p>
        </w:tc>
        <w:tc>
          <w:tcPr>
            <w:tcW w:w="851" w:type="dxa"/>
            <w:vAlign w:val="center"/>
          </w:tcPr>
          <w:p>
            <w:pPr>
              <w:pStyle w:val="273"/>
            </w:pPr>
            <w:r>
              <w:t>T型钢</w:t>
            </w:r>
          </w:p>
        </w:tc>
        <w:tc>
          <w:tcPr>
            <w:tcW w:w="992" w:type="dxa"/>
            <w:vAlign w:val="center"/>
          </w:tcPr>
          <w:p>
            <w:pPr>
              <w:pStyle w:val="273"/>
            </w:pPr>
            <w:r>
              <w:t>9000</w:t>
            </w:r>
          </w:p>
        </w:tc>
        <w:tc>
          <w:tcPr>
            <w:tcW w:w="4961" w:type="dxa"/>
            <w:gridSpan w:val="2"/>
            <w:vAlign w:val="center"/>
          </w:tcPr>
          <w:p>
            <w:pPr>
              <w:pStyle w:val="273"/>
            </w:pPr>
            <w:r>
              <w:t>H*B*</w:t>
            </w:r>
            <w:r>
              <w:rPr>
                <w:rFonts w:hint="eastAsia"/>
              </w:rPr>
              <w:t>t</w:t>
            </w:r>
            <w:r>
              <w:rPr>
                <w:vertAlign w:val="subscript"/>
              </w:rPr>
              <w:t>1</w:t>
            </w:r>
            <w:r>
              <w:t>*</w:t>
            </w:r>
            <w:r>
              <w:rPr>
                <w:rFonts w:hint="eastAsia"/>
              </w:rPr>
              <w:t>t</w:t>
            </w:r>
            <w:r>
              <w:rPr>
                <w:vertAlign w:val="subscript"/>
              </w:rPr>
              <w:t>2</w:t>
            </w:r>
            <w:r>
              <w:t>=420*292*16*22mm，</w:t>
            </w:r>
            <w:r>
              <w:rPr>
                <w:rFonts w:hint="eastAsia"/>
              </w:rPr>
              <w:t>长1</w:t>
            </w:r>
            <w:r>
              <w:t>2</w:t>
            </w:r>
            <w:r>
              <w:rPr>
                <w:rFonts w:hint="eastAsia"/>
              </w:rPr>
              <w:t>m，</w:t>
            </w:r>
            <w:r>
              <w:t>单位长度的表面积1.45m</w:t>
            </w:r>
            <w:r>
              <w:rPr>
                <w:vertAlign w:val="superscript"/>
              </w:rPr>
              <w:t>2</w:t>
            </w:r>
            <w:r>
              <w:t>/m，单位长度的理论重量158kg/m。</w:t>
            </w:r>
          </w:p>
        </w:tc>
        <w:tc>
          <w:tcPr>
            <w:tcW w:w="708" w:type="dxa"/>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709" w:type="dxa"/>
            <w:vAlign w:val="center"/>
          </w:tcPr>
          <w:p>
            <w:pPr>
              <w:pStyle w:val="273"/>
            </w:pPr>
            <w:r>
              <w:t>4</w:t>
            </w:r>
          </w:p>
        </w:tc>
        <w:tc>
          <w:tcPr>
            <w:tcW w:w="992" w:type="dxa"/>
            <w:vMerge w:val="continue"/>
            <w:vAlign w:val="center"/>
          </w:tcPr>
          <w:p>
            <w:pPr>
              <w:pStyle w:val="273"/>
            </w:pPr>
          </w:p>
        </w:tc>
        <w:tc>
          <w:tcPr>
            <w:tcW w:w="851" w:type="dxa"/>
            <w:vAlign w:val="center"/>
          </w:tcPr>
          <w:p>
            <w:pPr>
              <w:pStyle w:val="273"/>
            </w:pPr>
            <w:r>
              <w:t>H型钢</w:t>
            </w:r>
          </w:p>
        </w:tc>
        <w:tc>
          <w:tcPr>
            <w:tcW w:w="992" w:type="dxa"/>
            <w:vAlign w:val="center"/>
          </w:tcPr>
          <w:p>
            <w:pPr>
              <w:pStyle w:val="273"/>
            </w:pPr>
            <w:r>
              <w:t>9000</w:t>
            </w:r>
          </w:p>
        </w:tc>
        <w:tc>
          <w:tcPr>
            <w:tcW w:w="4961" w:type="dxa"/>
            <w:gridSpan w:val="2"/>
            <w:vAlign w:val="center"/>
          </w:tcPr>
          <w:p>
            <w:pPr>
              <w:pStyle w:val="273"/>
            </w:pPr>
            <w:r>
              <w:t>H*B*</w:t>
            </w:r>
            <w:r>
              <w:rPr>
                <w:rFonts w:hint="eastAsia"/>
              </w:rPr>
              <w:t>t</w:t>
            </w:r>
            <w:r>
              <w:rPr>
                <w:vertAlign w:val="subscript"/>
              </w:rPr>
              <w:t>1</w:t>
            </w:r>
            <w:r>
              <w:t>*</w:t>
            </w:r>
            <w:r>
              <w:rPr>
                <w:rFonts w:hint="eastAsia"/>
              </w:rPr>
              <w:t>t</w:t>
            </w:r>
            <w:r>
              <w:rPr>
                <w:vertAlign w:val="subscript"/>
              </w:rPr>
              <w:t>2</w:t>
            </w:r>
            <w:r>
              <w:t>=1008*302*21*40mm，</w:t>
            </w:r>
            <w:r>
              <w:rPr>
                <w:rFonts w:hint="eastAsia"/>
              </w:rPr>
              <w:t>长1</w:t>
            </w:r>
            <w:r>
              <w:t>2</w:t>
            </w:r>
            <w:r>
              <w:rPr>
                <w:rFonts w:hint="eastAsia"/>
              </w:rPr>
              <w:t>m，</w:t>
            </w:r>
            <w:r>
              <w:t>单位长度的表面积3.15m</w:t>
            </w:r>
            <w:r>
              <w:rPr>
                <w:vertAlign w:val="superscript"/>
              </w:rPr>
              <w:t>2</w:t>
            </w:r>
            <w:r>
              <w:t>/m，单位长度的理论重量345kg/m。</w:t>
            </w:r>
          </w:p>
        </w:tc>
        <w:tc>
          <w:tcPr>
            <w:tcW w:w="708" w:type="dxa"/>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2552" w:type="dxa"/>
            <w:gridSpan w:val="3"/>
            <w:vAlign w:val="center"/>
          </w:tcPr>
          <w:p>
            <w:pPr>
              <w:pStyle w:val="273"/>
            </w:pPr>
            <w:r>
              <w:t>合计</w:t>
            </w:r>
          </w:p>
        </w:tc>
        <w:tc>
          <w:tcPr>
            <w:tcW w:w="992" w:type="dxa"/>
            <w:vAlign w:val="center"/>
          </w:tcPr>
          <w:p>
            <w:pPr>
              <w:pStyle w:val="273"/>
            </w:pPr>
            <w:r>
              <w:t>30000</w:t>
            </w:r>
          </w:p>
        </w:tc>
        <w:tc>
          <w:tcPr>
            <w:tcW w:w="4961" w:type="dxa"/>
            <w:gridSpan w:val="2"/>
            <w:vAlign w:val="center"/>
          </w:tcPr>
          <w:p>
            <w:pPr>
              <w:pStyle w:val="273"/>
            </w:pPr>
            <w:r>
              <w:t>/</w:t>
            </w:r>
          </w:p>
        </w:tc>
        <w:tc>
          <w:tcPr>
            <w:tcW w:w="708" w:type="dxa"/>
            <w:vAlign w:val="center"/>
          </w:tcPr>
          <w:p>
            <w:pPr>
              <w:pStyle w:val="273"/>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9213" w:type="dxa"/>
            <w:gridSpan w:val="7"/>
            <w:vAlign w:val="center"/>
          </w:tcPr>
          <w:p>
            <w:pPr>
              <w:pStyle w:val="273"/>
              <w:jc w:val="left"/>
            </w:pPr>
            <w:r>
              <w:t>注：本项目产品根据客户订单加工，一般属于非标准件</w:t>
            </w:r>
            <w:r>
              <w:rPr>
                <w:rFonts w:hint="eastAsia"/>
              </w:rPr>
              <w:t>。根据建设单位提供资料，并参照《热轧H型钢和部分T型钢》（G</w:t>
            </w:r>
            <w:r>
              <w:t>B/T 11263-2017</w:t>
            </w:r>
            <w:r>
              <w:rPr>
                <w:rFonts w:hint="eastAsia"/>
              </w:rPr>
              <w:t>）中的尺寸和外形，</w:t>
            </w:r>
            <w:r>
              <w:t>选取建设单位较常用产品规格进行分析。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4395" w:type="dxa"/>
            <w:gridSpan w:val="5"/>
            <w:vAlign w:val="center"/>
          </w:tcPr>
          <w:p>
            <w:pPr>
              <w:pStyle w:val="273"/>
              <w:rPr>
                <w:spacing w:val="-10"/>
              </w:rPr>
            </w:pPr>
            <w:r>
              <w:drawing>
                <wp:inline distT="0" distB="0" distL="0" distR="0">
                  <wp:extent cx="2521585" cy="161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t="-1" r="18516" b="-3"/>
                          <a:stretch>
                            <a:fillRect/>
                          </a:stretch>
                        </pic:blipFill>
                        <pic:spPr>
                          <a:xfrm>
                            <a:off x="0" y="0"/>
                            <a:ext cx="2521718" cy="1620000"/>
                          </a:xfrm>
                          <a:prstGeom prst="rect">
                            <a:avLst/>
                          </a:prstGeom>
                          <a:ln>
                            <a:noFill/>
                          </a:ln>
                        </pic:spPr>
                      </pic:pic>
                    </a:graphicData>
                  </a:graphic>
                </wp:inline>
              </w:drawing>
            </w:r>
          </w:p>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szCs w:val="21"/>
                <w14:textFill>
                  <w14:solidFill>
                    <w14:schemeClr w14:val="tx1"/>
                  </w14:solidFill>
                </w14:textFill>
              </w:rPr>
              <w:t>图1  H型钢截面图</w:t>
            </w:r>
          </w:p>
        </w:tc>
        <w:tc>
          <w:tcPr>
            <w:tcW w:w="4818" w:type="dxa"/>
            <w:gridSpan w:val="2"/>
            <w:vAlign w:val="center"/>
          </w:tcPr>
          <w:p>
            <w:pPr>
              <w:pStyle w:val="273"/>
              <w:rPr>
                <w:spacing w:val="-10"/>
              </w:rPr>
            </w:pPr>
            <w:r>
              <w:drawing>
                <wp:inline distT="0" distB="0" distL="0" distR="0">
                  <wp:extent cx="2713990" cy="1619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2714264" cy="1620000"/>
                          </a:xfrm>
                          <a:prstGeom prst="rect">
                            <a:avLst/>
                          </a:prstGeom>
                        </pic:spPr>
                      </pic:pic>
                    </a:graphicData>
                  </a:graphic>
                </wp:inline>
              </w:drawing>
            </w:r>
          </w:p>
          <w:p>
            <w:pPr>
              <w:pStyle w:val="273"/>
            </w:pPr>
            <w:r>
              <w:t>图2  T型钢截面图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17" w:type="dxa"/>
            <w:bottom w:w="17" w:type="dxa"/>
            <w:right w:w="17" w:type="dxa"/>
          </w:tblCellMar>
        </w:tblPrEx>
        <w:trPr>
          <w:trHeight w:val="20" w:hRule="atLeast"/>
          <w:jc w:val="center"/>
        </w:trPr>
        <w:tc>
          <w:tcPr>
            <w:tcW w:w="9213" w:type="dxa"/>
            <w:gridSpan w:val="7"/>
            <w:vAlign w:val="center"/>
          </w:tcPr>
          <w:p>
            <w:pPr>
              <w:pStyle w:val="273"/>
            </w:pPr>
            <w:r>
              <w:t>规格为：H*B*t</w:t>
            </w:r>
            <w:r>
              <w:rPr>
                <w:vertAlign w:val="subscript"/>
              </w:rPr>
              <w:t>1</w:t>
            </w:r>
            <w:r>
              <w:t>*t</w:t>
            </w:r>
            <w:r>
              <w:rPr>
                <w:vertAlign w:val="subscript"/>
              </w:rPr>
              <w:t>2</w:t>
            </w:r>
            <w:r>
              <w:t>=高度*翼板宽度*腹板厚度*翼缘厚度</w:t>
            </w:r>
          </w:p>
        </w:tc>
      </w:tr>
    </w:tbl>
    <w:p>
      <w:pPr>
        <w:pStyle w:val="272"/>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项目喷涂方案详见表2.1-2。</w:t>
      </w:r>
    </w:p>
    <w:p>
      <w:pPr>
        <w:pStyle w:val="272"/>
        <w:spacing w:line="240" w:lineRule="auto"/>
        <w:ind w:firstLine="0"/>
        <w:jc w:val="center"/>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表2.1-2  项目喷涂方案一览表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851"/>
        <w:gridCol w:w="1417"/>
        <w:gridCol w:w="993"/>
        <w:gridCol w:w="1134"/>
        <w:gridCol w:w="1134"/>
        <w:gridCol w:w="992"/>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985" w:type="dxa"/>
            <w:gridSpan w:val="2"/>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产品名称</w:t>
            </w:r>
          </w:p>
        </w:tc>
        <w:tc>
          <w:tcPr>
            <w:tcW w:w="1417"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产品规格mm</w:t>
            </w:r>
          </w:p>
        </w:tc>
        <w:tc>
          <w:tcPr>
            <w:tcW w:w="993"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年产量（t/a）</w:t>
            </w:r>
          </w:p>
        </w:tc>
        <w:tc>
          <w:tcPr>
            <w:tcW w:w="1134"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单位长度表面积（m</w:t>
            </w:r>
            <w:r>
              <w:rPr>
                <w:rFonts w:eastAsia="宋体"/>
                <w:b/>
                <w:color w:val="000000" w:themeColor="text1"/>
                <w:kern w:val="0"/>
                <w:sz w:val="21"/>
                <w:szCs w:val="21"/>
                <w:vertAlign w:val="superscript"/>
                <w14:textFill>
                  <w14:solidFill>
                    <w14:schemeClr w14:val="tx1"/>
                  </w14:solidFill>
                </w14:textFill>
              </w:rPr>
              <w:t>2</w:t>
            </w:r>
            <w:r>
              <w:rPr>
                <w:rFonts w:eastAsia="宋体"/>
                <w:b/>
                <w:color w:val="000000" w:themeColor="text1"/>
                <w:kern w:val="0"/>
                <w:sz w:val="21"/>
                <w:szCs w:val="21"/>
                <w14:textFill>
                  <w14:solidFill>
                    <w14:schemeClr w14:val="tx1"/>
                  </w14:solidFill>
                </w14:textFill>
              </w:rPr>
              <w:t>/m）</w:t>
            </w:r>
          </w:p>
        </w:tc>
        <w:tc>
          <w:tcPr>
            <w:tcW w:w="1134"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单位长度理论重量（kg/m）</w:t>
            </w:r>
          </w:p>
        </w:tc>
        <w:tc>
          <w:tcPr>
            <w:tcW w:w="992"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喷涂面积（m</w:t>
            </w:r>
            <w:r>
              <w:rPr>
                <w:rFonts w:eastAsia="宋体"/>
                <w:b/>
                <w:color w:val="000000" w:themeColor="text1"/>
                <w:kern w:val="0"/>
                <w:sz w:val="21"/>
                <w:szCs w:val="21"/>
                <w:vertAlign w:val="superscript"/>
                <w14:textFill>
                  <w14:solidFill>
                    <w14:schemeClr w14:val="tx1"/>
                  </w14:solidFill>
                </w14:textFill>
              </w:rPr>
              <w:t>2</w:t>
            </w:r>
            <w:r>
              <w:rPr>
                <w:rFonts w:eastAsia="宋体"/>
                <w:b/>
                <w:color w:val="000000" w:themeColor="text1"/>
                <w:kern w:val="0"/>
                <w:sz w:val="21"/>
                <w:szCs w:val="21"/>
                <w14:textFill>
                  <w14:solidFill>
                    <w14:schemeClr w14:val="tx1"/>
                  </w14:solidFill>
                </w14:textFill>
              </w:rPr>
              <w:t>）</w:t>
            </w:r>
          </w:p>
        </w:tc>
        <w:tc>
          <w:tcPr>
            <w:tcW w:w="1351"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喷涂厚度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钢桥结构件（油性漆）</w:t>
            </w:r>
          </w:p>
        </w:tc>
        <w:tc>
          <w:tcPr>
            <w:tcW w:w="851" w:type="dxa"/>
            <w:shd w:val="clear" w:color="auto" w:fill="auto"/>
            <w:vAlign w:val="center"/>
          </w:tcPr>
          <w:p>
            <w:pPr>
              <w:pStyle w:val="273"/>
            </w:pPr>
            <w:r>
              <w:t>T型钢</w:t>
            </w:r>
          </w:p>
        </w:tc>
        <w:tc>
          <w:tcPr>
            <w:tcW w:w="1417"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420*292*16*22</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1.45</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992"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55063</w:t>
            </w:r>
          </w:p>
        </w:tc>
        <w:tc>
          <w:tcPr>
            <w:tcW w:w="1351" w:type="dxa"/>
            <w:vMerge w:val="restart"/>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底漆40μm+中间漆50μm+面漆50μm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1" w:type="dxa"/>
            <w:shd w:val="clear" w:color="auto" w:fill="auto"/>
            <w:vAlign w:val="center"/>
          </w:tcPr>
          <w:p>
            <w:pPr>
              <w:pStyle w:val="273"/>
            </w:pPr>
            <w:r>
              <w:t>H型钢</w:t>
            </w:r>
          </w:p>
        </w:tc>
        <w:tc>
          <w:tcPr>
            <w:tcW w:w="1417"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1008*302*21*40</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3.15</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345</w:t>
            </w:r>
          </w:p>
        </w:tc>
        <w:tc>
          <w:tcPr>
            <w:tcW w:w="992" w:type="dxa"/>
            <w:shd w:val="clear" w:color="auto" w:fill="FFFFFF" w:themeFill="background1"/>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54783</w:t>
            </w:r>
          </w:p>
        </w:tc>
        <w:tc>
          <w:tcPr>
            <w:tcW w:w="1351" w:type="dxa"/>
            <w:vMerge w:val="continue"/>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85" w:type="dxa"/>
            <w:gridSpan w:val="2"/>
            <w:shd w:val="clear" w:color="auto" w:fill="auto"/>
            <w:vAlign w:val="center"/>
          </w:tcPr>
          <w:p>
            <w:pPr>
              <w:pStyle w:val="273"/>
            </w:pPr>
            <w:r>
              <w:t>小计</w:t>
            </w:r>
          </w:p>
        </w:tc>
        <w:tc>
          <w:tcPr>
            <w:tcW w:w="1417" w:type="dxa"/>
            <w:shd w:val="clear" w:color="auto" w:fill="FFFFFF" w:themeFill="background1"/>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992"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109846</w:t>
            </w:r>
          </w:p>
        </w:tc>
        <w:tc>
          <w:tcPr>
            <w:tcW w:w="1351"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钢桥结构件（水性漆）</w:t>
            </w:r>
          </w:p>
        </w:tc>
        <w:tc>
          <w:tcPr>
            <w:tcW w:w="851" w:type="dxa"/>
            <w:shd w:val="clear" w:color="auto" w:fill="auto"/>
            <w:vAlign w:val="center"/>
          </w:tcPr>
          <w:p>
            <w:pPr>
              <w:pStyle w:val="273"/>
            </w:pPr>
            <w:r>
              <w:t>T型钢</w:t>
            </w:r>
          </w:p>
        </w:tc>
        <w:tc>
          <w:tcPr>
            <w:tcW w:w="1417"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420*292*16*22</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1.45</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992"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82595</w:t>
            </w:r>
          </w:p>
        </w:tc>
        <w:tc>
          <w:tcPr>
            <w:tcW w:w="1351" w:type="dxa"/>
            <w:vMerge w:val="restart"/>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底漆40μm+中间漆50μm+面漆50μm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1" w:type="dxa"/>
            <w:shd w:val="clear" w:color="auto" w:fill="auto"/>
            <w:vAlign w:val="center"/>
          </w:tcPr>
          <w:p>
            <w:pPr>
              <w:pStyle w:val="273"/>
            </w:pPr>
            <w:r>
              <w:t>H型钢</w:t>
            </w:r>
          </w:p>
        </w:tc>
        <w:tc>
          <w:tcPr>
            <w:tcW w:w="1417"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1008*302*21*40</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3.15</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345</w:t>
            </w:r>
          </w:p>
        </w:tc>
        <w:tc>
          <w:tcPr>
            <w:tcW w:w="992" w:type="dxa"/>
            <w:shd w:val="clear" w:color="auto" w:fill="FFFFFF" w:themeFill="background1"/>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82174</w:t>
            </w:r>
          </w:p>
        </w:tc>
        <w:tc>
          <w:tcPr>
            <w:tcW w:w="1351" w:type="dxa"/>
            <w:vMerge w:val="continue"/>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85" w:type="dxa"/>
            <w:gridSpan w:val="2"/>
            <w:shd w:val="clear" w:color="auto" w:fill="auto"/>
            <w:vAlign w:val="center"/>
          </w:tcPr>
          <w:p>
            <w:pPr>
              <w:pStyle w:val="273"/>
            </w:pPr>
            <w:r>
              <w:t>小计</w:t>
            </w:r>
          </w:p>
        </w:tc>
        <w:tc>
          <w:tcPr>
            <w:tcW w:w="1417" w:type="dxa"/>
            <w:shd w:val="clear" w:color="auto" w:fill="FFFFFF" w:themeFill="background1"/>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993"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18000</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1134"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992"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164769</w:t>
            </w:r>
          </w:p>
        </w:tc>
        <w:tc>
          <w:tcPr>
            <w:tcW w:w="1351" w:type="dxa"/>
            <w:shd w:val="clear" w:color="auto" w:fill="FFFFFF" w:themeFill="background1"/>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r>
    </w:tbl>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2.1.3</w:t>
      </w:r>
      <w:bookmarkEnd w:id="94"/>
      <w:r>
        <w:rPr>
          <w:rFonts w:eastAsia="宋体"/>
          <w:color w:val="000000" w:themeColor="text1"/>
          <w14:textFill>
            <w14:solidFill>
              <w14:schemeClr w14:val="tx1"/>
            </w14:solidFill>
          </w14:textFill>
        </w:rPr>
        <w:t>建设内容及组成</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本项目地块分为2块，其中1号地块依托航鑫公司已建的建筑物，</w:t>
      </w:r>
      <w:r>
        <w:rPr>
          <w:rFonts w:hint="eastAsia" w:ascii="Times New Roman" w:hAnsi="Times New Roman" w:eastAsia="宋体"/>
          <w:color w:val="000000" w:themeColor="text1"/>
          <w:szCs w:val="24"/>
          <w14:textFill>
            <w14:solidFill>
              <w14:schemeClr w14:val="tx1"/>
            </w14:solidFill>
          </w14:textFill>
        </w:rPr>
        <w:t>新建</w:t>
      </w:r>
      <w:r>
        <w:rPr>
          <w:rFonts w:ascii="Times New Roman" w:hAnsi="Times New Roman" w:eastAsia="宋体"/>
          <w:color w:val="000000" w:themeColor="text1"/>
          <w:szCs w:val="24"/>
          <w14:textFill>
            <w14:solidFill>
              <w14:schemeClr w14:val="tx1"/>
            </w14:solidFill>
          </w14:textFill>
        </w:rPr>
        <w:t>办公楼、1~6#生产车间及其配套设施，</w:t>
      </w:r>
      <w:r>
        <w:rPr>
          <w:rFonts w:hint="eastAsia" w:ascii="Times New Roman" w:hAnsi="Times New Roman" w:eastAsia="宋体"/>
          <w:color w:val="000000" w:themeColor="text1"/>
          <w:szCs w:val="24"/>
          <w14:textFill>
            <w14:solidFill>
              <w14:schemeClr w14:val="tx1"/>
            </w14:solidFill>
          </w14:textFill>
        </w:rPr>
        <w:t>主要用于钢材切割下料、焊接等机加工；</w:t>
      </w:r>
      <w:r>
        <w:rPr>
          <w:rFonts w:ascii="Times New Roman" w:hAnsi="Times New Roman" w:eastAsia="宋体"/>
          <w:color w:val="000000" w:themeColor="text1"/>
          <w:szCs w:val="24"/>
          <w14:textFill>
            <w14:solidFill>
              <w14:schemeClr w14:val="tx1"/>
            </w14:solidFill>
          </w14:textFill>
        </w:rPr>
        <w:t>2号地块建设涂装车间、喷砂车间、办公楼及其配套设施</w:t>
      </w:r>
      <w:r>
        <w:rPr>
          <w:rFonts w:hint="eastAsia" w:ascii="Times New Roman" w:hAnsi="Times New Roman" w:eastAsia="宋体"/>
          <w:color w:val="000000" w:themeColor="text1"/>
          <w:szCs w:val="24"/>
          <w14:textFill>
            <w14:solidFill>
              <w14:schemeClr w14:val="tx1"/>
            </w14:solidFill>
          </w14:textFill>
        </w:rPr>
        <w:t>，主要用于喷砂、涂装</w:t>
      </w:r>
      <w:r>
        <w:rPr>
          <w:rFonts w:ascii="Times New Roman" w:hAnsi="Times New Roman" w:eastAsia="宋体"/>
          <w:color w:val="000000" w:themeColor="text1"/>
          <w:szCs w:val="24"/>
          <w14:textFill>
            <w14:solidFill>
              <w14:schemeClr w14:val="tx1"/>
            </w14:solidFill>
          </w14:textFill>
        </w:rPr>
        <w:t>。项目建设内容及组成分别见表2.1-3和表2.1-4。</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95" w:name="_Toc31737"/>
      <w:r>
        <w:rPr>
          <w:rFonts w:eastAsia="宋体"/>
          <w:b/>
          <w:bCs/>
          <w:color w:val="000000" w:themeColor="text1"/>
          <w14:textFill>
            <w14:solidFill>
              <w14:schemeClr w14:val="tx1"/>
            </w14:solidFill>
          </w14:textFill>
        </w:rPr>
        <w:t>表2.1-3  项目1号地块组成一览表</w:t>
      </w:r>
      <w:bookmarkEnd w:id="95"/>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460"/>
        <w:gridCol w:w="1162"/>
        <w:gridCol w:w="6036"/>
        <w:gridCol w:w="1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tcBorders>
              <w:top w:val="single" w:color="auto" w:sz="12" w:space="0"/>
            </w:tcBorders>
            <w:vAlign w:val="center"/>
          </w:tcPr>
          <w:p>
            <w:pPr>
              <w:pStyle w:val="273"/>
              <w:rPr>
                <w:b/>
              </w:rPr>
            </w:pPr>
            <w:r>
              <w:rPr>
                <w:b/>
              </w:rPr>
              <w:t>组成</w:t>
            </w:r>
          </w:p>
        </w:tc>
        <w:tc>
          <w:tcPr>
            <w:tcW w:w="860" w:type="pct"/>
            <w:gridSpan w:val="2"/>
            <w:tcBorders>
              <w:top w:val="single" w:color="auto" w:sz="12" w:space="0"/>
            </w:tcBorders>
            <w:vAlign w:val="center"/>
          </w:tcPr>
          <w:p>
            <w:pPr>
              <w:pStyle w:val="273"/>
              <w:rPr>
                <w:b/>
              </w:rPr>
            </w:pPr>
            <w:r>
              <w:rPr>
                <w:b/>
              </w:rPr>
              <w:t>类别</w:t>
            </w:r>
          </w:p>
        </w:tc>
        <w:tc>
          <w:tcPr>
            <w:tcW w:w="3201" w:type="pct"/>
            <w:tcBorders>
              <w:top w:val="single" w:color="auto" w:sz="12" w:space="0"/>
            </w:tcBorders>
            <w:vAlign w:val="center"/>
          </w:tcPr>
          <w:p>
            <w:pPr>
              <w:pStyle w:val="273"/>
              <w:rPr>
                <w:b/>
              </w:rPr>
            </w:pPr>
            <w:r>
              <w:rPr>
                <w:b/>
              </w:rPr>
              <w:t>建设内容及规模</w:t>
            </w:r>
          </w:p>
        </w:tc>
        <w:tc>
          <w:tcPr>
            <w:tcW w:w="568" w:type="pct"/>
            <w:tcBorders>
              <w:top w:val="single" w:color="auto" w:sz="12" w:space="0"/>
            </w:tcBorders>
            <w:vAlign w:val="center"/>
          </w:tcPr>
          <w:p>
            <w:pPr>
              <w:pStyle w:val="273"/>
              <w:rPr>
                <w:b/>
              </w:rPr>
            </w:pPr>
            <w:r>
              <w:rPr>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restart"/>
            <w:vAlign w:val="center"/>
          </w:tcPr>
          <w:p>
            <w:pPr>
              <w:pStyle w:val="273"/>
            </w:pPr>
            <w:r>
              <w:t>主体工程</w:t>
            </w:r>
          </w:p>
        </w:tc>
        <w:tc>
          <w:tcPr>
            <w:tcW w:w="860" w:type="pct"/>
            <w:gridSpan w:val="2"/>
            <w:vAlign w:val="center"/>
          </w:tcPr>
          <w:p>
            <w:pPr>
              <w:pStyle w:val="273"/>
            </w:pPr>
            <w:r>
              <w:t>1#车间</w:t>
            </w:r>
          </w:p>
        </w:tc>
        <w:tc>
          <w:tcPr>
            <w:tcW w:w="3201" w:type="pct"/>
            <w:vAlign w:val="center"/>
          </w:tcPr>
          <w:p>
            <w:pPr>
              <w:pStyle w:val="273"/>
              <w:jc w:val="left"/>
            </w:pPr>
            <w:r>
              <w:t>钢混结构，1层建筑，层高14m，建筑面积4800m</w:t>
            </w:r>
            <w:r>
              <w:rPr>
                <w:vertAlign w:val="superscript"/>
              </w:rPr>
              <w:t>2</w:t>
            </w:r>
            <w:r>
              <w:t>。包括焊接区、调校区、拼装区等。</w:t>
            </w:r>
          </w:p>
        </w:tc>
        <w:tc>
          <w:tcPr>
            <w:tcW w:w="568" w:type="pct"/>
            <w:vMerge w:val="restart"/>
            <w:vAlign w:val="center"/>
          </w:tcPr>
          <w:p>
            <w:pPr>
              <w:pStyle w:val="273"/>
            </w:pPr>
            <w:r>
              <w:t>依托现有B栋厂房结构，</w:t>
            </w:r>
            <w:r>
              <w:rPr>
                <w:rFonts w:hint="eastAsia"/>
              </w:rPr>
              <w:t>新建</w:t>
            </w:r>
            <w:r>
              <w:t>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2#车间</w:t>
            </w:r>
          </w:p>
        </w:tc>
        <w:tc>
          <w:tcPr>
            <w:tcW w:w="3201" w:type="pct"/>
            <w:vAlign w:val="center"/>
          </w:tcPr>
          <w:p>
            <w:pPr>
              <w:pStyle w:val="273"/>
              <w:jc w:val="left"/>
            </w:pPr>
            <w:r>
              <w:t>钢混结构，1层建筑，层高14m，建筑面积4800m</w:t>
            </w:r>
            <w:r>
              <w:rPr>
                <w:vertAlign w:val="superscript"/>
              </w:rPr>
              <w:t>2</w:t>
            </w:r>
            <w:r>
              <w:t>。包括下料区、钻孔区等。</w:t>
            </w:r>
          </w:p>
        </w:tc>
        <w:tc>
          <w:tcPr>
            <w:tcW w:w="568" w:type="pct"/>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3#车间</w:t>
            </w:r>
          </w:p>
        </w:tc>
        <w:tc>
          <w:tcPr>
            <w:tcW w:w="3201" w:type="pct"/>
            <w:vAlign w:val="center"/>
          </w:tcPr>
          <w:p>
            <w:pPr>
              <w:pStyle w:val="273"/>
              <w:jc w:val="left"/>
            </w:pPr>
            <w:r>
              <w:t>钢混结构，1层建筑，层高14m，建筑面积4800m</w:t>
            </w:r>
            <w:r>
              <w:rPr>
                <w:vertAlign w:val="superscript"/>
              </w:rPr>
              <w:t>2</w:t>
            </w:r>
            <w:r>
              <w:t>。主要为</w:t>
            </w:r>
            <w:r>
              <w:rPr>
                <w:rFonts w:hint="eastAsia"/>
              </w:rPr>
              <w:t>桁车</w:t>
            </w:r>
            <w:r>
              <w:t>车输送区。</w:t>
            </w:r>
          </w:p>
        </w:tc>
        <w:tc>
          <w:tcPr>
            <w:tcW w:w="568" w:type="pct"/>
            <w:vMerge w:val="restart"/>
            <w:vAlign w:val="center"/>
          </w:tcPr>
          <w:p>
            <w:pPr>
              <w:pStyle w:val="273"/>
            </w:pPr>
            <w:r>
              <w:t>依托现有C栋厂房结构，</w:t>
            </w:r>
            <w:r>
              <w:rPr>
                <w:rFonts w:hint="eastAsia"/>
              </w:rPr>
              <w:t>新建</w:t>
            </w:r>
            <w:r>
              <w:t>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4#车间</w:t>
            </w:r>
          </w:p>
        </w:tc>
        <w:tc>
          <w:tcPr>
            <w:tcW w:w="3201" w:type="pct"/>
            <w:vAlign w:val="center"/>
          </w:tcPr>
          <w:p>
            <w:pPr>
              <w:pStyle w:val="273"/>
              <w:jc w:val="left"/>
            </w:pPr>
            <w:r>
              <w:t>钢混结构，1层建筑，层高14m，建筑面积4800m</w:t>
            </w:r>
            <w:r>
              <w:rPr>
                <w:vertAlign w:val="superscript"/>
              </w:rPr>
              <w:t>2</w:t>
            </w:r>
            <w:r>
              <w:t>。主要为</w:t>
            </w:r>
            <w:r>
              <w:rPr>
                <w:rFonts w:hint="eastAsia"/>
              </w:rPr>
              <w:t>桁车</w:t>
            </w:r>
            <w:r>
              <w:t>输送区。</w:t>
            </w:r>
          </w:p>
        </w:tc>
        <w:tc>
          <w:tcPr>
            <w:tcW w:w="568" w:type="pct"/>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5#车间</w:t>
            </w:r>
          </w:p>
        </w:tc>
        <w:tc>
          <w:tcPr>
            <w:tcW w:w="3201" w:type="pct"/>
            <w:vAlign w:val="center"/>
          </w:tcPr>
          <w:p>
            <w:pPr>
              <w:pStyle w:val="273"/>
              <w:jc w:val="left"/>
            </w:pPr>
            <w:r>
              <w:t>钢混结构，1层建筑，层高14m，建筑面积4800m</w:t>
            </w:r>
            <w:r>
              <w:rPr>
                <w:vertAlign w:val="superscript"/>
              </w:rPr>
              <w:t>2</w:t>
            </w:r>
            <w:r>
              <w:t>。包括焊接区、调校区、拼装区等。</w:t>
            </w:r>
          </w:p>
        </w:tc>
        <w:tc>
          <w:tcPr>
            <w:tcW w:w="568" w:type="pct"/>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6#车间</w:t>
            </w:r>
          </w:p>
        </w:tc>
        <w:tc>
          <w:tcPr>
            <w:tcW w:w="3201" w:type="pct"/>
            <w:vAlign w:val="center"/>
          </w:tcPr>
          <w:p>
            <w:pPr>
              <w:pStyle w:val="273"/>
              <w:jc w:val="left"/>
            </w:pPr>
            <w:r>
              <w:t>钢混结构，1层建筑，层高14m，建筑面积4800m</w:t>
            </w:r>
            <w:r>
              <w:rPr>
                <w:vertAlign w:val="superscript"/>
              </w:rPr>
              <w:t>2</w:t>
            </w:r>
            <w:r>
              <w:t>。包括焊接区、调校区、拼装区等。</w:t>
            </w:r>
          </w:p>
        </w:tc>
        <w:tc>
          <w:tcPr>
            <w:tcW w:w="568" w:type="pct"/>
            <w:vMerge w:val="continue"/>
            <w:vAlign w:val="center"/>
          </w:tcPr>
          <w:p>
            <w:pPr>
              <w:pStyle w:val="273"/>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restart"/>
            <w:vAlign w:val="center"/>
          </w:tcPr>
          <w:p>
            <w:pPr>
              <w:pStyle w:val="273"/>
            </w:pPr>
            <w:r>
              <w:t>辅助工程</w:t>
            </w:r>
          </w:p>
        </w:tc>
        <w:tc>
          <w:tcPr>
            <w:tcW w:w="860" w:type="pct"/>
            <w:gridSpan w:val="2"/>
            <w:vAlign w:val="center"/>
          </w:tcPr>
          <w:p>
            <w:pPr>
              <w:pStyle w:val="273"/>
            </w:pPr>
            <w:r>
              <w:t>办公楼</w:t>
            </w:r>
          </w:p>
        </w:tc>
        <w:tc>
          <w:tcPr>
            <w:tcW w:w="3201" w:type="pct"/>
            <w:vAlign w:val="center"/>
          </w:tcPr>
          <w:p>
            <w:pPr>
              <w:pStyle w:val="273"/>
              <w:jc w:val="left"/>
            </w:pPr>
            <w:r>
              <w:t>依托已建的A栋厂房，作为办公楼，建筑面积8815.15m</w:t>
            </w:r>
            <w:r>
              <w:rPr>
                <w:vertAlign w:val="superscript"/>
              </w:rPr>
              <w:t>2</w:t>
            </w:r>
            <w:r>
              <w:t>，钢混结构，4层建筑。布置办公室、食堂</w:t>
            </w:r>
            <w:r>
              <w:rPr>
                <w:rFonts w:hint="eastAsia"/>
              </w:rPr>
              <w:t>、住宿</w:t>
            </w:r>
            <w:r>
              <w:t>等。</w:t>
            </w:r>
          </w:p>
        </w:tc>
        <w:tc>
          <w:tcPr>
            <w:tcW w:w="568" w:type="pct"/>
            <w:vAlign w:val="center"/>
          </w:tcPr>
          <w:p>
            <w:pPr>
              <w:pStyle w:val="273"/>
            </w:pPr>
            <w: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门卫室</w:t>
            </w:r>
          </w:p>
        </w:tc>
        <w:tc>
          <w:tcPr>
            <w:tcW w:w="3201" w:type="pct"/>
            <w:vAlign w:val="center"/>
          </w:tcPr>
          <w:p>
            <w:pPr>
              <w:pStyle w:val="273"/>
              <w:jc w:val="left"/>
            </w:pPr>
            <w:r>
              <w:t>依托已建的门卫室，4间，1~2#门卫室面积13.2m</w:t>
            </w:r>
            <w:r>
              <w:rPr>
                <w:vertAlign w:val="superscript"/>
              </w:rPr>
              <w:t>2</w:t>
            </w:r>
            <w:r>
              <w:t>/间，3~4#门卫室面积29.61m</w:t>
            </w:r>
            <w:r>
              <w:rPr>
                <w:vertAlign w:val="superscript"/>
              </w:rPr>
              <w:t>2</w:t>
            </w:r>
            <w:r>
              <w:t>/间，位于厂区北侧各出入口旁。</w:t>
            </w:r>
          </w:p>
        </w:tc>
        <w:tc>
          <w:tcPr>
            <w:tcW w:w="568" w:type="pct"/>
            <w:vAlign w:val="center"/>
          </w:tcPr>
          <w:p>
            <w:pPr>
              <w:pStyle w:val="273"/>
            </w:pPr>
            <w: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restart"/>
            <w:tcBorders>
              <w:top w:val="single" w:color="auto" w:sz="4" w:space="0"/>
              <w:bottom w:val="single" w:color="auto" w:sz="4" w:space="0"/>
            </w:tcBorders>
            <w:vAlign w:val="center"/>
          </w:tcPr>
          <w:p>
            <w:pPr>
              <w:pStyle w:val="273"/>
            </w:pPr>
            <w:r>
              <w:t>公用工程</w:t>
            </w:r>
          </w:p>
        </w:tc>
        <w:tc>
          <w:tcPr>
            <w:tcW w:w="860" w:type="pct"/>
            <w:gridSpan w:val="2"/>
            <w:tcBorders>
              <w:top w:val="single" w:color="auto" w:sz="4" w:space="0"/>
              <w:bottom w:val="single" w:color="auto" w:sz="4" w:space="0"/>
            </w:tcBorders>
            <w:vAlign w:val="center"/>
          </w:tcPr>
          <w:p>
            <w:pPr>
              <w:pStyle w:val="273"/>
            </w:pPr>
            <w:r>
              <w:t>供水</w:t>
            </w:r>
          </w:p>
        </w:tc>
        <w:tc>
          <w:tcPr>
            <w:tcW w:w="3201" w:type="pct"/>
            <w:tcBorders>
              <w:top w:val="single" w:color="auto" w:sz="4" w:space="0"/>
              <w:bottom w:val="single" w:color="auto" w:sz="4" w:space="0"/>
            </w:tcBorders>
            <w:vAlign w:val="center"/>
          </w:tcPr>
          <w:p>
            <w:pPr>
              <w:pStyle w:val="273"/>
              <w:jc w:val="left"/>
            </w:pPr>
            <w:r>
              <w:t>园区供水管网供给，依托厂区已建供水管网。</w:t>
            </w:r>
          </w:p>
        </w:tc>
        <w:tc>
          <w:tcPr>
            <w:tcW w:w="568" w:type="pct"/>
            <w:tcBorders>
              <w:top w:val="single" w:color="auto" w:sz="4" w:space="0"/>
              <w:bottom w:val="single" w:color="auto" w:sz="4" w:space="0"/>
            </w:tcBorders>
            <w:vAlign w:val="center"/>
          </w:tcPr>
          <w:p>
            <w:pPr>
              <w:pStyle w:val="273"/>
            </w:pPr>
            <w: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tcBorders>
              <w:top w:val="single" w:color="auto" w:sz="4" w:space="0"/>
            </w:tcBorders>
            <w:vAlign w:val="center"/>
          </w:tcPr>
          <w:p>
            <w:pPr>
              <w:pStyle w:val="273"/>
            </w:pPr>
          </w:p>
        </w:tc>
        <w:tc>
          <w:tcPr>
            <w:tcW w:w="860" w:type="pct"/>
            <w:gridSpan w:val="2"/>
            <w:tcBorders>
              <w:top w:val="single" w:color="auto" w:sz="4" w:space="0"/>
            </w:tcBorders>
            <w:vAlign w:val="center"/>
          </w:tcPr>
          <w:p>
            <w:pPr>
              <w:pStyle w:val="273"/>
            </w:pPr>
            <w:r>
              <w:t>排水</w:t>
            </w:r>
          </w:p>
        </w:tc>
        <w:tc>
          <w:tcPr>
            <w:tcW w:w="3201" w:type="pct"/>
            <w:tcBorders>
              <w:top w:val="single" w:color="auto" w:sz="4" w:space="0"/>
            </w:tcBorders>
            <w:vAlign w:val="center"/>
          </w:tcPr>
          <w:p>
            <w:pPr>
              <w:pStyle w:val="273"/>
              <w:jc w:val="left"/>
            </w:pPr>
            <w:r>
              <w:t>雨污分流，雨水进入园区雨水管网；生产废水和生活污水依托厂区污水管网，再排入园区污水管网。</w:t>
            </w:r>
          </w:p>
        </w:tc>
        <w:tc>
          <w:tcPr>
            <w:tcW w:w="568" w:type="pct"/>
            <w:tcBorders>
              <w:top w:val="single" w:color="auto" w:sz="4" w:space="0"/>
            </w:tcBorders>
            <w:vAlign w:val="center"/>
          </w:tcPr>
          <w:p>
            <w:pPr>
              <w:pStyle w:val="273"/>
            </w:pPr>
            <w: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供电</w:t>
            </w:r>
          </w:p>
        </w:tc>
        <w:tc>
          <w:tcPr>
            <w:tcW w:w="3201" w:type="pct"/>
            <w:vAlign w:val="center"/>
          </w:tcPr>
          <w:p>
            <w:pPr>
              <w:pStyle w:val="273"/>
              <w:jc w:val="left"/>
            </w:pPr>
            <w:r>
              <w:t>园区电网供电，依托厂区供电管网。</w:t>
            </w:r>
          </w:p>
        </w:tc>
        <w:tc>
          <w:tcPr>
            <w:tcW w:w="568" w:type="pct"/>
            <w:vAlign w:val="center"/>
          </w:tcPr>
          <w:p>
            <w:pPr>
              <w:pStyle w:val="273"/>
            </w:pPr>
            <w: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压缩空气</w:t>
            </w:r>
          </w:p>
        </w:tc>
        <w:tc>
          <w:tcPr>
            <w:tcW w:w="3201" w:type="pct"/>
            <w:vAlign w:val="center"/>
          </w:tcPr>
          <w:p>
            <w:pPr>
              <w:pStyle w:val="273"/>
              <w:jc w:val="left"/>
            </w:pPr>
            <w:r>
              <w:t>螺杆空压机</w:t>
            </w:r>
            <w:r>
              <w:rPr>
                <w:rFonts w:hint="eastAsia"/>
              </w:rPr>
              <w:t>2</w:t>
            </w:r>
            <w:r>
              <w:t>台，功率110kW，排气压力1.2MPa，排气量22.2m</w:t>
            </w:r>
            <w:r>
              <w:rPr>
                <w:vertAlign w:val="superscript"/>
              </w:rPr>
              <w:t>3</w:t>
            </w:r>
            <w:r>
              <w:t>/min。为生产设备提供压缩空气。</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restart"/>
            <w:vAlign w:val="center"/>
          </w:tcPr>
          <w:p>
            <w:pPr>
              <w:pStyle w:val="273"/>
            </w:pPr>
            <w:r>
              <w:t>储运工程</w:t>
            </w:r>
          </w:p>
        </w:tc>
        <w:tc>
          <w:tcPr>
            <w:tcW w:w="860" w:type="pct"/>
            <w:gridSpan w:val="2"/>
            <w:vAlign w:val="center"/>
          </w:tcPr>
          <w:p>
            <w:pPr>
              <w:pStyle w:val="273"/>
            </w:pPr>
            <w:r>
              <w:t>钢板存放区</w:t>
            </w:r>
          </w:p>
        </w:tc>
        <w:tc>
          <w:tcPr>
            <w:tcW w:w="3201" w:type="pct"/>
            <w:vAlign w:val="center"/>
          </w:tcPr>
          <w:p>
            <w:pPr>
              <w:pStyle w:val="273"/>
              <w:jc w:val="left"/>
            </w:pPr>
            <w:r>
              <w:t>钢混结构，1层建筑，层高14m，建筑面积4686.51m</w:t>
            </w:r>
            <w:r>
              <w:rPr>
                <w:vertAlign w:val="superscript"/>
              </w:rPr>
              <w:t>2</w:t>
            </w:r>
            <w:r>
              <w:t>。存放钢板。</w:t>
            </w:r>
          </w:p>
        </w:tc>
        <w:tc>
          <w:tcPr>
            <w:tcW w:w="568" w:type="pct"/>
            <w:vAlign w:val="center"/>
          </w:tcPr>
          <w:p>
            <w:pPr>
              <w:pStyle w:val="273"/>
            </w:pPr>
            <w:r>
              <w:t>依托现有厂房结构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钢板/零件存放区</w:t>
            </w:r>
          </w:p>
        </w:tc>
        <w:tc>
          <w:tcPr>
            <w:tcW w:w="3201" w:type="pct"/>
            <w:vAlign w:val="center"/>
          </w:tcPr>
          <w:p>
            <w:pPr>
              <w:pStyle w:val="273"/>
            </w:pPr>
            <w:r>
              <w:t>各车间内均设有钢板/零件存放区。用于存放钢板、零件。</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rPr>
                <w:rFonts w:hint="eastAsia"/>
              </w:rPr>
              <w:t>油品库房</w:t>
            </w:r>
          </w:p>
        </w:tc>
        <w:tc>
          <w:tcPr>
            <w:tcW w:w="3201" w:type="pct"/>
            <w:vAlign w:val="center"/>
          </w:tcPr>
          <w:p>
            <w:pPr>
              <w:pStyle w:val="273"/>
              <w:jc w:val="left"/>
            </w:pPr>
            <w:r>
              <w:rPr>
                <w:rFonts w:hint="eastAsia"/>
              </w:rPr>
              <w:t>在</w:t>
            </w:r>
            <w:r>
              <w:t>6#</w:t>
            </w:r>
            <w:r>
              <w:rPr>
                <w:rFonts w:hint="eastAsia"/>
              </w:rPr>
              <w:t>车间设置油品库房，面积约1</w:t>
            </w:r>
            <w:r>
              <w:t>0</w:t>
            </w:r>
            <w:r>
              <w:rPr>
                <w:rFonts w:hint="eastAsia"/>
              </w:rPr>
              <w:t>m</w:t>
            </w:r>
            <w:r>
              <w:rPr>
                <w:vertAlign w:val="superscript"/>
              </w:rPr>
              <w:t>2</w:t>
            </w:r>
            <w:r>
              <w:rPr>
                <w:rFonts w:hint="eastAsia"/>
              </w:rPr>
              <w:t>，用于存放润滑油、切削液、空压机油。</w:t>
            </w:r>
          </w:p>
        </w:tc>
        <w:tc>
          <w:tcPr>
            <w:tcW w:w="568"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860" w:type="pct"/>
            <w:gridSpan w:val="2"/>
            <w:vAlign w:val="center"/>
          </w:tcPr>
          <w:p>
            <w:pPr>
              <w:pStyle w:val="273"/>
            </w:pPr>
            <w:r>
              <w:t>运输</w:t>
            </w:r>
          </w:p>
        </w:tc>
        <w:tc>
          <w:tcPr>
            <w:tcW w:w="3201" w:type="pct"/>
            <w:vAlign w:val="center"/>
          </w:tcPr>
          <w:p>
            <w:pPr>
              <w:pStyle w:val="273"/>
            </w:pPr>
            <w:r>
              <w:t>厂内运输采用电动平车和桁车运输。</w:t>
            </w:r>
          </w:p>
          <w:p>
            <w:pPr>
              <w:pStyle w:val="273"/>
            </w:pPr>
            <w:r>
              <w:t>厂外运输采用货车运输。</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restart"/>
            <w:vAlign w:val="center"/>
          </w:tcPr>
          <w:p>
            <w:pPr>
              <w:pStyle w:val="273"/>
            </w:pPr>
            <w:r>
              <w:t>环保工程</w:t>
            </w:r>
          </w:p>
        </w:tc>
        <w:tc>
          <w:tcPr>
            <w:tcW w:w="244" w:type="pct"/>
            <w:vMerge w:val="restart"/>
            <w:vAlign w:val="center"/>
          </w:tcPr>
          <w:p>
            <w:pPr>
              <w:pStyle w:val="273"/>
            </w:pPr>
            <w:r>
              <w:t>废气</w:t>
            </w:r>
          </w:p>
        </w:tc>
        <w:tc>
          <w:tcPr>
            <w:tcW w:w="616" w:type="pct"/>
            <w:vAlign w:val="center"/>
          </w:tcPr>
          <w:p>
            <w:pPr>
              <w:pStyle w:val="273"/>
            </w:pPr>
            <w:r>
              <w:rPr>
                <w:rFonts w:hint="eastAsia"/>
              </w:rPr>
              <w:t>切割粉尘</w:t>
            </w:r>
          </w:p>
        </w:tc>
        <w:tc>
          <w:tcPr>
            <w:tcW w:w="3201" w:type="pct"/>
            <w:vAlign w:val="center"/>
          </w:tcPr>
          <w:p>
            <w:pPr>
              <w:pStyle w:val="273"/>
              <w:jc w:val="left"/>
            </w:pPr>
            <w:r>
              <w:rPr>
                <w:rFonts w:hint="eastAsia"/>
              </w:rPr>
              <w:t>新建1</w:t>
            </w:r>
            <w:r>
              <w:t>#</w:t>
            </w:r>
            <w:r>
              <w:rPr>
                <w:rFonts w:hint="eastAsia"/>
              </w:rPr>
              <w:t>废气处理设施：设计风量3</w:t>
            </w:r>
            <w:r>
              <w:t>0000</w:t>
            </w:r>
            <w:r>
              <w:rPr>
                <w:rFonts w:hint="eastAsia"/>
              </w:rPr>
              <w:t>m</w:t>
            </w:r>
            <w:r>
              <w:rPr>
                <w:vertAlign w:val="superscript"/>
              </w:rPr>
              <w:t>3</w:t>
            </w:r>
            <w:r>
              <w:t>/</w:t>
            </w:r>
            <w:r>
              <w:rPr>
                <w:rFonts w:hint="eastAsia"/>
              </w:rPr>
              <w:t>h，在等离子切割机、激光切割机、火焰切割机和相贯线切割机分别设置集气罩，切割粉尘收集后经1</w:t>
            </w:r>
            <w:r>
              <w:t>#</w:t>
            </w:r>
            <w:r>
              <w:rPr>
                <w:rFonts w:hint="eastAsia"/>
              </w:rPr>
              <w:t>废气处理设施“滤筒除尘器”处理后经1根2</w:t>
            </w:r>
            <w:r>
              <w:t>0</w:t>
            </w:r>
            <w:r>
              <w:rPr>
                <w:rFonts w:hint="eastAsia"/>
              </w:rPr>
              <w:t>m高排气筒（D</w:t>
            </w:r>
            <w:r>
              <w:t>A001</w:t>
            </w:r>
            <w:r>
              <w:rPr>
                <w:rFonts w:hint="eastAsia"/>
              </w:rPr>
              <w:t>）排放。</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continue"/>
            <w:vAlign w:val="center"/>
          </w:tcPr>
          <w:p>
            <w:pPr>
              <w:pStyle w:val="273"/>
            </w:pPr>
          </w:p>
        </w:tc>
        <w:tc>
          <w:tcPr>
            <w:tcW w:w="616" w:type="pct"/>
            <w:vAlign w:val="center"/>
          </w:tcPr>
          <w:p>
            <w:pPr>
              <w:pStyle w:val="273"/>
            </w:pPr>
            <w:r>
              <w:rPr>
                <w:rFonts w:hint="eastAsia"/>
              </w:rPr>
              <w:t>焊接烟尘</w:t>
            </w:r>
          </w:p>
        </w:tc>
        <w:tc>
          <w:tcPr>
            <w:tcW w:w="3201" w:type="pct"/>
            <w:vAlign w:val="center"/>
          </w:tcPr>
          <w:p>
            <w:pPr>
              <w:pStyle w:val="273"/>
              <w:jc w:val="left"/>
            </w:pPr>
            <w:r>
              <w:rPr>
                <w:rFonts w:hint="eastAsia"/>
              </w:rPr>
              <w:t>各焊接工位设置移动式焊烟净化器，焊接烟尘经处理后无组织排放。</w:t>
            </w:r>
          </w:p>
        </w:tc>
        <w:tc>
          <w:tcPr>
            <w:tcW w:w="568"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restart"/>
            <w:vAlign w:val="center"/>
          </w:tcPr>
          <w:p>
            <w:pPr>
              <w:pStyle w:val="273"/>
            </w:pPr>
            <w:r>
              <w:t>废水</w:t>
            </w:r>
          </w:p>
        </w:tc>
        <w:tc>
          <w:tcPr>
            <w:tcW w:w="616" w:type="pct"/>
            <w:vAlign w:val="center"/>
          </w:tcPr>
          <w:p>
            <w:pPr>
              <w:pStyle w:val="273"/>
            </w:pPr>
            <w:r>
              <w:rPr>
                <w:rFonts w:hint="eastAsia"/>
              </w:rPr>
              <w:t>食堂废水</w:t>
            </w:r>
          </w:p>
        </w:tc>
        <w:tc>
          <w:tcPr>
            <w:tcW w:w="3201"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新建1</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隔油沉淀设施：处理规模5m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d，食堂废水经隔油沉淀预处理后排入1</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生化池。</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continue"/>
            <w:vAlign w:val="center"/>
          </w:tcPr>
          <w:p>
            <w:pPr>
              <w:pStyle w:val="273"/>
            </w:pPr>
          </w:p>
        </w:tc>
        <w:tc>
          <w:tcPr>
            <w:tcW w:w="616" w:type="pct"/>
            <w:vAlign w:val="center"/>
          </w:tcPr>
          <w:p>
            <w:pPr>
              <w:pStyle w:val="273"/>
            </w:pPr>
            <w:r>
              <w:rPr>
                <w:rFonts w:hint="eastAsia"/>
              </w:rPr>
              <w:t>员工洗手废水、车间地面清洁废水</w:t>
            </w:r>
          </w:p>
        </w:tc>
        <w:tc>
          <w:tcPr>
            <w:tcW w:w="3201"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新建2</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隔油沉淀设施：处理规模</w:t>
            </w:r>
            <w:r>
              <w:rPr>
                <w:rFonts w:eastAsia="宋体"/>
                <w:bCs/>
                <w:color w:val="000000" w:themeColor="text1"/>
                <w:sz w:val="21"/>
                <w:szCs w:val="21"/>
                <w14:textFill>
                  <w14:solidFill>
                    <w14:schemeClr w14:val="tx1"/>
                  </w14:solidFill>
                </w14:textFill>
              </w:rPr>
              <w:t>8</w:t>
            </w:r>
            <w:r>
              <w:rPr>
                <w:rFonts w:hint="eastAsia"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d，员工洗手废水、车间地面清洁废水经隔油沉淀预处理后排入1</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生化池。</w:t>
            </w:r>
          </w:p>
        </w:tc>
        <w:tc>
          <w:tcPr>
            <w:tcW w:w="568"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continue"/>
            <w:vAlign w:val="center"/>
          </w:tcPr>
          <w:p>
            <w:pPr>
              <w:pStyle w:val="273"/>
            </w:pPr>
          </w:p>
        </w:tc>
        <w:tc>
          <w:tcPr>
            <w:tcW w:w="616" w:type="pct"/>
            <w:vAlign w:val="center"/>
          </w:tcPr>
          <w:p>
            <w:pPr>
              <w:pStyle w:val="273"/>
            </w:pPr>
            <w:r>
              <w:rPr>
                <w:rFonts w:hint="eastAsia"/>
              </w:rPr>
              <w:t>生活污水</w:t>
            </w:r>
          </w:p>
        </w:tc>
        <w:tc>
          <w:tcPr>
            <w:tcW w:w="3201"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新建1</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生化池：处理规模6</w:t>
            </w:r>
            <w:r>
              <w:rPr>
                <w:rFonts w:eastAsia="宋体"/>
                <w:bCs/>
                <w:color w:val="000000" w:themeColor="text1"/>
                <w:sz w:val="21"/>
                <w:szCs w:val="21"/>
                <w14:textFill>
                  <w14:solidFill>
                    <w14:schemeClr w14:val="tx1"/>
                  </w14:solidFill>
                </w14:textFill>
              </w:rPr>
              <w:t>0</w:t>
            </w:r>
            <w:r>
              <w:rPr>
                <w:rFonts w:hint="eastAsia"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d，预处理后的员工洗手废水、车间地面清洁废水、食堂废水和生活污水一起经生化池处理达标后排入市政污水管网，进双桥工业园区污水处理厂深度处理，然后排入苦水河。</w:t>
            </w:r>
          </w:p>
        </w:tc>
        <w:tc>
          <w:tcPr>
            <w:tcW w:w="568"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restart"/>
            <w:vAlign w:val="center"/>
          </w:tcPr>
          <w:p>
            <w:pPr>
              <w:pStyle w:val="273"/>
            </w:pPr>
            <w:r>
              <w:t>固体废物</w:t>
            </w:r>
          </w:p>
        </w:tc>
        <w:tc>
          <w:tcPr>
            <w:tcW w:w="616" w:type="pct"/>
            <w:vAlign w:val="center"/>
          </w:tcPr>
          <w:p>
            <w:pPr>
              <w:pStyle w:val="273"/>
            </w:pPr>
            <w:r>
              <w:rPr>
                <w:rFonts w:hint="eastAsia"/>
              </w:rPr>
              <w:t>一般工业固体废物</w:t>
            </w:r>
          </w:p>
        </w:tc>
        <w:tc>
          <w:tcPr>
            <w:tcW w:w="3201" w:type="pct"/>
            <w:vAlign w:val="center"/>
          </w:tcPr>
          <w:p>
            <w:pPr>
              <w:pStyle w:val="273"/>
              <w:jc w:val="left"/>
            </w:pPr>
            <w:r>
              <w:rPr>
                <w:rFonts w:hint="eastAsia"/>
              </w:rPr>
              <w:t>新建1</w:t>
            </w:r>
            <w:r>
              <w:t>#</w:t>
            </w:r>
            <w:r>
              <w:rPr>
                <w:rFonts w:hint="eastAsia"/>
              </w:rPr>
              <w:t>一般固废暂存间：位于2#车间外南侧，面积1</w:t>
            </w:r>
            <w:r>
              <w:t>0</w:t>
            </w:r>
            <w:r>
              <w:rPr>
                <w:rFonts w:hint="eastAsia"/>
              </w:rPr>
              <w:t>m</w:t>
            </w:r>
            <w:r>
              <w:rPr>
                <w:vertAlign w:val="superscript"/>
              </w:rPr>
              <w:t>2</w:t>
            </w:r>
            <w:r>
              <w:rPr>
                <w:rFonts w:hint="eastAsia"/>
              </w:rPr>
              <w:t>，用于暂存边角料、焊渣、收尘灰、废包装材料等。满足相应防渗漏、防雨淋、防扬尘等环境保护要求。生化池污泥委第三方有资质公司定期清掏，交环卫部门处理。</w:t>
            </w:r>
          </w:p>
        </w:tc>
        <w:tc>
          <w:tcPr>
            <w:tcW w:w="568"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continue"/>
            <w:vAlign w:val="center"/>
          </w:tcPr>
          <w:p>
            <w:pPr>
              <w:pStyle w:val="273"/>
            </w:pPr>
          </w:p>
        </w:tc>
        <w:tc>
          <w:tcPr>
            <w:tcW w:w="616" w:type="pct"/>
            <w:vAlign w:val="center"/>
          </w:tcPr>
          <w:p>
            <w:pPr>
              <w:pStyle w:val="273"/>
            </w:pPr>
            <w:r>
              <w:rPr>
                <w:rFonts w:hint="eastAsia"/>
              </w:rPr>
              <w:t>危险废物</w:t>
            </w:r>
          </w:p>
        </w:tc>
        <w:tc>
          <w:tcPr>
            <w:tcW w:w="3201" w:type="pct"/>
            <w:vAlign w:val="center"/>
          </w:tcPr>
          <w:p>
            <w:pPr>
              <w:pStyle w:val="273"/>
              <w:jc w:val="left"/>
            </w:pPr>
            <w:r>
              <w:rPr>
                <w:rFonts w:hint="eastAsia"/>
              </w:rPr>
              <w:t>新建1</w:t>
            </w:r>
            <w:r>
              <w:t>#</w:t>
            </w:r>
            <w:r>
              <w:rPr>
                <w:rFonts w:hint="eastAsia"/>
              </w:rPr>
              <w:t>危废暂存间：位于2</w:t>
            </w:r>
            <w:r>
              <w:t>#</w:t>
            </w:r>
            <w:r>
              <w:rPr>
                <w:rFonts w:hint="eastAsia"/>
              </w:rPr>
              <w:t>车间东侧，面积1</w:t>
            </w:r>
            <w:r>
              <w:t>0</w:t>
            </w:r>
            <w:r>
              <w:rPr>
                <w:rFonts w:hint="eastAsia"/>
              </w:rPr>
              <w:t>m</w:t>
            </w:r>
            <w:r>
              <w:rPr>
                <w:vertAlign w:val="superscript"/>
              </w:rPr>
              <w:t>2</w:t>
            </w:r>
            <w:r>
              <w:rPr>
                <w:rFonts w:hint="eastAsia"/>
              </w:rPr>
              <w:t>，用于暂存废含油金属屑、废切削液、废润滑油、废油桶等。按照《危险废物贮存污染控制标准》</w:t>
            </w:r>
            <w:r>
              <w:rPr>
                <w:rFonts w:hint="eastAsia"/>
                <w:lang w:eastAsia="zh-CN"/>
              </w:rPr>
              <w:t>（</w:t>
            </w:r>
            <w:r>
              <w:rPr>
                <w:rFonts w:hint="eastAsia"/>
              </w:rPr>
              <w:t>GB18579-2023）等相关要求，做好“防风、防雨、防晒、防渗、防腐、防漏”六防措施，设置防漏托盘，并设置收集沟和收集井。</w:t>
            </w:r>
          </w:p>
        </w:tc>
        <w:tc>
          <w:tcPr>
            <w:tcW w:w="568"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1" w:type="pct"/>
            <w:vMerge w:val="continue"/>
            <w:vAlign w:val="center"/>
          </w:tcPr>
          <w:p>
            <w:pPr>
              <w:pStyle w:val="273"/>
            </w:pPr>
          </w:p>
        </w:tc>
        <w:tc>
          <w:tcPr>
            <w:tcW w:w="244" w:type="pct"/>
            <w:vMerge w:val="continue"/>
            <w:vAlign w:val="center"/>
          </w:tcPr>
          <w:p>
            <w:pPr>
              <w:pStyle w:val="273"/>
            </w:pPr>
          </w:p>
        </w:tc>
        <w:tc>
          <w:tcPr>
            <w:tcW w:w="616" w:type="pct"/>
            <w:vAlign w:val="center"/>
          </w:tcPr>
          <w:p>
            <w:pPr>
              <w:pStyle w:val="273"/>
            </w:pPr>
            <w:r>
              <w:rPr>
                <w:rFonts w:hint="eastAsia"/>
              </w:rPr>
              <w:t>生活垃圾、餐厨垃圾</w:t>
            </w:r>
          </w:p>
        </w:tc>
        <w:tc>
          <w:tcPr>
            <w:tcW w:w="3201" w:type="pct"/>
            <w:vAlign w:val="center"/>
          </w:tcPr>
          <w:p>
            <w:pPr>
              <w:pStyle w:val="273"/>
              <w:jc w:val="left"/>
            </w:pPr>
            <w:r>
              <w:rPr>
                <w:rFonts w:hint="eastAsia"/>
              </w:rPr>
              <w:t>生活垃圾分类袋装收集后存放于垃圾桶，定期交环卫部门统一处理。餐厨垃圾和废油脂定期交由资质单位处理。</w:t>
            </w:r>
          </w:p>
        </w:tc>
        <w:tc>
          <w:tcPr>
            <w:tcW w:w="568" w:type="pct"/>
            <w:vAlign w:val="center"/>
          </w:tcPr>
          <w:p>
            <w:pPr>
              <w:pStyle w:val="273"/>
            </w:pPr>
            <w:r>
              <w:rPr>
                <w:rFonts w:hint="eastAsia"/>
              </w:rPr>
              <w:t>新建</w:t>
            </w:r>
          </w:p>
        </w:tc>
      </w:tr>
    </w:tbl>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96" w:name="_Toc489281027"/>
      <w:bookmarkStart w:id="97" w:name="_Toc14961"/>
      <w:bookmarkStart w:id="98" w:name="_Toc490235528"/>
      <w:r>
        <w:rPr>
          <w:rFonts w:eastAsia="宋体"/>
          <w:b/>
          <w:bCs/>
          <w:color w:val="000000" w:themeColor="text1"/>
          <w14:textFill>
            <w14:solidFill>
              <w14:schemeClr w14:val="tx1"/>
            </w14:solidFill>
          </w14:textFill>
        </w:rPr>
        <w:t>表2.1-4  项目2号地块组成一览表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60"/>
        <w:gridCol w:w="1305"/>
        <w:gridCol w:w="6238"/>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tcBorders>
              <w:top w:val="single" w:color="auto" w:sz="12" w:space="0"/>
            </w:tcBorders>
            <w:vAlign w:val="center"/>
          </w:tcPr>
          <w:p>
            <w:pPr>
              <w:pStyle w:val="273"/>
              <w:rPr>
                <w:b/>
              </w:rPr>
            </w:pPr>
            <w:r>
              <w:rPr>
                <w:b/>
              </w:rPr>
              <w:t>组成</w:t>
            </w:r>
          </w:p>
        </w:tc>
        <w:tc>
          <w:tcPr>
            <w:tcW w:w="936" w:type="pct"/>
            <w:gridSpan w:val="2"/>
            <w:tcBorders>
              <w:top w:val="single" w:color="auto" w:sz="12" w:space="0"/>
            </w:tcBorders>
            <w:vAlign w:val="center"/>
          </w:tcPr>
          <w:p>
            <w:pPr>
              <w:pStyle w:val="273"/>
              <w:rPr>
                <w:b/>
              </w:rPr>
            </w:pPr>
            <w:r>
              <w:rPr>
                <w:b/>
              </w:rPr>
              <w:t>类别</w:t>
            </w:r>
          </w:p>
        </w:tc>
        <w:tc>
          <w:tcPr>
            <w:tcW w:w="3308" w:type="pct"/>
            <w:tcBorders>
              <w:top w:val="single" w:color="auto" w:sz="12" w:space="0"/>
            </w:tcBorders>
            <w:vAlign w:val="center"/>
          </w:tcPr>
          <w:p>
            <w:pPr>
              <w:pStyle w:val="273"/>
              <w:rPr>
                <w:b/>
              </w:rPr>
            </w:pPr>
            <w:r>
              <w:rPr>
                <w:b/>
              </w:rPr>
              <w:t>建设内容及规模</w:t>
            </w:r>
          </w:p>
        </w:tc>
        <w:tc>
          <w:tcPr>
            <w:tcW w:w="384" w:type="pct"/>
            <w:tcBorders>
              <w:top w:val="single" w:color="auto" w:sz="12" w:space="0"/>
            </w:tcBorders>
            <w:vAlign w:val="center"/>
          </w:tcPr>
          <w:p>
            <w:pPr>
              <w:pStyle w:val="273"/>
              <w:rPr>
                <w:b/>
              </w:rPr>
            </w:pPr>
            <w:r>
              <w:rPr>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restart"/>
            <w:vAlign w:val="center"/>
          </w:tcPr>
          <w:p>
            <w:pPr>
              <w:pStyle w:val="273"/>
            </w:pPr>
            <w:r>
              <w:t>主体工程</w:t>
            </w:r>
          </w:p>
        </w:tc>
        <w:tc>
          <w:tcPr>
            <w:tcW w:w="936" w:type="pct"/>
            <w:gridSpan w:val="2"/>
            <w:vAlign w:val="center"/>
          </w:tcPr>
          <w:p>
            <w:pPr>
              <w:pStyle w:val="273"/>
            </w:pPr>
            <w:r>
              <w:t>涂装车间</w:t>
            </w:r>
          </w:p>
        </w:tc>
        <w:tc>
          <w:tcPr>
            <w:tcW w:w="3308" w:type="pct"/>
            <w:vAlign w:val="center"/>
          </w:tcPr>
          <w:p>
            <w:pPr>
              <w:pStyle w:val="273"/>
              <w:jc w:val="left"/>
            </w:pPr>
            <w:r>
              <w:rPr>
                <w:rFonts w:hint="eastAsia"/>
              </w:rPr>
              <w:t>钢结构，</w:t>
            </w:r>
            <w:r>
              <w:t>1层建筑，长×宽×高为26×6×7m，建筑面积156m</w:t>
            </w:r>
            <w:r>
              <w:rPr>
                <w:vertAlign w:val="superscript"/>
              </w:rPr>
              <w:t>2</w:t>
            </w:r>
            <w:r>
              <w:t>。</w:t>
            </w:r>
            <w:r>
              <w:rPr>
                <w:rFonts w:hint="eastAsia"/>
              </w:rPr>
              <w:t>项目工件长1</w:t>
            </w:r>
            <w:r>
              <w:t>2</w:t>
            </w:r>
            <w:r>
              <w:rPr>
                <w:rFonts w:hint="eastAsia"/>
              </w:rPr>
              <w:t>m，最宽</w:t>
            </w:r>
            <w:r>
              <w:t>0.302</w:t>
            </w:r>
            <w:r>
              <w:rPr>
                <w:rFonts w:hint="eastAsia"/>
              </w:rPr>
              <w:t>m，最高1</w:t>
            </w:r>
            <w:r>
              <w:t>.008</w:t>
            </w:r>
            <w:r>
              <w:rPr>
                <w:rFonts w:hint="eastAsia"/>
              </w:rPr>
              <w:t>m，涂装车间尺寸可满足工件进出条件，能同时容纳多件工件。</w:t>
            </w:r>
          </w:p>
          <w:p>
            <w:pPr>
              <w:pStyle w:val="273"/>
              <w:jc w:val="left"/>
            </w:pPr>
            <w:r>
              <w:rPr>
                <w:rFonts w:hint="eastAsia"/>
              </w:rPr>
              <w:t>房顶为轨道伸缩棚，侧墙面固定。</w:t>
            </w:r>
            <w:r>
              <w:t>用于钢结构件喷漆，内设</w:t>
            </w:r>
            <w:r>
              <w:rPr>
                <w:rFonts w:hint="eastAsia"/>
              </w:rPr>
              <w:t>2个喷漆工位，每个工位设</w:t>
            </w:r>
            <w:r>
              <w:t>1台无气喷涂机</w:t>
            </w:r>
            <w:r>
              <w:rPr>
                <w:rFonts w:hint="eastAsia"/>
              </w:rPr>
              <w:t>，</w:t>
            </w:r>
            <w:r>
              <w:t>采用高压无气</w:t>
            </w:r>
            <w:r>
              <w:rPr>
                <w:rFonts w:hint="eastAsia"/>
              </w:rPr>
              <w:t>喷涂</w:t>
            </w:r>
            <w:r>
              <w:t>。</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936" w:type="pct"/>
            <w:gridSpan w:val="2"/>
            <w:vAlign w:val="center"/>
          </w:tcPr>
          <w:p>
            <w:pPr>
              <w:pStyle w:val="273"/>
            </w:pPr>
            <w:r>
              <w:t>喷砂车间</w:t>
            </w:r>
          </w:p>
        </w:tc>
        <w:tc>
          <w:tcPr>
            <w:tcW w:w="3308" w:type="pct"/>
            <w:vAlign w:val="center"/>
          </w:tcPr>
          <w:p>
            <w:pPr>
              <w:pStyle w:val="273"/>
              <w:jc w:val="left"/>
            </w:pPr>
            <w:r>
              <w:t>钢结构，1层建筑，层高7m，建筑面积360m</w:t>
            </w:r>
            <w:r>
              <w:rPr>
                <w:vertAlign w:val="superscript"/>
              </w:rPr>
              <w:t>2</w:t>
            </w:r>
            <w:r>
              <w:t>。用于钢结构</w:t>
            </w:r>
            <w:r>
              <w:rPr>
                <w:rFonts w:hint="eastAsia"/>
              </w:rPr>
              <w:t>件</w:t>
            </w:r>
            <w:r>
              <w:t>喷砂工序。</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Align w:val="center"/>
          </w:tcPr>
          <w:p>
            <w:pPr>
              <w:pStyle w:val="273"/>
            </w:pPr>
            <w:r>
              <w:t>辅助工程</w:t>
            </w:r>
          </w:p>
        </w:tc>
        <w:tc>
          <w:tcPr>
            <w:tcW w:w="936" w:type="pct"/>
            <w:gridSpan w:val="2"/>
            <w:vAlign w:val="center"/>
          </w:tcPr>
          <w:p>
            <w:pPr>
              <w:pStyle w:val="273"/>
            </w:pPr>
            <w:r>
              <w:t>办公楼</w:t>
            </w:r>
          </w:p>
        </w:tc>
        <w:tc>
          <w:tcPr>
            <w:tcW w:w="3308" w:type="pct"/>
            <w:vAlign w:val="center"/>
          </w:tcPr>
          <w:p>
            <w:pPr>
              <w:pStyle w:val="273"/>
              <w:jc w:val="left"/>
            </w:pPr>
            <w:r>
              <w:t>钢混结构，3层建筑，建筑面积</w:t>
            </w:r>
            <w:r>
              <w:rPr>
                <w:rFonts w:hint="eastAsia"/>
              </w:rPr>
              <w:t>约1</w:t>
            </w:r>
            <w:r>
              <w:t>200m</w:t>
            </w:r>
            <w:r>
              <w:rPr>
                <w:vertAlign w:val="superscript"/>
              </w:rPr>
              <w:t>2</w:t>
            </w:r>
            <w:r>
              <w:t>。布置办公室、食堂、倒班</w:t>
            </w:r>
            <w:r>
              <w:rPr>
                <w:rFonts w:hint="eastAsia"/>
              </w:rPr>
              <w:t>、住宿</w:t>
            </w:r>
            <w:r>
              <w:t>等。</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restart"/>
            <w:tcBorders>
              <w:top w:val="single" w:color="auto" w:sz="4" w:space="0"/>
              <w:bottom w:val="single" w:color="auto" w:sz="4" w:space="0"/>
            </w:tcBorders>
            <w:vAlign w:val="center"/>
          </w:tcPr>
          <w:p>
            <w:pPr>
              <w:pStyle w:val="273"/>
            </w:pPr>
            <w:r>
              <w:t>公用工程</w:t>
            </w:r>
          </w:p>
        </w:tc>
        <w:tc>
          <w:tcPr>
            <w:tcW w:w="936" w:type="pct"/>
            <w:gridSpan w:val="2"/>
            <w:tcBorders>
              <w:top w:val="single" w:color="auto" w:sz="4" w:space="0"/>
              <w:bottom w:val="single" w:color="auto" w:sz="4" w:space="0"/>
            </w:tcBorders>
            <w:vAlign w:val="center"/>
          </w:tcPr>
          <w:p>
            <w:pPr>
              <w:pStyle w:val="273"/>
            </w:pPr>
            <w:r>
              <w:t>供水</w:t>
            </w:r>
          </w:p>
        </w:tc>
        <w:tc>
          <w:tcPr>
            <w:tcW w:w="3308" w:type="pct"/>
            <w:tcBorders>
              <w:top w:val="single" w:color="auto" w:sz="4" w:space="0"/>
              <w:bottom w:val="single" w:color="auto" w:sz="4" w:space="0"/>
            </w:tcBorders>
            <w:vAlign w:val="center"/>
          </w:tcPr>
          <w:p>
            <w:pPr>
              <w:pStyle w:val="273"/>
            </w:pPr>
            <w:r>
              <w:t>园区供水管网供给，厂区新建供水管网。</w:t>
            </w:r>
          </w:p>
        </w:tc>
        <w:tc>
          <w:tcPr>
            <w:tcW w:w="384" w:type="pct"/>
            <w:tcBorders>
              <w:top w:val="single" w:color="auto" w:sz="4" w:space="0"/>
              <w:bottom w:val="single" w:color="auto" w:sz="4" w:space="0"/>
            </w:tcBorders>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tcBorders>
              <w:top w:val="single" w:color="auto" w:sz="4" w:space="0"/>
            </w:tcBorders>
            <w:vAlign w:val="center"/>
          </w:tcPr>
          <w:p>
            <w:pPr>
              <w:pStyle w:val="273"/>
            </w:pPr>
          </w:p>
        </w:tc>
        <w:tc>
          <w:tcPr>
            <w:tcW w:w="936" w:type="pct"/>
            <w:gridSpan w:val="2"/>
            <w:tcBorders>
              <w:top w:val="single" w:color="auto" w:sz="4" w:space="0"/>
            </w:tcBorders>
            <w:vAlign w:val="center"/>
          </w:tcPr>
          <w:p>
            <w:pPr>
              <w:pStyle w:val="273"/>
            </w:pPr>
            <w:r>
              <w:t>排水</w:t>
            </w:r>
          </w:p>
        </w:tc>
        <w:tc>
          <w:tcPr>
            <w:tcW w:w="3308" w:type="pct"/>
            <w:tcBorders>
              <w:top w:val="single" w:color="auto" w:sz="4" w:space="0"/>
            </w:tcBorders>
            <w:vAlign w:val="center"/>
          </w:tcPr>
          <w:p>
            <w:pPr>
              <w:pStyle w:val="273"/>
              <w:jc w:val="left"/>
            </w:pPr>
            <w:r>
              <w:t>采取雨污分流制，厂区新建雨水管网和污水管网。雨水进入园区雨水管网；生产废水和生活污水经厂区污水管网排入园区污水管网。</w:t>
            </w:r>
          </w:p>
        </w:tc>
        <w:tc>
          <w:tcPr>
            <w:tcW w:w="384" w:type="pct"/>
            <w:tcBorders>
              <w:top w:val="single" w:color="auto" w:sz="4" w:space="0"/>
            </w:tcBorders>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936" w:type="pct"/>
            <w:gridSpan w:val="2"/>
            <w:vAlign w:val="center"/>
          </w:tcPr>
          <w:p>
            <w:pPr>
              <w:pStyle w:val="273"/>
            </w:pPr>
            <w:r>
              <w:t>供电</w:t>
            </w:r>
          </w:p>
        </w:tc>
        <w:tc>
          <w:tcPr>
            <w:tcW w:w="3308" w:type="pct"/>
            <w:vAlign w:val="center"/>
          </w:tcPr>
          <w:p>
            <w:pPr>
              <w:pStyle w:val="273"/>
              <w:jc w:val="left"/>
            </w:pPr>
            <w:r>
              <w:t>园区电网供电，厂区新建变压器房1间</w:t>
            </w:r>
            <w:r>
              <w:rPr>
                <w:rFonts w:hint="eastAsia"/>
              </w:rPr>
              <w:t>（面积约2</w:t>
            </w:r>
            <w:r>
              <w:t>0</w:t>
            </w:r>
            <w:r>
              <w:rPr>
                <w:rFonts w:hint="eastAsia"/>
              </w:rPr>
              <w:t>m</w:t>
            </w:r>
            <w:r>
              <w:rPr>
                <w:vertAlign w:val="superscript"/>
              </w:rPr>
              <w:t>2</w:t>
            </w:r>
            <w:r>
              <w:rPr>
                <w:rFonts w:hint="eastAsia"/>
              </w:rPr>
              <w:t>）</w:t>
            </w:r>
            <w:r>
              <w:t>，设置1台500kV/A变压器。</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936" w:type="pct"/>
            <w:gridSpan w:val="2"/>
            <w:vAlign w:val="center"/>
          </w:tcPr>
          <w:p>
            <w:pPr>
              <w:pStyle w:val="273"/>
            </w:pPr>
            <w:r>
              <w:t>压缩空气</w:t>
            </w:r>
          </w:p>
        </w:tc>
        <w:tc>
          <w:tcPr>
            <w:tcW w:w="3308" w:type="pct"/>
            <w:vAlign w:val="center"/>
          </w:tcPr>
          <w:p>
            <w:pPr>
              <w:pStyle w:val="273"/>
              <w:jc w:val="left"/>
            </w:pPr>
            <w:r>
              <w:rPr>
                <w:rFonts w:hint="eastAsia"/>
              </w:rPr>
              <w:t>空压机房1座，面积约</w:t>
            </w:r>
            <w:r>
              <w:t>15</w:t>
            </w:r>
            <w:r>
              <w:rPr>
                <w:rFonts w:hint="eastAsia"/>
              </w:rPr>
              <w:t>m</w:t>
            </w:r>
            <w:r>
              <w:rPr>
                <w:vertAlign w:val="superscript"/>
              </w:rPr>
              <w:t>2</w:t>
            </w:r>
            <w:r>
              <w:rPr>
                <w:rFonts w:hint="eastAsia"/>
              </w:rPr>
              <w:t>，设</w:t>
            </w:r>
            <w:r>
              <w:t>螺杆空压机2台，功率100kW，排气压力1.2MPa，排气量22.2m</w:t>
            </w:r>
            <w:r>
              <w:rPr>
                <w:vertAlign w:val="superscript"/>
              </w:rPr>
              <w:t>3</w:t>
            </w:r>
            <w:r>
              <w:t>/min。为生产设备提供压缩空气。</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restart"/>
            <w:vAlign w:val="center"/>
          </w:tcPr>
          <w:p>
            <w:pPr>
              <w:pStyle w:val="273"/>
            </w:pPr>
            <w:r>
              <w:t>储运工程</w:t>
            </w:r>
          </w:p>
        </w:tc>
        <w:tc>
          <w:tcPr>
            <w:tcW w:w="936" w:type="pct"/>
            <w:gridSpan w:val="2"/>
            <w:vAlign w:val="center"/>
          </w:tcPr>
          <w:p>
            <w:pPr>
              <w:pStyle w:val="273"/>
            </w:pPr>
            <w:r>
              <w:rPr>
                <w:rFonts w:hint="eastAsia"/>
              </w:rPr>
              <w:t>油漆</w:t>
            </w:r>
            <w:r>
              <w:t>库房</w:t>
            </w:r>
          </w:p>
        </w:tc>
        <w:tc>
          <w:tcPr>
            <w:tcW w:w="3308" w:type="pct"/>
            <w:vAlign w:val="center"/>
          </w:tcPr>
          <w:p>
            <w:pPr>
              <w:pStyle w:val="273"/>
            </w:pPr>
            <w:r>
              <w:t>面积约100m</w:t>
            </w:r>
            <w:r>
              <w:rPr>
                <w:vertAlign w:val="superscript"/>
              </w:rPr>
              <w:t>2</w:t>
            </w:r>
            <w:r>
              <w:t>，用于存放生产用的各种油漆。</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936" w:type="pct"/>
            <w:gridSpan w:val="2"/>
            <w:vAlign w:val="center"/>
          </w:tcPr>
          <w:p>
            <w:pPr>
              <w:pStyle w:val="273"/>
            </w:pPr>
            <w:r>
              <w:rPr>
                <w:rFonts w:hint="eastAsia"/>
              </w:rPr>
              <w:t>存梁区</w:t>
            </w:r>
          </w:p>
        </w:tc>
        <w:tc>
          <w:tcPr>
            <w:tcW w:w="3308" w:type="pct"/>
            <w:vAlign w:val="center"/>
          </w:tcPr>
          <w:p>
            <w:pPr>
              <w:pStyle w:val="273"/>
            </w:pPr>
            <w:r>
              <w:t>设有80t</w:t>
            </w:r>
            <w:r>
              <w:rPr>
                <w:rFonts w:hint="eastAsia"/>
              </w:rPr>
              <w:t>桁车2套</w:t>
            </w:r>
            <w:r>
              <w:t>，用于</w:t>
            </w:r>
            <w:r>
              <w:rPr>
                <w:rFonts w:hint="eastAsia"/>
              </w:rPr>
              <w:t>工件储存和转运</w:t>
            </w:r>
            <w:r>
              <w:t>。</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936" w:type="pct"/>
            <w:gridSpan w:val="2"/>
            <w:vAlign w:val="center"/>
          </w:tcPr>
          <w:p>
            <w:pPr>
              <w:pStyle w:val="273"/>
            </w:pPr>
            <w:r>
              <w:t>运输</w:t>
            </w:r>
          </w:p>
        </w:tc>
        <w:tc>
          <w:tcPr>
            <w:tcW w:w="3308" w:type="pct"/>
            <w:vAlign w:val="center"/>
          </w:tcPr>
          <w:p>
            <w:pPr>
              <w:pStyle w:val="273"/>
              <w:jc w:val="left"/>
            </w:pPr>
            <w:r>
              <w:t>厂内运输采用</w:t>
            </w:r>
            <w:r>
              <w:rPr>
                <w:rFonts w:hint="eastAsia"/>
              </w:rPr>
              <w:t>桁车</w:t>
            </w:r>
            <w:r>
              <w:t>运输。</w:t>
            </w:r>
          </w:p>
          <w:p>
            <w:pPr>
              <w:pStyle w:val="273"/>
              <w:jc w:val="left"/>
            </w:pPr>
            <w:r>
              <w:t>厂外运输采用货车运输</w:t>
            </w:r>
            <w:r>
              <w:rPr>
                <w:rFonts w:hint="eastAsia"/>
              </w:rPr>
              <w:t>，1号地块与2号地块之间的工件转运也采用货车运输，由第三方公司负责。</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restart"/>
            <w:vAlign w:val="center"/>
          </w:tcPr>
          <w:p>
            <w:pPr>
              <w:pStyle w:val="273"/>
            </w:pPr>
            <w:r>
              <w:t>环保工程</w:t>
            </w:r>
          </w:p>
        </w:tc>
        <w:tc>
          <w:tcPr>
            <w:tcW w:w="244" w:type="pct"/>
            <w:vMerge w:val="restart"/>
            <w:vAlign w:val="center"/>
          </w:tcPr>
          <w:p>
            <w:pPr>
              <w:pStyle w:val="273"/>
            </w:pPr>
            <w:r>
              <w:t>废气</w:t>
            </w:r>
          </w:p>
        </w:tc>
        <w:tc>
          <w:tcPr>
            <w:tcW w:w="692" w:type="pct"/>
            <w:vAlign w:val="center"/>
          </w:tcPr>
          <w:p>
            <w:pPr>
              <w:pStyle w:val="273"/>
            </w:pPr>
            <w:r>
              <w:rPr>
                <w:rFonts w:hint="eastAsia"/>
              </w:rPr>
              <w:t>喷砂粉尘</w:t>
            </w:r>
          </w:p>
        </w:tc>
        <w:tc>
          <w:tcPr>
            <w:tcW w:w="3308" w:type="pct"/>
            <w:vAlign w:val="center"/>
          </w:tcPr>
          <w:p>
            <w:pPr>
              <w:pStyle w:val="273"/>
              <w:jc w:val="left"/>
            </w:pPr>
            <w:r>
              <w:t>新建2#废气处理设施：设计风量25000m</w:t>
            </w:r>
            <w:r>
              <w:rPr>
                <w:vertAlign w:val="superscript"/>
              </w:rPr>
              <w:t>3</w:t>
            </w:r>
            <w:r>
              <w:t>/h，喷砂作业</w:t>
            </w:r>
            <w:r>
              <w:rPr>
                <w:rFonts w:hint="eastAsia"/>
              </w:rPr>
              <w:t>密闭</w:t>
            </w:r>
            <w:r>
              <w:t>，</w:t>
            </w:r>
            <w:r>
              <w:rPr>
                <w:rFonts w:hint="eastAsia"/>
              </w:rPr>
              <w:t>喷砂车间的</w:t>
            </w:r>
            <w:r>
              <w:t>喷砂粉尘经管道收集后经3#废气处理设施“布袋除尘器”处理后经1根15m高排气筒（DA002）排放。</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continue"/>
            <w:vAlign w:val="center"/>
          </w:tcPr>
          <w:p>
            <w:pPr>
              <w:pStyle w:val="273"/>
            </w:pPr>
          </w:p>
        </w:tc>
        <w:tc>
          <w:tcPr>
            <w:tcW w:w="692" w:type="pct"/>
            <w:vAlign w:val="center"/>
          </w:tcPr>
          <w:p>
            <w:pPr>
              <w:pStyle w:val="273"/>
            </w:pPr>
            <w:r>
              <w:rPr>
                <w:rFonts w:hint="eastAsia"/>
              </w:rPr>
              <w:t>涂装废气</w:t>
            </w:r>
          </w:p>
        </w:tc>
        <w:tc>
          <w:tcPr>
            <w:tcW w:w="3308" w:type="pct"/>
            <w:vAlign w:val="center"/>
          </w:tcPr>
          <w:p>
            <w:pPr>
              <w:pStyle w:val="273"/>
              <w:jc w:val="left"/>
            </w:pPr>
            <w:r>
              <w:rPr>
                <w:rFonts w:hint="eastAsia"/>
              </w:rPr>
              <w:t>新建</w:t>
            </w:r>
            <w:r>
              <w:t>3#</w:t>
            </w:r>
            <w:r>
              <w:rPr>
                <w:rFonts w:hint="eastAsia"/>
              </w:rPr>
              <w:t>废气处理设施：设计风量7</w:t>
            </w:r>
            <w:r>
              <w:t>0000</w:t>
            </w:r>
            <w:r>
              <w:rPr>
                <w:rFonts w:hint="eastAsia"/>
              </w:rPr>
              <w:t>m</w:t>
            </w:r>
            <w:r>
              <w:rPr>
                <w:vertAlign w:val="superscript"/>
              </w:rPr>
              <w:t>3</w:t>
            </w:r>
            <w:r>
              <w:t>/</w:t>
            </w:r>
            <w:r>
              <w:rPr>
                <w:rFonts w:hint="eastAsia"/>
              </w:rPr>
              <w:t>h，调漆、喷漆、晾干等涂装过程均在密闭、微负压的涂装车间内进行，涂装废气收集后经4</w:t>
            </w:r>
            <w:r>
              <w:t>#</w:t>
            </w:r>
            <w:r>
              <w:rPr>
                <w:rFonts w:hint="eastAsia"/>
              </w:rPr>
              <w:t>废气处理设施“气旋喷淋+干式过滤+活性炭吸附浓缩+催化燃烧”处理后经1根1</w:t>
            </w:r>
            <w:r>
              <w:t>5</w:t>
            </w:r>
            <w:r>
              <w:rPr>
                <w:rFonts w:hint="eastAsia"/>
              </w:rPr>
              <w:t>m高排气筒（D</w:t>
            </w:r>
            <w:r>
              <w:t>A003</w:t>
            </w:r>
            <w:r>
              <w:rPr>
                <w:rFonts w:hint="eastAsia"/>
              </w:rPr>
              <w:t>）排放。</w:t>
            </w:r>
          </w:p>
        </w:tc>
        <w:tc>
          <w:tcPr>
            <w:tcW w:w="384"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restart"/>
            <w:vAlign w:val="center"/>
          </w:tcPr>
          <w:p>
            <w:pPr>
              <w:pStyle w:val="273"/>
            </w:pPr>
            <w:r>
              <w:t>废水</w:t>
            </w:r>
          </w:p>
        </w:tc>
        <w:tc>
          <w:tcPr>
            <w:tcW w:w="692" w:type="pct"/>
            <w:vAlign w:val="center"/>
          </w:tcPr>
          <w:p>
            <w:pPr>
              <w:pStyle w:val="273"/>
            </w:pPr>
            <w:r>
              <w:rPr>
                <w:rFonts w:hint="eastAsia"/>
              </w:rPr>
              <w:t>食堂废水</w:t>
            </w:r>
          </w:p>
        </w:tc>
        <w:tc>
          <w:tcPr>
            <w:tcW w:w="3308"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w:t>
            </w:r>
            <w:r>
              <w:rPr>
                <w:rFonts w:eastAsia="宋体"/>
                <w:bCs/>
                <w:color w:val="000000" w:themeColor="text1"/>
                <w:sz w:val="21"/>
                <w:szCs w:val="21"/>
                <w14:textFill>
                  <w14:solidFill>
                    <w14:schemeClr w14:val="tx1"/>
                  </w14:solidFill>
                </w14:textFill>
              </w:rPr>
              <w:t>3#</w:t>
            </w:r>
            <w:r>
              <w:rPr>
                <w:rFonts w:hint="eastAsia" w:eastAsia="宋体"/>
                <w:bCs/>
                <w:color w:val="000000" w:themeColor="text1"/>
                <w:sz w:val="21"/>
                <w:szCs w:val="21"/>
                <w14:textFill>
                  <w14:solidFill>
                    <w14:schemeClr w14:val="tx1"/>
                  </w14:solidFill>
                </w14:textFill>
              </w:rPr>
              <w:t>隔油沉淀设施：处理规模</w:t>
            </w:r>
            <w:r>
              <w:rPr>
                <w:rFonts w:eastAsia="宋体"/>
                <w:bCs/>
                <w:color w:val="000000" w:themeColor="text1"/>
                <w:sz w:val="21"/>
                <w:szCs w:val="21"/>
                <w14:textFill>
                  <w14:solidFill>
                    <w14:schemeClr w14:val="tx1"/>
                  </w14:solidFill>
                </w14:textFill>
              </w:rPr>
              <w:t>1</w:t>
            </w:r>
            <w:r>
              <w:rPr>
                <w:rFonts w:hint="eastAsia"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d，食堂废水经隔油沉淀预处理后排入</w:t>
            </w:r>
            <w:r>
              <w:rPr>
                <w:rFonts w:eastAsia="宋体"/>
                <w:bCs/>
                <w:color w:val="000000" w:themeColor="text1"/>
                <w:sz w:val="21"/>
                <w:szCs w:val="21"/>
                <w14:textFill>
                  <w14:solidFill>
                    <w14:schemeClr w14:val="tx1"/>
                  </w14:solidFill>
                </w14:textFill>
              </w:rPr>
              <w:t>2#</w:t>
            </w:r>
            <w:r>
              <w:rPr>
                <w:rFonts w:hint="eastAsia" w:eastAsia="宋体"/>
                <w:bCs/>
                <w:color w:val="000000" w:themeColor="text1"/>
                <w:sz w:val="21"/>
                <w:szCs w:val="21"/>
                <w14:textFill>
                  <w14:solidFill>
                    <w14:schemeClr w14:val="tx1"/>
                  </w14:solidFill>
                </w14:textFill>
              </w:rPr>
              <w:t>生化池。</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continue"/>
            <w:vAlign w:val="center"/>
          </w:tcPr>
          <w:p>
            <w:pPr>
              <w:pStyle w:val="273"/>
            </w:pPr>
          </w:p>
        </w:tc>
        <w:tc>
          <w:tcPr>
            <w:tcW w:w="692" w:type="pct"/>
            <w:vAlign w:val="center"/>
          </w:tcPr>
          <w:p>
            <w:pPr>
              <w:pStyle w:val="273"/>
            </w:pPr>
            <w:r>
              <w:rPr>
                <w:rFonts w:hint="eastAsia"/>
              </w:rPr>
              <w:t>员工洗手废水、车间地面清洁废水、喷枪清洗废水、气旋喷淋废水</w:t>
            </w:r>
          </w:p>
        </w:tc>
        <w:tc>
          <w:tcPr>
            <w:tcW w:w="3308"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新建生产废水处理设施：处理规模</w:t>
            </w:r>
            <w:r>
              <w:rPr>
                <w:rFonts w:eastAsia="宋体"/>
                <w:bCs/>
                <w:color w:val="000000" w:themeColor="text1"/>
                <w:sz w:val="21"/>
                <w:szCs w:val="21"/>
                <w14:textFill>
                  <w14:solidFill>
                    <w14:schemeClr w14:val="tx1"/>
                  </w14:solidFill>
                </w14:textFill>
              </w:rPr>
              <w:t>5</w:t>
            </w:r>
            <w:r>
              <w:rPr>
                <w:rFonts w:hint="eastAsia"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d，员工洗手废水、车间地面清洁废水、喷枪清洗废水、气旋喷淋废水经生产废水处理设施“隔油+混凝沉淀+气浮”预处理后排入2</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生化池。</w:t>
            </w:r>
          </w:p>
        </w:tc>
        <w:tc>
          <w:tcPr>
            <w:tcW w:w="384"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continue"/>
            <w:vAlign w:val="center"/>
          </w:tcPr>
          <w:p>
            <w:pPr>
              <w:pStyle w:val="273"/>
            </w:pPr>
          </w:p>
        </w:tc>
        <w:tc>
          <w:tcPr>
            <w:tcW w:w="692" w:type="pct"/>
            <w:vAlign w:val="center"/>
          </w:tcPr>
          <w:p>
            <w:pPr>
              <w:pStyle w:val="273"/>
            </w:pPr>
            <w:r>
              <w:rPr>
                <w:rFonts w:hint="eastAsia"/>
              </w:rPr>
              <w:t>生活污水</w:t>
            </w:r>
          </w:p>
        </w:tc>
        <w:tc>
          <w:tcPr>
            <w:tcW w:w="3308" w:type="pct"/>
            <w:vAlign w:val="center"/>
          </w:tcPr>
          <w:p>
            <w:pPr>
              <w:pStyle w:val="29"/>
              <w:spacing w:line="240" w:lineRule="auto"/>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新建</w:t>
            </w:r>
            <w:r>
              <w:rPr>
                <w:rFonts w:eastAsia="宋体"/>
                <w:bCs/>
                <w:color w:val="000000" w:themeColor="text1"/>
                <w:sz w:val="21"/>
                <w:szCs w:val="21"/>
                <w14:textFill>
                  <w14:solidFill>
                    <w14:schemeClr w14:val="tx1"/>
                  </w14:solidFill>
                </w14:textFill>
              </w:rPr>
              <w:t>2#</w:t>
            </w:r>
            <w:r>
              <w:rPr>
                <w:rFonts w:hint="eastAsia" w:eastAsia="宋体"/>
                <w:bCs/>
                <w:color w:val="000000" w:themeColor="text1"/>
                <w:sz w:val="21"/>
                <w:szCs w:val="21"/>
                <w14:textFill>
                  <w14:solidFill>
                    <w14:schemeClr w14:val="tx1"/>
                  </w14:solidFill>
                </w14:textFill>
              </w:rPr>
              <w:t>生化池：处理规模</w:t>
            </w:r>
            <w:r>
              <w:rPr>
                <w:rFonts w:eastAsia="宋体"/>
                <w:bCs/>
                <w:color w:val="000000" w:themeColor="text1"/>
                <w:sz w:val="21"/>
                <w:szCs w:val="21"/>
                <w14:textFill>
                  <w14:solidFill>
                    <w14:schemeClr w14:val="tx1"/>
                  </w14:solidFill>
                </w14:textFill>
              </w:rPr>
              <w:t>10</w:t>
            </w:r>
            <w:r>
              <w:rPr>
                <w:rFonts w:hint="eastAsia"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perscript"/>
                <w14:textFill>
                  <w14:solidFill>
                    <w14:schemeClr w14:val="tx1"/>
                  </w14:solidFill>
                </w14:textFill>
              </w:rPr>
              <w:t>3</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d，预处理后的生产废水、食堂废水和生活污水一起经2</w:t>
            </w: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生化池处理达标后排入市政污水管网，进双桥工业园区污水处理厂深度处理，然后排入苦水河。</w:t>
            </w:r>
          </w:p>
        </w:tc>
        <w:tc>
          <w:tcPr>
            <w:tcW w:w="384"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restart"/>
            <w:vAlign w:val="center"/>
          </w:tcPr>
          <w:p>
            <w:pPr>
              <w:pStyle w:val="273"/>
            </w:pPr>
            <w:r>
              <w:rPr>
                <w:rFonts w:hint="eastAsia"/>
              </w:rPr>
              <w:t>固体废物</w:t>
            </w:r>
          </w:p>
        </w:tc>
        <w:tc>
          <w:tcPr>
            <w:tcW w:w="692" w:type="pct"/>
            <w:vAlign w:val="center"/>
          </w:tcPr>
          <w:p>
            <w:pPr>
              <w:pStyle w:val="273"/>
            </w:pPr>
            <w:r>
              <w:rPr>
                <w:rFonts w:hint="eastAsia"/>
              </w:rPr>
              <w:t>一般工业固体废物</w:t>
            </w:r>
          </w:p>
        </w:tc>
        <w:tc>
          <w:tcPr>
            <w:tcW w:w="3308" w:type="pct"/>
            <w:vAlign w:val="center"/>
          </w:tcPr>
          <w:p>
            <w:pPr>
              <w:pStyle w:val="273"/>
              <w:jc w:val="left"/>
            </w:pPr>
            <w:r>
              <w:rPr>
                <w:rFonts w:hint="eastAsia"/>
              </w:rPr>
              <w:t>新建</w:t>
            </w:r>
            <w:r>
              <w:t>2#</w:t>
            </w:r>
            <w:r>
              <w:rPr>
                <w:rFonts w:hint="eastAsia"/>
              </w:rPr>
              <w:t>一般固废暂存间：位于办公楼1层，面积1</w:t>
            </w:r>
            <w:r>
              <w:t>0</w:t>
            </w:r>
            <w:r>
              <w:rPr>
                <w:rFonts w:hint="eastAsia"/>
              </w:rPr>
              <w:t>m</w:t>
            </w:r>
            <w:r>
              <w:rPr>
                <w:vertAlign w:val="superscript"/>
              </w:rPr>
              <w:t>2</w:t>
            </w:r>
            <w:r>
              <w:rPr>
                <w:rFonts w:hint="eastAsia"/>
              </w:rPr>
              <w:t>，用于暂存废包装材料、废钢砂等。满足相应防渗漏、防雨淋、防扬尘等环境保护要求。生化池污泥委第三方有资质公司定期清掏，交环卫部门处理。</w:t>
            </w:r>
          </w:p>
        </w:tc>
        <w:tc>
          <w:tcPr>
            <w:tcW w:w="384" w:type="pct"/>
            <w:vAlign w:val="center"/>
          </w:tcPr>
          <w:p>
            <w:pPr>
              <w:pStyle w:val="273"/>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continue"/>
            <w:vAlign w:val="center"/>
          </w:tcPr>
          <w:p>
            <w:pPr>
              <w:pStyle w:val="273"/>
            </w:pPr>
          </w:p>
        </w:tc>
        <w:tc>
          <w:tcPr>
            <w:tcW w:w="692" w:type="pct"/>
            <w:vAlign w:val="center"/>
          </w:tcPr>
          <w:p>
            <w:pPr>
              <w:pStyle w:val="273"/>
            </w:pPr>
            <w:r>
              <w:rPr>
                <w:rFonts w:hint="eastAsia"/>
              </w:rPr>
              <w:t>危险废物</w:t>
            </w:r>
          </w:p>
        </w:tc>
        <w:tc>
          <w:tcPr>
            <w:tcW w:w="3308" w:type="pct"/>
            <w:vAlign w:val="center"/>
          </w:tcPr>
          <w:p>
            <w:pPr>
              <w:pStyle w:val="273"/>
              <w:jc w:val="left"/>
            </w:pPr>
            <w:r>
              <w:rPr>
                <w:rFonts w:hint="eastAsia"/>
              </w:rPr>
              <w:t>新建</w:t>
            </w:r>
            <w:r>
              <w:t>2#</w:t>
            </w:r>
            <w:r>
              <w:rPr>
                <w:rFonts w:hint="eastAsia"/>
              </w:rPr>
              <w:t>危废暂存间：位于办公楼1层，面积1</w:t>
            </w:r>
            <w:r>
              <w:t>0</w:t>
            </w:r>
            <w:r>
              <w:rPr>
                <w:rFonts w:hint="eastAsia"/>
              </w:rPr>
              <w:t>m</w:t>
            </w:r>
            <w:r>
              <w:rPr>
                <w:vertAlign w:val="superscript"/>
              </w:rPr>
              <w:t>2</w:t>
            </w:r>
            <w:r>
              <w:rPr>
                <w:rFonts w:hint="eastAsia"/>
              </w:rPr>
              <w:t>，用于暂存废活性炭、废漆渣等。按照《危险废物贮存污染控制标准》</w:t>
            </w:r>
            <w:r>
              <w:rPr>
                <w:rFonts w:hint="eastAsia"/>
                <w:lang w:eastAsia="zh-CN"/>
              </w:rPr>
              <w:t>（</w:t>
            </w:r>
            <w:r>
              <w:rPr>
                <w:rFonts w:hint="eastAsia"/>
              </w:rPr>
              <w:t>GB18579-2023）等相关要求，做好“防风、防雨、防晒、防渗、防腐、防漏”六防措施，设置防漏托盘，并设置收集沟和收集井。</w:t>
            </w:r>
          </w:p>
        </w:tc>
        <w:tc>
          <w:tcPr>
            <w:tcW w:w="384" w:type="pct"/>
            <w:vAlign w:val="center"/>
          </w:tcPr>
          <w:p>
            <w:pPr>
              <w:pStyle w:val="273"/>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72" w:type="pct"/>
            <w:vMerge w:val="continue"/>
            <w:vAlign w:val="center"/>
          </w:tcPr>
          <w:p>
            <w:pPr>
              <w:pStyle w:val="273"/>
            </w:pPr>
          </w:p>
        </w:tc>
        <w:tc>
          <w:tcPr>
            <w:tcW w:w="244" w:type="pct"/>
            <w:vMerge w:val="continue"/>
            <w:vAlign w:val="center"/>
          </w:tcPr>
          <w:p>
            <w:pPr>
              <w:pStyle w:val="273"/>
            </w:pPr>
          </w:p>
        </w:tc>
        <w:tc>
          <w:tcPr>
            <w:tcW w:w="692" w:type="pct"/>
            <w:vAlign w:val="center"/>
          </w:tcPr>
          <w:p>
            <w:pPr>
              <w:pStyle w:val="273"/>
            </w:pPr>
            <w:r>
              <w:rPr>
                <w:rFonts w:hint="eastAsia"/>
              </w:rPr>
              <w:t>生活垃圾、餐厨垃圾</w:t>
            </w:r>
          </w:p>
        </w:tc>
        <w:tc>
          <w:tcPr>
            <w:tcW w:w="3308" w:type="pct"/>
            <w:vAlign w:val="center"/>
          </w:tcPr>
          <w:p>
            <w:pPr>
              <w:pStyle w:val="273"/>
              <w:jc w:val="left"/>
            </w:pPr>
            <w:r>
              <w:rPr>
                <w:rFonts w:hint="eastAsia"/>
              </w:rPr>
              <w:t>生活垃圾分类袋装收集后存放于垃圾桶，定期交环卫部门统一处理。餐厨垃圾和废油脂定期交由资质单位处理。</w:t>
            </w:r>
          </w:p>
        </w:tc>
        <w:tc>
          <w:tcPr>
            <w:tcW w:w="384" w:type="pct"/>
            <w:vAlign w:val="center"/>
          </w:tcPr>
          <w:p>
            <w:pPr>
              <w:pStyle w:val="273"/>
            </w:pPr>
            <w:r>
              <w:rPr>
                <w:rFonts w:hint="eastAsia"/>
              </w:rPr>
              <w:t>新建</w:t>
            </w:r>
          </w:p>
        </w:tc>
      </w:tr>
    </w:tbl>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2.1.4主要生产设备</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本项目1号地块和2号地块的主要设备分别见表2.1-5、2.1-6。</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99" w:name="_Toc20942"/>
      <w:r>
        <w:rPr>
          <w:rFonts w:eastAsia="宋体"/>
          <w:b/>
          <w:bCs/>
          <w:color w:val="000000" w:themeColor="text1"/>
          <w14:textFill>
            <w14:solidFill>
              <w14:schemeClr w14:val="tx1"/>
            </w14:solidFill>
          </w14:textFill>
        </w:rPr>
        <w:t>表2.1-5  项目1号地块生产设备一览表</w:t>
      </w:r>
      <w:bookmarkEnd w:id="99"/>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93"/>
        <w:gridCol w:w="2694"/>
        <w:gridCol w:w="708"/>
        <w:gridCol w:w="804"/>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693"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设备名称</w:t>
            </w:r>
          </w:p>
        </w:tc>
        <w:tc>
          <w:tcPr>
            <w:tcW w:w="2694"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型号、规格</w:t>
            </w:r>
          </w:p>
        </w:tc>
        <w:tc>
          <w:tcPr>
            <w:tcW w:w="708"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单位</w:t>
            </w:r>
          </w:p>
        </w:tc>
        <w:tc>
          <w:tcPr>
            <w:tcW w:w="804"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数量</w:t>
            </w:r>
          </w:p>
        </w:tc>
        <w:tc>
          <w:tcPr>
            <w:tcW w:w="1418"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等离子切割机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LM-4080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418" w:type="dxa"/>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下料切割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激光切割机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JTLC28035-20000XP</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火焰切割机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CUT200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相贯线切割机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65KW</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钻床</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Z3050*16/1</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w:t>
            </w:r>
          </w:p>
        </w:tc>
        <w:tc>
          <w:tcPr>
            <w:tcW w:w="1418" w:type="dxa"/>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钻孔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数控钻床</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PMZ-2020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卷板机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1600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卷板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十字焊机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50KW</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418" w:type="dxa"/>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气保焊机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NBC-500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埋弧焊机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MZ-1250IV</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气刨机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ZX7-630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龙门焊机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37KW</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电焊机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ZX7-400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60型工钢矫正机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X-60</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矫正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数控龙门铣边</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hum-sp133</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418" w:type="dxa"/>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铣边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铣边机</w:t>
            </w:r>
          </w:p>
        </w:tc>
        <w:tc>
          <w:tcPr>
            <w:tcW w:w="2694"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15kw</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空压机</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110KW，排气压力1.2MPa，排气量22.2m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/min</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压缩空气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16吨桁车</w:t>
            </w:r>
          </w:p>
        </w:tc>
        <w:tc>
          <w:tcPr>
            <w:tcW w:w="26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LD16-22.5 A5</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1418" w:type="dxa"/>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转运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32吨桁车</w:t>
            </w:r>
          </w:p>
        </w:tc>
        <w:tc>
          <w:tcPr>
            <w:tcW w:w="2694" w:type="dxa"/>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QD32/5-22.5 A5</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1418" w:type="dxa"/>
            <w:vMerge w:val="continue"/>
            <w:vAlign w:val="center"/>
          </w:tcPr>
          <w:p>
            <w:pPr>
              <w:pStyle w:val="279"/>
              <w:spacing w:line="240" w:lineRule="auto"/>
              <w:ind w:firstLine="42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269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50吨桁车</w:t>
            </w:r>
          </w:p>
        </w:tc>
        <w:tc>
          <w:tcPr>
            <w:tcW w:w="2694" w:type="dxa"/>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QD50/10-22.5 A5</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r>
    </w:tbl>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表2.1-6  项目2号地块生产设备一览表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701"/>
        <w:gridCol w:w="3686"/>
        <w:gridCol w:w="708"/>
        <w:gridCol w:w="804"/>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701"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设备名称</w:t>
            </w:r>
          </w:p>
        </w:tc>
        <w:tc>
          <w:tcPr>
            <w:tcW w:w="3686"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型号、规格</w:t>
            </w:r>
          </w:p>
        </w:tc>
        <w:tc>
          <w:tcPr>
            <w:tcW w:w="708"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单位</w:t>
            </w:r>
          </w:p>
        </w:tc>
        <w:tc>
          <w:tcPr>
            <w:tcW w:w="804"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数量</w:t>
            </w:r>
          </w:p>
        </w:tc>
        <w:tc>
          <w:tcPr>
            <w:tcW w:w="1418" w:type="dxa"/>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无气喷涂机</w:t>
            </w:r>
          </w:p>
        </w:tc>
        <w:tc>
          <w:tcPr>
            <w:tcW w:w="3686"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长江9c</w:t>
            </w:r>
            <w:r>
              <w:rPr>
                <w:rFonts w:hint="eastAsia" w:eastAsia="宋体"/>
                <w:color w:val="000000" w:themeColor="text1"/>
                <w:sz w:val="21"/>
                <w:szCs w:val="21"/>
                <w14:textFill>
                  <w14:solidFill>
                    <w14:schemeClr w14:val="tx1"/>
                  </w14:solidFill>
                </w14:textFill>
              </w:rPr>
              <w:t>，喷涂效率5</w:t>
            </w:r>
            <w:r>
              <w:rPr>
                <w:rFonts w:eastAsia="宋体"/>
                <w:color w:val="000000" w:themeColor="text1"/>
                <w:sz w:val="21"/>
                <w:szCs w:val="21"/>
                <w14:textFill>
                  <w14:solidFill>
                    <w14:schemeClr w14:val="tx1"/>
                  </w14:solidFill>
                </w14:textFill>
              </w:rPr>
              <w:t>0~100</w:t>
            </w:r>
            <w:r>
              <w:rPr>
                <w:rFonts w:hint="eastAsia"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套</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套</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涂装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喷砂机</w:t>
            </w:r>
          </w:p>
        </w:tc>
        <w:tc>
          <w:tcPr>
            <w:tcW w:w="3686"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压入式干喷砂</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喷砂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空压机</w:t>
            </w:r>
          </w:p>
        </w:tc>
        <w:tc>
          <w:tcPr>
            <w:tcW w:w="3686"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110KW，排气压力1.2MPa，排气量22.2m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/min</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台</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压缩空气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桁车</w:t>
            </w:r>
          </w:p>
        </w:tc>
        <w:tc>
          <w:tcPr>
            <w:tcW w:w="3686"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80t</w:t>
            </w:r>
          </w:p>
        </w:tc>
        <w:tc>
          <w:tcPr>
            <w:tcW w:w="70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套</w:t>
            </w:r>
          </w:p>
        </w:tc>
        <w:tc>
          <w:tcPr>
            <w:tcW w:w="80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418" w:type="dxa"/>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转运</w:t>
            </w:r>
          </w:p>
        </w:tc>
      </w:tr>
    </w:tbl>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对照《产业结构调整指导目录（2024年本）</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高耗能落后机电设备（产品）淘汰目录（第一、二、三、四批）》等文件，本项目不涉及高能耗及淘汰类设备，符合国家和地方现行政策要求。</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2.1.5主要原辅材料及能源消耗</w:t>
      </w:r>
    </w:p>
    <w:p>
      <w:pPr>
        <w:pStyle w:val="279"/>
        <w:spacing w:line="360" w:lineRule="auto"/>
        <w:ind w:firstLine="482"/>
        <w:rPr>
          <w:b/>
          <w:color w:val="000000" w:themeColor="text1"/>
          <w14:textFill>
            <w14:solidFill>
              <w14:schemeClr w14:val="tx1"/>
            </w14:solidFill>
          </w14:textFill>
        </w:rPr>
      </w:pPr>
      <w:bookmarkStart w:id="100" w:name="_Toc7402"/>
      <w:r>
        <w:rPr>
          <w:b/>
          <w:color w:val="000000" w:themeColor="text1"/>
          <w14:textFill>
            <w14:solidFill>
              <w14:schemeClr w14:val="tx1"/>
            </w14:solidFill>
          </w14:textFill>
        </w:rPr>
        <w:t>（1）原辅料及能源消耗</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本项目1号地块和2号地块主要原辅材料及能源消耗分别见表2.1-7额表2.1-8。</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101" w:name="_Toc4011"/>
      <w:r>
        <w:rPr>
          <w:rFonts w:eastAsia="宋体"/>
          <w:b/>
          <w:bCs/>
          <w:color w:val="000000" w:themeColor="text1"/>
          <w14:textFill>
            <w14:solidFill>
              <w14:schemeClr w14:val="tx1"/>
            </w14:solidFill>
          </w14:textFill>
        </w:rPr>
        <w:t>表2.1-7  项目1号地块主要原辅材料及能源消耗一览表</w:t>
      </w:r>
      <w:bookmarkEnd w:id="101"/>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26"/>
        <w:gridCol w:w="708"/>
        <w:gridCol w:w="1179"/>
        <w:gridCol w:w="1231"/>
        <w:gridCol w:w="1276"/>
        <w:gridCol w:w="1134"/>
        <w:gridCol w:w="2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序号</w:t>
            </w:r>
          </w:p>
        </w:tc>
        <w:tc>
          <w:tcPr>
            <w:tcW w:w="1134" w:type="dxa"/>
            <w:gridSpan w:val="2"/>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名称</w:t>
            </w:r>
          </w:p>
        </w:tc>
        <w:tc>
          <w:tcPr>
            <w:tcW w:w="1179"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年耗量t/a</w:t>
            </w:r>
          </w:p>
        </w:tc>
        <w:tc>
          <w:tcPr>
            <w:tcW w:w="1231"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厂区最大储存量t</w:t>
            </w:r>
          </w:p>
        </w:tc>
        <w:tc>
          <w:tcPr>
            <w:tcW w:w="1276"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储存位置</w:t>
            </w:r>
          </w:p>
        </w:tc>
        <w:tc>
          <w:tcPr>
            <w:tcW w:w="1134"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规格</w:t>
            </w:r>
          </w:p>
        </w:tc>
        <w:tc>
          <w:tcPr>
            <w:tcW w:w="2363"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钢板</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31600</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500</w:t>
            </w:r>
          </w:p>
        </w:tc>
        <w:tc>
          <w:tcPr>
            <w:tcW w:w="1276"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钢板存放区</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长1</w:t>
            </w:r>
            <w:r>
              <w:rPr>
                <w:rFonts w:ascii="Times New Roman" w:hAnsi="Times New Roman" w:eastAsia="宋体"/>
                <w:bCs/>
                <w:color w:val="000000" w:themeColor="text1"/>
                <w:sz w:val="21"/>
                <w:szCs w:val="21"/>
                <w14:textFill>
                  <w14:solidFill>
                    <w14:schemeClr w14:val="tx1"/>
                  </w14:solidFill>
                </w14:textFill>
              </w:rPr>
              <w:t>2</w:t>
            </w:r>
            <w:r>
              <w:rPr>
                <w:rFonts w:hint="eastAsia" w:ascii="Times New Roman" w:hAnsi="Times New Roman" w:eastAsia="宋体"/>
                <w:bCs/>
                <w:color w:val="000000" w:themeColor="text1"/>
                <w:sz w:val="21"/>
                <w:szCs w:val="21"/>
                <w14:textFill>
                  <w14:solidFill>
                    <w14:schemeClr w14:val="tx1"/>
                  </w14:solidFill>
                </w14:textFill>
              </w:rPr>
              <w:t>m，宽0</w:t>
            </w:r>
            <w:r>
              <w:rPr>
                <w:rFonts w:ascii="Times New Roman" w:hAnsi="Times New Roman" w:eastAsia="宋体"/>
                <w:bCs/>
                <w:color w:val="000000" w:themeColor="text1"/>
                <w:sz w:val="21"/>
                <w:szCs w:val="21"/>
                <w14:textFill>
                  <w14:solidFill>
                    <w14:schemeClr w14:val="tx1"/>
                  </w14:solidFill>
                </w14:textFill>
              </w:rPr>
              <w:t>.5/1</w:t>
            </w:r>
            <w:r>
              <w:rPr>
                <w:rFonts w:hint="eastAsia" w:ascii="Times New Roman" w:hAnsi="Times New Roman" w:eastAsia="宋体"/>
                <w:bCs/>
                <w:color w:val="000000" w:themeColor="text1"/>
                <w:sz w:val="21"/>
                <w:szCs w:val="21"/>
                <w14:textFill>
                  <w14:solidFill>
                    <w14:schemeClr w14:val="tx1"/>
                  </w14:solidFill>
                </w14:textFill>
              </w:rPr>
              <w:t>m</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w:t>
            </w:r>
          </w:p>
        </w:tc>
        <w:tc>
          <w:tcPr>
            <w:tcW w:w="426"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焊材</w:t>
            </w:r>
          </w:p>
        </w:tc>
        <w:tc>
          <w:tcPr>
            <w:tcW w:w="70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实芯焊丝</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400</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w:t>
            </w:r>
          </w:p>
        </w:tc>
        <w:tc>
          <w:tcPr>
            <w:tcW w:w="127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kg</w:t>
            </w: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14:textFill>
                  <w14:solidFill>
                    <w14:schemeClr w14:val="tx1"/>
                  </w14:solidFill>
                </w14:textFill>
              </w:rPr>
              <w:t>箱</w:t>
            </w:r>
          </w:p>
        </w:tc>
        <w:tc>
          <w:tcPr>
            <w:tcW w:w="2363" w:type="dxa"/>
            <w:vAlign w:val="center"/>
          </w:tcPr>
          <w:p>
            <w:pPr>
              <w:pStyle w:val="272"/>
              <w:spacing w:line="240" w:lineRule="auto"/>
              <w:ind w:firstLine="0"/>
              <w:jc w:val="left"/>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铁≥98%、锰1.4-1.75%、</w:t>
            </w:r>
            <w:r>
              <w:rPr>
                <w:rFonts w:hint="eastAsia" w:ascii="Times New Roman" w:hAnsi="Times New Roman" w:eastAsia="宋体"/>
                <w:bCs/>
                <w:color w:val="000000" w:themeColor="text1"/>
                <w:sz w:val="21"/>
                <w:szCs w:val="21"/>
                <w14:textFill>
                  <w14:solidFill>
                    <w14:schemeClr w14:val="tx1"/>
                  </w14:solidFill>
                </w14:textFill>
              </w:rPr>
              <w:t>镍</w:t>
            </w:r>
            <w:r>
              <w:rPr>
                <w:rFonts w:ascii="Times New Roman" w:hAnsi="Times New Roman" w:eastAsia="宋体"/>
                <w:bCs/>
                <w:color w:val="000000" w:themeColor="text1"/>
                <w:sz w:val="21"/>
                <w:szCs w:val="21"/>
                <w14:textFill>
                  <w14:solidFill>
                    <w14:schemeClr w14:val="tx1"/>
                  </w14:solidFill>
                </w14:textFill>
              </w:rPr>
              <w:t>≤0.05%、钼≤0.05%、铜≤0.35%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42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70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电焊条</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w:t>
            </w:r>
            <w:r>
              <w:rPr>
                <w:rFonts w:ascii="Times New Roman" w:hAnsi="Times New Roman" w:eastAsia="宋体"/>
                <w:bCs/>
                <w:color w:val="000000" w:themeColor="text1"/>
                <w:sz w:val="21"/>
                <w:szCs w:val="21"/>
                <w14:textFill>
                  <w14:solidFill>
                    <w14:schemeClr w14:val="tx1"/>
                  </w14:solidFill>
                </w14:textFill>
              </w:rPr>
              <w:t>0</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w:t>
            </w:r>
          </w:p>
        </w:tc>
        <w:tc>
          <w:tcPr>
            <w:tcW w:w="127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w:t>
            </w:r>
            <w:r>
              <w:rPr>
                <w:rFonts w:hint="eastAsia" w:ascii="Times New Roman" w:hAnsi="Times New Roman" w:eastAsia="宋体"/>
                <w:bCs/>
                <w:color w:val="000000" w:themeColor="text1"/>
                <w:sz w:val="21"/>
                <w:szCs w:val="21"/>
                <w14:textFill>
                  <w14:solidFill>
                    <w14:schemeClr w14:val="tx1"/>
                  </w14:solidFill>
                </w14:textFill>
              </w:rPr>
              <w:t>kg</w:t>
            </w: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14:textFill>
                  <w14:solidFill>
                    <w14:schemeClr w14:val="tx1"/>
                  </w14:solidFill>
                </w14:textFill>
              </w:rPr>
              <w:t>盒</w:t>
            </w:r>
          </w:p>
        </w:tc>
        <w:tc>
          <w:tcPr>
            <w:tcW w:w="2363" w:type="dxa"/>
            <w:vAlign w:val="center"/>
          </w:tcPr>
          <w:p>
            <w:pPr>
              <w:pStyle w:val="272"/>
              <w:spacing w:line="240" w:lineRule="auto"/>
              <w:ind w:firstLine="0"/>
              <w:jc w:val="left"/>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氧化钛＜15%、硅酸矿物＜8%、硅酸和其他粘结剂＜1%、纤维素和碳水化合物＜2%、碳酸钙＜2%、镁化物＜1%、铁＜0.5%、硅合金＜0.5%、碳钢铁芯＞70%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液态二氧化碳</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6万m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/a</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450m</w:t>
            </w:r>
            <w:r>
              <w:rPr>
                <w:rFonts w:ascii="Times New Roman" w:hAnsi="Times New Roman" w:eastAsia="宋体"/>
                <w:bCs/>
                <w:color w:val="000000" w:themeColor="text1"/>
                <w:sz w:val="21"/>
                <w:szCs w:val="21"/>
                <w:vertAlign w:val="superscript"/>
                <w14:textFill>
                  <w14:solidFill>
                    <w14:schemeClr w14:val="tx1"/>
                  </w14:solidFill>
                </w14:textFill>
              </w:rPr>
              <w:t>3</w:t>
            </w:r>
          </w:p>
        </w:tc>
        <w:tc>
          <w:tcPr>
            <w:tcW w:w="1276"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气体储存区</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15m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/瓶</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4</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液态氩气</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5万m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/a</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450m</w:t>
            </w:r>
            <w:r>
              <w:rPr>
                <w:rFonts w:ascii="Times New Roman" w:hAnsi="Times New Roman" w:eastAsia="宋体"/>
                <w:bCs/>
                <w:color w:val="000000" w:themeColor="text1"/>
                <w:sz w:val="21"/>
                <w:szCs w:val="21"/>
                <w:vertAlign w:val="superscript"/>
                <w14:textFill>
                  <w14:solidFill>
                    <w14:schemeClr w14:val="tx1"/>
                  </w14:solidFill>
                </w14:textFill>
              </w:rPr>
              <w:t>3</w:t>
            </w:r>
          </w:p>
        </w:tc>
        <w:tc>
          <w:tcPr>
            <w:tcW w:w="127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15m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/瓶</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空压机油</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0.06</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.15</w:t>
            </w:r>
          </w:p>
        </w:tc>
        <w:tc>
          <w:tcPr>
            <w:tcW w:w="1276"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油品库</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20kg/桶</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6</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润滑油</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0.5</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.125</w:t>
            </w:r>
          </w:p>
        </w:tc>
        <w:tc>
          <w:tcPr>
            <w:tcW w:w="127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20kg/桶</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7</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切削液</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.25</w:t>
            </w:r>
          </w:p>
        </w:tc>
        <w:tc>
          <w:tcPr>
            <w:tcW w:w="1276"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100kg/桶</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8</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水</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7984.4m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/a</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76"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9</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电</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120万度/a</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76"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10</w:t>
            </w:r>
          </w:p>
        </w:tc>
        <w:tc>
          <w:tcPr>
            <w:tcW w:w="1134" w:type="dxa"/>
            <w:gridSpan w:val="2"/>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天然气</w:t>
            </w:r>
          </w:p>
        </w:tc>
        <w:tc>
          <w:tcPr>
            <w:tcW w:w="117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0</w:t>
            </w:r>
            <w:r>
              <w:rPr>
                <w:rFonts w:hint="eastAsia" w:ascii="Times New Roman" w:hAnsi="Times New Roman" w:eastAsia="宋体"/>
                <w:bCs/>
                <w:color w:val="000000" w:themeColor="text1"/>
                <w:sz w:val="21"/>
                <w:szCs w:val="21"/>
                <w14:textFill>
                  <w14:solidFill>
                    <w14:schemeClr w14:val="tx1"/>
                  </w14:solidFill>
                </w14:textFill>
              </w:rPr>
              <w:t>万m</w:t>
            </w:r>
            <w:r>
              <w:rPr>
                <w:rFonts w:ascii="Times New Roman" w:hAnsi="Times New Roman" w:eastAsia="宋体"/>
                <w:bCs/>
                <w:color w:val="000000" w:themeColor="text1"/>
                <w:sz w:val="21"/>
                <w:szCs w:val="21"/>
                <w:vertAlign w:val="superscript"/>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/a</w:t>
            </w:r>
          </w:p>
        </w:tc>
        <w:tc>
          <w:tcPr>
            <w:tcW w:w="123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76"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13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236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bl>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表2.1-8  项目2号地块主要原辅材料及能源消耗一览表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36"/>
        <w:gridCol w:w="1248"/>
        <w:gridCol w:w="1354"/>
        <w:gridCol w:w="1284"/>
        <w:gridCol w:w="1083"/>
        <w:gridCol w:w="821"/>
        <w:gridCol w:w="1028"/>
        <w:gridCol w:w="1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序号</w:t>
            </w:r>
          </w:p>
        </w:tc>
        <w:tc>
          <w:tcPr>
            <w:tcW w:w="3038" w:type="dxa"/>
            <w:gridSpan w:val="3"/>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名称</w:t>
            </w:r>
          </w:p>
        </w:tc>
        <w:tc>
          <w:tcPr>
            <w:tcW w:w="1284"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年耗量t/a</w:t>
            </w:r>
          </w:p>
        </w:tc>
        <w:tc>
          <w:tcPr>
            <w:tcW w:w="1083"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厂区最大储存量t</w:t>
            </w:r>
          </w:p>
        </w:tc>
        <w:tc>
          <w:tcPr>
            <w:tcW w:w="821"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储存位置</w:t>
            </w:r>
          </w:p>
        </w:tc>
        <w:tc>
          <w:tcPr>
            <w:tcW w:w="1028"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规格</w:t>
            </w:r>
          </w:p>
        </w:tc>
        <w:tc>
          <w:tcPr>
            <w:tcW w:w="1269" w:type="dxa"/>
            <w:vAlign w:val="center"/>
          </w:tcPr>
          <w:p>
            <w:pPr>
              <w:pStyle w:val="272"/>
              <w:spacing w:line="240" w:lineRule="auto"/>
              <w:ind w:firstLine="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w:t>
            </w:r>
          </w:p>
        </w:tc>
        <w:tc>
          <w:tcPr>
            <w:tcW w:w="436" w:type="dxa"/>
            <w:vMerge w:val="restart"/>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油性漆</w:t>
            </w:r>
          </w:p>
        </w:tc>
        <w:tc>
          <w:tcPr>
            <w:tcW w:w="1248" w:type="dxa"/>
            <w:vMerge w:val="restart"/>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环氧底漆</w:t>
            </w: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11.639</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.925</w:t>
            </w:r>
          </w:p>
        </w:tc>
        <w:tc>
          <w:tcPr>
            <w:tcW w:w="821"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油漆</w:t>
            </w:r>
            <w:r>
              <w:rPr>
                <w:rFonts w:ascii="Times New Roman" w:hAnsi="Times New Roman" w:eastAsia="宋体"/>
                <w:bCs/>
                <w:color w:val="000000" w:themeColor="text1"/>
                <w:sz w:val="21"/>
                <w:szCs w:val="21"/>
                <w14:textFill>
                  <w14:solidFill>
                    <w14:schemeClr w14:val="tx1"/>
                  </w14:solidFill>
                </w14:textFill>
              </w:rPr>
              <w:t>库房</w:t>
            </w: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主剂：固化剂=9:1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continue"/>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固化剂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1.293</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.1</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restart"/>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环氧云铁漆</w:t>
            </w: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13.974</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.125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主剂：固化剂=22.1:3.9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4</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continue"/>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固化剂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2.466</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.2</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restart"/>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环氧面漆</w:t>
            </w: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14.801</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.2</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主剂：固化剂=5:1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6</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continue"/>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固化剂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2.96</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.25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7</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2602" w:type="dxa"/>
            <w:gridSpan w:val="2"/>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稀释剂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w:t>
            </w:r>
            <w:r>
              <w:rPr>
                <w:rFonts w:ascii="Times New Roman" w:hAnsi="Times New Roman" w:eastAsia="宋体"/>
                <w:bCs/>
                <w:color w:val="000000" w:themeColor="text1"/>
                <w:sz w:val="21"/>
                <w:szCs w:val="21"/>
                <w14:textFill>
                  <w14:solidFill>
                    <w14:schemeClr w14:val="tx1"/>
                  </w14:solidFill>
                </w14:textFill>
              </w:rPr>
              <w:t>.713</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.4</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8</w:t>
            </w:r>
          </w:p>
        </w:tc>
        <w:tc>
          <w:tcPr>
            <w:tcW w:w="436" w:type="dxa"/>
            <w:vMerge w:val="restart"/>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水性漆</w:t>
            </w:r>
          </w:p>
        </w:tc>
        <w:tc>
          <w:tcPr>
            <w:tcW w:w="2602" w:type="dxa"/>
            <w:gridSpan w:val="2"/>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水性环氧富锌底漆</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15.393</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.275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单组份油漆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9</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restart"/>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水性环氧中间漆</w:t>
            </w: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甲组份</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18.392</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.525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restart"/>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甲组份：乙组份=10:1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10</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248" w:type="dxa"/>
            <w:vMerge w:val="continue"/>
            <w:tcBorders>
              <w:lef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35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乙组份</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1.839</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.15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11</w:t>
            </w:r>
          </w:p>
        </w:tc>
        <w:tc>
          <w:tcPr>
            <w:tcW w:w="436" w:type="dxa"/>
            <w:vMerge w:val="continue"/>
            <w:tcBorders>
              <w:top w:val="single" w:color="auto" w:sz="4" w:space="0"/>
              <w:bottom w:val="single" w:color="auto" w:sz="4" w:space="0"/>
              <w:right w:val="single" w:color="auto" w:sz="4" w:space="0"/>
            </w:tcBorders>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2602" w:type="dxa"/>
            <w:gridSpan w:val="2"/>
            <w:tcBorders>
              <w:left w:val="single" w:color="auto" w:sz="4" w:space="0"/>
            </w:tcBorders>
            <w:vAlign w:val="center"/>
          </w:tcPr>
          <w:p>
            <w:pPr>
              <w:pStyle w:val="272"/>
              <w:spacing w:line="240" w:lineRule="auto"/>
              <w:ind w:firstLine="42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水性透明封闭漆</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18.490</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.55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25kg/桶</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单组份油漆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12</w:t>
            </w:r>
          </w:p>
        </w:tc>
        <w:tc>
          <w:tcPr>
            <w:tcW w:w="3038" w:type="dxa"/>
            <w:gridSpan w:val="3"/>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钢砂</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300</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r>
              <w:rPr>
                <w:rFonts w:ascii="Times New Roman" w:hAnsi="Times New Roman" w:eastAsia="宋体"/>
                <w:bCs/>
                <w:color w:val="000000" w:themeColor="text1"/>
                <w:sz w:val="21"/>
                <w:szCs w:val="21"/>
                <w14:textFill>
                  <w14:solidFill>
                    <w14:schemeClr w14:val="tx1"/>
                  </w14:solidFill>
                </w14:textFill>
              </w:rPr>
              <w:t>0</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袋装</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13</w:t>
            </w:r>
          </w:p>
        </w:tc>
        <w:tc>
          <w:tcPr>
            <w:tcW w:w="3038" w:type="dxa"/>
            <w:gridSpan w:val="3"/>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空压机油</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0.03</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0</w:t>
            </w:r>
            <w:r>
              <w:rPr>
                <w:rFonts w:ascii="Times New Roman" w:hAnsi="Times New Roman" w:eastAsia="宋体"/>
                <w:bCs/>
                <w:color w:val="000000" w:themeColor="text1"/>
                <w:sz w:val="21"/>
                <w:szCs w:val="21"/>
                <w14:textFill>
                  <w14:solidFill>
                    <w14:schemeClr w14:val="tx1"/>
                  </w14:solidFill>
                </w14:textFill>
              </w:rPr>
              <w:t>.075</w:t>
            </w:r>
          </w:p>
        </w:tc>
        <w:tc>
          <w:tcPr>
            <w:tcW w:w="821" w:type="dxa"/>
            <w:vMerge w:val="continue"/>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20kg/桶</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14</w:t>
            </w:r>
          </w:p>
        </w:tc>
        <w:tc>
          <w:tcPr>
            <w:tcW w:w="3038" w:type="dxa"/>
            <w:gridSpan w:val="3"/>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新鲜水</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1987.33m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/a</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82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15</w:t>
            </w:r>
          </w:p>
        </w:tc>
        <w:tc>
          <w:tcPr>
            <w:tcW w:w="3038" w:type="dxa"/>
            <w:gridSpan w:val="3"/>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电</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30万度/a</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82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16</w:t>
            </w:r>
          </w:p>
        </w:tc>
        <w:tc>
          <w:tcPr>
            <w:tcW w:w="3038" w:type="dxa"/>
            <w:gridSpan w:val="3"/>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天然气</w:t>
            </w:r>
          </w:p>
        </w:tc>
        <w:tc>
          <w:tcPr>
            <w:tcW w:w="1284"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5</w:t>
            </w:r>
            <w:r>
              <w:rPr>
                <w:rFonts w:hint="eastAsia" w:ascii="Times New Roman" w:hAnsi="Times New Roman" w:eastAsia="宋体"/>
                <w:bCs/>
                <w:color w:val="000000" w:themeColor="text1"/>
                <w:sz w:val="21"/>
                <w:szCs w:val="21"/>
                <w14:textFill>
                  <w14:solidFill>
                    <w14:schemeClr w14:val="tx1"/>
                  </w14:solidFill>
                </w14:textFill>
              </w:rPr>
              <w:t>万m</w:t>
            </w:r>
            <w:r>
              <w:rPr>
                <w:rFonts w:ascii="Times New Roman" w:hAnsi="Times New Roman" w:eastAsia="宋体"/>
                <w:bCs/>
                <w:color w:val="000000" w:themeColor="text1"/>
                <w:sz w:val="21"/>
                <w:szCs w:val="21"/>
                <w:vertAlign w:val="superscript"/>
                <w14:textFill>
                  <w14:solidFill>
                    <w14:schemeClr w14:val="tx1"/>
                  </w14:solidFill>
                </w14:textFill>
              </w:rPr>
              <w:t>3</w:t>
            </w:r>
            <w:r>
              <w:rPr>
                <w:rFonts w:ascii="Times New Roman" w:hAnsi="Times New Roman" w:eastAsia="宋体"/>
                <w:bCs/>
                <w:color w:val="000000" w:themeColor="text1"/>
                <w:sz w:val="21"/>
                <w:szCs w:val="21"/>
                <w14:textFill>
                  <w14:solidFill>
                    <w14:schemeClr w14:val="tx1"/>
                  </w14:solidFill>
                </w14:textFill>
              </w:rPr>
              <w:t>/</w:t>
            </w:r>
            <w:r>
              <w:rPr>
                <w:rFonts w:hint="eastAsia" w:ascii="Times New Roman" w:hAnsi="Times New Roman" w:eastAsia="宋体"/>
                <w:bCs/>
                <w:color w:val="000000" w:themeColor="text1"/>
                <w:sz w:val="21"/>
                <w:szCs w:val="21"/>
                <w14:textFill>
                  <w14:solidFill>
                    <w14:schemeClr w14:val="tx1"/>
                  </w14:solidFill>
                </w14:textFill>
              </w:rPr>
              <w:t>a</w:t>
            </w:r>
          </w:p>
        </w:tc>
        <w:tc>
          <w:tcPr>
            <w:tcW w:w="1083"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821"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028"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69" w:type="dxa"/>
            <w:vAlign w:val="center"/>
          </w:tcPr>
          <w:p>
            <w:pPr>
              <w:pStyle w:val="272"/>
              <w:spacing w:line="240" w:lineRule="auto"/>
              <w:ind w:firstLine="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13" w:type="dxa"/>
            <w:gridSpan w:val="9"/>
            <w:vAlign w:val="center"/>
          </w:tcPr>
          <w:p>
            <w:pPr>
              <w:pStyle w:val="272"/>
              <w:spacing w:line="240" w:lineRule="auto"/>
              <w:ind w:firstLine="0"/>
              <w:jc w:val="left"/>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注：</w:t>
            </w:r>
            <w:r>
              <w:rPr>
                <w:rFonts w:hint="eastAsia" w:ascii="Times New Roman" w:hAnsi="Times New Roman" w:eastAsia="宋体"/>
                <w:bCs/>
                <w:color w:val="000000" w:themeColor="text1"/>
                <w:sz w:val="21"/>
                <w:szCs w:val="21"/>
                <w14:textFill>
                  <w14:solidFill>
                    <w14:schemeClr w14:val="tx1"/>
                  </w14:solidFill>
                </w14:textFill>
              </w:rPr>
              <w:t>①</w:t>
            </w:r>
            <w:r>
              <w:rPr>
                <w:rFonts w:ascii="Times New Roman" w:hAnsi="Times New Roman" w:eastAsia="宋体"/>
                <w:bCs/>
                <w:color w:val="000000" w:themeColor="text1"/>
                <w:sz w:val="21"/>
                <w:szCs w:val="21"/>
                <w14:textFill>
                  <w14:solidFill>
                    <w14:schemeClr w14:val="tx1"/>
                  </w14:solidFill>
                </w14:textFill>
              </w:rPr>
              <w:t>根据建设单位提供资料，项目漆料根据气温、湿度等变化情况，需添加少量稀释剂（其中油性漆调漆时加稀释剂稀释，水性漆调漆时加水稀释），稀释剂添加比例占漆料的2~10%，本次评价按最不利情形，添加比例取10%。</w:t>
            </w:r>
          </w:p>
          <w:p>
            <w:pPr>
              <w:pStyle w:val="272"/>
              <w:spacing w:line="240" w:lineRule="auto"/>
              <w:ind w:firstLine="420" w:firstLineChars="200"/>
              <w:jc w:val="left"/>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②厂区不设置柴油储罐，货车直接到加油站加油。</w:t>
            </w:r>
          </w:p>
        </w:tc>
      </w:tr>
    </w:tbl>
    <w:p>
      <w:pPr>
        <w:pStyle w:val="272"/>
        <w:ind w:firstLine="480"/>
        <w:rPr>
          <w:rFonts w:ascii="Times New Roman" w:hAnsi="Times New Roman" w:eastAsia="宋体"/>
          <w:bCs/>
          <w:color w:val="000000" w:themeColor="text1"/>
          <w:szCs w:val="24"/>
          <w14:textFill>
            <w14:solidFill>
              <w14:schemeClr w14:val="tx1"/>
            </w14:solidFill>
          </w14:textFill>
        </w:rPr>
      </w:pPr>
      <w:r>
        <w:rPr>
          <w:rFonts w:ascii="Times New Roman" w:hAnsi="Times New Roman" w:eastAsia="宋体"/>
          <w:bCs/>
          <w:color w:val="000000" w:themeColor="text1"/>
          <w:szCs w:val="24"/>
          <w14:textFill>
            <w14:solidFill>
              <w14:schemeClr w14:val="tx1"/>
            </w14:solidFill>
          </w14:textFill>
        </w:rPr>
        <w:t>根据建设单位提供的油漆检测报告，本项目环氧底漆、环氧云铁漆和环氧面漆的检测结果均是根据主剂和固化剂按照施工漆比例调配后测得；水性环氧中间漆的检测结果是根据甲组份和乙组份按照施工漆比例调配后测得。本项目施工漆固体份、挥发份占比见下表：</w:t>
      </w:r>
    </w:p>
    <w:p>
      <w:pPr>
        <w:pStyle w:val="272"/>
        <w:spacing w:line="240" w:lineRule="auto"/>
        <w:ind w:firstLine="0"/>
        <w:jc w:val="center"/>
        <w:rPr>
          <w:rFonts w:ascii="Times New Roman" w:hAnsi="Times New Roman" w:eastAsia="宋体"/>
          <w:b/>
          <w:bCs/>
          <w:color w:val="000000" w:themeColor="text1"/>
          <w:szCs w:val="24"/>
          <w14:textFill>
            <w14:solidFill>
              <w14:schemeClr w14:val="tx1"/>
            </w14:solidFill>
          </w14:textFill>
        </w:rPr>
      </w:pPr>
      <w:r>
        <w:rPr>
          <w:rFonts w:ascii="Times New Roman" w:hAnsi="Times New Roman" w:eastAsia="宋体"/>
          <w:b/>
          <w:bCs/>
          <w:color w:val="000000" w:themeColor="text1"/>
          <w:szCs w:val="24"/>
          <w14:textFill>
            <w14:solidFill>
              <w14:schemeClr w14:val="tx1"/>
            </w14:solidFill>
          </w14:textFill>
        </w:rPr>
        <w:t>表2.1-9  项目施工漆固体份、挥发份占比一览表</w:t>
      </w:r>
    </w:p>
    <w:bookmarkEnd w:id="100"/>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974"/>
        <w:gridCol w:w="975"/>
        <w:gridCol w:w="811"/>
        <w:gridCol w:w="975"/>
        <w:gridCol w:w="813"/>
        <w:gridCol w:w="811"/>
        <w:gridCol w:w="651"/>
        <w:gridCol w:w="813"/>
        <w:gridCol w:w="651"/>
        <w:gridCol w:w="651"/>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1" w:type="pct"/>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序号</w:t>
            </w:r>
          </w:p>
        </w:tc>
        <w:tc>
          <w:tcPr>
            <w:tcW w:w="1034" w:type="pct"/>
            <w:gridSpan w:val="2"/>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名称</w:t>
            </w:r>
          </w:p>
        </w:tc>
        <w:tc>
          <w:tcPr>
            <w:tcW w:w="430" w:type="pct"/>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调配比例</w:t>
            </w:r>
          </w:p>
        </w:tc>
        <w:tc>
          <w:tcPr>
            <w:tcW w:w="517" w:type="pct"/>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密度g/cm</w:t>
            </w:r>
            <w:r>
              <w:rPr>
                <w:rFonts w:eastAsia="宋体"/>
                <w:b/>
                <w:bCs/>
                <w:color w:val="000000" w:themeColor="text1"/>
                <w:kern w:val="0"/>
                <w:sz w:val="21"/>
                <w:szCs w:val="21"/>
                <w:vertAlign w:val="superscript"/>
                <w14:textFill>
                  <w14:solidFill>
                    <w14:schemeClr w14:val="tx1"/>
                  </w14:solidFill>
                </w14:textFill>
              </w:rPr>
              <w:t>3</w:t>
            </w:r>
          </w:p>
        </w:tc>
        <w:tc>
          <w:tcPr>
            <w:tcW w:w="431" w:type="pct"/>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固体份%</w:t>
            </w:r>
          </w:p>
        </w:tc>
        <w:tc>
          <w:tcPr>
            <w:tcW w:w="2327" w:type="pct"/>
            <w:gridSpan w:val="6"/>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挥发份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1"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1034" w:type="pct"/>
            <w:gridSpan w:val="2"/>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517"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775" w:type="pct"/>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甲苯</w:t>
            </w:r>
          </w:p>
        </w:tc>
        <w:tc>
          <w:tcPr>
            <w:tcW w:w="776" w:type="pct"/>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二甲苯</w:t>
            </w:r>
          </w:p>
        </w:tc>
        <w:tc>
          <w:tcPr>
            <w:tcW w:w="776" w:type="pct"/>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hint="eastAsia" w:eastAsia="宋体"/>
                <w:b/>
                <w:bCs/>
                <w:color w:val="000000" w:themeColor="text1"/>
                <w:kern w:val="0"/>
                <w:sz w:val="21"/>
                <w:szCs w:val="21"/>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1"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1034" w:type="pct"/>
            <w:gridSpan w:val="2"/>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517"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b/>
                <w:bCs/>
                <w:color w:val="000000" w:themeColor="text1"/>
                <w:kern w:val="0"/>
                <w:sz w:val="21"/>
                <w:szCs w:val="21"/>
                <w14:textFill>
                  <w14:solidFill>
                    <w14:schemeClr w14:val="tx1"/>
                  </w14:solidFill>
                </w14:textFill>
              </w:rPr>
            </w:pPr>
          </w:p>
        </w:tc>
        <w:tc>
          <w:tcPr>
            <w:tcW w:w="430" w:type="pct"/>
            <w:shd w:val="clear" w:color="auto" w:fill="auto"/>
            <w:noWrap/>
            <w:vAlign w:val="center"/>
          </w:tcPr>
          <w:p>
            <w:pPr>
              <w:spacing w:line="240" w:lineRule="auto"/>
              <w:jc w:val="center"/>
              <w:rPr>
                <w:rFonts w:eastAsia="宋体"/>
                <w:b/>
                <w:color w:val="000000" w:themeColor="text1"/>
                <w:kern w:val="0"/>
                <w:sz w:val="22"/>
                <w14:textFill>
                  <w14:solidFill>
                    <w14:schemeClr w14:val="tx1"/>
                  </w14:solidFill>
                </w14:textFill>
              </w:rPr>
            </w:pPr>
            <w:r>
              <w:rPr>
                <w:rFonts w:eastAsia="宋体"/>
                <w:b/>
                <w:color w:val="000000" w:themeColor="text1"/>
                <w:kern w:val="0"/>
                <w:sz w:val="22"/>
                <w14:textFill>
                  <w14:solidFill>
                    <w14:schemeClr w14:val="tx1"/>
                  </w14:solidFill>
                </w14:textFill>
              </w:rPr>
              <w:t>g/L</w:t>
            </w:r>
          </w:p>
        </w:tc>
        <w:tc>
          <w:tcPr>
            <w:tcW w:w="345"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w:t>
            </w:r>
          </w:p>
        </w:tc>
        <w:tc>
          <w:tcPr>
            <w:tcW w:w="431" w:type="pct"/>
            <w:shd w:val="clear" w:color="auto" w:fill="auto"/>
            <w:noWrap/>
            <w:vAlign w:val="center"/>
          </w:tcPr>
          <w:p>
            <w:pPr>
              <w:spacing w:line="240" w:lineRule="auto"/>
              <w:jc w:val="center"/>
              <w:rPr>
                <w:rFonts w:eastAsia="宋体"/>
                <w:b/>
                <w:color w:val="000000" w:themeColor="text1"/>
                <w:kern w:val="0"/>
                <w:sz w:val="22"/>
                <w14:textFill>
                  <w14:solidFill>
                    <w14:schemeClr w14:val="tx1"/>
                  </w14:solidFill>
                </w14:textFill>
              </w:rPr>
            </w:pPr>
            <w:r>
              <w:rPr>
                <w:rFonts w:eastAsia="宋体"/>
                <w:b/>
                <w:color w:val="000000" w:themeColor="text1"/>
                <w:kern w:val="0"/>
                <w:sz w:val="22"/>
                <w14:textFill>
                  <w14:solidFill>
                    <w14:schemeClr w14:val="tx1"/>
                  </w14:solidFill>
                </w14:textFill>
              </w:rPr>
              <w:t>g/L</w:t>
            </w:r>
          </w:p>
        </w:tc>
        <w:tc>
          <w:tcPr>
            <w:tcW w:w="345"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w:t>
            </w:r>
          </w:p>
        </w:tc>
        <w:tc>
          <w:tcPr>
            <w:tcW w:w="345" w:type="pct"/>
            <w:shd w:val="clear" w:color="auto" w:fill="auto"/>
            <w:noWrap/>
            <w:vAlign w:val="center"/>
          </w:tcPr>
          <w:p>
            <w:pPr>
              <w:spacing w:line="240" w:lineRule="auto"/>
              <w:jc w:val="center"/>
              <w:rPr>
                <w:rFonts w:eastAsia="宋体"/>
                <w:b/>
                <w:color w:val="000000" w:themeColor="text1"/>
                <w:kern w:val="0"/>
                <w:sz w:val="22"/>
                <w14:textFill>
                  <w14:solidFill>
                    <w14:schemeClr w14:val="tx1"/>
                  </w14:solidFill>
                </w14:textFill>
              </w:rPr>
            </w:pPr>
            <w:r>
              <w:rPr>
                <w:rFonts w:eastAsia="宋体"/>
                <w:b/>
                <w:color w:val="000000" w:themeColor="text1"/>
                <w:kern w:val="0"/>
                <w:sz w:val="22"/>
                <w14:textFill>
                  <w14:solidFill>
                    <w14:schemeClr w14:val="tx1"/>
                  </w14:solidFill>
                </w14:textFill>
              </w:rPr>
              <w:t>g/L</w:t>
            </w:r>
          </w:p>
        </w:tc>
        <w:tc>
          <w:tcPr>
            <w:tcW w:w="431"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施工环氧底漆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66.92</w:t>
            </w:r>
          </w:p>
        </w:tc>
        <w:tc>
          <w:tcPr>
            <w:tcW w:w="430"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27.64</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27.64</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w:t>
            </w: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施工环氧云铁漆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22.1</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65.80</w:t>
            </w:r>
          </w:p>
        </w:tc>
        <w:tc>
          <w:tcPr>
            <w:tcW w:w="430"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33.27</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33.27</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359</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5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w:t>
            </w: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施工环氧面漆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60.91</w:t>
            </w:r>
          </w:p>
        </w:tc>
        <w:tc>
          <w:tcPr>
            <w:tcW w:w="430"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29.02</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29.02</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429</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w:t>
            </w:r>
          </w:p>
        </w:tc>
        <w:tc>
          <w:tcPr>
            <w:tcW w:w="5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0.9</w:t>
            </w: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施工水性环氧富锌底漆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漆料</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84.34</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517" w:type="pct"/>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水</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431" w:type="pct"/>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施工水性环氧中间漆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甲组份</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72.92</w:t>
            </w:r>
          </w:p>
        </w:tc>
        <w:tc>
          <w:tcPr>
            <w:tcW w:w="430"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乙组份</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345"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431"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517"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水</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51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431"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17"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施工水性透明封闭漆</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漆料</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431"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87.76</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c>
          <w:tcPr>
            <w:tcW w:w="517" w:type="pct"/>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水</w:t>
            </w: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17"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431" w:type="pct"/>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30"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34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431"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r>
    </w:tbl>
    <w:p>
      <w:pPr>
        <w:pStyle w:val="279"/>
        <w:spacing w:line="360" w:lineRule="auto"/>
        <w:ind w:firstLine="482"/>
        <w:rPr>
          <w:color w:val="000000" w:themeColor="text1"/>
          <w14:textFill>
            <w14:solidFill>
              <w14:schemeClr w14:val="tx1"/>
            </w14:solidFill>
          </w14:textFill>
        </w:rPr>
      </w:pPr>
      <w:r>
        <w:rPr>
          <w:b/>
          <w:color w:val="000000" w:themeColor="text1"/>
          <w14:textFill>
            <w14:solidFill>
              <w14:schemeClr w14:val="tx1"/>
            </w14:solidFill>
          </w14:textFill>
        </w:rPr>
        <w:t>（2）油漆与相关环保要求符合性分析</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根据《工业防护涂料中有害物质限量》（GB 30981-2020）中相关的限值要求。本项目选用的施工漆限量符合性分析，见表2.1-10。</w:t>
      </w:r>
    </w:p>
    <w:p>
      <w:pPr>
        <w:pStyle w:val="279"/>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表2.1-10  施工漆VOCs限量符合性分析</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328"/>
        <w:gridCol w:w="1441"/>
        <w:gridCol w:w="2410"/>
        <w:gridCol w:w="1134"/>
        <w:gridCol w:w="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Merge w:val="restart"/>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油漆种类</w:t>
            </w:r>
          </w:p>
        </w:tc>
        <w:tc>
          <w:tcPr>
            <w:tcW w:w="1328" w:type="dxa"/>
            <w:vMerge w:val="restart"/>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挥发性有机物含量g/L</w:t>
            </w:r>
          </w:p>
        </w:tc>
        <w:tc>
          <w:tcPr>
            <w:tcW w:w="4909" w:type="dxa"/>
            <w:gridSpan w:val="3"/>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标准</w:t>
            </w:r>
          </w:p>
        </w:tc>
        <w:tc>
          <w:tcPr>
            <w:tcW w:w="662" w:type="dxa"/>
            <w:vMerge w:val="restart"/>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1328"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3775" w:type="dxa"/>
            <w:gridSpan w:val="2"/>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标准来源</w:t>
            </w:r>
          </w:p>
        </w:tc>
        <w:tc>
          <w:tcPr>
            <w:tcW w:w="1134" w:type="dxa"/>
            <w:vAlign w:val="center"/>
          </w:tcPr>
          <w:p>
            <w:pPr>
              <w:pStyle w:val="279"/>
              <w:spacing w:line="240" w:lineRule="auto"/>
              <w:ind w:firstLine="0" w:firstLineChars="0"/>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限值g/L</w:t>
            </w:r>
          </w:p>
        </w:tc>
        <w:tc>
          <w:tcPr>
            <w:tcW w:w="662"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施工环氧底漆</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418</w:t>
            </w:r>
          </w:p>
        </w:tc>
        <w:tc>
          <w:tcPr>
            <w:tcW w:w="1365" w:type="dxa"/>
            <w:vMerge w:val="restar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《工业防护涂料中有害物质限量》（GB 30981-2020）</w:t>
            </w:r>
          </w:p>
        </w:tc>
        <w:tc>
          <w:tcPr>
            <w:tcW w:w="2410" w:type="dxa"/>
            <w:vMerge w:val="restar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表2 建筑物和构筑物防护涂料/金属基材防腐涂料/双组份</w:t>
            </w: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施工环氧云铁漆</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432</w:t>
            </w:r>
          </w:p>
        </w:tc>
        <w:tc>
          <w:tcPr>
            <w:tcW w:w="1365"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2410"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施工环氧面漆</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494</w:t>
            </w:r>
          </w:p>
        </w:tc>
        <w:tc>
          <w:tcPr>
            <w:tcW w:w="1365"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2410"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施工水性冷喷烯锌</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94</w:t>
            </w:r>
          </w:p>
        </w:tc>
        <w:tc>
          <w:tcPr>
            <w:tcW w:w="1365"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2410" w:type="dxa"/>
            <w:vMerge w:val="restar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表1建筑物和构筑物防护涂料/金属基材防腐涂料/双组份、单组份</w:t>
            </w: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施工水性环氧中间漆</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153</w:t>
            </w:r>
          </w:p>
        </w:tc>
        <w:tc>
          <w:tcPr>
            <w:tcW w:w="1365"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2410"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250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施工水性透明封闭漆</w:t>
            </w:r>
          </w:p>
        </w:tc>
        <w:tc>
          <w:tcPr>
            <w:tcW w:w="1328"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45</w:t>
            </w:r>
          </w:p>
        </w:tc>
        <w:tc>
          <w:tcPr>
            <w:tcW w:w="1365"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2410" w:type="dxa"/>
            <w:vMerge w:val="continue"/>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p>
        </w:tc>
        <w:tc>
          <w:tcPr>
            <w:tcW w:w="1134"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w:t>
            </w:r>
          </w:p>
        </w:tc>
        <w:tc>
          <w:tcPr>
            <w:tcW w:w="662" w:type="dxa"/>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6" w:type="dxa"/>
            <w:gridSpan w:val="6"/>
            <w:vAlign w:val="center"/>
          </w:tcPr>
          <w:p>
            <w:pPr>
              <w:pStyle w:val="279"/>
              <w:spacing w:line="240" w:lineRule="auto"/>
              <w:ind w:firstLine="0" w:firstLineChars="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注：施工环氧底漆、施工环氧云铁漆</w:t>
            </w:r>
            <w:r>
              <w:rPr>
                <w:rFonts w:hint="eastAsia"/>
                <w:color w:val="000000" w:themeColor="text1"/>
                <w:kern w:val="0"/>
                <w:sz w:val="21"/>
                <w:szCs w:val="21"/>
                <w14:textFill>
                  <w14:solidFill>
                    <w14:schemeClr w14:val="tx1"/>
                  </w14:solidFill>
                </w14:textFill>
              </w:rPr>
              <w:t>和</w:t>
            </w:r>
            <w:r>
              <w:rPr>
                <w:color w:val="000000" w:themeColor="text1"/>
                <w:kern w:val="0"/>
                <w:sz w:val="21"/>
                <w:szCs w:val="21"/>
                <w14:textFill>
                  <w14:solidFill>
                    <w14:schemeClr w14:val="tx1"/>
                  </w14:solidFill>
                </w14:textFill>
              </w:rPr>
              <w:t>施工环氧面漆的挥发性有机物含量根据加入稀释剂后重新核算。</w:t>
            </w:r>
          </w:p>
        </w:tc>
      </w:tr>
    </w:tbl>
    <w:p>
      <w:pPr>
        <w:pStyle w:val="279"/>
        <w:spacing w:line="360" w:lineRule="auto"/>
        <w:ind w:firstLine="482"/>
        <w:rPr>
          <w:b/>
          <w:color w:val="000000" w:themeColor="text1"/>
          <w14:textFill>
            <w14:solidFill>
              <w14:schemeClr w14:val="tx1"/>
            </w14:solidFill>
          </w14:textFill>
        </w:rPr>
      </w:pPr>
      <w:r>
        <w:rPr>
          <w:b/>
          <w:color w:val="000000" w:themeColor="text1"/>
          <w14:textFill>
            <w14:solidFill>
              <w14:schemeClr w14:val="tx1"/>
            </w14:solidFill>
          </w14:textFill>
        </w:rPr>
        <w:t>（3）油漆量核算</w:t>
      </w:r>
    </w:p>
    <w:p>
      <w:pPr>
        <w:adjustRightInd w:val="0"/>
        <w:snapToGrid w:val="0"/>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涂料用量采用以下公式计算：</w:t>
      </w:r>
    </w:p>
    <w:p>
      <w:pPr>
        <w:pStyle w:val="407"/>
        <w:ind w:firstLine="0"/>
        <w:jc w:val="center"/>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m=ρδs×10</w:t>
      </w:r>
      <w:r>
        <w:rPr>
          <w:bCs/>
          <w:color w:val="000000" w:themeColor="text1"/>
          <w:szCs w:val="22"/>
          <w:vertAlign w:val="superscript"/>
          <w14:textFill>
            <w14:solidFill>
              <w14:schemeClr w14:val="tx1"/>
            </w14:solidFill>
          </w14:textFill>
        </w:rPr>
        <w:t>-6</w:t>
      </w:r>
      <w:r>
        <w:rPr>
          <w:bCs/>
          <w:color w:val="000000" w:themeColor="text1"/>
          <w:szCs w:val="22"/>
          <w14:textFill>
            <w14:solidFill>
              <w14:schemeClr w14:val="tx1"/>
            </w14:solidFill>
          </w14:textFill>
        </w:rPr>
        <w:t>/（N·ε）</w:t>
      </w:r>
    </w:p>
    <w:p>
      <w:pPr>
        <w:pStyle w:val="407"/>
        <w:ind w:firstLine="48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其中：m—单种漆用量（t）；</w:t>
      </w:r>
    </w:p>
    <w:p>
      <w:pPr>
        <w:pStyle w:val="407"/>
        <w:ind w:firstLine="1200" w:firstLineChars="50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ρ—该涂料密度，单位：g/cm</w:t>
      </w:r>
      <w:r>
        <w:rPr>
          <w:bCs/>
          <w:color w:val="000000" w:themeColor="text1"/>
          <w:szCs w:val="22"/>
          <w:vertAlign w:val="superscript"/>
          <w14:textFill>
            <w14:solidFill>
              <w14:schemeClr w14:val="tx1"/>
            </w14:solidFill>
          </w14:textFill>
        </w:rPr>
        <w:t>3</w:t>
      </w:r>
      <w:r>
        <w:rPr>
          <w:bCs/>
          <w:color w:val="000000" w:themeColor="text1"/>
          <w:szCs w:val="22"/>
          <w14:textFill>
            <w14:solidFill>
              <w14:schemeClr w14:val="tx1"/>
            </w14:solidFill>
          </w14:textFill>
        </w:rPr>
        <w:t>；</w:t>
      </w:r>
    </w:p>
    <w:p>
      <w:pPr>
        <w:pStyle w:val="407"/>
        <w:ind w:firstLine="1200" w:firstLineChars="50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δ—涂层厚度（干膜厚度）（μm）；</w:t>
      </w:r>
    </w:p>
    <w:p>
      <w:pPr>
        <w:pStyle w:val="407"/>
        <w:ind w:firstLine="1200" w:firstLineChars="50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s—涂装面积（m</w:t>
      </w:r>
      <w:r>
        <w:rPr>
          <w:bCs/>
          <w:color w:val="000000" w:themeColor="text1"/>
          <w:szCs w:val="22"/>
          <w:vertAlign w:val="superscript"/>
          <w14:textFill>
            <w14:solidFill>
              <w14:schemeClr w14:val="tx1"/>
            </w14:solidFill>
          </w14:textFill>
        </w:rPr>
        <w:t>2</w:t>
      </w:r>
      <w:r>
        <w:rPr>
          <w:bCs/>
          <w:color w:val="000000" w:themeColor="text1"/>
          <w:szCs w:val="22"/>
          <w14:textFill>
            <w14:solidFill>
              <w14:schemeClr w14:val="tx1"/>
            </w14:solidFill>
          </w14:textFill>
        </w:rPr>
        <w:t>/a）；</w:t>
      </w:r>
    </w:p>
    <w:p>
      <w:pPr>
        <w:pStyle w:val="407"/>
        <w:ind w:firstLine="1200" w:firstLineChars="50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N—该涂料的质量固体份（%）；</w:t>
      </w:r>
    </w:p>
    <w:p>
      <w:pPr>
        <w:pStyle w:val="407"/>
        <w:ind w:firstLine="1200" w:firstLineChars="500"/>
        <w:rPr>
          <w:bCs/>
          <w:color w:val="000000" w:themeColor="text1"/>
          <w:szCs w:val="22"/>
          <w14:textFill>
            <w14:solidFill>
              <w14:schemeClr w14:val="tx1"/>
            </w14:solidFill>
          </w14:textFill>
        </w:rPr>
      </w:pPr>
      <w:r>
        <w:rPr>
          <w:bCs/>
          <w:color w:val="000000" w:themeColor="text1"/>
          <w:szCs w:val="22"/>
          <w14:textFill>
            <w14:solidFill>
              <w14:schemeClr w14:val="tx1"/>
            </w14:solidFill>
          </w14:textFill>
        </w:rPr>
        <w:t>ε—上漆率。</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参考《无气喷涂技术及其应用》（黄大江，涂装与电镀2008第1期），空气喷涂的涂着效率为35%，普通无气喷涂为60%，空气辅助无气喷涂的涂着效率为75%。本项目采用高压无气喷涂，上漆率取60%（油漆中60%固体份附着在工件上）。各油漆用量核算见表2.1-11。</w:t>
      </w:r>
    </w:p>
    <w:p>
      <w:pPr>
        <w:pStyle w:val="279"/>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表2.1-11  各油漆用量核算表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953"/>
        <w:gridCol w:w="816"/>
        <w:gridCol w:w="680"/>
        <w:gridCol w:w="544"/>
        <w:gridCol w:w="689"/>
        <w:gridCol w:w="816"/>
        <w:gridCol w:w="817"/>
        <w:gridCol w:w="954"/>
        <w:gridCol w:w="764"/>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涂装工序</w:t>
            </w:r>
          </w:p>
        </w:tc>
        <w:tc>
          <w:tcPr>
            <w:tcW w:w="506"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涂装面积m</w:t>
            </w:r>
            <w:r>
              <w:rPr>
                <w:b/>
                <w:color w:val="000000" w:themeColor="text1"/>
                <w:sz w:val="21"/>
                <w:szCs w:val="21"/>
                <w:vertAlign w:val="superscript"/>
                <w14:textFill>
                  <w14:solidFill>
                    <w14:schemeClr w14:val="tx1"/>
                  </w14:solidFill>
                </w14:textFill>
              </w:rPr>
              <w:t>2</w:t>
            </w:r>
            <w:r>
              <w:rPr>
                <w:b/>
                <w:color w:val="000000" w:themeColor="text1"/>
                <w:sz w:val="21"/>
                <w:szCs w:val="21"/>
                <w14:textFill>
                  <w14:solidFill>
                    <w14:schemeClr w14:val="tx1"/>
                  </w14:solidFill>
                </w14:textFill>
              </w:rPr>
              <w:t>/a</w:t>
            </w:r>
          </w:p>
        </w:tc>
        <w:tc>
          <w:tcPr>
            <w:tcW w:w="433"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干膜密度g/cm</w:t>
            </w:r>
            <w:r>
              <w:rPr>
                <w:b/>
                <w:color w:val="000000" w:themeColor="text1"/>
                <w:sz w:val="21"/>
                <w:szCs w:val="21"/>
                <w:vertAlign w:val="superscript"/>
                <w14:textFill>
                  <w14:solidFill>
                    <w14:schemeClr w14:val="tx1"/>
                  </w14:solidFill>
                </w14:textFill>
              </w:rPr>
              <w:t>3</w:t>
            </w:r>
          </w:p>
        </w:tc>
        <w:tc>
          <w:tcPr>
            <w:tcW w:w="361"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上漆率%</w:t>
            </w:r>
          </w:p>
        </w:tc>
        <w:tc>
          <w:tcPr>
            <w:tcW w:w="289"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厚度μm</w:t>
            </w:r>
          </w:p>
        </w:tc>
        <w:tc>
          <w:tcPr>
            <w:tcW w:w="361"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固体份%</w:t>
            </w:r>
          </w:p>
        </w:tc>
        <w:tc>
          <w:tcPr>
            <w:tcW w:w="433"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施工漆总用量</w:t>
            </w:r>
          </w:p>
        </w:tc>
        <w:tc>
          <w:tcPr>
            <w:tcW w:w="1749" w:type="pct"/>
            <w:gridSpan w:val="4"/>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按比例细化t/a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506"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433"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361"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289"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361"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433" w:type="pct"/>
            <w:vMerge w:val="continue"/>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p>
        </w:tc>
        <w:tc>
          <w:tcPr>
            <w:tcW w:w="434"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主剂/甲组份</w:t>
            </w:r>
          </w:p>
        </w:tc>
        <w:tc>
          <w:tcPr>
            <w:tcW w:w="506"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固化剂/乙组份</w:t>
            </w:r>
          </w:p>
        </w:tc>
        <w:tc>
          <w:tcPr>
            <w:tcW w:w="405"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稀释剂</w:t>
            </w:r>
          </w:p>
        </w:tc>
        <w:tc>
          <w:tcPr>
            <w:tcW w:w="405"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水份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施工环氧底漆</w:t>
            </w:r>
          </w:p>
        </w:tc>
        <w:tc>
          <w:tcPr>
            <w:tcW w:w="506"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109846</w:t>
            </w: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66.92</w:t>
            </w:r>
          </w:p>
        </w:tc>
        <w:tc>
          <w:tcPr>
            <w:tcW w:w="43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14.225 </w:t>
            </w:r>
          </w:p>
        </w:tc>
        <w:tc>
          <w:tcPr>
            <w:tcW w:w="43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11.639 </w:t>
            </w:r>
          </w:p>
        </w:tc>
        <w:tc>
          <w:tcPr>
            <w:tcW w:w="5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1.293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1.293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施工环氧云铁漆</w:t>
            </w:r>
          </w:p>
        </w:tc>
        <w:tc>
          <w:tcPr>
            <w:tcW w:w="506" w:type="pct"/>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65.80</w:t>
            </w:r>
          </w:p>
        </w:tc>
        <w:tc>
          <w:tcPr>
            <w:tcW w:w="4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18.084 </w:t>
            </w:r>
          </w:p>
        </w:tc>
        <w:tc>
          <w:tcPr>
            <w:tcW w:w="43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13.974 </w:t>
            </w:r>
          </w:p>
        </w:tc>
        <w:tc>
          <w:tcPr>
            <w:tcW w:w="5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2.466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1.644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施工环氧面漆</w:t>
            </w:r>
          </w:p>
        </w:tc>
        <w:tc>
          <w:tcPr>
            <w:tcW w:w="506" w:type="pct"/>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60.91</w:t>
            </w:r>
          </w:p>
        </w:tc>
        <w:tc>
          <w:tcPr>
            <w:tcW w:w="4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19.537 </w:t>
            </w:r>
          </w:p>
        </w:tc>
        <w:tc>
          <w:tcPr>
            <w:tcW w:w="43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14.801 </w:t>
            </w:r>
          </w:p>
        </w:tc>
        <w:tc>
          <w:tcPr>
            <w:tcW w:w="5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2.960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1.776 </w:t>
            </w:r>
          </w:p>
        </w:tc>
        <w:tc>
          <w:tcPr>
            <w:tcW w:w="40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8" w:type="pct"/>
            <w:gridSpan w:val="6"/>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小计</w:t>
            </w: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51.846</w:t>
            </w:r>
          </w:p>
        </w:tc>
        <w:tc>
          <w:tcPr>
            <w:tcW w:w="434"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4.713</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施工水性环氧富锌底漆</w:t>
            </w:r>
          </w:p>
        </w:tc>
        <w:tc>
          <w:tcPr>
            <w:tcW w:w="506" w:type="pct"/>
            <w:vMerge w:val="restar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164769</w:t>
            </w: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4.34</w:t>
            </w:r>
          </w:p>
        </w:tc>
        <w:tc>
          <w:tcPr>
            <w:tcW w:w="43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6.932</w:t>
            </w:r>
          </w:p>
        </w:tc>
        <w:tc>
          <w:tcPr>
            <w:tcW w:w="434"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15.393</w:t>
            </w:r>
          </w:p>
        </w:tc>
        <w:tc>
          <w:tcPr>
            <w:tcW w:w="5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施工水性环氧中间漆</w:t>
            </w:r>
          </w:p>
        </w:tc>
        <w:tc>
          <w:tcPr>
            <w:tcW w:w="506" w:type="pct"/>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2.92</w:t>
            </w:r>
          </w:p>
        </w:tc>
        <w:tc>
          <w:tcPr>
            <w:tcW w:w="4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2.254</w:t>
            </w:r>
          </w:p>
        </w:tc>
        <w:tc>
          <w:tcPr>
            <w:tcW w:w="43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18.392</w:t>
            </w:r>
          </w:p>
        </w:tc>
        <w:tc>
          <w:tcPr>
            <w:tcW w:w="5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1.839</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pPr>
              <w:pStyle w:val="279"/>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施工水性透明封闭漆</w:t>
            </w:r>
          </w:p>
        </w:tc>
        <w:tc>
          <w:tcPr>
            <w:tcW w:w="506" w:type="pct"/>
            <w:vMerge w:val="continue"/>
            <w:vAlign w:val="center"/>
          </w:tcPr>
          <w:p>
            <w:pPr>
              <w:pStyle w:val="279"/>
              <w:spacing w:line="240" w:lineRule="auto"/>
              <w:ind w:firstLine="0" w:firstLineChars="0"/>
              <w:jc w:val="center"/>
              <w:rPr>
                <w:color w:val="000000" w:themeColor="text1"/>
                <w:sz w:val="21"/>
                <w:szCs w:val="21"/>
                <w14:textFill>
                  <w14:solidFill>
                    <w14:schemeClr w14:val="tx1"/>
                  </w14:solidFill>
                </w14:textFill>
              </w:rPr>
            </w:pP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289"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c>
          <w:tcPr>
            <w:tcW w:w="36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7.76</w:t>
            </w:r>
          </w:p>
        </w:tc>
        <w:tc>
          <w:tcPr>
            <w:tcW w:w="433"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0.339</w:t>
            </w:r>
          </w:p>
        </w:tc>
        <w:tc>
          <w:tcPr>
            <w:tcW w:w="43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18.490</w:t>
            </w:r>
          </w:p>
        </w:tc>
        <w:tc>
          <w:tcPr>
            <w:tcW w:w="5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.849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8" w:type="pct"/>
            <w:gridSpan w:val="6"/>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小计</w:t>
            </w:r>
          </w:p>
        </w:tc>
        <w:tc>
          <w:tcPr>
            <w:tcW w:w="43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9.525</w:t>
            </w:r>
          </w:p>
        </w:tc>
        <w:tc>
          <w:tcPr>
            <w:tcW w:w="434"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405"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（4）涂装设备产能匹配性分析</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根据建设单位提供资料，</w:t>
      </w:r>
      <w:r>
        <w:rPr>
          <w:rFonts w:hint="eastAsia" w:eastAsia="宋体"/>
          <w:color w:val="000000" w:themeColor="text1"/>
          <w14:textFill>
            <w14:solidFill>
              <w14:schemeClr w14:val="tx1"/>
            </w14:solidFill>
          </w14:textFill>
        </w:rPr>
        <w:t>本项目涂装车间共设置2个喷漆工位，每个工位设1台无气喷涂机，常规情况下一个工位用于喷水性漆，一个工位用于喷油性漆。但由于选择水性漆还是油性漆根据客户需求而定，少数情况下同一批订单产品全部采用水性漆或油性漆，因此，为按时完成客户订单，建设单位存在2个喷漆工位同时喷水性漆或同时喷油性漆的情况，即2个喷漆工位未对喷水性还是油性做出限制。根据建设单位提供的无气喷涂机设备参数，</w:t>
      </w:r>
      <w:r>
        <w:rPr>
          <w:rFonts w:eastAsia="宋体"/>
          <w:color w:val="000000" w:themeColor="text1"/>
          <w14:textFill>
            <w14:solidFill>
              <w14:schemeClr w14:val="tx1"/>
            </w14:solidFill>
          </w14:textFill>
        </w:rPr>
        <w:t>项目涂装设备产能匹配性分析，见表2.1-12。</w:t>
      </w:r>
    </w:p>
    <w:p>
      <w:pPr>
        <w:pStyle w:val="279"/>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表2.1-12  项目涂装设备产能匹配性分析</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666"/>
        <w:gridCol w:w="1852"/>
        <w:gridCol w:w="1331"/>
        <w:gridCol w:w="1096"/>
        <w:gridCol w:w="1627"/>
        <w:gridCol w:w="1239"/>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设备</w:t>
            </w:r>
          </w:p>
        </w:tc>
        <w:tc>
          <w:tcPr>
            <w:tcW w:w="353"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数量</w:t>
            </w:r>
          </w:p>
        </w:tc>
        <w:tc>
          <w:tcPr>
            <w:tcW w:w="982"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单位时间喷涂效率</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2</w:t>
            </w:r>
            <w:r>
              <w:rPr>
                <w:b/>
                <w:color w:val="000000" w:themeColor="text1"/>
                <w:sz w:val="21"/>
                <w:szCs w:val="21"/>
                <w14:textFill>
                  <w14:solidFill>
                    <w14:schemeClr w14:val="tx1"/>
                  </w14:solidFill>
                </w14:textFill>
              </w:rPr>
              <w:t>/h/套）</w:t>
            </w:r>
          </w:p>
        </w:tc>
        <w:tc>
          <w:tcPr>
            <w:tcW w:w="706"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日有效喷涂时间（h/d/套）</w:t>
            </w:r>
          </w:p>
        </w:tc>
        <w:tc>
          <w:tcPr>
            <w:tcW w:w="581"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年生产天数（d/a）</w:t>
            </w:r>
          </w:p>
        </w:tc>
        <w:tc>
          <w:tcPr>
            <w:tcW w:w="863"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理论</w:t>
            </w:r>
            <w:r>
              <w:rPr>
                <w:rFonts w:hint="eastAsia"/>
                <w:b/>
                <w:color w:val="000000" w:themeColor="text1"/>
                <w:sz w:val="21"/>
                <w:szCs w:val="21"/>
                <w14:textFill>
                  <w14:solidFill>
                    <w14:schemeClr w14:val="tx1"/>
                  </w14:solidFill>
                </w14:textFill>
              </w:rPr>
              <w:t>喷涂面积</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2</w:t>
            </w:r>
            <w:r>
              <w:rPr>
                <w:b/>
                <w:color w:val="000000" w:themeColor="text1"/>
                <w:sz w:val="21"/>
                <w:szCs w:val="21"/>
                <w14:textFill>
                  <w14:solidFill>
                    <w14:schemeClr w14:val="tx1"/>
                  </w14:solidFill>
                </w14:textFill>
              </w:rPr>
              <w:t>/a）</w:t>
            </w:r>
          </w:p>
        </w:tc>
        <w:tc>
          <w:tcPr>
            <w:tcW w:w="657"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w:t>
            </w:r>
            <w:r>
              <w:rPr>
                <w:rFonts w:hint="eastAsia"/>
                <w:b/>
                <w:color w:val="000000" w:themeColor="text1"/>
                <w:sz w:val="21"/>
                <w:szCs w:val="21"/>
                <w14:textFill>
                  <w14:solidFill>
                    <w14:schemeClr w14:val="tx1"/>
                  </w14:solidFill>
                </w14:textFill>
              </w:rPr>
              <w:t>喷涂总面积</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w:t>
            </w:r>
            <w:r>
              <w:rPr>
                <w:b/>
                <w:color w:val="000000" w:themeColor="text1"/>
                <w:sz w:val="21"/>
                <w:szCs w:val="21"/>
                <w:vertAlign w:val="superscript"/>
                <w14:textFill>
                  <w14:solidFill>
                    <w14:schemeClr w14:val="tx1"/>
                  </w14:solidFill>
                </w14:textFill>
              </w:rPr>
              <w:t>2</w:t>
            </w:r>
            <w:r>
              <w:rPr>
                <w:b/>
                <w:color w:val="000000" w:themeColor="text1"/>
                <w:sz w:val="21"/>
                <w:szCs w:val="21"/>
                <w14:textFill>
                  <w14:solidFill>
                    <w14:schemeClr w14:val="tx1"/>
                  </w14:solidFill>
                </w14:textFill>
              </w:rPr>
              <w:t>/a）</w:t>
            </w:r>
          </w:p>
        </w:tc>
        <w:tc>
          <w:tcPr>
            <w:tcW w:w="348" w:type="pct"/>
            <w:vAlign w:val="center"/>
          </w:tcPr>
          <w:p>
            <w:pPr>
              <w:pStyle w:val="279"/>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w:t>
            </w:r>
            <w:r>
              <w:rPr>
                <w:rFonts w:hint="eastAsia"/>
                <w:b/>
                <w:color w:val="000000" w:themeColor="text1"/>
                <w:sz w:val="21"/>
                <w:szCs w:val="21"/>
                <w14:textFill>
                  <w14:solidFill>
                    <w14:schemeClr w14:val="tx1"/>
                  </w14:solidFill>
                </w14:textFill>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无气喷涂机</w:t>
            </w:r>
          </w:p>
        </w:tc>
        <w:tc>
          <w:tcPr>
            <w:tcW w:w="35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2套</w:t>
            </w:r>
          </w:p>
        </w:tc>
        <w:tc>
          <w:tcPr>
            <w:tcW w:w="982"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50~100</w:t>
            </w:r>
          </w:p>
        </w:tc>
        <w:tc>
          <w:tcPr>
            <w:tcW w:w="706"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81"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320</w:t>
            </w:r>
          </w:p>
        </w:tc>
        <w:tc>
          <w:tcPr>
            <w:tcW w:w="863"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48000~960000</w:t>
            </w:r>
          </w:p>
        </w:tc>
        <w:tc>
          <w:tcPr>
            <w:tcW w:w="657"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823845</w:t>
            </w:r>
          </w:p>
        </w:tc>
        <w:tc>
          <w:tcPr>
            <w:tcW w:w="348" w:type="pct"/>
            <w:vAlign w:val="center"/>
          </w:tcPr>
          <w:p>
            <w:pPr>
              <w:pStyle w:val="279"/>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000" w:type="pct"/>
            <w:gridSpan w:val="8"/>
            <w:vAlign w:val="center"/>
          </w:tcPr>
          <w:p>
            <w:pPr>
              <w:pStyle w:val="279"/>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注：本项目产品喷涂面积为</w:t>
            </w:r>
            <w:r>
              <w:rPr>
                <w:color w:val="000000" w:themeColor="text1"/>
                <w:sz w:val="21"/>
                <w:szCs w:val="21"/>
                <w14:textFill>
                  <w14:solidFill>
                    <w14:schemeClr w14:val="tx1"/>
                  </w14:solidFill>
                </w14:textFill>
              </w:rPr>
              <w:t>274615</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层漆总面积</w:t>
            </w:r>
            <w:r>
              <w:rPr>
                <w:color w:val="000000" w:themeColor="text1"/>
                <w:sz w:val="21"/>
                <w:szCs w:val="21"/>
                <w14:textFill>
                  <w14:solidFill>
                    <w14:schemeClr w14:val="tx1"/>
                  </w14:solidFill>
                </w14:textFill>
              </w:rPr>
              <w:t>823845</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由上表可知，本项目涂装设备满足项目产品表面喷涂的需求。</w:t>
      </w:r>
    </w:p>
    <w:p>
      <w:pPr>
        <w:pStyle w:val="188"/>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2.1.6</w:t>
      </w:r>
      <w:bookmarkEnd w:id="96"/>
      <w:bookmarkEnd w:id="97"/>
      <w:bookmarkEnd w:id="98"/>
      <w:r>
        <w:rPr>
          <w:rFonts w:eastAsia="宋体"/>
          <w:color w:val="000000" w:themeColor="text1"/>
          <w14:textFill>
            <w14:solidFill>
              <w14:schemeClr w14:val="tx1"/>
            </w14:solidFill>
          </w14:textFill>
        </w:rPr>
        <w:t>项目依托设施可行性分析</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航鑫公司已建有A、B、C、D、E栋共5栋厂房（其中E栋已租赁给重庆何发报废汽车回收有限公司，不在本次评价范围内）。</w:t>
      </w:r>
      <w:r>
        <w:rPr>
          <w:rFonts w:eastAsia="宋体"/>
          <w:color w:val="000000" w:themeColor="text1"/>
          <w14:textFill>
            <w14:solidFill>
              <w14:schemeClr w14:val="tx1"/>
            </w14:solidFill>
          </w14:textFill>
        </w:rPr>
        <w:t>本项目1号地块依托航鑫公司已建的</w:t>
      </w:r>
      <w:r>
        <w:rPr>
          <w:rFonts w:hint="eastAsia" w:eastAsia="宋体"/>
          <w:color w:val="000000" w:themeColor="text1"/>
          <w14:textFill>
            <w14:solidFill>
              <w14:schemeClr w14:val="tx1"/>
            </w14:solidFill>
          </w14:textFill>
        </w:rPr>
        <w:t>A、B、C、D栋</w:t>
      </w:r>
      <w:r>
        <w:rPr>
          <w:rFonts w:eastAsia="宋体"/>
          <w:color w:val="000000" w:themeColor="text1"/>
          <w14:textFill>
            <w14:solidFill>
              <w14:schemeClr w14:val="tx1"/>
            </w14:solidFill>
          </w14:textFill>
        </w:rPr>
        <w:t>建筑物，</w:t>
      </w:r>
      <w:r>
        <w:rPr>
          <w:rFonts w:hint="eastAsia" w:eastAsia="宋体"/>
          <w:color w:val="000000" w:themeColor="text1"/>
          <w14:textFill>
            <w14:solidFill>
              <w14:schemeClr w14:val="tx1"/>
            </w14:solidFill>
          </w14:textFill>
        </w:rPr>
        <w:t>新建</w:t>
      </w:r>
      <w:r>
        <w:rPr>
          <w:rFonts w:eastAsia="宋体"/>
          <w:color w:val="000000" w:themeColor="text1"/>
          <w14:textFill>
            <w14:solidFill>
              <w14:schemeClr w14:val="tx1"/>
            </w14:solidFill>
          </w14:textFill>
        </w:rPr>
        <w:t>办公楼、1~6#生产车间及其配套设施。该地块依托设施及可行性分析，见表2.1-13。</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102" w:name="_Toc30449"/>
      <w:r>
        <w:rPr>
          <w:rFonts w:eastAsia="宋体"/>
          <w:b/>
          <w:bCs/>
          <w:color w:val="000000" w:themeColor="text1"/>
          <w14:textFill>
            <w14:solidFill>
              <w14:schemeClr w14:val="tx1"/>
            </w14:solidFill>
          </w14:textFill>
        </w:rPr>
        <w:t>表2.1-13  本项目1号地块依托工程可行性分析一览表</w:t>
      </w:r>
      <w:bookmarkEnd w:id="102"/>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277"/>
        <w:gridCol w:w="3870"/>
        <w:gridCol w:w="3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组成</w:t>
            </w:r>
          </w:p>
        </w:tc>
        <w:tc>
          <w:tcPr>
            <w:tcW w:w="677" w:type="pc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依托内容</w:t>
            </w:r>
          </w:p>
        </w:tc>
        <w:tc>
          <w:tcPr>
            <w:tcW w:w="2052" w:type="pc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现有情况</w:t>
            </w:r>
          </w:p>
        </w:tc>
        <w:tc>
          <w:tcPr>
            <w:tcW w:w="1882" w:type="pc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本项目依托可行性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主体工程</w:t>
            </w:r>
          </w:p>
        </w:tc>
        <w:tc>
          <w:tcPr>
            <w:tcW w:w="677" w:type="pct"/>
            <w:vAlign w:val="center"/>
          </w:tcPr>
          <w:p>
            <w:pPr>
              <w:pStyle w:val="273"/>
            </w:pPr>
            <w:r>
              <w:t>1~2#车间</w:t>
            </w:r>
          </w:p>
        </w:tc>
        <w:tc>
          <w:tcPr>
            <w:tcW w:w="205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已建B栋厂房，钢混结构，建筑面积9922.35m</w:t>
            </w:r>
            <w:r>
              <w:rPr>
                <w:rFonts w:eastAsia="宋体"/>
                <w:bCs/>
                <w:color w:val="000000" w:themeColor="text1"/>
                <w:sz w:val="21"/>
                <w:szCs w:val="21"/>
                <w:vertAlign w:val="superscript"/>
                <w14:textFill>
                  <w14:solidFill>
                    <w14:schemeClr w14:val="tx1"/>
                  </w14:solidFill>
                </w14:textFill>
              </w:rPr>
              <w:t>2</w:t>
            </w:r>
            <w:r>
              <w:rPr>
                <w:rFonts w:eastAsia="宋体"/>
                <w:bCs/>
                <w:color w:val="000000" w:themeColor="text1"/>
                <w:sz w:val="21"/>
                <w:szCs w:val="21"/>
                <w14:textFill>
                  <w14:solidFill>
                    <w14:schemeClr w14:val="tx1"/>
                  </w14:solidFill>
                </w14:textFill>
              </w:rPr>
              <w:t>，1层建筑</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利用现有厂房结构，对厂房进行适应性改造，布置1~2#车间。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c>
          <w:tcPr>
            <w:tcW w:w="677" w:type="pct"/>
            <w:vAlign w:val="center"/>
          </w:tcPr>
          <w:p>
            <w:pPr>
              <w:pStyle w:val="273"/>
            </w:pPr>
            <w:r>
              <w:t>3~6#车间</w:t>
            </w:r>
          </w:p>
        </w:tc>
        <w:tc>
          <w:tcPr>
            <w:tcW w:w="2052" w:type="pct"/>
            <w:vAlign w:val="center"/>
          </w:tcPr>
          <w:p>
            <w:pPr>
              <w:adjustRightInd w:val="0"/>
              <w:snapToGrid w:val="0"/>
              <w:spacing w:line="240" w:lineRule="auto"/>
              <w:jc w:val="center"/>
              <w:rPr>
                <w:rFonts w:eastAsia="宋体"/>
                <w:bCs/>
                <w:color w:val="000000" w:themeColor="text1"/>
                <w:sz w:val="21"/>
                <w:szCs w:val="21"/>
                <w:vertAlign w:val="superscript"/>
                <w14:textFill>
                  <w14:solidFill>
                    <w14:schemeClr w14:val="tx1"/>
                  </w14:solidFill>
                </w14:textFill>
              </w:rPr>
            </w:pPr>
            <w:r>
              <w:rPr>
                <w:rFonts w:eastAsia="宋体"/>
                <w:bCs/>
                <w:color w:val="000000" w:themeColor="text1"/>
                <w:sz w:val="21"/>
                <w:szCs w:val="21"/>
                <w14:textFill>
                  <w14:solidFill>
                    <w14:schemeClr w14:val="tx1"/>
                  </w14:solidFill>
                </w14:textFill>
              </w:rPr>
              <w:t>已建C栋厂房，钢混结构，1层建筑，建筑面积26120.33m</w:t>
            </w:r>
            <w:r>
              <w:rPr>
                <w:rFonts w:eastAsia="宋体"/>
                <w:bCs/>
                <w:color w:val="000000" w:themeColor="text1"/>
                <w:sz w:val="21"/>
                <w:szCs w:val="21"/>
                <w:vertAlign w:val="superscript"/>
                <w14:textFill>
                  <w14:solidFill>
                    <w14:schemeClr w14:val="tx1"/>
                  </w14:solidFill>
                </w14:textFill>
              </w:rPr>
              <w:t>2</w:t>
            </w:r>
            <w:r>
              <w:rPr>
                <w:rFonts w:eastAsia="宋体"/>
                <w:bCs/>
                <w:color w:val="000000" w:themeColor="text1"/>
                <w:sz w:val="21"/>
                <w:szCs w:val="21"/>
                <w14:textFill>
                  <w14:solidFill>
                    <w14:schemeClr w14:val="tx1"/>
                  </w14:solidFill>
                </w14:textFill>
              </w:rPr>
              <w:t>。</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利用现有厂房结构，对厂房进行适应性改造，布置3~6#车间。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辅助工程</w:t>
            </w:r>
          </w:p>
        </w:tc>
        <w:tc>
          <w:tcPr>
            <w:tcW w:w="677" w:type="pct"/>
            <w:vAlign w:val="center"/>
          </w:tcPr>
          <w:p>
            <w:pPr>
              <w:pStyle w:val="273"/>
            </w:pPr>
            <w:r>
              <w:t>办公楼</w:t>
            </w:r>
          </w:p>
        </w:tc>
        <w:tc>
          <w:tcPr>
            <w:tcW w:w="205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已建A栋厂房，钢混结构，建筑面积8815.15m</w:t>
            </w:r>
            <w:r>
              <w:rPr>
                <w:rFonts w:eastAsia="宋体"/>
                <w:bCs/>
                <w:color w:val="000000" w:themeColor="text1"/>
                <w:sz w:val="21"/>
                <w:szCs w:val="21"/>
                <w:vertAlign w:val="superscript"/>
                <w14:textFill>
                  <w14:solidFill>
                    <w14:schemeClr w14:val="tx1"/>
                  </w14:solidFill>
                </w14:textFill>
              </w:rPr>
              <w:t>2</w:t>
            </w:r>
            <w:r>
              <w:rPr>
                <w:rFonts w:eastAsia="宋体"/>
                <w:bCs/>
                <w:color w:val="000000" w:themeColor="text1"/>
                <w:sz w:val="21"/>
                <w:szCs w:val="21"/>
                <w14:textFill>
                  <w14:solidFill>
                    <w14:schemeClr w14:val="tx1"/>
                  </w14:solidFill>
                </w14:textFill>
              </w:rPr>
              <w:t>，4层建筑。</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本项目作为办公楼</w:t>
            </w:r>
            <w:r>
              <w:rPr>
                <w:rFonts w:hint="eastAsia"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c>
          <w:tcPr>
            <w:tcW w:w="677" w:type="pct"/>
            <w:vAlign w:val="center"/>
          </w:tcPr>
          <w:p>
            <w:pPr>
              <w:pStyle w:val="273"/>
            </w:pPr>
            <w:r>
              <w:t>门卫室</w:t>
            </w:r>
          </w:p>
        </w:tc>
        <w:tc>
          <w:tcPr>
            <w:tcW w:w="2052" w:type="pct"/>
            <w:vAlign w:val="center"/>
          </w:tcPr>
          <w:p>
            <w:pPr>
              <w:adjustRightInd w:val="0"/>
              <w:snapToGrid w:val="0"/>
              <w:spacing w:line="240" w:lineRule="auto"/>
              <w:jc w:val="left"/>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已建</w:t>
            </w:r>
            <w:r>
              <w:rPr>
                <w:rFonts w:eastAsia="宋体"/>
                <w:color w:val="000000" w:themeColor="text1"/>
                <w:sz w:val="21"/>
                <w:szCs w:val="21"/>
                <w14:textFill>
                  <w14:solidFill>
                    <w14:schemeClr w14:val="tx1"/>
                  </w14:solidFill>
                </w14:textFill>
              </w:rPr>
              <w:t>4间，1~2#门卫室面积13.2m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/间，3~4#门卫室面积29.61m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/间，位于厂区北侧各出入口旁。</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门卫室已建，可依托。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储运工程</w:t>
            </w:r>
          </w:p>
        </w:tc>
        <w:tc>
          <w:tcPr>
            <w:tcW w:w="677" w:type="pct"/>
            <w:vAlign w:val="center"/>
          </w:tcPr>
          <w:p>
            <w:pPr>
              <w:pStyle w:val="273"/>
            </w:pPr>
            <w:r>
              <w:t>钢板存放区</w:t>
            </w:r>
          </w:p>
        </w:tc>
        <w:tc>
          <w:tcPr>
            <w:tcW w:w="2052" w:type="pct"/>
            <w:vAlign w:val="center"/>
          </w:tcPr>
          <w:p>
            <w:pPr>
              <w:adjustRightInd w:val="0"/>
              <w:snapToGrid w:val="0"/>
              <w:spacing w:line="240" w:lineRule="auto"/>
              <w:jc w:val="center"/>
              <w:rPr>
                <w:rFonts w:eastAsia="宋体"/>
                <w:bCs/>
                <w:color w:val="000000" w:themeColor="text1"/>
                <w:sz w:val="21"/>
                <w:szCs w:val="21"/>
                <w:vertAlign w:val="superscript"/>
                <w14:textFill>
                  <w14:solidFill>
                    <w14:schemeClr w14:val="tx1"/>
                  </w14:solidFill>
                </w14:textFill>
              </w:rPr>
            </w:pPr>
            <w:r>
              <w:rPr>
                <w:rFonts w:eastAsia="宋体"/>
                <w:bCs/>
                <w:color w:val="000000" w:themeColor="text1"/>
                <w:sz w:val="21"/>
                <w:szCs w:val="21"/>
                <w14:textFill>
                  <w14:solidFill>
                    <w14:schemeClr w14:val="tx1"/>
                  </w14:solidFill>
                </w14:textFill>
              </w:rPr>
              <w:t>已建D栋厂房，钢混结构，1层建筑，建筑面积4686.51m</w:t>
            </w:r>
            <w:r>
              <w:rPr>
                <w:rFonts w:eastAsia="宋体"/>
                <w:bCs/>
                <w:color w:val="000000" w:themeColor="text1"/>
                <w:sz w:val="21"/>
                <w:szCs w:val="21"/>
                <w:vertAlign w:val="superscript"/>
                <w14:textFill>
                  <w14:solidFill>
                    <w14:schemeClr w14:val="tx1"/>
                  </w14:solidFill>
                </w14:textFill>
              </w:rPr>
              <w:t>2</w:t>
            </w:r>
            <w:r>
              <w:rPr>
                <w:rFonts w:eastAsia="宋体"/>
                <w:bCs/>
                <w:color w:val="000000" w:themeColor="text1"/>
                <w:sz w:val="21"/>
                <w:szCs w:val="21"/>
                <w14:textFill>
                  <w14:solidFill>
                    <w14:schemeClr w14:val="tx1"/>
                  </w14:solidFill>
                </w14:textFill>
              </w:rPr>
              <w:t>。</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依托现有D栋厂房，布置钢板存放区。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公用工程</w:t>
            </w:r>
          </w:p>
        </w:tc>
        <w:tc>
          <w:tcPr>
            <w:tcW w:w="677" w:type="pct"/>
            <w:vAlign w:val="center"/>
          </w:tcPr>
          <w:p>
            <w:pPr>
              <w:pStyle w:val="273"/>
            </w:pPr>
            <w:r>
              <w:t>供水</w:t>
            </w:r>
          </w:p>
        </w:tc>
        <w:tc>
          <w:tcPr>
            <w:tcW w:w="2052" w:type="pct"/>
            <w:vAlign w:val="center"/>
          </w:tcPr>
          <w:p>
            <w:pPr>
              <w:pStyle w:val="273"/>
            </w:pPr>
            <w:r>
              <w:t>园区供水管网供给，厂区建供水管网。</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厂区已建有供水管网，可依托。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c>
          <w:tcPr>
            <w:tcW w:w="677" w:type="pct"/>
            <w:vAlign w:val="center"/>
          </w:tcPr>
          <w:p>
            <w:pPr>
              <w:pStyle w:val="273"/>
            </w:pPr>
            <w:r>
              <w:t>排水</w:t>
            </w:r>
          </w:p>
        </w:tc>
        <w:tc>
          <w:tcPr>
            <w:tcW w:w="2052" w:type="pct"/>
            <w:vAlign w:val="center"/>
          </w:tcPr>
          <w:p>
            <w:pPr>
              <w:pStyle w:val="273"/>
            </w:pPr>
            <w:r>
              <w:t>雨污分流，厂区建有雨水管网和污水管网。雨水接入园区雨水管网；污水接入园区污水管网</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厂区已建有雨水管网、污水管网，可依托。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 w:type="pct"/>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c>
          <w:tcPr>
            <w:tcW w:w="677" w:type="pct"/>
            <w:vAlign w:val="center"/>
          </w:tcPr>
          <w:p>
            <w:pPr>
              <w:pStyle w:val="273"/>
            </w:pPr>
            <w:r>
              <w:t>供电</w:t>
            </w:r>
          </w:p>
        </w:tc>
        <w:tc>
          <w:tcPr>
            <w:tcW w:w="2052" w:type="pct"/>
            <w:vAlign w:val="center"/>
          </w:tcPr>
          <w:p>
            <w:pPr>
              <w:pStyle w:val="273"/>
            </w:pPr>
            <w:r>
              <w:t>园区电网供电，厂区建有供电管网。</w:t>
            </w:r>
          </w:p>
        </w:tc>
        <w:tc>
          <w:tcPr>
            <w:tcW w:w="1882"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厂区已建有供电管网，可依托。</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由上表可知，1号地块现有厂房及附属设施，本项目可依托。</w:t>
      </w:r>
    </w:p>
    <w:p>
      <w:pPr>
        <w:pStyle w:val="188"/>
        <w:rPr>
          <w:rFonts w:eastAsia="宋体"/>
          <w:color w:val="000000" w:themeColor="text1"/>
          <w14:textFill>
            <w14:solidFill>
              <w14:schemeClr w14:val="tx1"/>
            </w14:solidFill>
          </w14:textFill>
        </w:rPr>
      </w:pPr>
      <w:bookmarkStart w:id="103" w:name="_Toc7012"/>
      <w:r>
        <w:rPr>
          <w:rFonts w:eastAsia="宋体"/>
          <w:color w:val="000000" w:themeColor="text1"/>
          <w14:textFill>
            <w14:solidFill>
              <w14:schemeClr w14:val="tx1"/>
            </w14:solidFill>
          </w14:textFill>
        </w:rPr>
        <w:t>2.1.7总平面布置</w:t>
      </w:r>
      <w:bookmarkEnd w:id="103"/>
    </w:p>
    <w:p>
      <w:pPr>
        <w:pStyle w:val="279"/>
        <w:spacing w:line="360" w:lineRule="auto"/>
        <w:rPr>
          <w:color w:val="000000" w:themeColor="text1"/>
          <w14:textFill>
            <w14:solidFill>
              <w14:schemeClr w14:val="tx1"/>
            </w14:solidFill>
          </w14:textFill>
        </w:rPr>
      </w:pPr>
      <w:bookmarkStart w:id="104" w:name="_Toc1233"/>
      <w:r>
        <w:rPr>
          <w:color w:val="000000" w:themeColor="text1"/>
          <w14:textFill>
            <w14:solidFill>
              <w14:schemeClr w14:val="tx1"/>
            </w14:solidFill>
          </w14:textFill>
        </w:rPr>
        <w:t>（1）1号地块</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本项目1号地块位于重庆市大足区邮亭镇天堂</w:t>
      </w:r>
      <w:r>
        <w:rPr>
          <w:rFonts w:hint="eastAsia"/>
          <w:color w:val="000000" w:themeColor="text1"/>
          <w14:textFill>
            <w14:solidFill>
              <w14:schemeClr w14:val="tx1"/>
            </w14:solidFill>
          </w14:textFill>
        </w:rPr>
        <w:t>村九组</w:t>
      </w:r>
      <w:r>
        <w:rPr>
          <w:color w:val="000000" w:themeColor="text1"/>
          <w14:textFill>
            <w14:solidFill>
              <w14:schemeClr w14:val="tx1"/>
            </w14:solidFill>
          </w14:textFill>
        </w:rPr>
        <w:t>129号。项目厂区内建有A、B、C、D、E五栋厂房，沿厂房四周布置有厂内道路，厂区主要出入口位于地块北侧，连接天红路。</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项目利用现有厂房进行改造，其中A栋厂房作为办公楼；B栋厂房改造后，布置1~2#车间，作为下料、拼装等车间；C栋厂房改造后，布置3~6#车间，作为焊接车间；D栋厂房改造后，布置钢板存放区。</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（2）2号地块</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本项目2号地块位于重庆市大足区邮亭镇工业园区烈火村17组，租用重庆市渝标汽车配件制造有限公司的闲置土地。厂区地块呈梯形，涂装车间和喷砂车间位于地块东南侧。办公楼位于地块</w:t>
      </w:r>
      <w:r>
        <w:rPr>
          <w:rFonts w:hint="eastAsia"/>
          <w:color w:val="000000" w:themeColor="text1"/>
          <w14:textFill>
            <w14:solidFill>
              <w14:schemeClr w14:val="tx1"/>
            </w14:solidFill>
          </w14:textFill>
        </w:rPr>
        <w:t>东</w:t>
      </w:r>
      <w:r>
        <w:rPr>
          <w:color w:val="000000" w:themeColor="text1"/>
          <w14:textFill>
            <w14:solidFill>
              <w14:schemeClr w14:val="tx1"/>
            </w14:solidFill>
          </w14:textFill>
        </w:rPr>
        <w:t>侧。厂区中部为存梁区域，布置有2</w:t>
      </w:r>
      <w:r>
        <w:rPr>
          <w:rFonts w:hint="eastAsia"/>
          <w:color w:val="000000" w:themeColor="text1"/>
          <w14:textFill>
            <w14:solidFill>
              <w14:schemeClr w14:val="tx1"/>
            </w14:solidFill>
          </w14:textFill>
        </w:rPr>
        <w:t>套桁车</w:t>
      </w:r>
      <w:r>
        <w:rPr>
          <w:color w:val="000000" w:themeColor="text1"/>
          <w14:textFill>
            <w14:solidFill>
              <w14:schemeClr w14:val="tx1"/>
            </w14:solidFill>
          </w14:textFill>
        </w:rPr>
        <w:t>。</w:t>
      </w:r>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项目有机废气处理设施布置在涂装车间南侧，喷砂除尘设施布置在喷砂车间南侧。</w:t>
      </w:r>
    </w:p>
    <w:bookmarkEnd w:id="104"/>
    <w:p>
      <w:pPr>
        <w:pStyle w:val="188"/>
        <w:rPr>
          <w:rFonts w:eastAsia="宋体"/>
          <w:color w:val="000000" w:themeColor="text1"/>
          <w14:textFill>
            <w14:solidFill>
              <w14:schemeClr w14:val="tx1"/>
            </w14:solidFill>
          </w14:textFill>
        </w:rPr>
      </w:pPr>
      <w:bookmarkStart w:id="105" w:name="_Toc2157"/>
      <w:r>
        <w:rPr>
          <w:rFonts w:eastAsia="宋体"/>
          <w:color w:val="000000" w:themeColor="text1"/>
          <w14:textFill>
            <w14:solidFill>
              <w14:schemeClr w14:val="tx1"/>
            </w14:solidFill>
          </w14:textFill>
        </w:rPr>
        <w:t>2.1.8经济技术指标</w:t>
      </w:r>
      <w:bookmarkEnd w:id="105"/>
    </w:p>
    <w:p>
      <w:pPr>
        <w:pStyle w:val="27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本项目主要经济技术指标详见表2.1-14。</w:t>
      </w: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bookmarkStart w:id="106" w:name="_Toc22514"/>
      <w:r>
        <w:rPr>
          <w:rFonts w:eastAsia="宋体"/>
          <w:b/>
          <w:bCs/>
          <w:color w:val="000000" w:themeColor="text1"/>
          <w14:textFill>
            <w14:solidFill>
              <w14:schemeClr w14:val="tx1"/>
            </w14:solidFill>
          </w14:textFill>
        </w:rPr>
        <w:t>表2.1-14  本项目主要技术经济指标一览表</w:t>
      </w:r>
      <w:bookmarkEnd w:id="106"/>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176"/>
        <w:gridCol w:w="1052"/>
        <w:gridCol w:w="1560"/>
        <w:gridCol w:w="3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85" w:type="pct"/>
            <w:tcBorders>
              <w:top w:val="single" w:color="auto" w:sz="12" w:space="0"/>
            </w:tcBorders>
            <w:vAlign w:val="center"/>
          </w:tcPr>
          <w:p>
            <w:pPr>
              <w:pStyle w:val="35"/>
              <w:spacing w:line="240" w:lineRule="auto"/>
              <w:ind w:firstLine="0" w:firstLineChars="0"/>
              <w:jc w:val="center"/>
              <w:rPr>
                <w:b/>
              </w:rPr>
            </w:pPr>
            <w:bookmarkStart w:id="107" w:name="_Toc18269"/>
            <w:r>
              <w:rPr>
                <w:b/>
              </w:rPr>
              <w:t>序号</w:t>
            </w:r>
            <w:bookmarkEnd w:id="107"/>
          </w:p>
        </w:tc>
        <w:tc>
          <w:tcPr>
            <w:tcW w:w="1154" w:type="pct"/>
            <w:tcBorders>
              <w:top w:val="single" w:color="auto" w:sz="12" w:space="0"/>
            </w:tcBorders>
            <w:vAlign w:val="center"/>
          </w:tcPr>
          <w:p>
            <w:pPr>
              <w:pStyle w:val="35"/>
              <w:spacing w:line="240" w:lineRule="auto"/>
              <w:ind w:firstLine="0" w:firstLineChars="0"/>
              <w:jc w:val="center"/>
              <w:rPr>
                <w:b/>
              </w:rPr>
            </w:pPr>
            <w:bookmarkStart w:id="108" w:name="_Toc30401"/>
            <w:r>
              <w:rPr>
                <w:b/>
              </w:rPr>
              <w:t>项目</w:t>
            </w:r>
            <w:bookmarkEnd w:id="108"/>
          </w:p>
        </w:tc>
        <w:tc>
          <w:tcPr>
            <w:tcW w:w="558" w:type="pct"/>
            <w:tcBorders>
              <w:top w:val="single" w:color="auto" w:sz="12" w:space="0"/>
            </w:tcBorders>
            <w:vAlign w:val="center"/>
          </w:tcPr>
          <w:p>
            <w:pPr>
              <w:pStyle w:val="35"/>
              <w:spacing w:line="240" w:lineRule="auto"/>
              <w:ind w:firstLine="0" w:firstLineChars="0"/>
              <w:jc w:val="center"/>
              <w:rPr>
                <w:b/>
              </w:rPr>
            </w:pPr>
            <w:bookmarkStart w:id="109" w:name="_Toc11290"/>
            <w:r>
              <w:rPr>
                <w:b/>
              </w:rPr>
              <w:t>单位</w:t>
            </w:r>
            <w:bookmarkEnd w:id="109"/>
          </w:p>
        </w:tc>
        <w:tc>
          <w:tcPr>
            <w:tcW w:w="827" w:type="pct"/>
            <w:tcBorders>
              <w:top w:val="single" w:color="auto" w:sz="12" w:space="0"/>
            </w:tcBorders>
            <w:vAlign w:val="center"/>
          </w:tcPr>
          <w:p>
            <w:pPr>
              <w:pStyle w:val="35"/>
              <w:spacing w:line="240" w:lineRule="auto"/>
              <w:ind w:firstLine="0" w:firstLineChars="0"/>
              <w:jc w:val="center"/>
              <w:rPr>
                <w:b/>
              </w:rPr>
            </w:pPr>
            <w:bookmarkStart w:id="110" w:name="_Toc19510"/>
            <w:r>
              <w:rPr>
                <w:b/>
              </w:rPr>
              <w:t>指标</w:t>
            </w:r>
            <w:bookmarkEnd w:id="110"/>
          </w:p>
        </w:tc>
        <w:tc>
          <w:tcPr>
            <w:tcW w:w="2076" w:type="pct"/>
            <w:tcBorders>
              <w:top w:val="single" w:color="auto" w:sz="12" w:space="0"/>
            </w:tcBorders>
            <w:vAlign w:val="center"/>
          </w:tcPr>
          <w:p>
            <w:pPr>
              <w:pStyle w:val="35"/>
              <w:spacing w:line="240" w:lineRule="auto"/>
              <w:ind w:firstLine="0" w:firstLineChars="0"/>
              <w:jc w:val="center"/>
              <w:rPr>
                <w:b/>
              </w:rPr>
            </w:pPr>
            <w:r>
              <w:rPr>
                <w: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15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占地面积</w:t>
            </w:r>
          </w:p>
        </w:tc>
        <w:tc>
          <w:tcPr>
            <w:tcW w:w="55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2</w:t>
            </w:r>
          </w:p>
        </w:tc>
        <w:tc>
          <w:tcPr>
            <w:tcW w:w="82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106951.34</w:t>
            </w:r>
          </w:p>
        </w:tc>
        <w:tc>
          <w:tcPr>
            <w:tcW w:w="207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1号地块占地面积88951.34m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2号地块占地面积18000m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15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年工作时间</w:t>
            </w:r>
          </w:p>
        </w:tc>
        <w:tc>
          <w:tcPr>
            <w:tcW w:w="55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w:t>
            </w:r>
          </w:p>
        </w:tc>
        <w:tc>
          <w:tcPr>
            <w:tcW w:w="82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320</w:t>
            </w:r>
          </w:p>
        </w:tc>
        <w:tc>
          <w:tcPr>
            <w:tcW w:w="207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2班制，8h/班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15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劳动定员</w:t>
            </w:r>
          </w:p>
        </w:tc>
        <w:tc>
          <w:tcPr>
            <w:tcW w:w="55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人</w:t>
            </w:r>
          </w:p>
        </w:tc>
        <w:tc>
          <w:tcPr>
            <w:tcW w:w="82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w:t>
            </w:r>
          </w:p>
        </w:tc>
        <w:tc>
          <w:tcPr>
            <w:tcW w:w="207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1号地块180人，2号地块20人。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15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工程总投资</w:t>
            </w:r>
          </w:p>
        </w:tc>
        <w:tc>
          <w:tcPr>
            <w:tcW w:w="55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万元</w:t>
            </w:r>
          </w:p>
        </w:tc>
        <w:tc>
          <w:tcPr>
            <w:tcW w:w="82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2680</w:t>
            </w:r>
          </w:p>
        </w:tc>
        <w:tc>
          <w:tcPr>
            <w:tcW w:w="207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115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环保投资</w:t>
            </w:r>
          </w:p>
        </w:tc>
        <w:tc>
          <w:tcPr>
            <w:tcW w:w="55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万元</w:t>
            </w:r>
          </w:p>
        </w:tc>
        <w:tc>
          <w:tcPr>
            <w:tcW w:w="82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43</w:t>
            </w:r>
          </w:p>
        </w:tc>
        <w:tc>
          <w:tcPr>
            <w:tcW w:w="207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占总投资比例</w:t>
            </w:r>
            <w:r>
              <w:rPr>
                <w:rFonts w:hint="eastAsia" w:eastAsia="宋体"/>
                <w:color w:val="000000" w:themeColor="text1"/>
                <w:sz w:val="21"/>
                <w:szCs w:val="21"/>
                <w14:textFill>
                  <w14:solidFill>
                    <w14:schemeClr w14:val="tx1"/>
                  </w14:solidFill>
                </w14:textFill>
              </w:rPr>
              <w:t>9</w:t>
            </w:r>
            <w:r>
              <w:rPr>
                <w:rFonts w:eastAsia="宋体"/>
                <w:color w:val="000000" w:themeColor="text1"/>
                <w:sz w:val="21"/>
                <w:szCs w:val="21"/>
                <w14:textFill>
                  <w14:solidFill>
                    <w14:schemeClr w14:val="tx1"/>
                  </w14:solidFill>
                </w14:textFill>
              </w:rPr>
              <w:t>.07</w:t>
            </w: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1154"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生产规模</w:t>
            </w:r>
          </w:p>
        </w:tc>
        <w:tc>
          <w:tcPr>
            <w:tcW w:w="558"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t/a</w:t>
            </w:r>
          </w:p>
        </w:tc>
        <w:tc>
          <w:tcPr>
            <w:tcW w:w="827"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30000</w:t>
            </w:r>
          </w:p>
        </w:tc>
        <w:tc>
          <w:tcPr>
            <w:tcW w:w="2076"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1/3产品采用油性漆喷涂，</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2/3产品采用水性漆喷涂。</w:t>
            </w:r>
          </w:p>
        </w:tc>
      </w:tr>
    </w:tbl>
    <w:p>
      <w:pPr>
        <w:pStyle w:val="179"/>
        <w:rPr>
          <w:rFonts w:eastAsia="宋体"/>
          <w:color w:val="000000" w:themeColor="text1"/>
          <w14:textFill>
            <w14:solidFill>
              <w14:schemeClr w14:val="tx1"/>
            </w14:solidFill>
          </w14:textFill>
        </w:rPr>
      </w:pPr>
      <w:bookmarkStart w:id="111" w:name="_Toc155271413"/>
      <w:r>
        <w:rPr>
          <w:rFonts w:eastAsia="宋体"/>
          <w:color w:val="000000" w:themeColor="text1"/>
          <w14:textFill>
            <w14:solidFill>
              <w14:schemeClr w14:val="tx1"/>
            </w14:solidFill>
          </w14:textFill>
        </w:rPr>
        <w:t>2.2施工期工艺流程</w:t>
      </w:r>
      <w:bookmarkEnd w:id="111"/>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2.2.1施工期工艺流程及产污环节</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（1）1号地块</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项目1号地块施工期主要涉及现有生产厂房改造、装饰工程、设备安装调试等，工艺流程及产污环节见图2.2-1。</w:t>
      </w:r>
    </w:p>
    <w:p>
      <w:pPr>
        <w:spacing w:line="240" w:lineRule="auto"/>
        <w:jc w:val="center"/>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object>
          <v:shape id="_x0000_i1025" o:spt="75" type="#_x0000_t75" style="height:96.75pt;width:354.75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p>
    <w:p>
      <w:pPr>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图2.2-1  1号地块施工期工艺流程及产污环节图</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施工期产污环节</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废气：主要为施工作业产生的扬尘、机械设备产生的燃油废气。</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废水：主要为施工人员的生活污水。</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噪声：主要为各类机械设备施工运行产生的噪声、物料运输车辆的交通噪声等。</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固体废物：厂房建设过程产生的建筑垃圾、少量废包装材料以及施工人员的生活垃圾等。</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（2）2号地块</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项目2号地块施工期主要建设厂房及相关配套设施，主要包括基础工程、主体工程、装饰工程、设备安装及调试。工艺流程及产污环节见图2.2-2。</w:t>
      </w:r>
    </w:p>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26" o:spt="75" type="#_x0000_t75" style="height:126.75pt;width:380.25pt;" o:ole="t" filled="f" o:preferrelative="t" stroked="f" coordsize="21600,21600">
            <v:path/>
            <v:fill on="f" focussize="0,0"/>
            <v:stroke on="f" joinstyle="miter"/>
            <v:imagedata r:id="rId22" o:title=""/>
            <o:lock v:ext="edit" aspectratio="t"/>
            <w10:wrap type="none"/>
            <w10:anchorlock/>
          </v:shape>
          <o:OLEObject Type="Embed" ProgID="Visio.Drawing.15" ShapeID="_x0000_i1026" DrawAspect="Content" ObjectID="_1468075726" r:id="rId21">
            <o:LockedField>false</o:LockedField>
          </o:OLEObject>
        </w:object>
      </w:r>
    </w:p>
    <w:p>
      <w:pPr>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图2.2-2  2号地块施工期工艺流程及产污环节图</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施工期产污环节：</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废气：主要为施工作业产生的扬尘、机械设备产生的燃油废气。</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废水：主要包括施工车辆冲洗废水和建（构）筑养护废水、施工人员的生活污水。</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噪声：主要为各类机械设备施工运行产生的噪声、物料运输车辆的交通噪声等。</w:t>
      </w:r>
    </w:p>
    <w:p>
      <w:pPr>
        <w:ind w:firstLine="48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固体废物：厂房建设过程产生的建筑垃圾、少量废包装材料以及施工人员的生活垃圾等。</w:t>
      </w:r>
    </w:p>
    <w:p>
      <w:pPr>
        <w:keepNext/>
        <w:keepLines/>
        <w:adjustRightInd w:val="0"/>
        <w:outlineLvl w:val="2"/>
        <w:rPr>
          <w:rFonts w:eastAsia="宋体"/>
          <w:color w:val="000000" w:themeColor="text1"/>
          <w14:textFill>
            <w14:solidFill>
              <w14:schemeClr w14:val="tx1"/>
            </w14:solidFill>
          </w14:textFill>
        </w:rPr>
      </w:pPr>
      <w:r>
        <w:rPr>
          <w:rFonts w:eastAsia="宋体"/>
          <w:b/>
          <w:bCs/>
          <w:color w:val="000000" w:themeColor="text1"/>
          <w:szCs w:val="32"/>
          <w14:textFill>
            <w14:solidFill>
              <w14:schemeClr w14:val="tx1"/>
            </w14:solidFill>
          </w14:textFill>
        </w:rPr>
        <w:t>2.2.2施工期主要污染物排放分析</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（1）废气</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工作人员均为园区附近招聘。项目不设施工营地，施工人员的食宿依托周边现有设施。因此，施工期的大气污染物主要为施工扬尘、各种燃油动力机械在施工过程中产生的燃油废气和装修废气，其主要污染物为颗粒物、CO、NO</w:t>
      </w:r>
      <w:r>
        <w:rPr>
          <w:rFonts w:eastAsia="宋体"/>
          <w:color w:val="000000" w:themeColor="text1"/>
          <w:vertAlign w:val="subscript"/>
          <w14:textFill>
            <w14:solidFill>
              <w14:schemeClr w14:val="tx1"/>
            </w14:solidFill>
          </w14:textFill>
        </w:rPr>
        <w:t>X</w:t>
      </w:r>
      <w:r>
        <w:rPr>
          <w:rFonts w:eastAsia="宋体"/>
          <w:color w:val="000000" w:themeColor="text1"/>
          <w14:textFill>
            <w14:solidFill>
              <w14:schemeClr w14:val="tx1"/>
            </w14:solidFill>
          </w14:textFill>
        </w:rPr>
        <w:t>和THC。</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（2）废水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施工废水：包括施工车辆冲洗废水和建（构）筑养护废水，污染因子为SS、COD、石油类。根据建设单位提供资料及类比同类施工项目，项目施工废水量约5m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/d，污染物浓度分别为石油类12mg/L、COD150mg/L、SS200mg/L。施工废水经隔油沉淀池处理后全部回用，不外排。</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生活污水：施工高峰期施工人员预计为20人/d。施工人员生活用水量按50L/人·d考虑，污水产生系数按0.9计，则生活污水排放量为0.9m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/d。主要污染物浓度COD450mg/L、SS350mg/L。施工人员生活污水依托厂区周边现有污水处理设施处理后排入园区污水管网。</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（3）噪声</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施工期噪声源为各种施工设备及运输车辆，声源强度在75～105dB</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A</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之间。项目合理调整施工时间，夜间禁止施工，同时避开午休时间施工；合理安排施工顺序，避免高噪声设备同时运行。</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（4）固体废物</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项目固体废弃物主要是建筑垃圾和生活垃圾。</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项目1号地块对已建厂房改造，会产生少量的建筑垃圾；项目2号地块</w:t>
      </w:r>
      <w:r>
        <w:rPr>
          <w:rFonts w:hint="eastAsia" w:eastAsia="宋体"/>
          <w:color w:val="000000" w:themeColor="text1"/>
          <w14:textFill>
            <w14:solidFill>
              <w14:schemeClr w14:val="tx1"/>
            </w14:solidFill>
          </w14:textFill>
        </w:rPr>
        <w:t>产生</w:t>
      </w:r>
      <w:r>
        <w:rPr>
          <w:rFonts w:eastAsia="宋体"/>
          <w:color w:val="000000" w:themeColor="text1"/>
          <w14:textFill>
            <w14:solidFill>
              <w14:schemeClr w14:val="tx1"/>
            </w14:solidFill>
          </w14:textFill>
        </w:rPr>
        <w:t>建筑垃圾约3t。建筑垃圾采用分类收集，可回收利用固废送物资回收公司；不可利用固废与弃渣一起，运送至市政部门指定渣场。</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生活垃圾按高峰期施工人员20人计，每人每天产生生活垃圾0.5kg，每天产生10kg。生活垃圾收集后，交环卫部门处理。</w:t>
      </w:r>
    </w:p>
    <w:p>
      <w:pPr>
        <w:pStyle w:val="179"/>
        <w:rPr>
          <w:rFonts w:eastAsia="宋体"/>
          <w:color w:val="000000" w:themeColor="text1"/>
          <w14:textFill>
            <w14:solidFill>
              <w14:schemeClr w14:val="tx1"/>
            </w14:solidFill>
          </w14:textFill>
        </w:rPr>
      </w:pPr>
      <w:bookmarkStart w:id="112" w:name="_Toc155271414"/>
      <w:r>
        <w:rPr>
          <w:rFonts w:eastAsia="宋体"/>
          <w:color w:val="000000" w:themeColor="text1"/>
          <w14:textFill>
            <w14:solidFill>
              <w14:schemeClr w14:val="tx1"/>
            </w14:solidFill>
          </w14:textFill>
        </w:rPr>
        <w:t>2.3运营期生产工艺流程</w:t>
      </w:r>
      <w:bookmarkEnd w:id="112"/>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2.3.1生产工艺流程及产污环节</w:t>
      </w:r>
    </w:p>
    <w:p>
      <w:pPr>
        <w:pStyle w:val="272"/>
        <w:ind w:firstLine="480"/>
        <w:rPr>
          <w:rFonts w:ascii="Times New Roman" w:hAnsi="Times New Roman" w:eastAsia="宋体"/>
          <w:bCs/>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本项目生产产品为钢桥结构件，产品的规格和喷涂油漆的种类根据客户需求而定，结构件生产工艺基本一致。项目分为2</w:t>
      </w:r>
      <w:r>
        <w:rPr>
          <w:rFonts w:hint="eastAsia" w:ascii="Times New Roman" w:hAnsi="Times New Roman" w:eastAsia="宋体"/>
          <w:color w:val="000000" w:themeColor="text1"/>
          <w:szCs w:val="24"/>
          <w:lang w:eastAsia="zh-CN"/>
          <w14:textFill>
            <w14:solidFill>
              <w14:schemeClr w14:val="tx1"/>
            </w14:solidFill>
          </w14:textFill>
        </w:rPr>
        <w:t>个</w:t>
      </w:r>
      <w:r>
        <w:rPr>
          <w:rFonts w:ascii="Times New Roman" w:hAnsi="Times New Roman" w:eastAsia="宋体"/>
          <w:color w:val="000000" w:themeColor="text1"/>
          <w:szCs w:val="24"/>
          <w14:textFill>
            <w14:solidFill>
              <w14:schemeClr w14:val="tx1"/>
            </w14:solidFill>
          </w14:textFill>
        </w:rPr>
        <w:t>地块，其中1号地块主要对钢板下料、焊接等，2号地块主要对钢结构件喷砂、喷涂等。因此，本次评价将分地块介绍生产工艺流程。</w:t>
      </w:r>
    </w:p>
    <w:p>
      <w:pPr>
        <w:pStyle w:val="272"/>
        <w:spacing w:line="460" w:lineRule="exact"/>
        <w:ind w:firstLine="36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（1）</w:t>
      </w:r>
      <w:r>
        <w:rPr>
          <w:rFonts w:ascii="Times New Roman" w:hAnsi="Times New Roman" w:eastAsia="宋体"/>
          <w:b/>
          <w:color w:val="000000" w:themeColor="text1"/>
          <w14:textFill>
            <w14:solidFill>
              <w14:schemeClr w14:val="tx1"/>
            </w14:solidFill>
          </w14:textFill>
        </w:rPr>
        <w:t>1号地块工艺流程及产污环节</w:t>
      </w:r>
    </w:p>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27" o:spt="75" type="#_x0000_t75" style="height:352.5pt;width:288.75pt;" o:ole="t" filled="f" o:preferrelative="t" stroked="f" coordsize="21600,21600">
            <v:path/>
            <v:fill on="f" focussize="0,0"/>
            <v:stroke on="f" joinstyle="miter"/>
            <v:imagedata r:id="rId24" o:title=""/>
            <o:lock v:ext="edit" aspectratio="t"/>
            <w10:wrap type="none"/>
            <w10:anchorlock/>
          </v:shape>
          <o:OLEObject Type="Embed" ProgID="Visio.Drawing.15" ShapeID="_x0000_i1027" DrawAspect="Content" ObjectID="_1468075727" r:id="rId23">
            <o:LockedField>false</o:LockedField>
          </o:OLEObject>
        </w:object>
      </w:r>
    </w:p>
    <w:p>
      <w:pPr>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图2.3-1  1号地块生产工艺流程及产污环节图</w:t>
      </w:r>
    </w:p>
    <w:p>
      <w:pPr>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工艺流程说明：</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切割下料</w:t>
      </w:r>
      <w:r>
        <w:rPr>
          <w:rFonts w:eastAsia="宋体"/>
          <w:bCs/>
          <w:color w:val="000000" w:themeColor="text1"/>
          <w:szCs w:val="24"/>
          <w14:textFill>
            <w14:solidFill>
              <w14:schemeClr w14:val="tx1"/>
            </w14:solidFill>
          </w14:textFill>
        </w:rPr>
        <w:t>：根据工艺要求，采用等离子切割机、激光切割机和火焰切割机对钢板原材料进行下料，加工成尺寸</w:t>
      </w:r>
      <w:r>
        <w:rPr>
          <w:rFonts w:hint="eastAsia" w:eastAsia="宋体"/>
          <w:bCs/>
          <w:color w:val="000000" w:themeColor="text1"/>
          <w:szCs w:val="24"/>
          <w14:textFill>
            <w14:solidFill>
              <w14:schemeClr w14:val="tx1"/>
            </w14:solidFill>
          </w14:textFill>
        </w:rPr>
        <w:t>长</w:t>
      </w:r>
      <w:r>
        <w:rPr>
          <w:rFonts w:eastAsia="宋体"/>
          <w:bCs/>
          <w:color w:val="000000" w:themeColor="text1"/>
          <w:szCs w:val="24"/>
          <w14:textFill>
            <w14:solidFill>
              <w14:schemeClr w14:val="tx1"/>
            </w14:solidFill>
          </w14:textFill>
        </w:rPr>
        <w:t>12</w:t>
      </w:r>
      <w:r>
        <w:rPr>
          <w:rFonts w:hint="eastAsia" w:eastAsia="宋体"/>
          <w:bCs/>
          <w:color w:val="000000" w:themeColor="text1"/>
          <w:szCs w:val="24"/>
          <w14:textFill>
            <w14:solidFill>
              <w14:schemeClr w14:val="tx1"/>
            </w14:solidFill>
          </w14:textFill>
        </w:rPr>
        <w:t>m的小件</w:t>
      </w:r>
      <w:r>
        <w:rPr>
          <w:rFonts w:eastAsia="宋体"/>
          <w:bCs/>
          <w:color w:val="000000" w:themeColor="text1"/>
          <w:szCs w:val="24"/>
          <w14:textFill>
            <w14:solidFill>
              <w14:schemeClr w14:val="tx1"/>
            </w14:solidFill>
          </w14:textFill>
        </w:rPr>
        <w:t>。</w:t>
      </w:r>
    </w:p>
    <w:p>
      <w:pPr>
        <w:ind w:firstLine="480"/>
        <w:rPr>
          <w:rFonts w:eastAsia="宋体"/>
          <w:b/>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此过程产生切割粉尘G1、废边角料S1和噪声N。</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卷板、钻、铣</w:t>
      </w:r>
      <w:r>
        <w:rPr>
          <w:rFonts w:eastAsia="宋体"/>
          <w:bCs/>
          <w:color w:val="000000" w:themeColor="text1"/>
          <w:szCs w:val="24"/>
          <w14:textFill>
            <w14:solidFill>
              <w14:schemeClr w14:val="tx1"/>
            </w14:solidFill>
          </w14:textFill>
        </w:rPr>
        <w:t>：通过卷板机</w:t>
      </w:r>
      <w:r>
        <w:rPr>
          <w:rFonts w:hint="eastAsia" w:eastAsia="宋体"/>
          <w:bCs/>
          <w:color w:val="000000" w:themeColor="text1"/>
          <w:szCs w:val="24"/>
          <w14:textFill>
            <w14:solidFill>
              <w14:schemeClr w14:val="tx1"/>
            </w14:solidFill>
          </w14:textFill>
        </w:rPr>
        <w:t>对小部分工件进行卷板；通过</w:t>
      </w:r>
      <w:r>
        <w:rPr>
          <w:rFonts w:eastAsia="宋体"/>
          <w:bCs/>
          <w:color w:val="000000" w:themeColor="text1"/>
          <w:szCs w:val="24"/>
          <w14:textFill>
            <w14:solidFill>
              <w14:schemeClr w14:val="tx1"/>
            </w14:solidFill>
          </w14:textFill>
        </w:rPr>
        <w:t>钻床</w:t>
      </w:r>
      <w:r>
        <w:rPr>
          <w:rFonts w:hint="eastAsia" w:eastAsia="宋体"/>
          <w:bCs/>
          <w:color w:val="000000" w:themeColor="text1"/>
          <w:szCs w:val="24"/>
          <w14:textFill>
            <w14:solidFill>
              <w14:schemeClr w14:val="tx1"/>
            </w14:solidFill>
          </w14:textFill>
        </w:rPr>
        <w:t>对小部分工件进行钻孔；通过铣边机对工件边缘铣边，将下料的断面弄平整光洁</w:t>
      </w:r>
      <w:r>
        <w:rPr>
          <w:rFonts w:eastAsia="宋体"/>
          <w:bCs/>
          <w:color w:val="000000" w:themeColor="text1"/>
          <w:szCs w:val="24"/>
          <w14:textFill>
            <w14:solidFill>
              <w14:schemeClr w14:val="tx1"/>
            </w14:solidFill>
          </w14:textFill>
        </w:rPr>
        <w:t>。加工时添加切削液进行湿式加工，多余的切削液由机器内部托盘收集并循环利用（按1:10与水混合），以补加为主，定期对托盘进行清洁，将托盘内的废切削液及含金属废屑收集。</w:t>
      </w:r>
    </w:p>
    <w:p>
      <w:pPr>
        <w:ind w:firstLine="480"/>
        <w:rPr>
          <w:rFonts w:eastAsia="宋体"/>
          <w:b/>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此过程产生废含油金属屑S2、废切削液S3、噪声N。</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组立、焊接</w:t>
      </w:r>
      <w:r>
        <w:rPr>
          <w:rFonts w:eastAsia="宋体"/>
          <w:bCs/>
          <w:color w:val="000000" w:themeColor="text1"/>
          <w:szCs w:val="24"/>
          <w14:textFill>
            <w14:solidFill>
              <w14:schemeClr w14:val="tx1"/>
            </w14:solidFill>
          </w14:textFill>
        </w:rPr>
        <w:t>：通过组立机、焊机对切割好的钢材进行组装、焊接。焊接采用埋弧焊、气保焊、电阻焊三种焊接方式。</w:t>
      </w:r>
    </w:p>
    <w:p>
      <w:pPr>
        <w:ind w:firstLine="480"/>
        <w:rPr>
          <w:rFonts w:eastAsia="宋体"/>
          <w:b/>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此过程产生焊接烟尘G2、焊渣S4和噪声N。</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变形矫正</w:t>
      </w:r>
      <w:r>
        <w:rPr>
          <w:rFonts w:eastAsia="宋体"/>
          <w:bCs/>
          <w:color w:val="000000" w:themeColor="text1"/>
          <w:szCs w:val="24"/>
          <w14:textFill>
            <w14:solidFill>
              <w14:schemeClr w14:val="tx1"/>
            </w14:solidFill>
          </w14:textFill>
        </w:rPr>
        <w:t>：通过</w:t>
      </w:r>
      <w:r>
        <w:rPr>
          <w:rFonts w:hint="eastAsia" w:eastAsia="宋体"/>
          <w:bCs/>
          <w:color w:val="000000" w:themeColor="text1"/>
          <w:szCs w:val="24"/>
          <w14:textFill>
            <w14:solidFill>
              <w14:schemeClr w14:val="tx1"/>
            </w14:solidFill>
          </w14:textFill>
        </w:rPr>
        <w:t>矫正机施压</w:t>
      </w:r>
      <w:r>
        <w:rPr>
          <w:rFonts w:eastAsia="宋体"/>
          <w:bCs/>
          <w:color w:val="000000" w:themeColor="text1"/>
          <w:szCs w:val="24"/>
          <w14:textFill>
            <w14:solidFill>
              <w14:schemeClr w14:val="tx1"/>
            </w14:solidFill>
          </w14:textFill>
        </w:rPr>
        <w:t>，</w:t>
      </w:r>
      <w:r>
        <w:rPr>
          <w:rFonts w:hint="eastAsia" w:eastAsia="宋体"/>
          <w:bCs/>
          <w:color w:val="000000" w:themeColor="text1"/>
          <w:szCs w:val="24"/>
          <w14:textFill>
            <w14:solidFill>
              <w14:schemeClr w14:val="tx1"/>
            </w14:solidFill>
          </w14:textFill>
        </w:rPr>
        <w:t>将工件表面不平整的地方进行平整处理，</w:t>
      </w:r>
      <w:r>
        <w:rPr>
          <w:rFonts w:eastAsia="宋体"/>
          <w:bCs/>
          <w:color w:val="000000" w:themeColor="text1"/>
          <w:szCs w:val="24"/>
          <w14:textFill>
            <w14:solidFill>
              <w14:schemeClr w14:val="tx1"/>
            </w14:solidFill>
          </w14:textFill>
        </w:rPr>
        <w:t>迫使已发生变形的钢材反变形，以使材料平直。</w:t>
      </w:r>
    </w:p>
    <w:p>
      <w:pPr>
        <w:ind w:firstLine="480"/>
        <w:rPr>
          <w:rFonts w:eastAsia="宋体"/>
          <w:b/>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此过程产生噪声N。</w:t>
      </w:r>
    </w:p>
    <w:p>
      <w:pPr>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厂区暂存及转运</w:t>
      </w:r>
      <w:r>
        <w:rPr>
          <w:rFonts w:eastAsia="宋体"/>
          <w:bCs/>
          <w:color w:val="000000" w:themeColor="text1"/>
          <w:szCs w:val="24"/>
          <w14:textFill>
            <w14:solidFill>
              <w14:schemeClr w14:val="tx1"/>
            </w14:solidFill>
          </w14:textFill>
        </w:rPr>
        <w:t>：半成品钢结构件在厂区暂存，然后经货车运输至2号地块进行后续工序。转运过程产生运输扬尘G3、汽车尾气G4、噪声N。</w:t>
      </w:r>
    </w:p>
    <w:p>
      <w:pPr>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其他产污环节：</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设备维护保养：</w:t>
      </w:r>
      <w:r>
        <w:rPr>
          <w:rFonts w:eastAsia="宋体"/>
          <w:bCs/>
          <w:color w:val="000000" w:themeColor="text1"/>
          <w:szCs w:val="24"/>
          <w14:textFill>
            <w14:solidFill>
              <w14:schemeClr w14:val="tx1"/>
            </w14:solidFill>
          </w14:textFill>
        </w:rPr>
        <w:t>设备维护保养过程产生废润滑油S5、废油桶S6、废含油棉纱手套S7。</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空压机</w:t>
      </w:r>
      <w:r>
        <w:rPr>
          <w:rFonts w:eastAsia="宋体"/>
          <w:bCs/>
          <w:color w:val="000000" w:themeColor="text1"/>
          <w:szCs w:val="24"/>
          <w14:textFill>
            <w14:solidFill>
              <w14:schemeClr w14:val="tx1"/>
            </w14:solidFill>
          </w14:textFill>
        </w:rPr>
        <w:t>：空压机使用过程中产生含油的冷凝水W1</w:t>
      </w:r>
      <w:r>
        <w:rPr>
          <w:rFonts w:hint="eastAsia" w:eastAsia="宋体"/>
          <w:bCs/>
          <w:color w:val="000000" w:themeColor="text1"/>
          <w:szCs w:val="24"/>
          <w14:textFill>
            <w14:solidFill>
              <w14:schemeClr w14:val="tx1"/>
            </w14:solidFill>
          </w14:textFill>
        </w:rPr>
        <w:t>、噪声N</w:t>
      </w:r>
      <w:r>
        <w:rPr>
          <w:rFonts w:eastAsia="宋体"/>
          <w:bCs/>
          <w:color w:val="000000" w:themeColor="text1"/>
          <w:szCs w:val="24"/>
          <w14:textFill>
            <w14:solidFill>
              <w14:schemeClr w14:val="tx1"/>
            </w14:solidFill>
          </w14:textFill>
        </w:rPr>
        <w:t>，维护保养更换下来的废空压机油S8。</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员工办公生活</w:t>
      </w:r>
      <w:r>
        <w:rPr>
          <w:rFonts w:eastAsia="宋体"/>
          <w:bCs/>
          <w:color w:val="000000" w:themeColor="text1"/>
          <w:szCs w:val="24"/>
          <w14:textFill>
            <w14:solidFill>
              <w14:schemeClr w14:val="tx1"/>
            </w14:solidFill>
          </w14:textFill>
        </w:rPr>
        <w:t>：产生生活污水W2、地面清洁废水W3、员工洗手废水W4、生活垃圾S9。</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食堂</w:t>
      </w:r>
      <w:r>
        <w:rPr>
          <w:rFonts w:eastAsia="宋体"/>
          <w:bCs/>
          <w:color w:val="000000" w:themeColor="text1"/>
          <w:szCs w:val="24"/>
          <w14:textFill>
            <w14:solidFill>
              <w14:schemeClr w14:val="tx1"/>
            </w14:solidFill>
          </w14:textFill>
        </w:rPr>
        <w:t>：食堂运行产生食堂废水W5、食堂油烟G10和餐厨垃圾S10。</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废气处理：</w:t>
      </w:r>
      <w:r>
        <w:rPr>
          <w:rFonts w:hint="eastAsia" w:eastAsia="宋体"/>
          <w:bCs/>
          <w:color w:val="000000" w:themeColor="text1"/>
          <w:szCs w:val="24"/>
          <w14:textFill>
            <w14:solidFill>
              <w14:schemeClr w14:val="tx1"/>
            </w14:solidFill>
          </w14:textFill>
        </w:rPr>
        <w:t>滤筒</w:t>
      </w:r>
      <w:r>
        <w:rPr>
          <w:rFonts w:hint="eastAsia" w:eastAsia="宋体"/>
          <w:b/>
          <w:bCs/>
          <w:color w:val="000000" w:themeColor="text1"/>
          <w:szCs w:val="24"/>
          <w14:textFill>
            <w14:solidFill>
              <w14:schemeClr w14:val="tx1"/>
            </w14:solidFill>
          </w14:textFill>
        </w:rPr>
        <w:t>、</w:t>
      </w:r>
      <w:r>
        <w:rPr>
          <w:rFonts w:eastAsia="宋体"/>
          <w:bCs/>
          <w:color w:val="000000" w:themeColor="text1"/>
          <w:szCs w:val="24"/>
          <w14:textFill>
            <w14:solidFill>
              <w14:schemeClr w14:val="tx1"/>
            </w14:solidFill>
          </w14:textFill>
        </w:rPr>
        <w:t>布袋除尘器和移动式焊烟净化器产生收尘灰S11。</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废水处理</w:t>
      </w:r>
      <w:r>
        <w:rPr>
          <w:rFonts w:eastAsia="宋体"/>
          <w:bCs/>
          <w:color w:val="000000" w:themeColor="text1"/>
          <w:szCs w:val="24"/>
          <w14:textFill>
            <w14:solidFill>
              <w14:schemeClr w14:val="tx1"/>
            </w14:solidFill>
          </w14:textFill>
        </w:rPr>
        <w:t>：食堂隔油沉淀设施产生的废油脂S12；生产废水隔油沉淀设施产生的废油渣S13；生化池产生臭气G11、生化池污泥S14。</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原料包装</w:t>
      </w:r>
      <w:r>
        <w:rPr>
          <w:rFonts w:eastAsia="宋体"/>
          <w:bCs/>
          <w:color w:val="000000" w:themeColor="text1"/>
          <w:szCs w:val="24"/>
          <w14:textFill>
            <w14:solidFill>
              <w14:schemeClr w14:val="tx1"/>
            </w14:solidFill>
          </w14:textFill>
        </w:rPr>
        <w:t>：焊材、钢砂包装材料拆解，产生的废包装材料S15。</w:t>
      </w:r>
    </w:p>
    <w:p>
      <w:pPr>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（2）2号地块工艺流程及产污环节</w:t>
      </w:r>
    </w:p>
    <w:p>
      <w:pPr>
        <w:pStyle w:val="272"/>
        <w:spacing w:line="240" w:lineRule="auto"/>
        <w:ind w:firstLine="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object>
          <v:shape id="_x0000_i1028" o:spt="75" type="#_x0000_t75" style="height:318pt;width:459.75pt;" o:ole="t" filled="f" o:preferrelative="t" stroked="f" coordsize="21600,21600">
            <v:path/>
            <v:fill on="f" focussize="0,0"/>
            <v:stroke on="f" joinstyle="miter"/>
            <v:imagedata r:id="rId26" o:title=""/>
            <o:lock v:ext="edit" aspectratio="t"/>
            <w10:wrap type="none"/>
            <w10:anchorlock/>
          </v:shape>
          <o:OLEObject Type="Embed" ProgID="Visio.Drawing.15" ShapeID="_x0000_i1028" DrawAspect="Content" ObjectID="_1468075728" r:id="rId25">
            <o:LockedField>false</o:LockedField>
          </o:OLEObject>
        </w:object>
      </w:r>
    </w:p>
    <w:p>
      <w:pPr>
        <w:pStyle w:val="272"/>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图2.3-2  2号地块工艺流程及产污环节图</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工艺流程说明</w:t>
      </w:r>
      <w:r>
        <w:rPr>
          <w:rFonts w:ascii="Times New Roman" w:hAnsi="Times New Roman" w:eastAsia="宋体"/>
          <w:color w:val="000000" w:themeColor="text1"/>
          <w:szCs w:val="24"/>
          <w14:textFill>
            <w14:solidFill>
              <w14:schemeClr w14:val="tx1"/>
            </w14:solidFill>
          </w14:textFill>
        </w:rPr>
        <w:t>：</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喷砂</w:t>
      </w:r>
      <w:r>
        <w:rPr>
          <w:rFonts w:ascii="Times New Roman" w:hAnsi="Times New Roman" w:eastAsia="宋体"/>
          <w:color w:val="000000" w:themeColor="text1"/>
          <w:szCs w:val="24"/>
          <w14:textFill>
            <w14:solidFill>
              <w14:schemeClr w14:val="tx1"/>
            </w14:solidFill>
          </w14:textFill>
        </w:rPr>
        <w:t>：项目半成品钢结构件转运至2号地块后，通过轨道车运入喷砂车间内，通过喷砂机进行喷砂处理。喷砂采用压缩空气为动力，以形成</w:t>
      </w:r>
      <w:r>
        <w:rPr>
          <w:rFonts w:hint="eastAsia" w:ascii="Times New Roman" w:hAnsi="Times New Roman" w:eastAsia="宋体"/>
          <w:color w:val="000000" w:themeColor="text1"/>
          <w:szCs w:val="24"/>
          <w14:textFill>
            <w14:solidFill>
              <w14:schemeClr w14:val="tx1"/>
            </w14:solidFill>
          </w14:textFill>
        </w:rPr>
        <w:t>高速喷射</w:t>
      </w:r>
      <w:r>
        <w:rPr>
          <w:rFonts w:ascii="Times New Roman" w:hAnsi="Times New Roman" w:eastAsia="宋体"/>
          <w:color w:val="000000" w:themeColor="text1"/>
          <w:szCs w:val="24"/>
          <w14:textFill>
            <w14:solidFill>
              <w14:schemeClr w14:val="tx1"/>
            </w14:solidFill>
          </w14:textFill>
        </w:rPr>
        <w:t>束将喷料（钢砂、石英砂等）高速喷射到被需处理工件表面，使工件外表面的机械性能发生变化，由于磨料对工件表面的冲击和切削作用，使工件的表面获得一定的清洁度和不同的粗糙度，使工件表面的机械性能得到改善，从而提高工件的抗疲劳性，增加其与涂层之间的附着力，延长涂膜的耐久性，也有利于涂料的流平和装饰，把表面的杂质、杂色和氧化层清除掉，同时使介质表面粗化，提高基材表面硬度。</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此过程产生喷砂粉尘G5、废钢砂S16、噪声N。</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调漆</w:t>
      </w:r>
      <w:r>
        <w:rPr>
          <w:rFonts w:ascii="Times New Roman" w:hAnsi="Times New Roman" w:eastAsia="宋体"/>
          <w:color w:val="000000" w:themeColor="text1"/>
          <w:szCs w:val="24"/>
          <w14:textFill>
            <w14:solidFill>
              <w14:schemeClr w14:val="tx1"/>
            </w14:solidFill>
          </w14:textFill>
        </w:rPr>
        <w:t>：项目未单独设置调漆房，调漆在涂装车间内的调漆区进行，平均每天调漆时间约0.5h。根据建设单位提供资料，项目各种油漆调漆比例如下：</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环氧底漆主剂：固化剂：稀释剂=9:1:1</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环氧云铁漆主剂：固化剂：稀释剂=22.1:3.9:2.6</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环氧面漆主剂：固化剂：稀释剂=5:1:0.6</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水性环氧富锌底漆：水=10:1</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水性环氧中间漆甲组份：乙组份：水=10:1:1.1</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水性透明封闭漆：水=10：1</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此过程产生调漆废气G6。</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喷漆、晾干</w:t>
      </w:r>
      <w:r>
        <w:rPr>
          <w:rFonts w:ascii="Times New Roman" w:hAnsi="Times New Roman" w:eastAsia="宋体"/>
          <w:color w:val="000000" w:themeColor="text1"/>
          <w:szCs w:val="24"/>
          <w14:textFill>
            <w14:solidFill>
              <w14:schemeClr w14:val="tx1"/>
            </w14:solidFill>
          </w14:textFill>
        </w:rPr>
        <w:t>：项目喷砂后的半成品，先通过轨道车移出喷砂车间，再通过</w:t>
      </w:r>
      <w:r>
        <w:rPr>
          <w:rFonts w:hint="eastAsia" w:ascii="Times New Roman" w:hAnsi="Times New Roman" w:eastAsia="宋体"/>
          <w:color w:val="000000" w:themeColor="text1"/>
          <w:szCs w:val="24"/>
          <w14:textFill>
            <w14:solidFill>
              <w14:schemeClr w14:val="tx1"/>
            </w14:solidFill>
          </w14:textFill>
        </w:rPr>
        <w:t>桁车</w:t>
      </w:r>
      <w:r>
        <w:rPr>
          <w:rFonts w:ascii="Times New Roman" w:hAnsi="Times New Roman" w:eastAsia="宋体"/>
          <w:color w:val="000000" w:themeColor="text1"/>
          <w:szCs w:val="24"/>
          <w14:textFill>
            <w14:solidFill>
              <w14:schemeClr w14:val="tx1"/>
            </w14:solidFill>
          </w14:textFill>
        </w:rPr>
        <w:t>调整到对应的涂装车间轨道车，再运入涂装车间内进行喷漆，喷漆完成后在涂装车间内晾干。</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w:t>
      </w:r>
      <w:r>
        <w:rPr>
          <w:rFonts w:hint="eastAsia" w:ascii="Times New Roman" w:hAnsi="Times New Roman" w:eastAsia="宋体"/>
          <w:color w:val="000000" w:themeColor="text1"/>
          <w:szCs w:val="24"/>
          <w14:textFill>
            <w14:solidFill>
              <w14:schemeClr w14:val="tx1"/>
            </w14:solidFill>
          </w14:textFill>
        </w:rPr>
        <w:t>产品</w:t>
      </w:r>
      <w:r>
        <w:rPr>
          <w:rFonts w:ascii="Times New Roman" w:hAnsi="Times New Roman" w:eastAsia="宋体"/>
          <w:color w:val="000000" w:themeColor="text1"/>
          <w:szCs w:val="24"/>
          <w14:textFill>
            <w14:solidFill>
              <w14:schemeClr w14:val="tx1"/>
            </w14:solidFill>
          </w14:textFill>
        </w:rPr>
        <w:t>钢桥结构件表面所喷油漆分为水性漆和油性漆，油漆均采用1层底漆、1层中间漆和1层面漆3遍式喷涂</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项目设1座涂装车间，涂装车间的尺寸为6×26×7m，内设2套无气喷涂机，可满足2</w:t>
      </w:r>
      <w:r>
        <w:rPr>
          <w:rFonts w:hint="eastAsia" w:ascii="Times New Roman" w:hAnsi="Times New Roman" w:eastAsia="宋体"/>
          <w:color w:val="000000" w:themeColor="text1"/>
          <w:szCs w:val="24"/>
          <w14:textFill>
            <w14:solidFill>
              <w14:schemeClr w14:val="tx1"/>
            </w14:solidFill>
          </w14:textFill>
        </w:rPr>
        <w:t>个</w:t>
      </w:r>
      <w:r>
        <w:rPr>
          <w:rFonts w:ascii="Times New Roman" w:hAnsi="Times New Roman" w:eastAsia="宋体"/>
          <w:color w:val="000000" w:themeColor="text1"/>
          <w:szCs w:val="24"/>
          <w14:textFill>
            <w14:solidFill>
              <w14:schemeClr w14:val="tx1"/>
            </w14:solidFill>
          </w14:textFill>
        </w:rPr>
        <w:t>工位同时进行喷漆</w:t>
      </w:r>
      <w:r>
        <w:rPr>
          <w:rFonts w:hint="eastAsia" w:ascii="Times New Roman" w:hAnsi="Times New Roman" w:eastAsia="宋体"/>
          <w:color w:val="000000" w:themeColor="text1"/>
          <w:szCs w:val="24"/>
          <w14:textFill>
            <w14:solidFill>
              <w14:schemeClr w14:val="tx1"/>
            </w14:solidFill>
          </w14:textFill>
        </w:rPr>
        <w:t>，根据产品订单选择喷油性漆还是水性漆，存在2个工位同时喷水性漆或同时油性漆、一个工位喷水性漆/另一个工位喷油性漆的情形</w:t>
      </w:r>
      <w:r>
        <w:rPr>
          <w:rFonts w:ascii="Times New Roman" w:hAnsi="Times New Roman" w:eastAsia="宋体"/>
          <w:color w:val="000000" w:themeColor="text1"/>
          <w:szCs w:val="24"/>
          <w14:textFill>
            <w14:solidFill>
              <w14:schemeClr w14:val="tx1"/>
            </w14:solidFill>
          </w14:textFill>
        </w:rPr>
        <w:t>。项目不设单独的调漆间和晾干间，产品喷漆完成后在涂装车间内自然晾干。</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喷漆工序由作业人员采用人工手持无气喷涂机喷枪的方式，将喷枪对准钢桥结构件进行喷涂，均匀的喷涂以便形成稳定的漆膜</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喷漆操作时采取微负压环境</w:t>
      </w:r>
      <w:r>
        <w:rPr>
          <w:rFonts w:hint="eastAsia" w:ascii="Times New Roman" w:hAnsi="Times New Roman" w:eastAsia="宋体"/>
          <w:color w:val="000000" w:themeColor="text1"/>
          <w:szCs w:val="24"/>
          <w14:textFill>
            <w14:solidFill>
              <w14:schemeClr w14:val="tx1"/>
            </w14:solidFill>
          </w14:textFill>
        </w:rPr>
        <w:t>，每日单层油漆喷漆时间5h，晾干时间5h</w:t>
      </w:r>
      <w:r>
        <w:rPr>
          <w:rFonts w:ascii="Times New Roman" w:hAnsi="Times New Roman" w:eastAsia="宋体"/>
          <w:color w:val="000000" w:themeColor="text1"/>
          <w:szCs w:val="24"/>
          <w14:textFill>
            <w14:solidFill>
              <w14:schemeClr w14:val="tx1"/>
            </w14:solidFill>
          </w14:textFill>
        </w:rPr>
        <w:t>。</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高压无气喷涂原理：高压无气喷涂不需要借助压缩空气喷出使涂料雾化，而是给涂料施加高压使涂料</w:t>
      </w:r>
      <w:r>
        <w:rPr>
          <w:rFonts w:hint="eastAsia" w:ascii="Times New Roman" w:hAnsi="Times New Roman" w:eastAsia="宋体"/>
          <w:color w:val="000000" w:themeColor="text1"/>
          <w:szCs w:val="24"/>
          <w14:textFill>
            <w14:solidFill>
              <w14:schemeClr w14:val="tx1"/>
            </w14:solidFill>
          </w14:textFill>
        </w:rPr>
        <w:t>从喷嘴喷出，当涂料离开喷嘴的瞬间，便以高达1</w:t>
      </w:r>
      <w:r>
        <w:rPr>
          <w:rFonts w:ascii="Times New Roman" w:hAnsi="Times New Roman" w:eastAsia="宋体"/>
          <w:color w:val="000000" w:themeColor="text1"/>
          <w:szCs w:val="24"/>
          <w14:textFill>
            <w14:solidFill>
              <w14:schemeClr w14:val="tx1"/>
            </w14:solidFill>
          </w14:textFill>
        </w:rPr>
        <w:t>00</w:t>
      </w:r>
      <w:r>
        <w:rPr>
          <w:rFonts w:hint="eastAsia" w:ascii="Times New Roman" w:hAnsi="Times New Roman" w:eastAsia="宋体"/>
          <w:color w:val="000000" w:themeColor="text1"/>
          <w:szCs w:val="24"/>
          <w14:textFill>
            <w14:solidFill>
              <w14:schemeClr w14:val="tx1"/>
            </w14:solidFill>
          </w14:textFill>
        </w:rPr>
        <w:t>m</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s的速度与空气发生激烈的高速碰撞，使涂料破碎成微粒，在涂料粒子的速度未衰减前，涂料粒子继续向前与空气不断地多次碰撞，涂料粒子不断的被破碎，使涂料雾化，并粘附在被涂物表面，该工艺用于高粘度（高固份）油漆喷涂</w:t>
      </w:r>
      <w:r>
        <w:rPr>
          <w:rFonts w:ascii="Times New Roman" w:hAnsi="Times New Roman" w:eastAsia="宋体"/>
          <w:color w:val="000000" w:themeColor="text1"/>
          <w:szCs w:val="24"/>
          <w14:textFill>
            <w14:solidFill>
              <w14:schemeClr w14:val="tx1"/>
            </w14:solidFill>
          </w14:textFill>
        </w:rPr>
        <w:t>。</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此过程产生喷漆废气G7、晾干废气G8。</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其他产污环节</w:t>
      </w:r>
      <w:r>
        <w:rPr>
          <w:rFonts w:ascii="Times New Roman" w:hAnsi="Times New Roman" w:eastAsia="宋体"/>
          <w:color w:val="000000" w:themeColor="text1"/>
          <w:szCs w:val="24"/>
          <w14:textFill>
            <w14:solidFill>
              <w14:schemeClr w14:val="tx1"/>
            </w14:solidFill>
          </w14:textFill>
        </w:rPr>
        <w:t>：</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喷枪清洁</w:t>
      </w:r>
      <w:r>
        <w:rPr>
          <w:rFonts w:ascii="Times New Roman" w:hAnsi="Times New Roman" w:eastAsia="宋体"/>
          <w:color w:val="000000" w:themeColor="text1"/>
          <w:szCs w:val="24"/>
          <w14:textFill>
            <w14:solidFill>
              <w14:schemeClr w14:val="tx1"/>
            </w14:solidFill>
          </w14:textFill>
        </w:rPr>
        <w:t>：每日喷漆结束后，需对喷枪进行喷射清洁，水性漆喷完后采用水清洁</w:t>
      </w:r>
      <w:r>
        <w:rPr>
          <w:rFonts w:hint="eastAsia" w:ascii="Times New Roman" w:hAnsi="Times New Roman" w:eastAsia="宋体"/>
          <w:color w:val="000000" w:themeColor="text1"/>
          <w:szCs w:val="24"/>
          <w14:textFill>
            <w14:solidFill>
              <w14:schemeClr w14:val="tx1"/>
            </w14:solidFill>
          </w14:textFill>
        </w:rPr>
        <w:t>，产生喷枪清洗废水；</w:t>
      </w:r>
      <w:r>
        <w:rPr>
          <w:rFonts w:ascii="Times New Roman" w:hAnsi="Times New Roman" w:eastAsia="宋体"/>
          <w:color w:val="000000" w:themeColor="text1"/>
          <w:szCs w:val="24"/>
          <w14:textFill>
            <w14:solidFill>
              <w14:schemeClr w14:val="tx1"/>
            </w14:solidFill>
          </w14:textFill>
        </w:rPr>
        <w:t>油性漆喷完后采用稀释剂清洁</w:t>
      </w:r>
      <w:r>
        <w:rPr>
          <w:rFonts w:hint="eastAsia" w:ascii="Times New Roman" w:hAnsi="Times New Roman" w:eastAsia="宋体"/>
          <w:color w:val="000000" w:themeColor="text1"/>
          <w:szCs w:val="24"/>
          <w14:textFill>
            <w14:solidFill>
              <w14:schemeClr w14:val="tx1"/>
            </w14:solidFill>
          </w14:textFill>
        </w:rPr>
        <w:t>，清洁后的稀释剂用于调漆，不外排</w:t>
      </w:r>
      <w:r>
        <w:rPr>
          <w:rFonts w:ascii="Times New Roman" w:hAnsi="Times New Roman" w:eastAsia="宋体"/>
          <w:color w:val="000000" w:themeColor="text1"/>
          <w:szCs w:val="24"/>
          <w14:textFill>
            <w14:solidFill>
              <w14:schemeClr w14:val="tx1"/>
            </w14:solidFill>
          </w14:textFill>
        </w:rPr>
        <w:t>。每次清洁用量约1kg/把，此过程产生</w:t>
      </w:r>
      <w:r>
        <w:rPr>
          <w:rFonts w:hint="eastAsia" w:ascii="Times New Roman" w:hAnsi="Times New Roman" w:eastAsia="宋体"/>
          <w:color w:val="000000" w:themeColor="text1"/>
          <w:szCs w:val="24"/>
          <w14:textFill>
            <w14:solidFill>
              <w14:schemeClr w14:val="tx1"/>
            </w14:solidFill>
          </w14:textFill>
        </w:rPr>
        <w:t>喷枪清洗废水</w:t>
      </w:r>
      <w:r>
        <w:rPr>
          <w:rFonts w:ascii="Times New Roman" w:hAnsi="Times New Roman" w:eastAsia="宋体"/>
          <w:color w:val="000000" w:themeColor="text1"/>
          <w:szCs w:val="24"/>
          <w14:textFill>
            <w14:solidFill>
              <w14:schemeClr w14:val="tx1"/>
            </w14:solidFill>
          </w14:textFill>
        </w:rPr>
        <w:t>W6、洗枪废气G9。</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设备维护保养</w:t>
      </w:r>
      <w:r>
        <w:rPr>
          <w:rFonts w:ascii="Times New Roman" w:hAnsi="Times New Roman" w:eastAsia="宋体"/>
          <w:color w:val="000000" w:themeColor="text1"/>
          <w:szCs w:val="24"/>
          <w14:textFill>
            <w14:solidFill>
              <w14:schemeClr w14:val="tx1"/>
            </w14:solidFill>
          </w14:textFill>
        </w:rPr>
        <w:t>：设备维护保养过程产生废润滑油S5、废油桶S6、废含油棉纱手套S7。</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员工防护</w:t>
      </w:r>
      <w:r>
        <w:rPr>
          <w:rFonts w:ascii="Times New Roman" w:hAnsi="Times New Roman" w:eastAsia="宋体"/>
          <w:color w:val="000000" w:themeColor="text1"/>
          <w:szCs w:val="24"/>
          <w14:textFill>
            <w14:solidFill>
              <w14:schemeClr w14:val="tx1"/>
            </w14:solidFill>
          </w14:textFill>
        </w:rPr>
        <w:t>：员工调漆、喷漆过程，产生的废含油漆防护手套S18。</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空压机</w:t>
      </w:r>
      <w:r>
        <w:rPr>
          <w:rFonts w:ascii="Times New Roman" w:hAnsi="Times New Roman" w:eastAsia="宋体"/>
          <w:color w:val="000000" w:themeColor="text1"/>
          <w:szCs w:val="24"/>
          <w14:textFill>
            <w14:solidFill>
              <w14:schemeClr w14:val="tx1"/>
            </w14:solidFill>
          </w14:textFill>
        </w:rPr>
        <w:t>：空压机使用过程中产生含油的冷凝水W1</w:t>
      </w:r>
      <w:r>
        <w:rPr>
          <w:rFonts w:hint="eastAsia" w:ascii="Times New Roman" w:hAnsi="Times New Roman" w:eastAsia="宋体"/>
          <w:color w:val="000000" w:themeColor="text1"/>
          <w:szCs w:val="24"/>
          <w14:textFill>
            <w14:solidFill>
              <w14:schemeClr w14:val="tx1"/>
            </w14:solidFill>
          </w14:textFill>
        </w:rPr>
        <w:t>、噪声N</w:t>
      </w:r>
      <w:r>
        <w:rPr>
          <w:rFonts w:ascii="Times New Roman" w:hAnsi="Times New Roman" w:eastAsia="宋体"/>
          <w:color w:val="000000" w:themeColor="text1"/>
          <w:szCs w:val="24"/>
          <w14:textFill>
            <w14:solidFill>
              <w14:schemeClr w14:val="tx1"/>
            </w14:solidFill>
          </w14:textFill>
        </w:rPr>
        <w:t>，空压机维护保养过程更换下来的废空压油S8。</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员工办公生活</w:t>
      </w:r>
      <w:r>
        <w:rPr>
          <w:rFonts w:ascii="Times New Roman" w:hAnsi="Times New Roman" w:eastAsia="宋体"/>
          <w:color w:val="000000" w:themeColor="text1"/>
          <w:szCs w:val="24"/>
          <w14:textFill>
            <w14:solidFill>
              <w14:schemeClr w14:val="tx1"/>
            </w14:solidFill>
          </w14:textFill>
        </w:rPr>
        <w:t>：产生生活污水W2、地面清洁废水W3、员工洗手废水W4、生活垃圾S9。</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食堂</w:t>
      </w:r>
      <w:r>
        <w:rPr>
          <w:rFonts w:ascii="Times New Roman" w:hAnsi="Times New Roman" w:eastAsia="宋体"/>
          <w:color w:val="000000" w:themeColor="text1"/>
          <w:szCs w:val="24"/>
          <w14:textFill>
            <w14:solidFill>
              <w14:schemeClr w14:val="tx1"/>
            </w14:solidFill>
          </w14:textFill>
        </w:rPr>
        <w:t>：食堂运行产生食堂废水W5、食堂油烟G10和餐厨垃圾S10。</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废气处理</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收尘</w:t>
      </w:r>
      <w:r>
        <w:rPr>
          <w:rFonts w:ascii="Times New Roman" w:hAnsi="Times New Roman" w:eastAsia="宋体"/>
          <w:color w:val="000000" w:themeColor="text1"/>
          <w:szCs w:val="24"/>
          <w14:textFill>
            <w14:solidFill>
              <w14:schemeClr w14:val="tx1"/>
            </w14:solidFill>
          </w14:textFill>
        </w:rPr>
        <w:t>灰S11；涂装车间废气处理过程产生</w:t>
      </w:r>
      <w:r>
        <w:rPr>
          <w:rFonts w:hint="eastAsia" w:ascii="Times New Roman" w:hAnsi="Times New Roman" w:eastAsia="宋体"/>
          <w:color w:val="000000" w:themeColor="text1"/>
          <w:szCs w:val="24"/>
          <w14:textFill>
            <w14:solidFill>
              <w14:schemeClr w14:val="tx1"/>
            </w14:solidFill>
          </w14:textFill>
        </w:rPr>
        <w:t>废漆渣S</w:t>
      </w:r>
      <w:r>
        <w:rPr>
          <w:rFonts w:ascii="Times New Roman" w:hAnsi="Times New Roman" w:eastAsia="宋体"/>
          <w:color w:val="000000" w:themeColor="text1"/>
          <w:szCs w:val="24"/>
          <w14:textFill>
            <w14:solidFill>
              <w14:schemeClr w14:val="tx1"/>
            </w14:solidFill>
          </w14:textFill>
        </w:rPr>
        <w:t>17</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废过滤棉S19、废活性炭S20、废催化剂S21。</w:t>
      </w:r>
    </w:p>
    <w:p>
      <w:pPr>
        <w:ind w:firstLine="482"/>
        <w:rPr>
          <w:rFonts w:eastAsia="宋体"/>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废水处理</w:t>
      </w:r>
      <w:r>
        <w:rPr>
          <w:rFonts w:eastAsia="宋体"/>
          <w:bCs/>
          <w:color w:val="000000" w:themeColor="text1"/>
          <w:szCs w:val="24"/>
          <w14:textFill>
            <w14:solidFill>
              <w14:schemeClr w14:val="tx1"/>
            </w14:solidFill>
          </w14:textFill>
        </w:rPr>
        <w:t>：食堂隔油沉淀设施产生的废油脂S12；生产废水隔油沉淀设施产生的废油渣S13；生化池产生臭气G11。</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原料包装</w:t>
      </w:r>
      <w:r>
        <w:rPr>
          <w:rFonts w:ascii="Times New Roman" w:hAnsi="Times New Roman" w:eastAsia="宋体"/>
          <w:color w:val="000000" w:themeColor="text1"/>
          <w:szCs w:val="24"/>
          <w14:textFill>
            <w14:solidFill>
              <w14:schemeClr w14:val="tx1"/>
            </w14:solidFill>
          </w14:textFill>
        </w:rPr>
        <w:t>：油漆使用过程中产生的废水性漆包装桶S22、废油性漆包装桶S23。</w:t>
      </w:r>
    </w:p>
    <w:p>
      <w:pPr>
        <w:pStyle w:val="272"/>
        <w:ind w:firstLine="48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危废暂存间</w:t>
      </w:r>
      <w:r>
        <w:rPr>
          <w:rFonts w:ascii="Times New Roman" w:hAnsi="Times New Roman" w:eastAsia="宋体"/>
          <w:color w:val="000000" w:themeColor="text1"/>
          <w:szCs w:val="24"/>
          <w14:textFill>
            <w14:solidFill>
              <w14:schemeClr w14:val="tx1"/>
            </w14:solidFill>
          </w14:textFill>
        </w:rPr>
        <w:t>：2号地块的危废暂存间产生废气G12。</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项目各生产工序产污节点汇总见表2.3-1。</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表2.3-1  本项目各生产工序产污节点汇总表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51"/>
        <w:gridCol w:w="1134"/>
        <w:gridCol w:w="1706"/>
        <w:gridCol w:w="1837"/>
        <w:gridCol w:w="2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位置</w:t>
            </w:r>
          </w:p>
        </w:tc>
        <w:tc>
          <w:tcPr>
            <w:tcW w:w="851"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类型</w:t>
            </w:r>
          </w:p>
        </w:tc>
        <w:tc>
          <w:tcPr>
            <w:tcW w:w="1134"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产污节点</w:t>
            </w:r>
          </w:p>
        </w:tc>
        <w:tc>
          <w:tcPr>
            <w:tcW w:w="1706"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产污工序</w:t>
            </w:r>
          </w:p>
        </w:tc>
        <w:tc>
          <w:tcPr>
            <w:tcW w:w="1837"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污染物</w:t>
            </w:r>
          </w:p>
        </w:tc>
        <w:tc>
          <w:tcPr>
            <w:tcW w:w="2971" w:type="dxa"/>
            <w:vAlign w:val="center"/>
          </w:tcPr>
          <w:p>
            <w:pPr>
              <w:pStyle w:val="272"/>
              <w:spacing w:line="240" w:lineRule="auto"/>
              <w:ind w:firstLine="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主要污染因子/废物类别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1号地块</w:t>
            </w: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废气G</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切割下料</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切割粉尘</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组立、焊接</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焊接烟尘</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G3</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转运</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运输扬尘</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G4</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汽车尾气</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NO</w:t>
            </w:r>
            <w:r>
              <w:rPr>
                <w:rFonts w:ascii="Times New Roman" w:hAnsi="Times New Roman" w:eastAsia="宋体"/>
                <w:color w:val="000000" w:themeColor="text1"/>
                <w:sz w:val="21"/>
                <w:szCs w:val="21"/>
                <w:vertAlign w:val="subscript"/>
                <w14:textFill>
                  <w14:solidFill>
                    <w14:schemeClr w14:val="tx1"/>
                  </w14:solidFill>
                </w14:textFill>
              </w:rPr>
              <w:t>X</w:t>
            </w:r>
            <w:r>
              <w:rPr>
                <w:rFonts w:ascii="Times New Roman" w:hAnsi="Times New Roman" w:eastAsia="宋体"/>
                <w:color w:val="000000" w:themeColor="text1"/>
                <w:sz w:val="21"/>
                <w:szCs w:val="21"/>
                <w14:textFill>
                  <w14:solidFill>
                    <w14:schemeClr w14:val="tx1"/>
                  </w14:solidFill>
                </w14:textFill>
              </w:rPr>
              <w:t>、CO等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G10</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食堂油烟</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油烟、非甲烷总烃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G11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生化池臭气</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空压机</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冷凝水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办公生活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-N、BOD</w:t>
            </w:r>
            <w:r>
              <w:rPr>
                <w:rFonts w:ascii="Times New Roman" w:hAnsi="Times New Roman" w:eastAsia="宋体"/>
                <w:color w:val="000000" w:themeColor="text1"/>
                <w:sz w:val="21"/>
                <w:szCs w:val="21"/>
                <w:vertAlign w:val="subscript"/>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W3</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地面清洁</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地面清洁废水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W4</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洗手</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员工洗手废水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W5</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-N、BOD</w:t>
            </w:r>
            <w:r>
              <w:rPr>
                <w:rFonts w:ascii="Times New Roman" w:hAnsi="Times New Roman" w:eastAsia="宋体"/>
                <w:color w:val="000000" w:themeColor="text1"/>
                <w:sz w:val="21"/>
                <w:szCs w:val="21"/>
                <w:vertAlign w:val="subscript"/>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固废S</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切割下料</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边角料</w:t>
            </w:r>
          </w:p>
        </w:tc>
        <w:tc>
          <w:tcPr>
            <w:tcW w:w="2971" w:type="dxa"/>
            <w:vAlign w:val="center"/>
          </w:tcPr>
          <w:p>
            <w:pPr>
              <w:pStyle w:val="272"/>
              <w:spacing w:line="240" w:lineRule="auto"/>
              <w:ind w:firstLine="42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S2</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卷板、钻、铣</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废含油金属屑</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S3</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废切削液</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S4</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组立、焊接</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焊渣</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S5</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维护保养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废润滑油</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S6</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废油桶</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S7</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废含油棉纱手套</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S8</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空压机</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废空压机油</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S9</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办公生活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S10</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废气处理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收尘灰</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食堂隔油沉淀设施</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废油脂</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S13</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生产废水隔油沉淀设施</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废油渣</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S14</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生化池污泥</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S15</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原料包装</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废包装材料</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噪声N</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生产设备</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2号地块</w:t>
            </w: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废气G</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G5</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喷砂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喷砂粉尘</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G6</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调漆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调漆废气</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非甲烷总烃、甲苯、二甲苯</w:t>
            </w:r>
            <w:r>
              <w:rPr>
                <w:rFonts w:hint="eastAsia" w:ascii="Times New Roman" w:hAnsi="Times New Roman"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G7</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喷漆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喷漆废气</w:t>
            </w:r>
          </w:p>
        </w:tc>
        <w:tc>
          <w:tcPr>
            <w:tcW w:w="2971" w:type="dxa"/>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szCs w:val="21"/>
                <w14:textFill>
                  <w14:solidFill>
                    <w14:schemeClr w14:val="tx1"/>
                  </w14:solidFill>
                </w14:textFill>
              </w:rPr>
              <w:t>非甲烷总烃、甲苯、二甲苯、颗粒物</w:t>
            </w:r>
            <w:r>
              <w:rPr>
                <w:rFonts w:hint="eastAsia"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G8</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晾干</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晾干废气</w:t>
            </w:r>
          </w:p>
        </w:tc>
        <w:tc>
          <w:tcPr>
            <w:tcW w:w="2971" w:type="dxa"/>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szCs w:val="21"/>
                <w14:textFill>
                  <w14:solidFill>
                    <w14:schemeClr w14:val="tx1"/>
                  </w14:solidFill>
                </w14:textFill>
              </w:rPr>
              <w:t>非甲烷总烃、甲苯、二甲苯、</w:t>
            </w:r>
            <w:r>
              <w:rPr>
                <w:rFonts w:hint="eastAsia"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G9</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喷枪清洁</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洗枪废气</w:t>
            </w:r>
          </w:p>
        </w:tc>
        <w:tc>
          <w:tcPr>
            <w:tcW w:w="2971"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G10</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食堂油烟</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油烟、非甲烷总烃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G11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生化池臭气</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G</w:t>
            </w:r>
            <w:r>
              <w:rPr>
                <w:rFonts w:ascii="Times New Roman" w:hAnsi="Times New Roman" w:eastAsia="宋体"/>
                <w:color w:val="000000" w:themeColor="text1"/>
                <w:sz w:val="21"/>
                <w:szCs w:val="21"/>
                <w14:textFill>
                  <w14:solidFill>
                    <w14:schemeClr w14:val="tx1"/>
                  </w14:solidFill>
                </w14:textFill>
              </w:rPr>
              <w:t>12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危废暂存间</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危废暂存间废气</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非甲烷总烃、甲苯、二甲苯</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空压机</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冷凝水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办公生活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-N、BOD</w:t>
            </w:r>
            <w:r>
              <w:rPr>
                <w:rFonts w:ascii="Times New Roman" w:hAnsi="Times New Roman" w:eastAsia="宋体"/>
                <w:color w:val="000000" w:themeColor="text1"/>
                <w:sz w:val="21"/>
                <w:szCs w:val="21"/>
                <w:vertAlign w:val="subscript"/>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W3</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地面清洁</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地面清洁废水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W4</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洗手</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员工洗手废水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W5</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COD、SS、NH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-N、BOD</w:t>
            </w:r>
            <w:r>
              <w:rPr>
                <w:rFonts w:ascii="Times New Roman" w:hAnsi="Times New Roman" w:eastAsia="宋体"/>
                <w:color w:val="000000" w:themeColor="text1"/>
                <w:sz w:val="21"/>
                <w:szCs w:val="21"/>
                <w:vertAlign w:val="subscript"/>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w:t>
            </w:r>
            <w:r>
              <w:rPr>
                <w:rFonts w:ascii="Times New Roman" w:hAnsi="Times New Roman" w:eastAsia="宋体"/>
                <w:color w:val="000000" w:themeColor="text1"/>
                <w:sz w:val="21"/>
                <w:szCs w:val="21"/>
                <w14:textFill>
                  <w14:solidFill>
                    <w14:schemeClr w14:val="tx1"/>
                  </w14:solidFill>
                </w14:textFill>
              </w:rPr>
              <w:t>6</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喷枪清洁</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喷枪清洗废水</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C</w:t>
            </w:r>
            <w:r>
              <w:rPr>
                <w:rFonts w:ascii="Times New Roman" w:hAnsi="Times New Roman" w:eastAsia="宋体"/>
                <w:color w:val="000000" w:themeColor="text1"/>
                <w:sz w:val="21"/>
                <w:szCs w:val="21"/>
                <w14:textFill>
                  <w14:solidFill>
                    <w14:schemeClr w14:val="tx1"/>
                  </w14:solidFill>
                </w14:textFill>
              </w:rPr>
              <w:t>OD</w:t>
            </w:r>
            <w:r>
              <w:rPr>
                <w:rFonts w:hint="eastAsia" w:ascii="Times New Roman" w:hAnsi="Times New Roman" w:eastAsia="宋体"/>
                <w:color w:val="000000" w:themeColor="text1"/>
                <w:sz w:val="21"/>
                <w:szCs w:val="21"/>
                <w14:textFill>
                  <w14:solidFill>
                    <w14:schemeClr w14:val="tx1"/>
                  </w14:solidFill>
                </w14:textFill>
              </w:rPr>
              <w:t>、S</w:t>
            </w:r>
            <w:r>
              <w:rPr>
                <w:rFonts w:ascii="Times New Roman" w:hAnsi="Times New Roman" w:eastAsia="宋体"/>
                <w:color w:val="000000" w:themeColor="text1"/>
                <w:sz w:val="21"/>
                <w:szCs w:val="21"/>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固废S</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S5</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维护保养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废润滑油</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S6</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废油桶</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S7</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废含油棉纱手套</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S8</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空压机</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废空压机油</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S9</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办公生活</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S10</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S11</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废气处理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收尘灰</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S12</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食堂隔油沉淀设施</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废油脂</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餐厨垃圾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S13</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生产废水隔油沉淀设施</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废油渣</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S16</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喷砂</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废钢砂</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S17</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废气处理、喷漆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废漆渣</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S18</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员工防护</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废含油漆防护手套</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S19</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废气处理</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废过滤棉</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S20</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废活性炭</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S21</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废催化剂</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S22</w:t>
            </w:r>
          </w:p>
        </w:tc>
        <w:tc>
          <w:tcPr>
            <w:tcW w:w="1706" w:type="dxa"/>
            <w:vMerge w:val="restart"/>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原料包装</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废水性漆包装桶</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S23</w:t>
            </w:r>
          </w:p>
        </w:tc>
        <w:tc>
          <w:tcPr>
            <w:tcW w:w="1706"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废油性漆包装桶</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p>
        </w:tc>
        <w:tc>
          <w:tcPr>
            <w:tcW w:w="85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噪声N</w:t>
            </w:r>
          </w:p>
        </w:tc>
        <w:tc>
          <w:tcPr>
            <w:tcW w:w="1134"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1706"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生产设备</w:t>
            </w:r>
          </w:p>
        </w:tc>
        <w:tc>
          <w:tcPr>
            <w:tcW w:w="1837"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c>
          <w:tcPr>
            <w:tcW w:w="2971" w:type="dxa"/>
            <w:vAlign w:val="center"/>
          </w:tcPr>
          <w:p>
            <w:pPr>
              <w:pStyle w:val="272"/>
              <w:spacing w:line="240" w:lineRule="auto"/>
              <w:ind w:firstLine="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r>
    </w:tbl>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2.3.2水平衡和油漆平衡</w:t>
      </w:r>
    </w:p>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（1）水平衡</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1）1号地块水平衡</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项目1号地块用水包括生产用水（车间地面清洁用水、员工洗手用水、切削液调配用水）、生活用水、食堂用水。</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生活用水：项目1号地块劳动定员180人。生活用水量按100L/人·d计，则生活用水量为18m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/d、5760m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/a。排污系数取0.9，则生活污水排放量为16.2m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/d，5184m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/a。生活污水排入1号地块的1#生化池。</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食堂用水：食堂提供午餐一餐，用水量按25L/人·d计，就餐人数按最大180人计，则食堂用水量为4.5m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/d、1440m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/a。排污系数取0.9，则食堂废水排放量约4.05m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/d、1296m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/a。食堂废水经1#隔油沉淀设施预处理后排入1#生化池。</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车间地面清洁用水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项目1~6#车间内裸露区域（约占厂房面积30%，生产车间总面积约28800m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，则清洁面积8640m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）。清洁方式为拖把清洁，不进行冲洗，平均每周清洁一次，按50周/a计，车间清洁用水量按0.5L/m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·次计。则车间地面清洁用水量为4.32m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/次、216m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/a.。排污系数按0.9计，车间地面清洁废水量约3.89m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/次、194m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eastAsia="宋体"/>
          <w:color w:val="000000" w:themeColor="text1"/>
          <w14:textFill>
            <w14:solidFill>
              <w14:schemeClr w14:val="tx1"/>
            </w14:solidFill>
          </w14:textFill>
        </w:rPr>
        <w:t>员工洗手用水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参考《建筑给水排水设计规范》（GB50015-2019），洗手用水按3L/人·次计，员工洗手每天2~3次（本次评价取3次），</w:t>
      </w:r>
      <w:r>
        <w:rPr>
          <w:rFonts w:hint="eastAsia" w:eastAsia="宋体"/>
          <w:color w:val="000000" w:themeColor="text1"/>
          <w14:textFill>
            <w14:solidFill>
              <w14:schemeClr w14:val="tx1"/>
            </w14:solidFill>
          </w14:textFill>
        </w:rPr>
        <w:t>人数按最大</w:t>
      </w:r>
      <w:r>
        <w:rPr>
          <w:rFonts w:eastAsia="宋体"/>
          <w:color w:val="000000" w:themeColor="text1"/>
          <w14:textFill>
            <w14:solidFill>
              <w14:schemeClr w14:val="tx1"/>
            </w14:solidFill>
          </w14:textFill>
        </w:rPr>
        <w:t>180人</w:t>
      </w:r>
      <w:r>
        <w:rPr>
          <w:rFonts w:hint="eastAsia" w:eastAsia="宋体"/>
          <w:color w:val="000000" w:themeColor="text1"/>
          <w14:textFill>
            <w14:solidFill>
              <w14:schemeClr w14:val="tx1"/>
            </w14:solidFill>
          </w14:textFill>
        </w:rPr>
        <w:t>计</w:t>
      </w:r>
      <w:r>
        <w:rPr>
          <w:rFonts w:eastAsia="宋体"/>
          <w:color w:val="000000" w:themeColor="text1"/>
          <w14:textFill>
            <w14:solidFill>
              <w14:schemeClr w14:val="tx1"/>
            </w14:solidFill>
          </w14:textFill>
        </w:rPr>
        <w:t>，则员工洗手用水为1.62m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/d、518.4m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/a。排污系数按0.9计，则员工洗手废水排放量约1.46m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/d、466.6m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w:t>
      </w:r>
      <w:r>
        <w:rPr>
          <w:rFonts w:eastAsia="宋体"/>
          <w:color w:val="000000" w:themeColor="text1"/>
          <w14:textFill>
            <w14:solidFill>
              <w14:schemeClr w14:val="tx1"/>
            </w14:solidFill>
          </w14:textFill>
        </w:rPr>
        <w:t>切削液调配用水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项目切削液用于钻床、铣床加工过程工件冷却降温等，与水调配比例为1:10。且切削液调配用水为50m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/a（平均每天0.16m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/d），切削液循环使用，定期更换。</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⑥</w:t>
      </w:r>
      <w:r>
        <w:rPr>
          <w:rFonts w:eastAsia="宋体"/>
          <w:color w:val="000000" w:themeColor="text1"/>
          <w14:textFill>
            <w14:solidFill>
              <w14:schemeClr w14:val="tx1"/>
            </w14:solidFill>
          </w14:textFill>
        </w:rPr>
        <w:t>空压机冷凝水</w:t>
      </w:r>
    </w:p>
    <w:p>
      <w:pPr>
        <w:adjustRightInd w:val="0"/>
        <w:snapToGrid w:val="0"/>
        <w:ind w:firstLine="480"/>
        <w:rPr>
          <w:rFonts w:eastAsia="宋体"/>
          <w:bCs/>
          <w:color w:val="000000" w:themeColor="text1"/>
          <w:kern w:val="0"/>
          <w14:textFill>
            <w14:solidFill>
              <w14:schemeClr w14:val="tx1"/>
            </w14:solidFill>
          </w14:textFill>
        </w:rPr>
      </w:pPr>
      <w:r>
        <w:rPr>
          <w:rFonts w:eastAsia="宋体"/>
          <w:color w:val="000000" w:themeColor="text1"/>
          <w14:textFill>
            <w14:solidFill>
              <w14:schemeClr w14:val="tx1"/>
            </w14:solidFill>
          </w14:textFill>
        </w:rPr>
        <w:t>项目1号地块设置2台空压机，空压机在压缩空气过程中，由于空压机周围温度和湿度变化，使空气中水蒸气凝结成液态水，形成冷凝水。</w:t>
      </w:r>
      <w:r>
        <w:rPr>
          <w:rFonts w:eastAsia="宋体"/>
          <w:bCs/>
          <w:color w:val="000000" w:themeColor="text1"/>
          <w:kern w:val="0"/>
          <w14:textFill>
            <w14:solidFill>
              <w14:schemeClr w14:val="tx1"/>
            </w14:solidFill>
          </w14:textFill>
        </w:rPr>
        <w:t>参考《空压机冷却器冷凝水自动排放系统设计》（蓝毅 佛山德力梅塞尔气体有限公司技术部，广东 佛山 528051）关于冷凝水的产生量计算公式：</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2314575" cy="4000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14575" cy="400050"/>
                    </a:xfrm>
                    <a:prstGeom prst="rect">
                      <a:avLst/>
                    </a:prstGeom>
                    <a:noFill/>
                    <a:ln>
                      <a:noFill/>
                    </a:ln>
                  </pic:spPr>
                </pic:pic>
              </a:graphicData>
            </a:graphic>
          </wp:inline>
        </w:drawing>
      </w:r>
    </w:p>
    <w:p>
      <w:pPr>
        <w:adjustRightInd w:val="0"/>
        <w:snapToGrid w:val="0"/>
        <w:ind w:firstLine="48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式中：M</w:t>
      </w:r>
      <w:r>
        <w:rPr>
          <w:rFonts w:eastAsia="宋体"/>
          <w:bCs/>
          <w:color w:val="000000" w:themeColor="text1"/>
          <w:kern w:val="0"/>
          <w:vertAlign w:val="subscript"/>
          <w14:textFill>
            <w14:solidFill>
              <w14:schemeClr w14:val="tx1"/>
            </w14:solidFill>
          </w14:textFill>
        </w:rPr>
        <w:t>k</w:t>
      </w:r>
      <w:r>
        <w:rPr>
          <w:rFonts w:eastAsia="宋体"/>
          <w:bCs/>
          <w:color w:val="000000" w:themeColor="text1"/>
          <w:kern w:val="0"/>
          <w14:textFill>
            <w14:solidFill>
              <w14:schemeClr w14:val="tx1"/>
            </w14:solidFill>
          </w14:textFill>
        </w:rPr>
        <w:t>—冷凝水产生量，g/min；</w:t>
      </w:r>
    </w:p>
    <w:p>
      <w:pPr>
        <w:adjustRightInd w:val="0"/>
        <w:snapToGrid w:val="0"/>
        <w:ind w:firstLine="1200" w:firstLineChars="50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V</w:t>
      </w:r>
      <w:r>
        <w:rPr>
          <w:rFonts w:eastAsia="宋体"/>
          <w:bCs/>
          <w:color w:val="000000" w:themeColor="text1"/>
          <w:kern w:val="0"/>
          <w:vertAlign w:val="subscript"/>
          <w14:textFill>
            <w14:solidFill>
              <w14:schemeClr w14:val="tx1"/>
            </w14:solidFill>
          </w14:textFill>
        </w:rPr>
        <w:t>0</w:t>
      </w:r>
      <w:r>
        <w:rPr>
          <w:rFonts w:eastAsia="宋体"/>
          <w:bCs/>
          <w:color w:val="000000" w:themeColor="text1"/>
          <w:kern w:val="0"/>
          <w14:textFill>
            <w14:solidFill>
              <w14:schemeClr w14:val="tx1"/>
            </w14:solidFill>
          </w14:textFill>
        </w:rPr>
        <w:t>—在大气压1bar，温度为20℃的吸气量，m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/min，本项目空压机排气量22.2m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/min；</w:t>
      </w:r>
    </w:p>
    <w:p>
      <w:pPr>
        <w:adjustRightInd w:val="0"/>
        <w:snapToGrid w:val="0"/>
        <w:ind w:firstLine="1200" w:firstLineChars="50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X</w:t>
      </w:r>
      <w:r>
        <w:rPr>
          <w:rFonts w:eastAsia="宋体"/>
          <w:bCs/>
          <w:color w:val="000000" w:themeColor="text1"/>
          <w:kern w:val="0"/>
          <w:vertAlign w:val="subscript"/>
          <w14:textFill>
            <w14:solidFill>
              <w14:schemeClr w14:val="tx1"/>
            </w14:solidFill>
          </w14:textFill>
        </w:rPr>
        <w:t>WDL</w:t>
      </w:r>
      <w:r>
        <w:rPr>
          <w:rFonts w:eastAsia="宋体"/>
          <w:bCs/>
          <w:color w:val="000000" w:themeColor="text1"/>
          <w:kern w:val="0"/>
          <w14:textFill>
            <w14:solidFill>
              <w14:schemeClr w14:val="tx1"/>
            </w14:solidFill>
          </w14:textFill>
        </w:rPr>
        <w:t>—压缩空气水的含量，g/m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，压缩空气出口空气温度约36℃，查饱和气体含水量表，水含量为41.322g/m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w:t>
      </w:r>
    </w:p>
    <w:p>
      <w:pPr>
        <w:adjustRightInd w:val="0"/>
        <w:snapToGrid w:val="0"/>
        <w:ind w:firstLine="1200" w:firstLineChars="50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X</w:t>
      </w:r>
      <w:r>
        <w:rPr>
          <w:rFonts w:eastAsia="宋体"/>
          <w:bCs/>
          <w:color w:val="000000" w:themeColor="text1"/>
          <w:kern w:val="0"/>
          <w:vertAlign w:val="subscript"/>
          <w14:textFill>
            <w14:solidFill>
              <w14:schemeClr w14:val="tx1"/>
            </w14:solidFill>
          </w14:textFill>
        </w:rPr>
        <w:t>WE</w:t>
      </w:r>
      <w:r>
        <w:rPr>
          <w:rFonts w:eastAsia="宋体"/>
          <w:bCs/>
          <w:color w:val="000000" w:themeColor="text1"/>
          <w:kern w:val="0"/>
          <w14:textFill>
            <w14:solidFill>
              <w14:schemeClr w14:val="tx1"/>
            </w14:solidFill>
          </w14:textFill>
        </w:rPr>
        <w:t>—吸入空气的水含量，g/m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，重庆市夏季阴雨天最高气温在33℃左右，水含量35.317g/m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；其他季节阴雨天最高气温在25℃左右，水含量22.830g/m</w:t>
      </w:r>
      <w:r>
        <w:rPr>
          <w:rFonts w:eastAsia="宋体"/>
          <w:bCs/>
          <w:color w:val="000000" w:themeColor="text1"/>
          <w:kern w:val="0"/>
          <w:vertAlign w:val="superscript"/>
          <w14:textFill>
            <w14:solidFill>
              <w14:schemeClr w14:val="tx1"/>
            </w14:solidFill>
          </w14:textFill>
        </w:rPr>
        <w:t>3</w:t>
      </w:r>
      <w:r>
        <w:rPr>
          <w:rFonts w:eastAsia="宋体"/>
          <w:bCs/>
          <w:color w:val="000000" w:themeColor="text1"/>
          <w:kern w:val="0"/>
          <w14:textFill>
            <w14:solidFill>
              <w14:schemeClr w14:val="tx1"/>
            </w14:solidFill>
          </w14:textFill>
        </w:rPr>
        <w:t>；</w:t>
      </w:r>
    </w:p>
    <w:p>
      <w:pPr>
        <w:adjustRightInd w:val="0"/>
        <w:snapToGrid w:val="0"/>
        <w:ind w:firstLine="1200" w:firstLineChars="50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rh—大气的相对湿度，%，重庆市平均相对湿度70%~80%，取80%；</w:t>
      </w:r>
    </w:p>
    <w:p>
      <w:pPr>
        <w:adjustRightInd w:val="0"/>
        <w:snapToGrid w:val="0"/>
        <w:ind w:firstLine="1200" w:firstLineChars="500"/>
        <w:rPr>
          <w:rFonts w:eastAsia="宋体"/>
          <w:bCs/>
          <w:color w:val="000000" w:themeColor="text1"/>
          <w:kern w:val="0"/>
          <w14:textFill>
            <w14:solidFill>
              <w14:schemeClr w14:val="tx1"/>
            </w14:solidFill>
          </w14:textFill>
        </w:rPr>
      </w:pPr>
      <w:r>
        <w:rPr>
          <w:rFonts w:eastAsia="宋体"/>
          <w:bCs/>
          <w:color w:val="000000" w:themeColor="text1"/>
          <w:kern w:val="0"/>
          <w14:textFill>
            <w14:solidFill>
              <w14:schemeClr w14:val="tx1"/>
            </w14:solidFill>
          </w14:textFill>
        </w:rPr>
        <w:t>P</w:t>
      </w:r>
      <w:r>
        <w:rPr>
          <w:rFonts w:eastAsia="宋体"/>
          <w:bCs/>
          <w:color w:val="000000" w:themeColor="text1"/>
          <w:kern w:val="0"/>
          <w:vertAlign w:val="subscript"/>
          <w14:textFill>
            <w14:solidFill>
              <w14:schemeClr w14:val="tx1"/>
            </w14:solidFill>
          </w14:textFill>
        </w:rPr>
        <w:t>2</w:t>
      </w:r>
      <w:r>
        <w:rPr>
          <w:rFonts w:eastAsia="宋体"/>
          <w:bCs/>
          <w:color w:val="000000" w:themeColor="text1"/>
          <w:kern w:val="0"/>
          <w14:textFill>
            <w14:solidFill>
              <w14:schemeClr w14:val="tx1"/>
            </w14:solidFill>
          </w14:textFill>
        </w:rPr>
        <w:t>—压缩空气压力，用绝对压力</w:t>
      </w:r>
      <w:r>
        <w:rPr>
          <w:rFonts w:hint="eastAsia" w:eastAsia="宋体"/>
          <w:bCs/>
          <w:color w:val="000000" w:themeColor="text1"/>
          <w:kern w:val="0"/>
          <w14:textFill>
            <w14:solidFill>
              <w14:schemeClr w14:val="tx1"/>
            </w14:solidFill>
          </w14:textFill>
        </w:rPr>
        <w:t>表示</w:t>
      </w:r>
      <w:r>
        <w:rPr>
          <w:rFonts w:eastAsia="宋体"/>
          <w:bCs/>
          <w:color w:val="000000" w:themeColor="text1"/>
          <w:kern w:val="0"/>
          <w14:textFill>
            <w14:solidFill>
              <w14:schemeClr w14:val="tx1"/>
            </w14:solidFill>
          </w14:textFill>
        </w:rPr>
        <w:t>，Bar，本项目空压机排气压力1.2Mpa，绝对压力13Bar。</w:t>
      </w:r>
    </w:p>
    <w:p>
      <w:pPr>
        <w:ind w:firstLine="480"/>
        <w:rPr>
          <w:rFonts w:eastAsia="宋体"/>
          <w:color w:val="000000" w:themeColor="text1"/>
          <w14:textFill>
            <w14:solidFill>
              <w14:schemeClr w14:val="tx1"/>
            </w14:solidFill>
          </w14:textFill>
        </w:rPr>
      </w:pPr>
      <w:r>
        <w:rPr>
          <w:rFonts w:eastAsia="宋体"/>
          <w:bCs/>
          <w:color w:val="000000" w:themeColor="text1"/>
          <w:kern w:val="0"/>
          <w14:textFill>
            <w14:solidFill>
              <w14:schemeClr w14:val="tx1"/>
            </w14:solidFill>
          </w14:textFill>
        </w:rPr>
        <w:t>从而计算</w:t>
      </w:r>
      <w:r>
        <w:rPr>
          <w:rFonts w:hint="eastAsia" w:eastAsia="宋体"/>
          <w:bCs/>
          <w:color w:val="000000" w:themeColor="text1"/>
          <w:kern w:val="0"/>
          <w14:textFill>
            <w14:solidFill>
              <w14:schemeClr w14:val="tx1"/>
            </w14:solidFill>
          </w14:textFill>
        </w:rPr>
        <w:t>单台空压机</w:t>
      </w:r>
      <w:r>
        <w:rPr>
          <w:rFonts w:eastAsia="宋体"/>
          <w:bCs/>
          <w:color w:val="000000" w:themeColor="text1"/>
          <w:kern w:val="0"/>
          <w14:textFill>
            <w14:solidFill>
              <w14:schemeClr w14:val="tx1"/>
            </w14:solidFill>
          </w14:textFill>
        </w:rPr>
        <w:t>冷凝水产生量约556.7g/min（夏季），334.9g/min（其他季节）。因此，空压机冷凝水最大日产生量约1.07t/d，年产生量约239.2t/a。</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车间地面清洁废水</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员工洗手废水和空压机冷凝水经2#隔油沉淀设施预处理后排入1号地块的1#生化池。</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2）2号地块水平衡</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项目2号地块用水包括生产用水（车间地面清洁用水、员工洗手用水、水性漆喷枪清洗用水、水性漆调漆用水）、生活用水、食堂用水。</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生活用水：项目2号地块劳动定员20人。生活用水量按100L/人·d计，则生活用水量为2m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/d、640m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/a。排污系数取0.9，则生活污水排放量为1.8m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/d，576m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/a。生活污水排入2号地块的2#生化池。</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食堂用水：食堂提供午餐一餐，用水量按25L/人·d计，就餐人数按最大20人计，则食堂用水量为0.5m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/d、160m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/a。排污系数取0.9，则食堂废水排放量约0.45m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/d、144m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/a。食堂废水经3#隔油沉淀设施预处理后排入2#生化池。</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车间地面清洁用水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主要考虑涂装车间地面清洁，项目涂装车间面积156m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，清洁方式为拖把清洁，不进行冲洗，平均每周清洁一次，按50周/a计，车间清洁用水量按0.5L/m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·次计。则车间地面清洁用水量约0.08m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/次、4m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/a.。排污系数按0.9计，车间地面清洁废水量约0.07m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/次、3.6m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eastAsia="宋体"/>
          <w:color w:val="000000" w:themeColor="text1"/>
          <w14:textFill>
            <w14:solidFill>
              <w14:schemeClr w14:val="tx1"/>
            </w14:solidFill>
          </w14:textFill>
        </w:rPr>
        <w:t>员工洗手用水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参考《建筑给水排水设计规范》（GB50015-2019），洗手用水按3L/人·次计，员工洗手每天2~3次（本次评价取3次），</w:t>
      </w:r>
      <w:r>
        <w:rPr>
          <w:rFonts w:hint="eastAsia" w:eastAsia="宋体"/>
          <w:color w:val="000000" w:themeColor="text1"/>
          <w14:textFill>
            <w14:solidFill>
              <w14:schemeClr w14:val="tx1"/>
            </w14:solidFill>
          </w14:textFill>
        </w:rPr>
        <w:t>人数按最大</w:t>
      </w:r>
      <w:r>
        <w:rPr>
          <w:rFonts w:eastAsia="宋体"/>
          <w:color w:val="000000" w:themeColor="text1"/>
          <w14:textFill>
            <w14:solidFill>
              <w14:schemeClr w14:val="tx1"/>
            </w14:solidFill>
          </w14:textFill>
        </w:rPr>
        <w:t>20人</w:t>
      </w:r>
      <w:r>
        <w:rPr>
          <w:rFonts w:hint="eastAsia" w:eastAsia="宋体"/>
          <w:color w:val="000000" w:themeColor="text1"/>
          <w14:textFill>
            <w14:solidFill>
              <w14:schemeClr w14:val="tx1"/>
            </w14:solidFill>
          </w14:textFill>
        </w:rPr>
        <w:t>计</w:t>
      </w:r>
      <w:r>
        <w:rPr>
          <w:rFonts w:eastAsia="宋体"/>
          <w:color w:val="000000" w:themeColor="text1"/>
          <w14:textFill>
            <w14:solidFill>
              <w14:schemeClr w14:val="tx1"/>
            </w14:solidFill>
          </w14:textFill>
        </w:rPr>
        <w:t>，则员工洗手用水为0.18m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/d、57.6m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/a。排污系数按0.9计，则员工洗手废水排放量约0.16m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/d、51.8m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w:t>
      </w:r>
      <w:r>
        <w:rPr>
          <w:rFonts w:eastAsia="宋体"/>
          <w:color w:val="000000" w:themeColor="text1"/>
          <w14:textFill>
            <w14:solidFill>
              <w14:schemeClr w14:val="tx1"/>
            </w14:solidFill>
          </w14:textFill>
        </w:rPr>
        <w:t>空压机冷凝水</w:t>
      </w:r>
    </w:p>
    <w:p>
      <w:pPr>
        <w:ind w:firstLine="480"/>
        <w:rPr>
          <w:rFonts w:eastAsia="宋体"/>
          <w:bCs/>
          <w:color w:val="000000" w:themeColor="text1"/>
          <w:kern w:val="0"/>
          <w14:textFill>
            <w14:solidFill>
              <w14:schemeClr w14:val="tx1"/>
            </w14:solidFill>
          </w14:textFill>
        </w:rPr>
      </w:pPr>
      <w:r>
        <w:rPr>
          <w:rFonts w:eastAsia="宋体"/>
          <w:color w:val="000000" w:themeColor="text1"/>
          <w14:textFill>
            <w14:solidFill>
              <w14:schemeClr w14:val="tx1"/>
            </w14:solidFill>
          </w14:textFill>
        </w:rPr>
        <w:t>项目2号地块设置2台空压机，空压机型号与1号地块的一致，空压机冷凝水</w:t>
      </w:r>
      <w:r>
        <w:rPr>
          <w:rFonts w:eastAsia="宋体"/>
          <w:bCs/>
          <w:color w:val="000000" w:themeColor="text1"/>
          <w:kern w:val="0"/>
          <w14:textFill>
            <w14:solidFill>
              <w14:schemeClr w14:val="tx1"/>
            </w14:solidFill>
          </w14:textFill>
        </w:rPr>
        <w:t>最大日产生量约1.07t/d，年产生量约239.2t/a。</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⑥</w:t>
      </w:r>
      <w:r>
        <w:rPr>
          <w:rFonts w:eastAsia="宋体"/>
          <w:color w:val="000000" w:themeColor="text1"/>
          <w14:textFill>
            <w14:solidFill>
              <w14:schemeClr w14:val="tx1"/>
            </w14:solidFill>
          </w14:textFill>
        </w:rPr>
        <w:t>水性漆调漆用水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根据原辅料用量情况，项目水性油漆（水性冷喷烯锌、水性环氧中间漆和水性透明封闭漆）均需添加水做稀释剂，项目水性油漆共54.114t/a，调漆用水约占漆料10%，则调漆用水量为5.41m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/a、0.02m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/d。调漆用水全部在喷漆过程蒸发损耗。</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⑦</w:t>
      </w:r>
      <w:r>
        <w:rPr>
          <w:rFonts w:eastAsia="宋体"/>
          <w:color w:val="000000" w:themeColor="text1"/>
          <w14:textFill>
            <w14:solidFill>
              <w14:schemeClr w14:val="tx1"/>
            </w14:solidFill>
          </w14:textFill>
        </w:rPr>
        <w:t>水性漆喷枪清洗用水</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根据工程分析，单个喷枪单次洗枪用水量约1kg，平均每日清洗一次，水性漆喷枪清洗用水最大量为0.002m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/次（考虑同一天2把喷枪均喷水性漆，采用水清洗）。</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⑧气旋喷淋用水</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项目涂装过程采用气旋喷淋，产生喷淋用水。参考《涂装车间设计手册》（王锡春主编），喷淋用水的水空比取1</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kg</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m</w:t>
      </w:r>
      <w:r>
        <w:rPr>
          <w:rFonts w:eastAsia="宋体"/>
          <w:color w:val="000000" w:themeColor="text1"/>
          <w:vertAlign w:val="superscript"/>
          <w14:textFill>
            <w14:solidFill>
              <w14:schemeClr w14:val="tx1"/>
            </w14:solidFill>
          </w14:textFill>
        </w:rPr>
        <w:t>3</w:t>
      </w:r>
      <w:r>
        <w:rPr>
          <w:rFonts w:hint="eastAsia" w:eastAsia="宋体"/>
          <w:color w:val="000000" w:themeColor="text1"/>
          <w14:textFill>
            <w14:solidFill>
              <w14:schemeClr w14:val="tx1"/>
            </w14:solidFill>
          </w14:textFill>
        </w:rPr>
        <w:t>。涂装废气量7</w:t>
      </w:r>
      <w:r>
        <w:rPr>
          <w:rFonts w:eastAsia="宋体"/>
          <w:color w:val="000000" w:themeColor="text1"/>
          <w14:textFill>
            <w14:solidFill>
              <w14:schemeClr w14:val="tx1"/>
            </w14:solidFill>
          </w14:textFill>
        </w:rPr>
        <w:t>0000</w:t>
      </w:r>
      <w:r>
        <w:rPr>
          <w:rFonts w:hint="eastAsia" w:eastAsia="宋体"/>
          <w:color w:val="000000" w:themeColor="text1"/>
          <w14:textFill>
            <w14:solidFill>
              <w14:schemeClr w14:val="tx1"/>
            </w14:solidFill>
          </w14:textFill>
        </w:rPr>
        <w:t>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h，则循环水量为1</w:t>
      </w:r>
      <w:r>
        <w:rPr>
          <w:rFonts w:eastAsia="宋体"/>
          <w:color w:val="000000" w:themeColor="text1"/>
          <w14:textFill>
            <w14:solidFill>
              <w14:schemeClr w14:val="tx1"/>
            </w14:solidFill>
          </w14:textFill>
        </w:rPr>
        <w:t>05</w:t>
      </w:r>
      <w:r>
        <w:rPr>
          <w:rFonts w:hint="eastAsia" w:eastAsia="宋体"/>
          <w:color w:val="000000" w:themeColor="text1"/>
          <w14:textFill>
            <w14:solidFill>
              <w14:schemeClr w14:val="tx1"/>
            </w14:solidFill>
          </w14:textFill>
        </w:rPr>
        <w:t>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h。喷淋塔配套水箱储水量按1</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min循环量计，每日补水量按储水量的2</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计，排水量按储水量的1</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计。则补水量为3</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d，排水量为1</w:t>
      </w:r>
      <w:r>
        <w:rPr>
          <w:rFonts w:eastAsia="宋体"/>
          <w:color w:val="000000" w:themeColor="text1"/>
          <w14:textFill>
            <w14:solidFill>
              <w14:schemeClr w14:val="tx1"/>
            </w14:solidFill>
          </w14:textFill>
        </w:rPr>
        <w:t>.75</w:t>
      </w:r>
      <w:r>
        <w:rPr>
          <w:rFonts w:hint="eastAsia" w:eastAsia="宋体"/>
          <w:color w:val="000000" w:themeColor="text1"/>
          <w14:textFill>
            <w14:solidFill>
              <w14:schemeClr w14:val="tx1"/>
            </w14:solidFill>
          </w14:textFill>
        </w:rPr>
        <w:t>m</w:t>
      </w:r>
      <w:r>
        <w:rPr>
          <w:rFonts w:eastAsia="宋体"/>
          <w:color w:val="000000" w:themeColor="text1"/>
          <w:vertAlign w:val="superscript"/>
          <w14:textFill>
            <w14:solidFill>
              <w14:schemeClr w14:val="tx1"/>
            </w14:solidFill>
          </w14:textFill>
        </w:rPr>
        <w:t>3</w:t>
      </w:r>
      <w:r>
        <w:rPr>
          <w:rFonts w:hint="eastAsia" w:eastAsia="宋体"/>
          <w:color w:val="000000" w:themeColor="text1"/>
          <w14:textFill>
            <w14:solidFill>
              <w14:schemeClr w14:val="tx1"/>
            </w14:solidFill>
          </w14:textFill>
        </w:rPr>
        <w:t>/d。</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车间地面清洁废水、员工洗手废水</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空压机冷凝水</w:t>
      </w:r>
      <w:r>
        <w:rPr>
          <w:rFonts w:hint="eastAsia" w:eastAsia="宋体"/>
          <w:color w:val="000000" w:themeColor="text1"/>
          <w14:textFill>
            <w14:solidFill>
              <w14:schemeClr w14:val="tx1"/>
            </w14:solidFill>
          </w14:textFill>
        </w:rPr>
        <w:t>、喷枪清洗废水和气旋喷淋废水</w:t>
      </w:r>
      <w:r>
        <w:rPr>
          <w:rFonts w:eastAsia="宋体"/>
          <w:color w:val="000000" w:themeColor="text1"/>
          <w14:textFill>
            <w14:solidFill>
              <w14:schemeClr w14:val="tx1"/>
            </w14:solidFill>
          </w14:textFill>
        </w:rPr>
        <w:t>经</w:t>
      </w:r>
      <w:r>
        <w:rPr>
          <w:rFonts w:hint="eastAsia" w:eastAsia="宋体"/>
          <w:color w:val="000000" w:themeColor="text1"/>
          <w14:textFill>
            <w14:solidFill>
              <w14:schemeClr w14:val="tx1"/>
            </w14:solidFill>
          </w14:textFill>
        </w:rPr>
        <w:t>生产废水处理设施</w:t>
      </w:r>
      <w:r>
        <w:rPr>
          <w:rFonts w:eastAsia="宋体"/>
          <w:color w:val="000000" w:themeColor="text1"/>
          <w14:textFill>
            <w14:solidFill>
              <w14:schemeClr w14:val="tx1"/>
            </w14:solidFill>
          </w14:textFill>
        </w:rPr>
        <w:t>预处理后排入2号地块2#生化池。</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项目水平衡见表2.3-2、图2.3-1。</w:t>
      </w:r>
    </w:p>
    <w:p>
      <w:pPr>
        <w:ind w:firstLine="480"/>
        <w:rPr>
          <w:rFonts w:eastAsia="宋体"/>
          <w:color w:val="000000" w:themeColor="text1"/>
          <w14:textFill>
            <w14:solidFill>
              <w14:schemeClr w14:val="tx1"/>
            </w14:solidFill>
          </w14:textFill>
        </w:rPr>
        <w:sectPr>
          <w:pgSz w:w="11906" w:h="16838"/>
          <w:pgMar w:top="1135" w:right="1133" w:bottom="1276" w:left="1560" w:header="851" w:footer="992" w:gutter="0"/>
          <w:cols w:space="425" w:num="1"/>
          <w:docGrid w:type="lines" w:linePitch="326" w:charSpace="0"/>
        </w:sectPr>
      </w:pPr>
    </w:p>
    <w:p>
      <w:pPr>
        <w:autoSpaceDE w:val="0"/>
        <w:autoSpaceDN w:val="0"/>
        <w:adjustRightInd w:val="0"/>
        <w:spacing w:line="240" w:lineRule="auto"/>
        <w:jc w:val="center"/>
        <w:textAlignment w:val="baseline"/>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2.3-2  项目水平衡表</w:t>
      </w:r>
    </w:p>
    <w:tbl>
      <w:tblPr>
        <w:tblStyle w:val="89"/>
        <w:tblW w:w="47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222"/>
        <w:gridCol w:w="1360"/>
        <w:gridCol w:w="2050"/>
        <w:gridCol w:w="1192"/>
        <w:gridCol w:w="1486"/>
        <w:gridCol w:w="1492"/>
        <w:gridCol w:w="1335"/>
        <w:gridCol w:w="2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restar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位置</w:t>
            </w:r>
          </w:p>
        </w:tc>
        <w:tc>
          <w:tcPr>
            <w:tcW w:w="793" w:type="pct"/>
            <w:vMerge w:val="restar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类别</w:t>
            </w:r>
          </w:p>
        </w:tc>
        <w:tc>
          <w:tcPr>
            <w:tcW w:w="485" w:type="pct"/>
            <w:vMerge w:val="restar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指标</w:t>
            </w:r>
          </w:p>
        </w:tc>
        <w:tc>
          <w:tcPr>
            <w:tcW w:w="731" w:type="pct"/>
            <w:vMerge w:val="restar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用水规模</w:t>
            </w:r>
          </w:p>
        </w:tc>
        <w:tc>
          <w:tcPr>
            <w:tcW w:w="955" w:type="pct"/>
            <w:gridSpan w:val="2"/>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用水量</w:t>
            </w:r>
          </w:p>
        </w:tc>
        <w:tc>
          <w:tcPr>
            <w:tcW w:w="1008" w:type="pct"/>
            <w:gridSpan w:val="2"/>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排水量</w:t>
            </w:r>
          </w:p>
        </w:tc>
        <w:tc>
          <w:tcPr>
            <w:tcW w:w="766" w:type="pct"/>
            <w:vAlign w:val="center"/>
          </w:tcPr>
          <w:p>
            <w:pPr>
              <w:autoSpaceDE w:val="0"/>
              <w:autoSpaceDN w:val="0"/>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93"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485"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31"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425"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/d</w:t>
            </w:r>
            <w:r>
              <w:rPr>
                <w:rFonts w:eastAsia="宋体"/>
                <w:color w:val="000000" w:themeColor="text1"/>
                <w:sz w:val="21"/>
                <w:szCs w:val="21"/>
                <w:vertAlign w:val="subscript"/>
                <w14:textFill>
                  <w14:solidFill>
                    <w14:schemeClr w14:val="tx1"/>
                  </w14:solidFill>
                </w14:textFill>
              </w:rPr>
              <w:t>max</w:t>
            </w:r>
            <w:r>
              <w:rPr>
                <w:rFonts w:eastAsia="宋体"/>
                <w:color w:val="000000" w:themeColor="text1"/>
                <w:sz w:val="21"/>
                <w:szCs w:val="21"/>
                <w14:textFill>
                  <w14:solidFill>
                    <w14:schemeClr w14:val="tx1"/>
                  </w14:solidFill>
                </w14:textFill>
              </w:rPr>
              <w:t>)</w:t>
            </w:r>
          </w:p>
        </w:tc>
        <w:tc>
          <w:tcPr>
            <w:tcW w:w="529"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(t/a)</w:t>
            </w:r>
          </w:p>
        </w:tc>
        <w:tc>
          <w:tcPr>
            <w:tcW w:w="532"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(m</w:t>
            </w:r>
            <w:r>
              <w:rPr>
                <w:rFonts w:eastAsia="宋体"/>
                <w:color w:val="000000" w:themeColor="text1"/>
                <w:spacing w:val="-20"/>
                <w:sz w:val="21"/>
                <w:szCs w:val="21"/>
                <w:vertAlign w:val="superscript"/>
                <w14:textFill>
                  <w14:solidFill>
                    <w14:schemeClr w14:val="tx1"/>
                  </w14:solidFill>
                </w14:textFill>
              </w:rPr>
              <w:t>3</w:t>
            </w:r>
            <w:r>
              <w:rPr>
                <w:rFonts w:eastAsia="宋体"/>
                <w:color w:val="000000" w:themeColor="text1"/>
                <w:spacing w:val="-20"/>
                <w:sz w:val="21"/>
                <w:szCs w:val="21"/>
                <w14:textFill>
                  <w14:solidFill>
                    <w14:schemeClr w14:val="tx1"/>
                  </w14:solidFill>
                </w14:textFill>
              </w:rPr>
              <w:t>/d</w:t>
            </w:r>
            <w:r>
              <w:rPr>
                <w:rFonts w:eastAsia="宋体"/>
                <w:color w:val="000000" w:themeColor="text1"/>
                <w:spacing w:val="-20"/>
                <w:sz w:val="21"/>
                <w:szCs w:val="21"/>
                <w:vertAlign w:val="subscript"/>
                <w14:textFill>
                  <w14:solidFill>
                    <w14:schemeClr w14:val="tx1"/>
                  </w14:solidFill>
                </w14:textFill>
              </w:rPr>
              <w:t>max</w:t>
            </w:r>
            <w:r>
              <w:rPr>
                <w:rFonts w:eastAsia="宋体"/>
                <w:color w:val="000000" w:themeColor="text1"/>
                <w:spacing w:val="-20"/>
                <w:sz w:val="21"/>
                <w:szCs w:val="21"/>
                <w14:textFill>
                  <w14:solidFill>
                    <w14:schemeClr w14:val="tx1"/>
                  </w14:solidFill>
                </w14:textFill>
              </w:rPr>
              <w:t>)</w:t>
            </w:r>
          </w:p>
        </w:tc>
        <w:tc>
          <w:tcPr>
            <w:tcW w:w="47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(t/a)</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1号地块</w:t>
            </w: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生活用水</w:t>
            </w:r>
          </w:p>
        </w:tc>
        <w:tc>
          <w:tcPr>
            <w:tcW w:w="485"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180人</w:t>
            </w: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100L/人·d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760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6.2</w:t>
            </w:r>
          </w:p>
        </w:tc>
        <w:tc>
          <w:tcPr>
            <w:tcW w:w="47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184</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排入1#生化池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食堂用水</w:t>
            </w:r>
          </w:p>
        </w:tc>
        <w:tc>
          <w:tcPr>
            <w:tcW w:w="485"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25L/人·d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.5</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440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.05</w:t>
            </w:r>
          </w:p>
        </w:tc>
        <w:tc>
          <w:tcPr>
            <w:tcW w:w="47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296</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经1#隔油沉淀设施预处理后排入1#生化池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员工洗手用水</w:t>
            </w:r>
          </w:p>
        </w:tc>
        <w:tc>
          <w:tcPr>
            <w:tcW w:w="485"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3L/人·次，3次/d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18.4</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.46</w:t>
            </w:r>
          </w:p>
        </w:tc>
        <w:tc>
          <w:tcPr>
            <w:tcW w:w="47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66.6</w:t>
            </w:r>
          </w:p>
        </w:tc>
        <w:tc>
          <w:tcPr>
            <w:tcW w:w="766" w:type="pct"/>
            <w:vMerge w:val="restar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经2#隔油沉淀设施预处理后排入1#生化池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车间地面清洁用水</w:t>
            </w:r>
          </w:p>
        </w:tc>
        <w:tc>
          <w:tcPr>
            <w:tcW w:w="485"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8640m</w:t>
            </w:r>
            <w:r>
              <w:rPr>
                <w:rFonts w:eastAsia="宋体"/>
                <w:color w:val="000000" w:themeColor="text1"/>
                <w:sz w:val="21"/>
                <w:szCs w:val="21"/>
                <w:vertAlign w:val="superscript"/>
                <w14:textFill>
                  <w14:solidFill>
                    <w14:schemeClr w14:val="tx1"/>
                  </w14:solidFill>
                </w14:textFill>
              </w:rPr>
              <w:t>2</w:t>
            </w: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0.5L/m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次，50次/a</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4.32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216</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3.89</w:t>
            </w:r>
          </w:p>
        </w:tc>
        <w:tc>
          <w:tcPr>
            <w:tcW w:w="47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194</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空压机冷凝水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.07</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2</w:t>
            </w:r>
            <w:r>
              <w:rPr>
                <w:rFonts w:eastAsia="宋体"/>
                <w:color w:val="000000" w:themeColor="text1"/>
                <w:spacing w:val="-20"/>
                <w:sz w:val="21"/>
                <w:szCs w:val="21"/>
                <w14:textFill>
                  <w14:solidFill>
                    <w14:schemeClr w14:val="tx1"/>
                  </w14:solidFill>
                </w14:textFill>
              </w:rPr>
              <w:t>39.2</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切削液调配用水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切削液：水=1:10</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0.16</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0</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蒸发损耗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2009" w:type="pct"/>
            <w:gridSpan w:val="3"/>
            <w:vAlign w:val="center"/>
          </w:tcPr>
          <w:p>
            <w:pPr>
              <w:autoSpaceDE w:val="0"/>
              <w:autoSpaceDN w:val="0"/>
              <w:adjustRightInd w:val="0"/>
              <w:snapToGrid w:val="0"/>
              <w:spacing w:line="240" w:lineRule="auto"/>
              <w:jc w:val="center"/>
              <w:textAlignment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小计</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8.6</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984.4</w:t>
            </w:r>
          </w:p>
        </w:tc>
        <w:tc>
          <w:tcPr>
            <w:tcW w:w="532"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26.67</w:t>
            </w:r>
          </w:p>
        </w:tc>
        <w:tc>
          <w:tcPr>
            <w:tcW w:w="47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7379.8</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2号地块</w:t>
            </w: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生活用水</w:t>
            </w:r>
          </w:p>
        </w:tc>
        <w:tc>
          <w:tcPr>
            <w:tcW w:w="485"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20人</w:t>
            </w: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100L/人·d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w:t>
            </w:r>
            <w:r>
              <w:rPr>
                <w:rFonts w:eastAsia="宋体"/>
                <w:color w:val="000000" w:themeColor="text1"/>
                <w:sz w:val="21"/>
                <w:szCs w:val="21"/>
                <w14:textFill>
                  <w14:solidFill>
                    <w14:schemeClr w14:val="tx1"/>
                  </w14:solidFill>
                </w14:textFill>
              </w:rPr>
              <w:t>40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5</w:t>
            </w:r>
            <w:r>
              <w:rPr>
                <w:rFonts w:eastAsia="宋体"/>
                <w:color w:val="000000" w:themeColor="text1"/>
                <w:spacing w:val="-20"/>
                <w:sz w:val="21"/>
                <w:szCs w:val="21"/>
                <w14:textFill>
                  <w14:solidFill>
                    <w14:schemeClr w14:val="tx1"/>
                  </w14:solidFill>
                </w14:textFill>
              </w:rPr>
              <w:t>76</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排入2#生化池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食堂用水</w:t>
            </w:r>
          </w:p>
        </w:tc>
        <w:tc>
          <w:tcPr>
            <w:tcW w:w="485"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25L/人·d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.45</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1</w:t>
            </w:r>
            <w:r>
              <w:rPr>
                <w:rFonts w:eastAsia="宋体"/>
                <w:color w:val="000000" w:themeColor="text1"/>
                <w:spacing w:val="-20"/>
                <w:sz w:val="21"/>
                <w:szCs w:val="21"/>
                <w14:textFill>
                  <w14:solidFill>
                    <w14:schemeClr w14:val="tx1"/>
                  </w14:solidFill>
                </w14:textFill>
              </w:rPr>
              <w:t>44</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经3#隔油沉淀设施预处理后排入2#生化池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员工洗手用水</w:t>
            </w:r>
          </w:p>
        </w:tc>
        <w:tc>
          <w:tcPr>
            <w:tcW w:w="485"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3L/人·次，3次/d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.18</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7.6</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5</w:t>
            </w:r>
            <w:r>
              <w:rPr>
                <w:rFonts w:eastAsia="宋体"/>
                <w:color w:val="000000" w:themeColor="text1"/>
                <w:spacing w:val="-20"/>
                <w:sz w:val="21"/>
                <w:szCs w:val="21"/>
                <w14:textFill>
                  <w14:solidFill>
                    <w14:schemeClr w14:val="tx1"/>
                  </w14:solidFill>
                </w14:textFill>
              </w:rPr>
              <w:t>1.8</w:t>
            </w:r>
          </w:p>
        </w:tc>
        <w:tc>
          <w:tcPr>
            <w:tcW w:w="766" w:type="pct"/>
            <w:vMerge w:val="restar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经生产废水处理设施预处理后排入2</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车间地面清洁用水</w:t>
            </w:r>
          </w:p>
        </w:tc>
        <w:tc>
          <w:tcPr>
            <w:tcW w:w="485"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156</w:t>
            </w:r>
          </w:p>
        </w:tc>
        <w:tc>
          <w:tcPr>
            <w:tcW w:w="731"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0.5L/m</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次，50次/a</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0.08</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0.07</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3.6</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空压机冷凝水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.07</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2</w:t>
            </w:r>
            <w:r>
              <w:rPr>
                <w:rFonts w:eastAsia="宋体"/>
                <w:color w:val="000000" w:themeColor="text1"/>
                <w:spacing w:val="-20"/>
                <w:sz w:val="21"/>
                <w:szCs w:val="21"/>
                <w14:textFill>
                  <w14:solidFill>
                    <w14:schemeClr w14:val="tx1"/>
                  </w14:solidFill>
                </w14:textFill>
              </w:rPr>
              <w:t>39.2</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水性漆喷枪清洗用水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0.002m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/次</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0.32</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0</w:t>
            </w:r>
            <w:r>
              <w:rPr>
                <w:rFonts w:eastAsia="宋体"/>
                <w:color w:val="000000" w:themeColor="text1"/>
                <w:spacing w:val="-20"/>
                <w:sz w:val="21"/>
                <w:szCs w:val="21"/>
                <w14:textFill>
                  <w14:solidFill>
                    <w14:schemeClr w14:val="tx1"/>
                  </w14:solidFill>
                </w14:textFill>
              </w:rPr>
              <w:t>.32</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气旋喷淋用水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r>
              <w:rPr>
                <w:rFonts w:hint="eastAsia"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120</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.75</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hint="eastAsia" w:eastAsia="宋体"/>
                <w:color w:val="000000" w:themeColor="text1"/>
                <w:spacing w:val="-20"/>
                <w:sz w:val="21"/>
                <w:szCs w:val="21"/>
                <w14:textFill>
                  <w14:solidFill>
                    <w14:schemeClr w14:val="tx1"/>
                  </w14:solidFill>
                </w14:textFill>
              </w:rPr>
              <w:t>5</w:t>
            </w:r>
            <w:r>
              <w:rPr>
                <w:rFonts w:eastAsia="宋体"/>
                <w:color w:val="000000" w:themeColor="text1"/>
                <w:spacing w:val="-20"/>
                <w:sz w:val="21"/>
                <w:szCs w:val="21"/>
                <w14:textFill>
                  <w14:solidFill>
                    <w14:schemeClr w14:val="tx1"/>
                  </w14:solidFill>
                </w14:textFill>
              </w:rPr>
              <w:t>60</w:t>
            </w:r>
          </w:p>
        </w:tc>
        <w:tc>
          <w:tcPr>
            <w:tcW w:w="766" w:type="pct"/>
            <w:vMerge w:val="continue"/>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793" w:type="pc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水性漆调漆用水</w:t>
            </w:r>
          </w:p>
        </w:tc>
        <w:tc>
          <w:tcPr>
            <w:tcW w:w="1216" w:type="pct"/>
            <w:gridSpan w:val="2"/>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/d</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5.41</w:t>
            </w:r>
          </w:p>
        </w:tc>
        <w:tc>
          <w:tcPr>
            <w:tcW w:w="532"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76" w:type="pct"/>
            <w:vAlign w:val="center"/>
          </w:tcPr>
          <w:p>
            <w:pPr>
              <w:autoSpaceDE w:val="0"/>
              <w:autoSpaceDN w:val="0"/>
              <w:adjustRightInd w:val="0"/>
              <w:snapToGrid w:val="0"/>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0</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蒸发损耗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 w:type="pct"/>
            <w:vMerge w:val="continue"/>
            <w:vAlign w:val="center"/>
          </w:tcPr>
          <w:p>
            <w:pPr>
              <w:autoSpaceDE w:val="0"/>
              <w:autoSpaceDN w:val="0"/>
              <w:adjustRightInd w:val="0"/>
              <w:snapToGrid w:val="0"/>
              <w:spacing w:line="240" w:lineRule="auto"/>
              <w:jc w:val="center"/>
              <w:textAlignment w:val="center"/>
              <w:rPr>
                <w:rFonts w:eastAsia="宋体"/>
                <w:b/>
                <w:color w:val="000000" w:themeColor="text1"/>
                <w:sz w:val="21"/>
                <w:szCs w:val="21"/>
                <w14:textFill>
                  <w14:solidFill>
                    <w14:schemeClr w14:val="tx1"/>
                  </w14:solidFill>
                </w14:textFill>
              </w:rPr>
            </w:pPr>
          </w:p>
        </w:tc>
        <w:tc>
          <w:tcPr>
            <w:tcW w:w="2009" w:type="pct"/>
            <w:gridSpan w:val="3"/>
            <w:vAlign w:val="center"/>
          </w:tcPr>
          <w:p>
            <w:pPr>
              <w:autoSpaceDE w:val="0"/>
              <w:autoSpaceDN w:val="0"/>
              <w:adjustRightInd w:val="0"/>
              <w:snapToGrid w:val="0"/>
              <w:spacing w:line="240" w:lineRule="auto"/>
              <w:jc w:val="center"/>
              <w:textAlignment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小计</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w:t>
            </w:r>
            <w:r>
              <w:rPr>
                <w:rFonts w:eastAsia="宋体"/>
                <w:color w:val="000000" w:themeColor="text1"/>
                <w:sz w:val="21"/>
                <w:szCs w:val="21"/>
                <w14:textFill>
                  <w14:solidFill>
                    <w14:schemeClr w14:val="tx1"/>
                  </w14:solidFill>
                </w14:textFill>
              </w:rPr>
              <w:t>.282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987.33</w:t>
            </w:r>
          </w:p>
        </w:tc>
        <w:tc>
          <w:tcPr>
            <w:tcW w:w="532"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5.302</w:t>
            </w:r>
          </w:p>
        </w:tc>
        <w:tc>
          <w:tcPr>
            <w:tcW w:w="47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1574.92</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71" w:type="pct"/>
            <w:gridSpan w:val="4"/>
            <w:vAlign w:val="center"/>
          </w:tcPr>
          <w:p>
            <w:pPr>
              <w:autoSpaceDE w:val="0"/>
              <w:autoSpaceDN w:val="0"/>
              <w:adjustRightInd w:val="0"/>
              <w:snapToGrid w:val="0"/>
              <w:spacing w:line="240" w:lineRule="auto"/>
              <w:jc w:val="center"/>
              <w:textAlignment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合计</w:t>
            </w:r>
          </w:p>
        </w:tc>
        <w:tc>
          <w:tcPr>
            <w:tcW w:w="425"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4.882</w:t>
            </w:r>
          </w:p>
        </w:tc>
        <w:tc>
          <w:tcPr>
            <w:tcW w:w="529"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r>
              <w:rPr>
                <w:rFonts w:eastAsia="宋体"/>
                <w:color w:val="000000" w:themeColor="text1"/>
                <w:sz w:val="21"/>
                <w:szCs w:val="21"/>
                <w14:textFill>
                  <w14:solidFill>
                    <w14:schemeClr w14:val="tx1"/>
                  </w14:solidFill>
                </w14:textFill>
              </w:rPr>
              <w:t>971.73</w:t>
            </w:r>
          </w:p>
        </w:tc>
        <w:tc>
          <w:tcPr>
            <w:tcW w:w="532"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31.972</w:t>
            </w:r>
          </w:p>
        </w:tc>
        <w:tc>
          <w:tcPr>
            <w:tcW w:w="47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8954.72</w:t>
            </w:r>
          </w:p>
        </w:tc>
        <w:tc>
          <w:tcPr>
            <w:tcW w:w="766" w:type="pct"/>
            <w:vAlign w:val="center"/>
          </w:tcPr>
          <w:p>
            <w:pPr>
              <w:autoSpaceDE w:val="0"/>
              <w:autoSpaceDN w:val="0"/>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bl>
    <w:p>
      <w:pPr>
        <w:ind w:firstLine="480"/>
        <w:rPr>
          <w:rFonts w:eastAsia="宋体"/>
          <w:color w:val="000000" w:themeColor="text1"/>
          <w14:textFill>
            <w14:solidFill>
              <w14:schemeClr w14:val="tx1"/>
            </w14:solidFill>
          </w14:textFill>
        </w:rPr>
        <w:sectPr>
          <w:pgSz w:w="16838" w:h="11906" w:orient="landscape"/>
          <w:pgMar w:top="1560" w:right="1135" w:bottom="1133" w:left="1276" w:header="851" w:footer="992" w:gutter="0"/>
          <w:cols w:space="425" w:num="1"/>
          <w:docGrid w:type="lines" w:linePitch="326" w:charSpace="0"/>
        </w:sectPr>
      </w:pPr>
    </w:p>
    <w:p>
      <w:pPr>
        <w:spacing w:line="240" w:lineRule="auto"/>
        <w:jc w:val="center"/>
        <w:rPr>
          <w:rFonts w:eastAsia="宋体"/>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527.25pt;width:450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p>
    <w:p>
      <w:pPr>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图2.3-1  本项目最大日水平衡图  单位：m</w:t>
      </w:r>
      <w:r>
        <w:rPr>
          <w:rFonts w:eastAsia="宋体"/>
          <w:b/>
          <w:bCs/>
          <w:color w:val="000000" w:themeColor="text1"/>
          <w:szCs w:val="24"/>
          <w:vertAlign w:val="superscript"/>
          <w14:textFill>
            <w14:solidFill>
              <w14:schemeClr w14:val="tx1"/>
            </w14:solidFill>
          </w14:textFill>
        </w:rPr>
        <w:t>3</w:t>
      </w:r>
      <w:r>
        <w:rPr>
          <w:rFonts w:eastAsia="宋体"/>
          <w:b/>
          <w:bCs/>
          <w:color w:val="000000" w:themeColor="text1"/>
          <w:szCs w:val="24"/>
          <w14:textFill>
            <w14:solidFill>
              <w14:schemeClr w14:val="tx1"/>
            </w14:solidFill>
          </w14:textFill>
        </w:rPr>
        <w:t>/d</w:t>
      </w:r>
    </w:p>
    <w:p>
      <w:pPr>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（2）油漆平衡</w:t>
      </w:r>
    </w:p>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结合废气污染物源强分析，项目油漆平衡见图2.3-2。</w:t>
      </w:r>
    </w:p>
    <w:p>
      <w:pPr>
        <w:pStyle w:val="275"/>
        <w:spacing w:line="240" w:lineRule="auto"/>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30" o:spt="75" type="#_x0000_t75" style="height:233.25pt;width:459.75pt;" o:ole="t" filled="f" o:preferrelative="t" stroked="f" coordsize="21600,21600">
            <v:path/>
            <v:fill on="f" focussize="0,0"/>
            <v:stroke on="f" joinstyle="miter"/>
            <v:imagedata r:id="rId31" o:title=""/>
            <o:lock v:ext="edit" aspectratio="t"/>
            <w10:wrap type="none"/>
            <w10:anchorlock/>
          </v:shape>
          <o:OLEObject Type="Embed" ProgID="Visio.Drawing.15" ShapeID="_x0000_i1030" DrawAspect="Content" ObjectID="_1468075730" r:id="rId30">
            <o:LockedField>false</o:LockedField>
          </o:OLEObject>
        </w:object>
      </w:r>
    </w:p>
    <w:p>
      <w:pPr>
        <w:pStyle w:val="275"/>
        <w:spacing w:line="240" w:lineRule="auto"/>
        <w:jc w:val="center"/>
        <w:rPr>
          <w:rFonts w:ascii="Times New Roman" w:hAnsi="Times New Roman" w:cs="Times New Roman"/>
          <w:b/>
          <w:color w:val="000000" w:themeColor="text1"/>
          <w:kern w:val="2"/>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图2.3-2  本项目油漆</w:t>
      </w:r>
      <w:r>
        <w:rPr>
          <w:rFonts w:hint="eastAsia" w:ascii="Times New Roman" w:hAnsi="Times New Roman" w:cs="Times New Roman"/>
          <w:b/>
          <w:color w:val="000000" w:themeColor="text1"/>
          <w14:textFill>
            <w14:solidFill>
              <w14:schemeClr w14:val="tx1"/>
            </w14:solidFill>
          </w14:textFill>
        </w:rPr>
        <w:t>平衡</w:t>
      </w:r>
      <w:r>
        <w:rPr>
          <w:rFonts w:ascii="Times New Roman" w:hAnsi="Times New Roman" w:cs="Times New Roman"/>
          <w:b/>
          <w:color w:val="000000" w:themeColor="text1"/>
          <w14:textFill>
            <w14:solidFill>
              <w14:schemeClr w14:val="tx1"/>
            </w14:solidFill>
          </w14:textFill>
        </w:rPr>
        <w:t>图  单位：t/a</w:t>
      </w:r>
    </w:p>
    <w:p>
      <w:pPr>
        <w:pStyle w:val="179"/>
        <w:rPr>
          <w:rFonts w:eastAsia="宋体"/>
          <w:color w:val="000000" w:themeColor="text1"/>
          <w14:textFill>
            <w14:solidFill>
              <w14:schemeClr w14:val="tx1"/>
            </w14:solidFill>
          </w14:textFill>
        </w:rPr>
      </w:pPr>
      <w:bookmarkStart w:id="113" w:name="_Toc155271415"/>
      <w:r>
        <w:rPr>
          <w:rFonts w:eastAsia="宋体"/>
          <w:color w:val="000000" w:themeColor="text1"/>
          <w14:textFill>
            <w14:solidFill>
              <w14:schemeClr w14:val="tx1"/>
            </w14:solidFill>
          </w14:textFill>
        </w:rPr>
        <w:t>2.4运营期主要污染物源强分析</w:t>
      </w:r>
      <w:bookmarkEnd w:id="113"/>
    </w:p>
    <w:p>
      <w:pPr>
        <w:keepNext/>
        <w:keepLines/>
        <w:adjustRightInd w:val="0"/>
        <w:spacing w:before="163" w:beforeLines="5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2.4.1废气</w:t>
      </w:r>
    </w:p>
    <w:p>
      <w:pPr>
        <w:ind w:firstLine="480"/>
        <w:rPr>
          <w:rFonts w:eastAsia="宋体"/>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本项目废气主要有切割粉尘、焊接烟尘、喷砂粉尘、</w:t>
      </w:r>
      <w:r>
        <w:rPr>
          <w:rFonts w:hint="eastAsia" w:eastAsia="宋体"/>
          <w:bCs/>
          <w:color w:val="000000" w:themeColor="text1"/>
          <w:szCs w:val="24"/>
          <w14:textFill>
            <w14:solidFill>
              <w14:schemeClr w14:val="tx1"/>
            </w14:solidFill>
          </w14:textFill>
        </w:rPr>
        <w:t>涂装废气（</w:t>
      </w:r>
      <w:r>
        <w:rPr>
          <w:rFonts w:eastAsia="宋体"/>
          <w:bCs/>
          <w:color w:val="000000" w:themeColor="text1"/>
          <w:szCs w:val="24"/>
          <w14:textFill>
            <w14:solidFill>
              <w14:schemeClr w14:val="tx1"/>
            </w14:solidFill>
          </w14:textFill>
        </w:rPr>
        <w:t>调漆、喷漆和晾干废气</w:t>
      </w:r>
      <w:r>
        <w:rPr>
          <w:rFonts w:hint="eastAsia" w:eastAsia="宋体"/>
          <w:bCs/>
          <w:color w:val="000000" w:themeColor="text1"/>
          <w:szCs w:val="24"/>
          <w14:textFill>
            <w14:solidFill>
              <w14:schemeClr w14:val="tx1"/>
            </w14:solidFill>
          </w14:textFill>
        </w:rPr>
        <w:t>）</w:t>
      </w:r>
      <w:r>
        <w:rPr>
          <w:rFonts w:eastAsia="宋体"/>
          <w:bCs/>
          <w:color w:val="000000" w:themeColor="text1"/>
          <w:szCs w:val="24"/>
          <w14:textFill>
            <w14:solidFill>
              <w14:schemeClr w14:val="tx1"/>
            </w14:solidFill>
          </w14:textFill>
        </w:rPr>
        <w:t>。</w:t>
      </w:r>
    </w:p>
    <w:p>
      <w:pPr>
        <w:ind w:firstLine="480"/>
        <w:rPr>
          <w:rFonts w:eastAsia="宋体"/>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（1）切割粉尘G1</w:t>
      </w:r>
    </w:p>
    <w:p>
      <w:pPr>
        <w:ind w:firstLine="480"/>
        <w:rPr>
          <w:rFonts w:eastAsia="宋体"/>
          <w:bCs/>
          <w:color w:val="000000" w:themeColor="text1"/>
          <w:szCs w:val="24"/>
          <w14:textFill>
            <w14:solidFill>
              <w14:schemeClr w14:val="tx1"/>
            </w14:solidFill>
          </w14:textFill>
        </w:rPr>
      </w:pPr>
      <w:r>
        <w:rPr>
          <w:rFonts w:eastAsia="宋体"/>
          <w:bCs/>
          <w:color w:val="000000" w:themeColor="text1"/>
          <w:szCs w:val="24"/>
          <w14:textFill>
            <w14:solidFill>
              <w14:schemeClr w14:val="tx1"/>
            </w14:solidFill>
          </w14:textFill>
        </w:rPr>
        <w:t>在钢板的切割下料过程，会产生切割粉尘（颗粒物），参考《排放源统计调查产排污核算方法和系数手册》“33-37、431-434 机械行业系数手册”中的“下料-钢板-等离子切割工艺”系数，颗粒物产污系数为1.1kg/t-原料。本项目切割的钢板量约31600t/a，切割下料工序年工作时间5120h（320天，16h/d）。则切割粉尘产生量约34.76t/a（6.789kg/h）。</w:t>
      </w:r>
    </w:p>
    <w:p>
      <w:pPr>
        <w:pStyle w:val="29"/>
        <w:ind w:firstLine="482"/>
        <w:jc w:val="both"/>
        <w:rPr>
          <w:rFonts w:eastAsia="宋体"/>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收集处置措施</w:t>
      </w:r>
      <w:r>
        <w:rPr>
          <w:rFonts w:eastAsia="宋体"/>
          <w:color w:val="000000" w:themeColor="text1"/>
          <w:szCs w:val="24"/>
          <w14:textFill>
            <w14:solidFill>
              <w14:schemeClr w14:val="tx1"/>
            </w14:solidFill>
          </w14:textFill>
        </w:rPr>
        <w:t>：项目共设置3台等离子切割机、2台激光切割机、2台火焰切割机和1台相贯线切割机。拟在每台切割机上方设置集气罩对切割粉尘进行收集，粉尘收集后经1#废气处理设施（采用</w:t>
      </w:r>
      <w:r>
        <w:rPr>
          <w:rFonts w:hint="eastAsia" w:eastAsia="宋体"/>
          <w:color w:val="000000" w:themeColor="text1"/>
          <w:szCs w:val="24"/>
          <w14:textFill>
            <w14:solidFill>
              <w14:schemeClr w14:val="tx1"/>
            </w14:solidFill>
          </w14:textFill>
        </w:rPr>
        <w:t>滤筒除尘</w:t>
      </w:r>
      <w:r>
        <w:rPr>
          <w:rFonts w:eastAsia="宋体"/>
          <w:color w:val="000000" w:themeColor="text1"/>
          <w:szCs w:val="24"/>
          <w14:textFill>
            <w14:solidFill>
              <w14:schemeClr w14:val="tx1"/>
            </w14:solidFill>
          </w14:textFill>
        </w:rPr>
        <w:t>工艺）处理，然后经1根20m高排气筒（DA001）排放。集气罩收集效率按80%计，</w:t>
      </w:r>
      <w:r>
        <w:rPr>
          <w:rFonts w:hint="eastAsia" w:eastAsia="宋体"/>
          <w:color w:val="000000" w:themeColor="text1"/>
          <w:szCs w:val="24"/>
          <w14:textFill>
            <w14:solidFill>
              <w14:schemeClr w14:val="tx1"/>
            </w14:solidFill>
          </w14:textFill>
        </w:rPr>
        <w:t>滤筒</w:t>
      </w:r>
      <w:r>
        <w:rPr>
          <w:rFonts w:eastAsia="宋体"/>
          <w:color w:val="000000" w:themeColor="text1"/>
          <w:szCs w:val="24"/>
          <w14:textFill>
            <w14:solidFill>
              <w14:schemeClr w14:val="tx1"/>
            </w14:solidFill>
          </w14:textFill>
        </w:rPr>
        <w:t>除尘器除尘效率取95%。下料粉尘主要成分为金属，质量较大，沉降较快，且有车间厂房阻挡，颗粒物散落范围很小，颗粒物约80%在车间内沉降；20%逸散至车间外。则切割粉尘有组织排放量为1.390t/a，无组织排放量为1.390t/a。</w:t>
      </w:r>
    </w:p>
    <w:p>
      <w:pPr>
        <w:pStyle w:val="29"/>
        <w:ind w:firstLine="482"/>
        <w:jc w:val="both"/>
        <w:rPr>
          <w:rFonts w:eastAsia="宋体"/>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风量核算</w:t>
      </w:r>
      <w:r>
        <w:rPr>
          <w:rFonts w:eastAsia="宋体"/>
          <w:color w:val="000000" w:themeColor="text1"/>
          <w:szCs w:val="24"/>
          <w14:textFill>
            <w14:solidFill>
              <w14:schemeClr w14:val="tx1"/>
            </w14:solidFill>
          </w14:textFill>
        </w:rPr>
        <w:t>：</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参考《三废处理工程技术手册 废气卷》（刘天齐主编，化学工业出版社）中集气罩公式：</w:t>
      </w:r>
    </w:p>
    <w:p>
      <w:pPr>
        <w:pStyle w:val="29"/>
        <w:jc w:val="center"/>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Q=1.4pHvx</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式中：Q—风量，m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w:t>
      </w:r>
    </w:p>
    <w:p>
      <w:pPr>
        <w:pStyle w:val="29"/>
        <w:ind w:firstLine="1200" w:firstLineChars="50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p—罩口周长，m；</w:t>
      </w:r>
    </w:p>
    <w:p>
      <w:pPr>
        <w:pStyle w:val="29"/>
        <w:ind w:firstLine="1200" w:firstLineChars="50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H—污染源至罩口距离，m；</w:t>
      </w:r>
    </w:p>
    <w:p>
      <w:pPr>
        <w:pStyle w:val="29"/>
        <w:ind w:firstLine="1200" w:firstLineChars="50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v</w:t>
      </w:r>
      <w:r>
        <w:rPr>
          <w:rFonts w:eastAsia="宋体"/>
          <w:color w:val="000000" w:themeColor="text1"/>
          <w:szCs w:val="24"/>
          <w:vertAlign w:val="subscript"/>
          <w14:textFill>
            <w14:solidFill>
              <w14:schemeClr w14:val="tx1"/>
            </w14:solidFill>
          </w14:textFill>
        </w:rPr>
        <w:t>x</w:t>
      </w:r>
      <w:r>
        <w:rPr>
          <w:rFonts w:eastAsia="宋体"/>
          <w:color w:val="000000" w:themeColor="text1"/>
          <w:szCs w:val="24"/>
          <w14:textFill>
            <w14:solidFill>
              <w14:schemeClr w14:val="tx1"/>
            </w14:solidFill>
          </w14:textFill>
        </w:rPr>
        <w:t>—控制流速，m/s。</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各集尘点风量校核情况见表2.4-1。</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表2.4-1  项目废气风量校核一览表</w:t>
      </w:r>
    </w:p>
    <w:tbl>
      <w:tblPr>
        <w:tblStyle w:val="89"/>
        <w:tblW w:w="94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076"/>
        <w:gridCol w:w="1076"/>
        <w:gridCol w:w="851"/>
        <w:gridCol w:w="1911"/>
        <w:gridCol w:w="1065"/>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设备名称</w:t>
            </w:r>
          </w:p>
        </w:tc>
        <w:tc>
          <w:tcPr>
            <w:tcW w:w="1076"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设备数量（台）</w:t>
            </w:r>
          </w:p>
        </w:tc>
        <w:tc>
          <w:tcPr>
            <w:tcW w:w="1076"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收集措施</w:t>
            </w:r>
          </w:p>
        </w:tc>
        <w:tc>
          <w:tcPr>
            <w:tcW w:w="851"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距离（m）</w:t>
            </w:r>
          </w:p>
        </w:tc>
        <w:tc>
          <w:tcPr>
            <w:tcW w:w="1911"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罩（管）口尺寸（m）</w:t>
            </w:r>
          </w:p>
        </w:tc>
        <w:tc>
          <w:tcPr>
            <w:tcW w:w="1065"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控制风速（m/s）</w:t>
            </w:r>
          </w:p>
        </w:tc>
        <w:tc>
          <w:tcPr>
            <w:tcW w:w="1962" w:type="dxa"/>
            <w:vAlign w:val="center"/>
          </w:tcPr>
          <w:p>
            <w:pPr>
              <w:pStyle w:val="404"/>
              <w:spacing w:line="240" w:lineRule="auto"/>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校核风量（m³/h）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等离子切割机</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集气罩</w:t>
            </w:r>
          </w:p>
        </w:tc>
        <w:tc>
          <w:tcPr>
            <w:tcW w:w="851" w:type="dxa"/>
            <w:vAlign w:val="center"/>
          </w:tcPr>
          <w:p>
            <w:pPr>
              <w:spacing w:line="240" w:lineRule="auto"/>
              <w:jc w:val="center"/>
              <w:textAlignment w:val="center"/>
              <w:rPr>
                <w:rFonts w:eastAsia="宋体"/>
                <w:color w:val="000000" w:themeColor="text1"/>
                <w:kern w:val="0"/>
                <w:sz w:val="21"/>
                <w:szCs w:val="21"/>
                <w:lang w:bidi="ar"/>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0.4</w:t>
            </w:r>
          </w:p>
        </w:tc>
        <w:tc>
          <w:tcPr>
            <w:tcW w:w="1911" w:type="dxa"/>
            <w:vAlign w:val="center"/>
          </w:tcPr>
          <w:p>
            <w:pPr>
              <w:spacing w:line="240" w:lineRule="auto"/>
              <w:jc w:val="center"/>
              <w:textAlignment w:val="center"/>
              <w:rPr>
                <w:rFonts w:eastAsia="宋体"/>
                <w:color w:val="000000" w:themeColor="text1"/>
                <w:kern w:val="0"/>
                <w:sz w:val="21"/>
                <w:szCs w:val="21"/>
                <w:lang w:bidi="ar"/>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0.8×1.2</w:t>
            </w:r>
          </w:p>
        </w:tc>
        <w:tc>
          <w:tcPr>
            <w:tcW w:w="1065" w:type="dxa"/>
            <w:vAlign w:val="center"/>
          </w:tcPr>
          <w:p>
            <w:pPr>
              <w:spacing w:line="240" w:lineRule="auto"/>
              <w:jc w:val="center"/>
              <w:textAlignment w:val="center"/>
              <w:rPr>
                <w:rFonts w:eastAsia="宋体"/>
                <w:color w:val="000000" w:themeColor="text1"/>
                <w:kern w:val="0"/>
                <w:sz w:val="21"/>
                <w:szCs w:val="21"/>
                <w:lang w:bidi="ar"/>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0.5</w:t>
            </w:r>
          </w:p>
        </w:tc>
        <w:tc>
          <w:tcPr>
            <w:tcW w:w="1962" w:type="dxa"/>
            <w:vAlign w:val="center"/>
          </w:tcPr>
          <w:p>
            <w:pPr>
              <w:spacing w:line="240" w:lineRule="auto"/>
              <w:jc w:val="center"/>
              <w:textAlignment w:val="center"/>
              <w:rPr>
                <w:rFonts w:eastAsia="宋体"/>
                <w:color w:val="000000" w:themeColor="text1"/>
                <w:kern w:val="0"/>
                <w:sz w:val="21"/>
                <w:szCs w:val="21"/>
                <w:lang w:bidi="ar"/>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10886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激光切割机</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集气罩</w:t>
            </w:r>
          </w:p>
        </w:tc>
        <w:tc>
          <w:tcPr>
            <w:tcW w:w="85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0.4</w:t>
            </w:r>
          </w:p>
        </w:tc>
        <w:tc>
          <w:tcPr>
            <w:tcW w:w="191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0.8×1.2</w:t>
            </w:r>
          </w:p>
        </w:tc>
        <w:tc>
          <w:tcPr>
            <w:tcW w:w="1065"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0.5</w:t>
            </w:r>
          </w:p>
        </w:tc>
        <w:tc>
          <w:tcPr>
            <w:tcW w:w="1962"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火焰切割机</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集气罩</w:t>
            </w:r>
          </w:p>
        </w:tc>
        <w:tc>
          <w:tcPr>
            <w:tcW w:w="85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0.4</w:t>
            </w:r>
          </w:p>
        </w:tc>
        <w:tc>
          <w:tcPr>
            <w:tcW w:w="191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0.8×1.2</w:t>
            </w:r>
          </w:p>
        </w:tc>
        <w:tc>
          <w:tcPr>
            <w:tcW w:w="1065"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0.5</w:t>
            </w:r>
          </w:p>
        </w:tc>
        <w:tc>
          <w:tcPr>
            <w:tcW w:w="1962"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相贯线切割机</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076"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集气罩</w:t>
            </w:r>
          </w:p>
        </w:tc>
        <w:tc>
          <w:tcPr>
            <w:tcW w:w="85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0.4</w:t>
            </w:r>
          </w:p>
        </w:tc>
        <w:tc>
          <w:tcPr>
            <w:tcW w:w="1911"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0.5×0.8</w:t>
            </w:r>
          </w:p>
        </w:tc>
        <w:tc>
          <w:tcPr>
            <w:tcW w:w="1065"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lang w:bidi="ar"/>
                <w14:textFill>
                  <w14:solidFill>
                    <w14:schemeClr w14:val="tx1"/>
                  </w14:solidFill>
                </w14:textFill>
              </w:rPr>
              <w:t>0.5</w:t>
            </w:r>
          </w:p>
        </w:tc>
        <w:tc>
          <w:tcPr>
            <w:tcW w:w="1962" w:type="dxa"/>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3" w:type="dxa"/>
            <w:gridSpan w:val="6"/>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合计</w:t>
            </w:r>
          </w:p>
        </w:tc>
        <w:tc>
          <w:tcPr>
            <w:tcW w:w="1962" w:type="dxa"/>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28829</w:t>
            </w:r>
          </w:p>
        </w:tc>
      </w:tr>
    </w:tbl>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经校核，各切割下料产尘点总风量为28829m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/h，因此项目设计风量取30000m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/h，能满足抽尘要求。</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（2）焊接烟尘G2</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焊接过程会有焊接烟尘产生。焊接烟尘是由金属及非金属物质在过热条件下产生的蒸汽经氧化和冷凝而形成的，因此焊接烟尘的化学成分取决于焊接材料（焊条、焊丝、焊剂等）和被焊接材料成分及蒸发的难易。不同成分的环节材料和被焊接材料在施焊时将产生不同成分的焊接烟尘，烟尘主要为Fe</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O</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、MnO、SiO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等，还伴有少量有害气体（CO、NO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）产生。</w:t>
      </w:r>
    </w:p>
    <w:p>
      <w:pPr>
        <w:pStyle w:val="29"/>
        <w:ind w:firstLine="480"/>
        <w:jc w:val="both"/>
        <w:rPr>
          <w:rFonts w:eastAsia="宋体"/>
          <w:bCs/>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项目焊接主要采用埋弧焊、二氧化碳保护焊和手工电弧焊，本项目埋弧焊、二氧化碳保护焊的实芯焊丝用量为400t/a，手工电弧焊的</w:t>
      </w:r>
      <w:r>
        <w:rPr>
          <w:rFonts w:hint="eastAsia" w:eastAsia="宋体"/>
          <w:color w:val="000000" w:themeColor="text1"/>
          <w:szCs w:val="24"/>
          <w14:textFill>
            <w14:solidFill>
              <w14:schemeClr w14:val="tx1"/>
            </w14:solidFill>
          </w14:textFill>
        </w:rPr>
        <w:t>电焊</w:t>
      </w:r>
      <w:r>
        <w:rPr>
          <w:rFonts w:eastAsia="宋体"/>
          <w:color w:val="000000" w:themeColor="text1"/>
          <w:szCs w:val="24"/>
          <w14:textFill>
            <w14:solidFill>
              <w14:schemeClr w14:val="tx1"/>
            </w14:solidFill>
          </w14:textFill>
        </w:rPr>
        <w:t>条为50t/a。参考</w:t>
      </w:r>
      <w:r>
        <w:rPr>
          <w:rFonts w:eastAsia="宋体"/>
          <w:bCs/>
          <w:color w:val="000000" w:themeColor="text1"/>
          <w:szCs w:val="24"/>
          <w14:textFill>
            <w14:solidFill>
              <w14:schemeClr w14:val="tx1"/>
            </w14:solidFill>
          </w14:textFill>
        </w:rPr>
        <w:t>《排放源统计调查产排污核算方法和系数手册》“33-37、431-434 机械行业系数手册”中的“焊接-焊接件-手工电弧焊、二氧化碳保护焊、埋弧焊”系数，详见表2.4-2。</w:t>
      </w:r>
    </w:p>
    <w:p>
      <w:pPr>
        <w:pStyle w:val="29"/>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表2.4-2  焊接烟尘产污系数表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134"/>
        <w:gridCol w:w="1134"/>
        <w:gridCol w:w="1559"/>
        <w:gridCol w:w="1418"/>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原料名称</w:t>
            </w:r>
          </w:p>
        </w:tc>
        <w:tc>
          <w:tcPr>
            <w:tcW w:w="1276"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工艺名称</w:t>
            </w:r>
          </w:p>
        </w:tc>
        <w:tc>
          <w:tcPr>
            <w:tcW w:w="1134"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规模等级</w:t>
            </w:r>
          </w:p>
        </w:tc>
        <w:tc>
          <w:tcPr>
            <w:tcW w:w="1134"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污染物指标</w:t>
            </w:r>
          </w:p>
        </w:tc>
        <w:tc>
          <w:tcPr>
            <w:tcW w:w="1559"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产污系数（kg/t-原料）</w:t>
            </w:r>
          </w:p>
        </w:tc>
        <w:tc>
          <w:tcPr>
            <w:tcW w:w="1418"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本项目原料用量（t/a）</w:t>
            </w:r>
          </w:p>
        </w:tc>
        <w:tc>
          <w:tcPr>
            <w:tcW w:w="1411"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焊接烟尘产生量（t/a）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电</w:t>
            </w:r>
            <w:r>
              <w:rPr>
                <w:rFonts w:eastAsia="宋体"/>
                <w:color w:val="000000" w:themeColor="text1"/>
                <w:sz w:val="21"/>
                <w:szCs w:val="21"/>
                <w14:textFill>
                  <w14:solidFill>
                    <w14:schemeClr w14:val="tx1"/>
                  </w14:solidFill>
                </w14:textFill>
              </w:rPr>
              <w:t>焊条</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手工电弧焊</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所有规模</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1559"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20.2</w:t>
            </w:r>
          </w:p>
        </w:tc>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411"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实芯焊丝</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手工电弧焊</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所有规模</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1559"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9.19</w:t>
            </w:r>
          </w:p>
        </w:tc>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w:t>
            </w:r>
          </w:p>
        </w:tc>
        <w:tc>
          <w:tcPr>
            <w:tcW w:w="1411"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3.676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4" w:type="dxa"/>
            <w:gridSpan w:val="5"/>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合计</w:t>
            </w:r>
          </w:p>
        </w:tc>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w:t>
            </w:r>
          </w:p>
        </w:tc>
        <w:tc>
          <w:tcPr>
            <w:tcW w:w="1411"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4.686</w:t>
            </w:r>
          </w:p>
        </w:tc>
      </w:tr>
    </w:tbl>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项目2#、3#、4#、6#车间均分布有焊机，焊接工件大，焊接工位不固定，且厂房上侧过</w:t>
      </w:r>
      <w:r>
        <w:rPr>
          <w:rFonts w:hint="eastAsia" w:eastAsia="宋体"/>
          <w:color w:val="000000" w:themeColor="text1"/>
          <w:szCs w:val="24"/>
          <w14:textFill>
            <w14:solidFill>
              <w14:schemeClr w14:val="tx1"/>
            </w14:solidFill>
          </w14:textFill>
        </w:rPr>
        <w:t>桁</w:t>
      </w:r>
      <w:r>
        <w:rPr>
          <w:rFonts w:eastAsia="宋体"/>
          <w:color w:val="000000" w:themeColor="text1"/>
          <w:szCs w:val="24"/>
          <w14:textFill>
            <w14:solidFill>
              <w14:schemeClr w14:val="tx1"/>
            </w14:solidFill>
          </w14:textFill>
        </w:rPr>
        <w:t>车，不易实现集中收集。因此，拟设置移动式焊烟净化器，将焊接烟尘净化处理后无组织排放。移动式焊烟净化器收集效率按80%计，处理效率按90%计。则焊接烟尘处理量3.374t/a，无组织排放量为1.312t/a。</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（3）喷砂粉尘G5</w:t>
      </w:r>
    </w:p>
    <w:p>
      <w:pPr>
        <w:pStyle w:val="29"/>
        <w:ind w:firstLine="480"/>
        <w:jc w:val="both"/>
        <w:rPr>
          <w:rFonts w:eastAsia="宋体"/>
          <w:bCs/>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项目钢桥结构件在涂装前需进行喷砂处理，</w:t>
      </w:r>
      <w:r>
        <w:rPr>
          <w:rFonts w:hint="eastAsia" w:eastAsia="宋体"/>
          <w:color w:val="000000" w:themeColor="text1"/>
          <w:szCs w:val="24"/>
          <w14:textFill>
            <w14:solidFill>
              <w14:schemeClr w14:val="tx1"/>
            </w14:solidFill>
          </w14:textFill>
        </w:rPr>
        <w:t>在喷砂车间完成，</w:t>
      </w:r>
      <w:r>
        <w:rPr>
          <w:rFonts w:eastAsia="宋体"/>
          <w:color w:val="000000" w:themeColor="text1"/>
          <w:szCs w:val="24"/>
          <w14:textFill>
            <w14:solidFill>
              <w14:schemeClr w14:val="tx1"/>
            </w14:solidFill>
          </w14:textFill>
        </w:rPr>
        <w:t>该过程产生喷砂粉尘。参考</w:t>
      </w:r>
      <w:r>
        <w:rPr>
          <w:rFonts w:eastAsia="宋体"/>
          <w:bCs/>
          <w:color w:val="000000" w:themeColor="text1"/>
          <w:szCs w:val="24"/>
          <w14:textFill>
            <w14:solidFill>
              <w14:schemeClr w14:val="tx1"/>
            </w14:solidFill>
          </w14:textFill>
        </w:rPr>
        <w:t>《排放源统计调查产排污核算方法和系数手册》“33-37、431-434 机械行业系数手册”中的“干式预处理-钢材-喷砂”系数，颗粒物产污系数为2.19kg/t-原料。本项目钢板用量约31600t/a，喷砂工序年工作时间5120h（320天，16h/d）</w:t>
      </w:r>
      <w:r>
        <w:rPr>
          <w:rFonts w:hint="eastAsia" w:eastAsia="宋体"/>
          <w:bCs/>
          <w:color w:val="000000" w:themeColor="text1"/>
          <w:szCs w:val="24"/>
          <w14:textFill>
            <w14:solidFill>
              <w14:schemeClr w14:val="tx1"/>
            </w14:solidFill>
          </w14:textFill>
        </w:rPr>
        <w:t>，</w:t>
      </w:r>
      <w:r>
        <w:rPr>
          <w:rFonts w:eastAsia="宋体"/>
          <w:bCs/>
          <w:color w:val="000000" w:themeColor="text1"/>
          <w:szCs w:val="24"/>
          <w14:textFill>
            <w14:solidFill>
              <w14:schemeClr w14:val="tx1"/>
            </w14:solidFill>
          </w14:textFill>
        </w:rPr>
        <w:t>则喷砂粉尘产生量约69.204t/a</w:t>
      </w:r>
      <w:r>
        <w:rPr>
          <w:rFonts w:hint="eastAsia" w:eastAsia="宋体"/>
          <w:bCs/>
          <w:color w:val="000000" w:themeColor="text1"/>
          <w:szCs w:val="24"/>
          <w14:textFill>
            <w14:solidFill>
              <w14:schemeClr w14:val="tx1"/>
            </w14:solidFill>
          </w14:textFill>
        </w:rPr>
        <w:t>。</w:t>
      </w:r>
    </w:p>
    <w:p>
      <w:pPr>
        <w:pStyle w:val="29"/>
        <w:ind w:firstLine="482"/>
        <w:jc w:val="both"/>
        <w:rPr>
          <w:rFonts w:eastAsia="宋体"/>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收集处置措施</w:t>
      </w:r>
      <w:r>
        <w:rPr>
          <w:rFonts w:eastAsia="宋体"/>
          <w:color w:val="000000" w:themeColor="text1"/>
          <w:szCs w:val="24"/>
          <w14:textFill>
            <w14:solidFill>
              <w14:schemeClr w14:val="tx1"/>
            </w14:solidFill>
          </w14:textFill>
        </w:rPr>
        <w:t>：项目设置有2台喷砂机，喷砂作业时为密闭，</w:t>
      </w:r>
      <w:r>
        <w:rPr>
          <w:rFonts w:hint="eastAsia" w:eastAsia="宋体"/>
          <w:color w:val="000000" w:themeColor="text1"/>
          <w:szCs w:val="24"/>
          <w14:textFill>
            <w14:solidFill>
              <w14:schemeClr w14:val="tx1"/>
            </w14:solidFill>
          </w14:textFill>
        </w:rPr>
        <w:t>喷砂粉尘经管道密闭收集后进入</w:t>
      </w:r>
      <w:r>
        <w:rPr>
          <w:rFonts w:eastAsia="宋体"/>
          <w:color w:val="000000" w:themeColor="text1"/>
          <w:szCs w:val="24"/>
          <w14:textFill>
            <w14:solidFill>
              <w14:schemeClr w14:val="tx1"/>
            </w14:solidFill>
          </w14:textFill>
        </w:rPr>
        <w:t>布袋除尘器，粉尘收集效率按98%计，布袋除尘器除尘效率取95%，单套喷砂机自带风机风量为25000m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/h，废气处理后经1根15m高排气筒（DA002）排放。则喷砂粉尘有组织排放量为3.391t/a，无组织排放量为1.384t/a。</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（4）涂装废气（G6、G7、G8）、洗枪废气G9</w:t>
      </w:r>
    </w:p>
    <w:p>
      <w:pPr>
        <w:pStyle w:val="29"/>
        <w:ind w:left="-283" w:leftChars="-118" w:firstLine="763" w:firstLineChars="318"/>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项目洗枪在涂装车间内进行，油性漆的喷枪喷完后采用稀释剂清洗</w:t>
      </w:r>
      <w:r>
        <w:rPr>
          <w:rFonts w:hint="eastAsia" w:eastAsia="宋体"/>
          <w:color w:val="000000" w:themeColor="text1"/>
          <w:szCs w:val="24"/>
          <w14:textFill>
            <w14:solidFill>
              <w14:schemeClr w14:val="tx1"/>
            </w14:solidFill>
          </w14:textFill>
        </w:rPr>
        <w:t>，清洗后的稀释剂用于调漆；</w:t>
      </w:r>
      <w:r>
        <w:rPr>
          <w:rFonts w:eastAsia="宋体"/>
          <w:color w:val="000000" w:themeColor="text1"/>
          <w:szCs w:val="24"/>
          <w14:textFill>
            <w14:solidFill>
              <w14:schemeClr w14:val="tx1"/>
            </w14:solidFill>
          </w14:textFill>
        </w:rPr>
        <w:t>水性漆喷完后采用水清洗</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洗枪持续时间短，用完后立即密闭，有机废气挥发量较小，本次评价仅定性分析，挥发的洗枪废气经涂装车间密闭收集后与涂装各工序废气一同处理。</w:t>
      </w:r>
      <w:r>
        <w:rPr>
          <w:rFonts w:hint="eastAsia" w:eastAsia="宋体"/>
          <w:color w:val="000000" w:themeColor="text1"/>
          <w:szCs w:val="24"/>
          <w14:textFill>
            <w14:solidFill>
              <w14:schemeClr w14:val="tx1"/>
            </w14:solidFill>
          </w14:textFill>
        </w:rPr>
        <w:t>涂装过程</w:t>
      </w:r>
      <w:r>
        <w:rPr>
          <w:rFonts w:eastAsia="宋体"/>
          <w:color w:val="000000" w:themeColor="text1"/>
          <w:szCs w:val="24"/>
          <w14:textFill>
            <w14:solidFill>
              <w14:schemeClr w14:val="tx1"/>
            </w14:solidFill>
          </w14:textFill>
        </w:rPr>
        <w:t>中产生</w:t>
      </w:r>
      <w:r>
        <w:rPr>
          <w:rFonts w:hint="eastAsia" w:eastAsia="宋体"/>
          <w:color w:val="000000" w:themeColor="text1"/>
          <w:szCs w:val="24"/>
          <w14:textFill>
            <w14:solidFill>
              <w14:schemeClr w14:val="tx1"/>
            </w14:solidFill>
          </w14:textFill>
        </w:rPr>
        <w:t>的</w:t>
      </w:r>
      <w:r>
        <w:rPr>
          <w:rFonts w:eastAsia="宋体"/>
          <w:color w:val="000000" w:themeColor="text1"/>
          <w:szCs w:val="24"/>
          <w14:textFill>
            <w14:solidFill>
              <w14:schemeClr w14:val="tx1"/>
            </w14:solidFill>
          </w14:textFill>
        </w:rPr>
        <w:t>少量臭气，以臭气浓度表征。</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企业提供资料，1/3产品需进行油性漆（环氧底漆、环氧云铁漆和环氧面漆喷涂），2/3产品需进行水性漆（水性环氧富锌底漆、水性环氧中间漆和水性透明封闭漆喷漆）。调漆/喷漆/晾干工序均在涂装车间内进行。喷漆上漆率60%：60%固体份附着在工件上，35%转化为漆雾颗粒物，5%掉落形成漆渣。涂装车间设有2个固定的喷漆工位，可同时进行涂装作业，</w:t>
      </w:r>
      <w:r>
        <w:rPr>
          <w:rFonts w:hint="eastAsia" w:eastAsia="宋体"/>
          <w:color w:val="000000" w:themeColor="text1"/>
          <w:szCs w:val="24"/>
          <w14:textFill>
            <w14:solidFill>
              <w14:schemeClr w14:val="tx1"/>
            </w14:solidFill>
          </w14:textFill>
        </w:rPr>
        <w:t>涂装完成之后放置一旁晾干，喷漆和晾干可同时进行。</w:t>
      </w:r>
      <w:r>
        <w:rPr>
          <w:rFonts w:eastAsia="宋体"/>
          <w:color w:val="000000" w:themeColor="text1"/>
          <w:szCs w:val="24"/>
          <w14:textFill>
            <w14:solidFill>
              <w14:schemeClr w14:val="tx1"/>
            </w14:solidFill>
          </w14:textFill>
        </w:rPr>
        <w:t>一批次工件在喷漆工位完成底漆-晾干-中间漆-晾干-面漆-晾干工序后移出涂装车间。</w:t>
      </w:r>
      <w:r>
        <w:rPr>
          <w:rFonts w:hint="eastAsia" w:eastAsia="宋体"/>
          <w:color w:val="000000" w:themeColor="text1"/>
          <w:szCs w:val="24"/>
          <w14:textFill>
            <w14:solidFill>
              <w14:schemeClr w14:val="tx1"/>
            </w14:solidFill>
          </w14:textFill>
        </w:rPr>
        <w:t>项目涂装各工序工作时间统计见表2</w:t>
      </w:r>
      <w:r>
        <w:rPr>
          <w:rFonts w:eastAsia="宋体"/>
          <w:color w:val="000000" w:themeColor="text1"/>
          <w:szCs w:val="24"/>
          <w14:textFill>
            <w14:solidFill>
              <w14:schemeClr w14:val="tx1"/>
            </w14:solidFill>
          </w14:textFill>
        </w:rPr>
        <w:t>.4-3</w:t>
      </w:r>
      <w:r>
        <w:rPr>
          <w:rFonts w:hint="eastAsia" w:eastAsia="宋体"/>
          <w:color w:val="000000" w:themeColor="text1"/>
          <w:szCs w:val="24"/>
          <w14:textFill>
            <w14:solidFill>
              <w14:schemeClr w14:val="tx1"/>
            </w14:solidFill>
          </w14:textFill>
        </w:rPr>
        <w:t>。</w:t>
      </w:r>
    </w:p>
    <w:p>
      <w:pPr>
        <w:pStyle w:val="29"/>
        <w:spacing w:line="240" w:lineRule="auto"/>
        <w:jc w:val="center"/>
        <w:rPr>
          <w:rFonts w:eastAsia="宋体"/>
          <w:b/>
          <w:color w:val="000000" w:themeColor="text1"/>
          <w:szCs w:val="24"/>
          <w14:textFill>
            <w14:solidFill>
              <w14:schemeClr w14:val="tx1"/>
            </w14:solidFill>
          </w14:textFill>
        </w:rPr>
      </w:pPr>
      <w:r>
        <w:rPr>
          <w:rFonts w:hint="eastAsia" w:eastAsia="宋体"/>
          <w:b/>
          <w:color w:val="000000" w:themeColor="text1"/>
          <w:szCs w:val="24"/>
          <w14:textFill>
            <w14:solidFill>
              <w14:schemeClr w14:val="tx1"/>
            </w14:solidFill>
          </w14:textFill>
        </w:rPr>
        <w:t>表2</w:t>
      </w:r>
      <w:r>
        <w:rPr>
          <w:rFonts w:eastAsia="宋体"/>
          <w:b/>
          <w:color w:val="000000" w:themeColor="text1"/>
          <w:szCs w:val="24"/>
          <w14:textFill>
            <w14:solidFill>
              <w14:schemeClr w14:val="tx1"/>
            </w14:solidFill>
          </w14:textFill>
        </w:rPr>
        <w:t xml:space="preserve">.4-3  </w:t>
      </w:r>
      <w:r>
        <w:rPr>
          <w:rFonts w:hint="eastAsia" w:eastAsia="宋体"/>
          <w:b/>
          <w:color w:val="000000" w:themeColor="text1"/>
          <w:szCs w:val="24"/>
          <w14:textFill>
            <w14:solidFill>
              <w14:schemeClr w14:val="tx1"/>
            </w14:solidFill>
          </w14:textFill>
        </w:rPr>
        <w:t>涂装各工序工作时间统计表</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511"/>
        <w:gridCol w:w="862"/>
        <w:gridCol w:w="1237"/>
        <w:gridCol w:w="2250"/>
        <w:gridCol w:w="1818"/>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序号</w:t>
            </w:r>
          </w:p>
        </w:tc>
        <w:tc>
          <w:tcPr>
            <w:tcW w:w="1384" w:type="pct"/>
            <w:gridSpan w:val="3"/>
            <w:vAlign w:val="center"/>
          </w:tcPr>
          <w:p>
            <w:pPr>
              <w:pStyle w:val="29"/>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工序</w:t>
            </w:r>
          </w:p>
        </w:tc>
        <w:tc>
          <w:tcPr>
            <w:tcW w:w="1193" w:type="pct"/>
            <w:vAlign w:val="center"/>
          </w:tcPr>
          <w:p>
            <w:pPr>
              <w:pStyle w:val="29"/>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日有效工作时间（h）</w:t>
            </w:r>
          </w:p>
        </w:tc>
        <w:tc>
          <w:tcPr>
            <w:tcW w:w="964" w:type="pct"/>
            <w:vAlign w:val="center"/>
          </w:tcPr>
          <w:p>
            <w:pPr>
              <w:pStyle w:val="29"/>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年工作天数（d）</w:t>
            </w:r>
          </w:p>
        </w:tc>
        <w:tc>
          <w:tcPr>
            <w:tcW w:w="960" w:type="pct"/>
            <w:vAlign w:val="center"/>
          </w:tcPr>
          <w:p>
            <w:pPr>
              <w:pStyle w:val="29"/>
              <w:spacing w:line="240" w:lineRule="auto"/>
              <w:jc w:val="center"/>
              <w:rPr>
                <w:rFonts w:eastAsia="宋体" w:cs="Calibri"/>
                <w:b/>
                <w:color w:val="000000" w:themeColor="text1"/>
                <w:sz w:val="21"/>
                <w:szCs w:val="21"/>
                <w14:textFill>
                  <w14:solidFill>
                    <w14:schemeClr w14:val="tx1"/>
                  </w14:solidFill>
                </w14:textFill>
              </w:rPr>
            </w:pPr>
            <w:r>
              <w:rPr>
                <w:rFonts w:hint="eastAsia" w:eastAsia="宋体" w:cs="Calibri"/>
                <w:b/>
                <w:color w:val="000000" w:themeColor="text1"/>
                <w:sz w:val="21"/>
                <w:szCs w:val="21"/>
                <w14:textFill>
                  <w14:solidFill>
                    <w14:schemeClr w14:val="tx1"/>
                  </w14:solidFill>
                </w14:textFill>
              </w:rPr>
              <w:t>年工作时间（h）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1</w:t>
            </w:r>
          </w:p>
        </w:tc>
        <w:tc>
          <w:tcPr>
            <w:tcW w:w="271"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水性漆</w:t>
            </w:r>
          </w:p>
        </w:tc>
        <w:tc>
          <w:tcPr>
            <w:tcW w:w="1113" w:type="pct"/>
            <w:gridSpan w:val="2"/>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调漆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0</w:t>
            </w:r>
            <w:r>
              <w:rPr>
                <w:rFonts w:eastAsia="宋体" w:cs="Calibri"/>
                <w:color w:val="000000" w:themeColor="text1"/>
                <w:sz w:val="21"/>
                <w:szCs w:val="21"/>
                <w14:textFill>
                  <w14:solidFill>
                    <w14:schemeClr w14:val="tx1"/>
                  </w14:solidFill>
                </w14:textFill>
              </w:rPr>
              <w:t>.5</w:t>
            </w:r>
          </w:p>
        </w:tc>
        <w:tc>
          <w:tcPr>
            <w:tcW w:w="964"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320</w:t>
            </w: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2</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底漆</w:t>
            </w: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3</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4</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中间漆</w:t>
            </w: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6</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面漆</w:t>
            </w: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7</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tcBorders>
              <w:bottom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8</w:t>
            </w:r>
          </w:p>
        </w:tc>
        <w:tc>
          <w:tcPr>
            <w:tcW w:w="271"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油性漆</w:t>
            </w:r>
          </w:p>
        </w:tc>
        <w:tc>
          <w:tcPr>
            <w:tcW w:w="1113" w:type="pct"/>
            <w:gridSpan w:val="2"/>
            <w:tcBorders>
              <w:top w:val="single" w:color="auto" w:sz="4" w:space="0"/>
              <w:bottom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调漆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0</w:t>
            </w:r>
            <w:r>
              <w:rPr>
                <w:rFonts w:eastAsia="宋体" w:cs="Calibri"/>
                <w:color w:val="000000" w:themeColor="text1"/>
                <w:sz w:val="21"/>
                <w:szCs w:val="21"/>
                <w14:textFill>
                  <w14:solidFill>
                    <w14:schemeClr w14:val="tx1"/>
                  </w14:solidFill>
                </w14:textFill>
              </w:rPr>
              <w:t>.5</w:t>
            </w:r>
          </w:p>
        </w:tc>
        <w:tc>
          <w:tcPr>
            <w:tcW w:w="964" w:type="pct"/>
            <w:vMerge w:val="restar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320</w:t>
            </w: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9</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tcBorders>
              <w:top w:val="single" w:color="auto" w:sz="4" w:space="0"/>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底漆</w:t>
            </w: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10</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tcBorders>
              <w:bottom w:val="single" w:color="auto" w:sz="4" w:space="0"/>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1</w:t>
            </w:r>
            <w:r>
              <w:rPr>
                <w:rFonts w:eastAsia="宋体" w:cs="Calibri"/>
                <w:color w:val="000000" w:themeColor="text1"/>
                <w:sz w:val="21"/>
                <w:szCs w:val="21"/>
                <w14:textFill>
                  <w14:solidFill>
                    <w14:schemeClr w14:val="tx1"/>
                  </w14:solidFill>
                </w14:textFill>
              </w:rPr>
              <w:t>1</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tcBorders>
              <w:top w:val="single" w:color="auto" w:sz="4" w:space="0"/>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中间漆</w:t>
            </w: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1</w:t>
            </w:r>
            <w:r>
              <w:rPr>
                <w:rFonts w:eastAsia="宋体" w:cs="Calibri"/>
                <w:color w:val="000000" w:themeColor="text1"/>
                <w:sz w:val="21"/>
                <w:szCs w:val="21"/>
                <w14:textFill>
                  <w14:solidFill>
                    <w14:schemeClr w14:val="tx1"/>
                  </w14:solidFill>
                </w14:textFill>
              </w:rPr>
              <w:t>2</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tcBorders>
              <w:bottom w:val="single" w:color="auto" w:sz="4" w:space="0"/>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1</w:t>
            </w:r>
            <w:r>
              <w:rPr>
                <w:rFonts w:eastAsia="宋体" w:cs="Calibri"/>
                <w:color w:val="000000" w:themeColor="text1"/>
                <w:sz w:val="21"/>
                <w:szCs w:val="21"/>
                <w14:textFill>
                  <w14:solidFill>
                    <w14:schemeClr w14:val="tx1"/>
                  </w14:solidFill>
                </w14:textFill>
              </w:rPr>
              <w:t>3</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restart"/>
            <w:tcBorders>
              <w:top w:val="single" w:color="auto" w:sz="4" w:space="0"/>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面漆</w:t>
            </w: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喷漆</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9"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1</w:t>
            </w:r>
            <w:r>
              <w:rPr>
                <w:rFonts w:eastAsia="宋体" w:cs="Calibri"/>
                <w:color w:val="000000" w:themeColor="text1"/>
                <w:sz w:val="21"/>
                <w:szCs w:val="21"/>
                <w14:textFill>
                  <w14:solidFill>
                    <w14:schemeClr w14:val="tx1"/>
                  </w14:solidFill>
                </w14:textFill>
              </w:rPr>
              <w:t>4</w:t>
            </w:r>
          </w:p>
        </w:tc>
        <w:tc>
          <w:tcPr>
            <w:tcW w:w="271"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457" w:type="pct"/>
            <w:vMerge w:val="continue"/>
            <w:tcBorders>
              <w:righ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656" w:type="pct"/>
            <w:tcBorders>
              <w:left w:val="single" w:color="auto" w:sz="4" w:space="0"/>
            </w:tcBorders>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晾干</w:t>
            </w:r>
          </w:p>
        </w:tc>
        <w:tc>
          <w:tcPr>
            <w:tcW w:w="1193"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hint="eastAsia" w:eastAsia="宋体" w:cs="Calibri"/>
                <w:color w:val="000000" w:themeColor="text1"/>
                <w:sz w:val="21"/>
                <w:szCs w:val="21"/>
                <w14:textFill>
                  <w14:solidFill>
                    <w14:schemeClr w14:val="tx1"/>
                  </w14:solidFill>
                </w14:textFill>
              </w:rPr>
              <w:t>5</w:t>
            </w:r>
          </w:p>
        </w:tc>
        <w:tc>
          <w:tcPr>
            <w:tcW w:w="964" w:type="pct"/>
            <w:vMerge w:val="continue"/>
            <w:vAlign w:val="center"/>
          </w:tcPr>
          <w:p>
            <w:pPr>
              <w:pStyle w:val="29"/>
              <w:spacing w:line="240" w:lineRule="auto"/>
              <w:jc w:val="center"/>
              <w:rPr>
                <w:rFonts w:eastAsia="宋体" w:cs="Calibri"/>
                <w:color w:val="000000" w:themeColor="text1"/>
                <w:sz w:val="21"/>
                <w:szCs w:val="21"/>
                <w14:textFill>
                  <w14:solidFill>
                    <w14:schemeClr w14:val="tx1"/>
                  </w14:solidFill>
                </w14:textFill>
              </w:rPr>
            </w:pPr>
          </w:p>
        </w:tc>
        <w:tc>
          <w:tcPr>
            <w:tcW w:w="960" w:type="pct"/>
            <w:vAlign w:val="center"/>
          </w:tcPr>
          <w:p>
            <w:pPr>
              <w:pStyle w:val="29"/>
              <w:spacing w:line="240" w:lineRule="auto"/>
              <w:jc w:val="center"/>
              <w:rPr>
                <w:rFonts w:eastAsia="宋体" w:cs="Calibri"/>
                <w:color w:val="000000" w:themeColor="text1"/>
                <w:sz w:val="21"/>
                <w:szCs w:val="21"/>
                <w14:textFill>
                  <w14:solidFill>
                    <w14:schemeClr w14:val="tx1"/>
                  </w14:solidFill>
                </w14:textFill>
              </w:rPr>
            </w:pPr>
            <w:r>
              <w:rPr>
                <w:rFonts w:eastAsia="宋体" w:cs="Calibri"/>
                <w:color w:val="000000" w:themeColor="text1"/>
                <w:sz w:val="21"/>
                <w:szCs w:val="21"/>
                <w14:textFill>
                  <w14:solidFill>
                    <w14:schemeClr w14:val="tx1"/>
                  </w14:solidFill>
                </w14:textFill>
              </w:rPr>
              <w:t>1600</w:t>
            </w:r>
          </w:p>
        </w:tc>
      </w:tr>
    </w:tbl>
    <w:p>
      <w:pPr>
        <w:pStyle w:val="29"/>
        <w:ind w:firstLine="480"/>
        <w:jc w:val="both"/>
        <w:rPr>
          <w:rFonts w:eastAsia="宋体"/>
          <w:color w:val="000000" w:themeColor="text1"/>
          <w:szCs w:val="24"/>
          <w14:textFill>
            <w14:solidFill>
              <w14:schemeClr w14:val="tx1"/>
            </w14:solidFill>
          </w14:textFill>
        </w:rPr>
        <w:sectPr>
          <w:pgSz w:w="11906" w:h="16838"/>
          <w:pgMar w:top="1135" w:right="1133" w:bottom="1276"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项目各施工油漆污染物产生量见表2.4-4。</w:t>
      </w:r>
    </w:p>
    <w:p>
      <w:pPr>
        <w:pStyle w:val="29"/>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表2.4-4  项目各施工油漆污染物产生量一览表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129"/>
        <w:gridCol w:w="1081"/>
        <w:gridCol w:w="1043"/>
        <w:gridCol w:w="1458"/>
        <w:gridCol w:w="1081"/>
        <w:gridCol w:w="1330"/>
        <w:gridCol w:w="1081"/>
        <w:gridCol w:w="1330"/>
        <w:gridCol w:w="1330"/>
        <w:gridCol w:w="1333"/>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pct"/>
            <w:gridSpan w:val="2"/>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油漆种类</w:t>
            </w:r>
          </w:p>
        </w:tc>
        <w:tc>
          <w:tcPr>
            <w:tcW w:w="369" w:type="pct"/>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油漆量t/a</w:t>
            </w:r>
          </w:p>
        </w:tc>
        <w:tc>
          <w:tcPr>
            <w:tcW w:w="854"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固体份</w:t>
            </w:r>
          </w:p>
        </w:tc>
        <w:tc>
          <w:tcPr>
            <w:tcW w:w="823"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甲苯</w:t>
            </w:r>
          </w:p>
        </w:tc>
        <w:tc>
          <w:tcPr>
            <w:tcW w:w="823"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二甲苯</w:t>
            </w:r>
          </w:p>
        </w:tc>
        <w:tc>
          <w:tcPr>
            <w:tcW w:w="909"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非甲烷总烃</w:t>
            </w:r>
          </w:p>
        </w:tc>
        <w:tc>
          <w:tcPr>
            <w:tcW w:w="450"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pct"/>
            <w:gridSpan w:val="2"/>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356"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含量%</w:t>
            </w:r>
          </w:p>
        </w:tc>
        <w:tc>
          <w:tcPr>
            <w:tcW w:w="498"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量t/a</w:t>
            </w:r>
          </w:p>
        </w:tc>
        <w:tc>
          <w:tcPr>
            <w:tcW w:w="369"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含量%</w:t>
            </w:r>
          </w:p>
        </w:tc>
        <w:tc>
          <w:tcPr>
            <w:tcW w:w="454"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369"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含量%</w:t>
            </w:r>
          </w:p>
        </w:tc>
        <w:tc>
          <w:tcPr>
            <w:tcW w:w="454"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454"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含量%</w:t>
            </w:r>
          </w:p>
        </w:tc>
        <w:tc>
          <w:tcPr>
            <w:tcW w:w="455"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450"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施工环氧底漆</w:t>
            </w: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11.639</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66.92</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9.521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0.272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0.272 </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26.38</w:t>
            </w:r>
          </w:p>
        </w:tc>
        <w:tc>
          <w:tcPr>
            <w:tcW w:w="45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3.411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1.293</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5"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1.293</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0.517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1.293 </w:t>
            </w: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14.225</w:t>
            </w:r>
          </w:p>
        </w:tc>
        <w:tc>
          <w:tcPr>
            <w:tcW w:w="35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9.521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0.789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0.272 </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4.704 </w:t>
            </w:r>
          </w:p>
        </w:tc>
        <w:tc>
          <w:tcPr>
            <w:tcW w:w="4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3.332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施工环氧云铁漆</w:t>
            </w: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13.974</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65.80</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11.899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0.427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0.427 </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27.62</w:t>
            </w:r>
          </w:p>
        </w:tc>
        <w:tc>
          <w:tcPr>
            <w:tcW w:w="45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4.541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2.466</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5"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1.644</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0.658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1.644 </w:t>
            </w: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18.084</w:t>
            </w:r>
          </w:p>
        </w:tc>
        <w:tc>
          <w:tcPr>
            <w:tcW w:w="35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11.899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1.085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0.427 </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6.185 </w:t>
            </w:r>
          </w:p>
        </w:tc>
        <w:tc>
          <w:tcPr>
            <w:tcW w:w="4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4.165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施工环氧面漆</w:t>
            </w: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主剂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14.801</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60.91</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11.900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0.391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0.391 </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w:t>
            </w:r>
          </w:p>
        </w:tc>
        <w:tc>
          <w:tcPr>
            <w:tcW w:w="45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5.861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固化剂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2.96</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5"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稀释剂</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1.776</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0.710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1.776 </w:t>
            </w: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19.537</w:t>
            </w:r>
          </w:p>
        </w:tc>
        <w:tc>
          <w:tcPr>
            <w:tcW w:w="35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11.900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1.101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0.391 </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7.637 </w:t>
            </w:r>
          </w:p>
        </w:tc>
        <w:tc>
          <w:tcPr>
            <w:tcW w:w="4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4.165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施工水性环氧富锌底漆</w:t>
            </w: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漆料</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15.393</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84.34</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14.280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7.23</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1.113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水</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.539</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386" w:type="pc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6.932</w:t>
            </w:r>
          </w:p>
        </w:tc>
        <w:tc>
          <w:tcPr>
            <w:tcW w:w="35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4.280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7.23</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1.113 </w:t>
            </w:r>
          </w:p>
        </w:tc>
        <w:tc>
          <w:tcPr>
            <w:tcW w:w="4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4.998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施工水性环氧中间漆</w:t>
            </w:r>
          </w:p>
        </w:tc>
        <w:tc>
          <w:tcPr>
            <w:tcW w:w="38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甲组份</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18.392</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72.92</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17.850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36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5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11.77</w:t>
            </w:r>
          </w:p>
        </w:tc>
        <w:tc>
          <w:tcPr>
            <w:tcW w:w="45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2.381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乙组份</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1.839</w:t>
            </w:r>
          </w:p>
        </w:tc>
        <w:tc>
          <w:tcPr>
            <w:tcW w:w="35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4"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5"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50"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水</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.023</w:t>
            </w:r>
          </w:p>
        </w:tc>
        <w:tc>
          <w:tcPr>
            <w:tcW w:w="35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0"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386" w:type="pct"/>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22.254</w:t>
            </w:r>
          </w:p>
        </w:tc>
        <w:tc>
          <w:tcPr>
            <w:tcW w:w="35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98"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17.850</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2.381</w:t>
            </w:r>
          </w:p>
        </w:tc>
        <w:tc>
          <w:tcPr>
            <w:tcW w:w="4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施工水性透明封闭漆</w:t>
            </w:r>
          </w:p>
        </w:tc>
        <w:tc>
          <w:tcPr>
            <w:tcW w:w="38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漆料</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18.490</w:t>
            </w:r>
          </w:p>
        </w:tc>
        <w:tc>
          <w:tcPr>
            <w:tcW w:w="356"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87.76</w:t>
            </w:r>
          </w:p>
        </w:tc>
        <w:tc>
          <w:tcPr>
            <w:tcW w:w="49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17.850 </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3.46</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0.640 </w:t>
            </w:r>
          </w:p>
        </w:tc>
        <w:tc>
          <w:tcPr>
            <w:tcW w:w="450"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p>
        </w:tc>
        <w:tc>
          <w:tcPr>
            <w:tcW w:w="386" w:type="pct"/>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水</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.849</w:t>
            </w:r>
          </w:p>
        </w:tc>
        <w:tc>
          <w:tcPr>
            <w:tcW w:w="35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9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 w:type="pct"/>
            <w:vMerge w:val="continue"/>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p>
        </w:tc>
        <w:tc>
          <w:tcPr>
            <w:tcW w:w="386" w:type="pct"/>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小计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20.339</w:t>
            </w:r>
          </w:p>
        </w:tc>
        <w:tc>
          <w:tcPr>
            <w:tcW w:w="35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7.850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36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p>
        </w:tc>
        <w:tc>
          <w:tcPr>
            <w:tcW w:w="45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.46</w:t>
            </w:r>
          </w:p>
        </w:tc>
        <w:tc>
          <w:tcPr>
            <w:tcW w:w="45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0.640</w:t>
            </w:r>
          </w:p>
        </w:tc>
        <w:tc>
          <w:tcPr>
            <w:tcW w:w="4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2" w:type="pct"/>
            <w:gridSpan w:val="2"/>
            <w:vAlign w:val="center"/>
          </w:tcPr>
          <w:p>
            <w:pPr>
              <w:pStyle w:val="29"/>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合计</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111.374</w:t>
            </w:r>
          </w:p>
        </w:tc>
        <w:tc>
          <w:tcPr>
            <w:tcW w:w="356"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98"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83.300</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2.975</w:t>
            </w:r>
          </w:p>
        </w:tc>
        <w:tc>
          <w:tcPr>
            <w:tcW w:w="369"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1.090</w:t>
            </w:r>
          </w:p>
        </w:tc>
        <w:tc>
          <w:tcPr>
            <w:tcW w:w="454"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5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22.660</w:t>
            </w:r>
          </w:p>
        </w:tc>
        <w:tc>
          <w:tcPr>
            <w:tcW w:w="4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29.155</w:t>
            </w:r>
          </w:p>
        </w:tc>
      </w:tr>
    </w:tbl>
    <w:p>
      <w:pPr>
        <w:pStyle w:val="29"/>
        <w:ind w:left="-283" w:leftChars="-118" w:firstLine="763" w:firstLineChars="318"/>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参照同类型企业涂装过程，结合本项目涂装各工序特点，项目调漆工序挥发性有机物挥发量占比5%、喷漆工序挥发性有机物挥发量占比70%、晾干工序挥发性有机物挥发量占比25%，颗粒物仅在喷漆工序产生。</w:t>
      </w:r>
    </w:p>
    <w:p>
      <w:pPr>
        <w:pStyle w:val="29"/>
        <w:ind w:left="-283" w:leftChars="-118" w:firstLine="763" w:firstLineChars="318"/>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本项目涂装各工序废气污染物产生情况见表2.4-5。</w:t>
      </w:r>
    </w:p>
    <w:p>
      <w:pPr>
        <w:pStyle w:val="29"/>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表2.4-5  项目涂装各工序废气污染物产生情况一览表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201"/>
        <w:gridCol w:w="1432"/>
        <w:gridCol w:w="1438"/>
        <w:gridCol w:w="1432"/>
        <w:gridCol w:w="1438"/>
        <w:gridCol w:w="1429"/>
        <w:gridCol w:w="1497"/>
        <w:gridCol w:w="1497"/>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油漆种类</w:t>
            </w:r>
          </w:p>
        </w:tc>
        <w:tc>
          <w:tcPr>
            <w:tcW w:w="410" w:type="pct"/>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工艺类型</w:t>
            </w:r>
          </w:p>
        </w:tc>
        <w:tc>
          <w:tcPr>
            <w:tcW w:w="980"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甲苯</w:t>
            </w:r>
          </w:p>
        </w:tc>
        <w:tc>
          <w:tcPr>
            <w:tcW w:w="980"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二甲苯</w:t>
            </w:r>
          </w:p>
        </w:tc>
        <w:tc>
          <w:tcPr>
            <w:tcW w:w="999"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非甲烷总烃</w:t>
            </w:r>
          </w:p>
        </w:tc>
        <w:tc>
          <w:tcPr>
            <w:tcW w:w="1018"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410" w:type="pct"/>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489"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491" w:type="pct"/>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c>
          <w:tcPr>
            <w:tcW w:w="489"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491" w:type="pct"/>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c>
          <w:tcPr>
            <w:tcW w:w="488"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511" w:type="pct"/>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c>
          <w:tcPr>
            <w:tcW w:w="511"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产生量t/a</w:t>
            </w:r>
          </w:p>
        </w:tc>
        <w:tc>
          <w:tcPr>
            <w:tcW w:w="507" w:type="pct"/>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13"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施工环氧底漆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0.039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0.246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0.014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0.085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0.235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1.470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13" w:type="pct"/>
            <w:vMerge w:val="continue"/>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0.552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0.345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0.190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0.119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3.293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2.058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3.332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0.197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0.123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0.068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0.042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1.176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0.735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施工环氧云铁漆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0.054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0.339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0.021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0.134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0.309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1.933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0.760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0.475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0.299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0.187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4.329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2.706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4.165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0.271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0.170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0.107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0.067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1.546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0.966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施工环氧面漆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0.055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0.344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0.020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0.122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0.382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2.387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0.771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0.482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0.274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0.171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5.346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3.341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4.165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0.275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0.172 </w:t>
            </w:r>
          </w:p>
        </w:tc>
        <w:tc>
          <w:tcPr>
            <w:tcW w:w="489"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0.098 </w:t>
            </w:r>
          </w:p>
        </w:tc>
        <w:tc>
          <w:tcPr>
            <w:tcW w:w="49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0.061 </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1.909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1.193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施工水性环氧富锌底漆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0.056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0.348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0.779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0.487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4.998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0.278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0.174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施工水性环氧中间漆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0.119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0.744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1.667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1.042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6.247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0.595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0.372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施工水性透明封闭漆</w:t>
            </w: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0.032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0.200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kern w:val="0"/>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喷漆</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0.448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0.280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6.248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41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晾干</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48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0.160 </w:t>
            </w:r>
          </w:p>
        </w:tc>
        <w:tc>
          <w:tcPr>
            <w:tcW w:w="51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0.100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3" w:type="pct"/>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合计</w:t>
            </w:r>
          </w:p>
        </w:tc>
        <w:tc>
          <w:tcPr>
            <w:tcW w:w="489"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2.975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1.090 </w:t>
            </w:r>
          </w:p>
        </w:tc>
        <w:tc>
          <w:tcPr>
            <w:tcW w:w="49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8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22.660 </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5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29.155 </w:t>
            </w:r>
          </w:p>
        </w:tc>
        <w:tc>
          <w:tcPr>
            <w:tcW w:w="50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bl>
    <w:p>
      <w:pPr>
        <w:pStyle w:val="29"/>
        <w:jc w:val="both"/>
        <w:rPr>
          <w:rFonts w:eastAsia="宋体"/>
          <w:color w:val="000000" w:themeColor="text1"/>
          <w:szCs w:val="24"/>
          <w14:textFill>
            <w14:solidFill>
              <w14:schemeClr w14:val="tx1"/>
            </w14:solidFill>
          </w14:textFill>
        </w:rPr>
      </w:pPr>
    </w:p>
    <w:p>
      <w:pPr>
        <w:pStyle w:val="29"/>
        <w:ind w:left="-283" w:leftChars="-118" w:firstLine="763" w:firstLineChars="318"/>
        <w:jc w:val="both"/>
        <w:rPr>
          <w:rFonts w:eastAsia="宋体"/>
          <w:color w:val="000000" w:themeColor="text1"/>
          <w:szCs w:val="24"/>
          <w14:textFill>
            <w14:solidFill>
              <w14:schemeClr w14:val="tx1"/>
            </w14:solidFill>
          </w14:textFill>
        </w:rPr>
        <w:sectPr>
          <w:pgSz w:w="16838" w:h="11906" w:orient="landscape"/>
          <w:pgMar w:top="1418" w:right="1135" w:bottom="1133" w:left="1276" w:header="851" w:footer="992" w:gutter="0"/>
          <w:cols w:space="425" w:num="1"/>
          <w:docGrid w:type="lines" w:linePitch="326" w:charSpace="0"/>
        </w:sectPr>
      </w:pPr>
    </w:p>
    <w:p>
      <w:pPr>
        <w:pStyle w:val="29"/>
        <w:ind w:firstLine="482"/>
        <w:jc w:val="both"/>
        <w:rPr>
          <w:rFonts w:eastAsia="宋体"/>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收集处置措施</w:t>
      </w:r>
      <w:r>
        <w:rPr>
          <w:rFonts w:eastAsia="宋体"/>
          <w:color w:val="000000" w:themeColor="text1"/>
          <w:szCs w:val="24"/>
          <w14:textFill>
            <w14:solidFill>
              <w14:schemeClr w14:val="tx1"/>
            </w14:solidFill>
          </w14:textFill>
        </w:rPr>
        <w:t>：本项目涂装废气主要为有机废气和漆雾颗粒物，通过对涂装车间密闭换风，满足涂装安全作业通风和涂装车间微负压要求的前提下，换风次数60次/h。项目涂装车间尺寸为26×6×7m，则涂装车间理论计算风量为65520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/h。涂装车间废气收集效率取98%，2%在人员和工件出入时以无组织方式逸散。</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根据建设单位提供资料，项目涂装废气设计风量为70000m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/h，满足理论计算风量要求。涂装废气收集后采用3#</w:t>
      </w:r>
      <w:r>
        <w:rPr>
          <w:rFonts w:hint="eastAsia" w:eastAsia="宋体"/>
          <w:color w:val="000000" w:themeColor="text1"/>
          <w:szCs w:val="24"/>
          <w14:textFill>
            <w14:solidFill>
              <w14:schemeClr w14:val="tx1"/>
            </w14:solidFill>
          </w14:textFill>
        </w:rPr>
        <w:t>废气处理设施</w:t>
      </w:r>
      <w:r>
        <w:rPr>
          <w:rFonts w:eastAsia="宋体"/>
          <w:color w:val="000000" w:themeColor="text1"/>
          <w:szCs w:val="24"/>
          <w14:textFill>
            <w14:solidFill>
              <w14:schemeClr w14:val="tx1"/>
            </w14:solidFill>
          </w14:textFill>
        </w:rPr>
        <w:t>“气旋喷淋+干式过滤+活性炭吸附浓缩+催化燃烧”处理后通过1根15m高排气筒（DA003）排放。干式过滤分为2段，第1段是玻璃纤维漆雾过滤棉，第2段是初效+袋式中效过滤，参考《汽车工业污染防治可行技术指南》（HJ 1191-2021），气旋喷淋</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干式过滤对颗粒物去除效率取95%，活性炭吸附浓缩+催化燃烧对有机废气去除效率取85%。</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项目涂装废气各污染物排放量见表2.4-6。</w:t>
      </w:r>
    </w:p>
    <w:p>
      <w:pPr>
        <w:pStyle w:val="29"/>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表2.4-6  涂装废气各污染物排放量一览表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358"/>
        <w:gridCol w:w="2358"/>
        <w:gridCol w:w="2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249"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工序</w:t>
            </w:r>
          </w:p>
        </w:tc>
        <w:tc>
          <w:tcPr>
            <w:tcW w:w="1250"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w:t>
            </w:r>
          </w:p>
        </w:tc>
        <w:tc>
          <w:tcPr>
            <w:tcW w:w="1250" w:type="pc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有组织排放量t/a</w:t>
            </w:r>
          </w:p>
        </w:tc>
        <w:tc>
          <w:tcPr>
            <w:tcW w:w="1250" w:type="pct"/>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无组织排放量t/a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调漆、喷漆、晾干</w:t>
            </w: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c>
          <w:tcPr>
            <w:tcW w:w="1250" w:type="pct"/>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c>
          <w:tcPr>
            <w:tcW w:w="1250" w:type="pct"/>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c>
          <w:tcPr>
            <w:tcW w:w="1250" w:type="pct"/>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1250"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.429</w:t>
            </w:r>
          </w:p>
        </w:tc>
        <w:tc>
          <w:tcPr>
            <w:tcW w:w="1250" w:type="pct"/>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0.583</w:t>
            </w:r>
          </w:p>
        </w:tc>
      </w:tr>
    </w:tbl>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建设单位提供资料，项目调漆、喷漆、晾干均在涂装车间内进行，且涂装车间设置2个喷漆工位，可同时工作，互不干扰；单批次工件在喷漆工位固定后，依次完成喷底漆-晾干-喷中间漆-晾干-喷面漆-晾干整个涂装作业后，再移出涂装车间。因此，调漆、喷漆和晾干可能存在同时进行的情况。</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结合上述涂装各工序产污情况，当同时进行下列情形时，各污染物的产生速率最大。</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甲苯最大产生速率情形：施工环氧面漆调漆和2个喷漆工位同时喷施工环氧面漆。</w:t>
      </w:r>
    </w:p>
    <w:p>
      <w:pPr>
        <w:pStyle w:val="29"/>
        <w:ind w:firstLine="480"/>
        <w:jc w:val="both"/>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二甲</w:t>
      </w:r>
      <w:r>
        <w:rPr>
          <w:rFonts w:eastAsia="宋体"/>
          <w:color w:val="000000" w:themeColor="text1"/>
          <w:szCs w:val="24"/>
          <w14:textFill>
            <w14:solidFill>
              <w14:schemeClr w14:val="tx1"/>
            </w14:solidFill>
          </w14:textFill>
        </w:rPr>
        <w:t>苯最大产生速率情形：施工环氧云铁漆调漆和2个喷漆工位同时喷施工环氧云铁漆。</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非甲烷总烃最大产生速率情形：施工环氧面漆调漆和2个喷漆工位同时喷施工环氧面漆。</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颗粒物最大产生速率情形：2个喷漆工位同时喷施工水性透明封闭漆或施工水性环氧中间漆。</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最大工况下涂装废气产排情况见表2.4-7。</w:t>
      </w:r>
    </w:p>
    <w:p>
      <w:pPr>
        <w:pStyle w:val="29"/>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表2.4-7  最大工况下涂装废气产排情况一览表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1276"/>
        <w:gridCol w:w="1842"/>
        <w:gridCol w:w="1843"/>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w:t>
            </w:r>
          </w:p>
        </w:tc>
        <w:tc>
          <w:tcPr>
            <w:tcW w:w="1134" w:type="dxa"/>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产生速率kg/h</w:t>
            </w:r>
          </w:p>
        </w:tc>
        <w:tc>
          <w:tcPr>
            <w:tcW w:w="1276" w:type="dxa"/>
            <w:vMerge w:val="restart"/>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产生浓度mg/m</w:t>
            </w:r>
            <w:r>
              <w:rPr>
                <w:rFonts w:eastAsia="宋体"/>
                <w:b/>
                <w:color w:val="000000" w:themeColor="text1"/>
                <w:sz w:val="21"/>
                <w:szCs w:val="21"/>
                <w:vertAlign w:val="superscript"/>
                <w14:textFill>
                  <w14:solidFill>
                    <w14:schemeClr w14:val="tx1"/>
                  </w14:solidFill>
                </w14:textFill>
              </w:rPr>
              <w:t>3</w:t>
            </w:r>
          </w:p>
        </w:tc>
        <w:tc>
          <w:tcPr>
            <w:tcW w:w="3685" w:type="dxa"/>
            <w:gridSpan w:val="2"/>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有组织</w:t>
            </w:r>
          </w:p>
        </w:tc>
        <w:tc>
          <w:tcPr>
            <w:tcW w:w="1700"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1134" w:type="dxa"/>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1276" w:type="dxa"/>
            <w:vMerge w:val="continue"/>
            <w:vAlign w:val="center"/>
          </w:tcPr>
          <w:p>
            <w:pPr>
              <w:pStyle w:val="29"/>
              <w:spacing w:line="240" w:lineRule="auto"/>
              <w:jc w:val="center"/>
              <w:rPr>
                <w:rFonts w:eastAsia="宋体"/>
                <w:b/>
                <w:color w:val="000000" w:themeColor="text1"/>
                <w:sz w:val="21"/>
                <w:szCs w:val="21"/>
                <w14:textFill>
                  <w14:solidFill>
                    <w14:schemeClr w14:val="tx1"/>
                  </w14:solidFill>
                </w14:textFill>
              </w:rPr>
            </w:pPr>
          </w:p>
        </w:tc>
        <w:tc>
          <w:tcPr>
            <w:tcW w:w="1842"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排放速率kg/h</w:t>
            </w:r>
          </w:p>
        </w:tc>
        <w:tc>
          <w:tcPr>
            <w:tcW w:w="1843"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排放浓度mg/m</w:t>
            </w:r>
            <w:r>
              <w:rPr>
                <w:rFonts w:eastAsia="宋体"/>
                <w:b/>
                <w:color w:val="000000" w:themeColor="text1"/>
                <w:sz w:val="21"/>
                <w:szCs w:val="21"/>
                <w:vertAlign w:val="superscript"/>
                <w14:textFill>
                  <w14:solidFill>
                    <w14:schemeClr w14:val="tx1"/>
                  </w14:solidFill>
                </w14:textFill>
              </w:rPr>
              <w:t>3</w:t>
            </w:r>
          </w:p>
        </w:tc>
        <w:tc>
          <w:tcPr>
            <w:tcW w:w="1700" w:type="dxa"/>
            <w:vAlign w:val="center"/>
          </w:tcPr>
          <w:p>
            <w:pPr>
              <w:pStyle w:val="29"/>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.308</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18.68</w:t>
            </w:r>
          </w:p>
        </w:tc>
        <w:tc>
          <w:tcPr>
            <w:tcW w:w="1842"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p>
        </w:tc>
        <w:tc>
          <w:tcPr>
            <w:tcW w:w="1843"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2.75</w:t>
            </w:r>
          </w:p>
        </w:tc>
        <w:tc>
          <w:tcPr>
            <w:tcW w:w="1700"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.508</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7.25</w:t>
            </w:r>
          </w:p>
        </w:tc>
        <w:tc>
          <w:tcPr>
            <w:tcW w:w="1842"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p>
        </w:tc>
        <w:tc>
          <w:tcPr>
            <w:tcW w:w="1843"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.07</w:t>
            </w:r>
          </w:p>
        </w:tc>
        <w:tc>
          <w:tcPr>
            <w:tcW w:w="1700"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r>
              <w:rPr>
                <w:rFonts w:eastAsia="宋体"/>
                <w:color w:val="000000" w:themeColor="text1"/>
                <w:sz w:val="21"/>
                <w:szCs w:val="21"/>
                <w14:textFill>
                  <w14:solidFill>
                    <w14:schemeClr w14:val="tx1"/>
                  </w14:solidFill>
                </w14:textFill>
              </w:rPr>
              <w:t>.069</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129.56</w:t>
            </w:r>
          </w:p>
        </w:tc>
        <w:tc>
          <w:tcPr>
            <w:tcW w:w="1842"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.333</w:t>
            </w:r>
          </w:p>
        </w:tc>
        <w:tc>
          <w:tcPr>
            <w:tcW w:w="1843"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19.05</w:t>
            </w:r>
          </w:p>
        </w:tc>
        <w:tc>
          <w:tcPr>
            <w:tcW w:w="1700"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1134"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.809</w:t>
            </w:r>
          </w:p>
        </w:tc>
        <w:tc>
          <w:tcPr>
            <w:tcW w:w="1276"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111.56</w:t>
            </w:r>
          </w:p>
        </w:tc>
        <w:tc>
          <w:tcPr>
            <w:tcW w:w="1842"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.383</w:t>
            </w:r>
          </w:p>
        </w:tc>
        <w:tc>
          <w:tcPr>
            <w:tcW w:w="1843"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5.47</w:t>
            </w:r>
          </w:p>
        </w:tc>
        <w:tc>
          <w:tcPr>
            <w:tcW w:w="1700" w:type="dxa"/>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0.156</w:t>
            </w:r>
          </w:p>
        </w:tc>
      </w:tr>
    </w:tbl>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（6）食堂油烟G10</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食堂烹饪使用天然气，属于清洁能源，排污量小，本次评价仅定性分析。食堂在烹饪、加工过程中将挥发出油脂、有机质及热分解或裂解产物，从而产生油烟和非甲烷总烃。</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本项目1号地块和2号地块均设有食堂，就餐人数分别为150人和50人，每人每天耗费食用油按0.03kg计，则年耗油量分别为1.44t、0.48t。一般油烟挥发量约占耗油量的2%，则食堂油烟产生量分别为0.029t/a、0.010t/a。</w:t>
      </w:r>
      <w:r>
        <w:rPr>
          <w:rFonts w:hint="eastAsia" w:eastAsia="宋体"/>
          <w:color w:val="000000" w:themeColor="text1"/>
          <w:szCs w:val="24"/>
          <w14:textFill>
            <w14:solidFill>
              <w14:schemeClr w14:val="tx1"/>
            </w14:solidFill>
          </w14:textFill>
        </w:rPr>
        <w:t>参考《中式餐饮业油烟中非甲烷碳氢化合物排放特征》，食堂油烟非甲烷总烃产生浓度约9</w:t>
      </w:r>
      <w:r>
        <w:rPr>
          <w:rFonts w:eastAsia="宋体"/>
          <w:color w:val="000000" w:themeColor="text1"/>
          <w:szCs w:val="24"/>
          <w14:textFill>
            <w14:solidFill>
              <w14:schemeClr w14:val="tx1"/>
            </w14:solidFill>
          </w14:textFill>
        </w:rPr>
        <w:t>.13~14.2</w:t>
      </w:r>
      <w:r>
        <w:rPr>
          <w:rFonts w:hint="eastAsia" w:eastAsia="宋体"/>
          <w:color w:val="000000" w:themeColor="text1"/>
          <w:szCs w:val="24"/>
          <w14:textFill>
            <w14:solidFill>
              <w14:schemeClr w14:val="tx1"/>
            </w14:solidFill>
          </w14:textFill>
        </w:rPr>
        <w:t>mg</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，本项目取1</w:t>
      </w:r>
      <w:r>
        <w:rPr>
          <w:rFonts w:eastAsia="宋体"/>
          <w:color w:val="000000" w:themeColor="text1"/>
          <w:szCs w:val="24"/>
          <w14:textFill>
            <w14:solidFill>
              <w14:schemeClr w14:val="tx1"/>
            </w14:solidFill>
          </w14:textFill>
        </w:rPr>
        <w:t>4.2</w:t>
      </w:r>
      <w:r>
        <w:rPr>
          <w:rFonts w:hint="eastAsia" w:eastAsia="宋体"/>
          <w:color w:val="000000" w:themeColor="text1"/>
          <w:szCs w:val="24"/>
          <w14:textFill>
            <w14:solidFill>
              <w14:schemeClr w14:val="tx1"/>
            </w14:solidFill>
          </w14:textFill>
        </w:rPr>
        <w:t>mg</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项目2个食堂各设置1个灶头，按照《餐饮业大气污染物排放标准》（DB 50/859-2018）小型规模执行，油烟净化设施</w:t>
      </w:r>
      <w:r>
        <w:rPr>
          <w:rFonts w:hint="eastAsia" w:eastAsia="宋体"/>
          <w:color w:val="000000" w:themeColor="text1"/>
          <w:szCs w:val="24"/>
          <w14:textFill>
            <w14:solidFill>
              <w14:schemeClr w14:val="tx1"/>
            </w14:solidFill>
          </w14:textFill>
        </w:rPr>
        <w:t>收集效率约8</w:t>
      </w:r>
      <w:r>
        <w:rPr>
          <w:rFonts w:eastAsia="宋体"/>
          <w:color w:val="000000" w:themeColor="text1"/>
          <w:szCs w:val="24"/>
          <w14:textFill>
            <w14:solidFill>
              <w14:schemeClr w14:val="tx1"/>
            </w14:solidFill>
          </w14:textFill>
        </w:rPr>
        <w:t>0%</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对油烟最低去除效率应达到90%</w:t>
      </w:r>
      <w:r>
        <w:rPr>
          <w:rFonts w:hint="eastAsia" w:eastAsia="宋体"/>
          <w:color w:val="000000" w:themeColor="text1"/>
          <w:szCs w:val="24"/>
          <w14:textFill>
            <w14:solidFill>
              <w14:schemeClr w14:val="tx1"/>
            </w14:solidFill>
          </w14:textFill>
        </w:rPr>
        <w:t>、非甲烷总烃去除效率应达到6</w:t>
      </w:r>
      <w:r>
        <w:rPr>
          <w:rFonts w:eastAsia="宋体"/>
          <w:color w:val="000000" w:themeColor="text1"/>
          <w:szCs w:val="24"/>
          <w14:textFill>
            <w14:solidFill>
              <w14:schemeClr w14:val="tx1"/>
            </w14:solidFill>
          </w14:textFill>
        </w:rPr>
        <w:t>5%。油烟净化设施排风量分别为8000m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/h、4000m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食堂日工作时间约2h</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则油烟排放量分别为0.003t/a、0.001t/a</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油烟排放浓度分别为0.59mg/m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、0.59mg/m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；非甲烷总烃排放浓度分别为4</w:t>
      </w:r>
      <w:r>
        <w:rPr>
          <w:rFonts w:eastAsia="宋体"/>
          <w:color w:val="000000" w:themeColor="text1"/>
          <w:szCs w:val="24"/>
          <w14:textFill>
            <w14:solidFill>
              <w14:schemeClr w14:val="tx1"/>
            </w14:solidFill>
          </w14:textFill>
        </w:rPr>
        <w:t>.97mg/m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、4.97mg/m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（7）生化池臭气G11</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生化池运行过程中会产生少量恶臭污染物</w:t>
      </w:r>
      <w:r>
        <w:rPr>
          <w:rFonts w:hint="eastAsia" w:eastAsia="宋体"/>
          <w:color w:val="000000" w:themeColor="text1"/>
          <w:szCs w:val="24"/>
          <w14:textFill>
            <w14:solidFill>
              <w14:schemeClr w14:val="tx1"/>
            </w14:solidFill>
          </w14:textFill>
        </w:rPr>
        <w:t>（氨、硫化氢和臭气浓度）</w:t>
      </w:r>
      <w:r>
        <w:rPr>
          <w:rFonts w:eastAsia="宋体"/>
          <w:color w:val="000000" w:themeColor="text1"/>
          <w:szCs w:val="24"/>
          <w14:textFill>
            <w14:solidFill>
              <w14:schemeClr w14:val="tx1"/>
            </w14:solidFill>
          </w14:textFill>
        </w:rPr>
        <w:t>。项目1#生化池和2#生化池的恶臭分别经管道引至绿化带排放。</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（8）危废暂存间废气G11</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2号地块设置1间危废暂存间，用于暂存2号地块产生的废活性炭、废过滤棉、漆渣等各类危险废物。由于漆渣、废活性炭、废过滤棉、废包装桶等危险废物中含有一定量的有机物质，在贮存过程中会涉及一定量的挥发。为减少危废暂存间有机废气对周围环境的影响，项目拟在危废暂存间设置废气收集措施（集气风量约1000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/h），将危废暂存间废气引入涂装废气处理设施一同处理。</w:t>
      </w:r>
    </w:p>
    <w:p>
      <w:pPr>
        <w:pStyle w:val="29"/>
        <w:ind w:firstLine="480"/>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因涂装废气计算时，已按最不利情况，将涂料中的挥发份全部按有机废气进行了考虑。因此，危废暂存间废气不再单独定量分析。</w:t>
      </w:r>
    </w:p>
    <w:p>
      <w:pPr>
        <w:pStyle w:val="29"/>
        <w:ind w:left="-283" w:leftChars="-118" w:firstLine="763" w:firstLineChars="318"/>
        <w:jc w:val="both"/>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（9）产排情况汇总</w:t>
      </w:r>
    </w:p>
    <w:p>
      <w:pPr>
        <w:pStyle w:val="29"/>
        <w:ind w:left="-283" w:leftChars="-118" w:firstLine="763" w:firstLineChars="318"/>
        <w:jc w:val="both"/>
        <w:rPr>
          <w:rFonts w:eastAsia="宋体"/>
          <w:color w:val="000000" w:themeColor="text1"/>
          <w:szCs w:val="24"/>
          <w14:textFill>
            <w14:solidFill>
              <w14:schemeClr w14:val="tx1"/>
            </w14:solidFill>
          </w14:textFill>
        </w:rPr>
        <w:sectPr>
          <w:pgSz w:w="11906" w:h="16838"/>
          <w:pgMar w:top="1135" w:right="1133" w:bottom="1135"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项目废气产排情况汇总见表2.4-8。</w:t>
      </w:r>
    </w:p>
    <w:p>
      <w:pPr>
        <w:spacing w:line="240" w:lineRule="auto"/>
        <w:jc w:val="center"/>
        <w:rPr>
          <w:rFonts w:eastAsia="宋体"/>
          <w:b/>
          <w:bCs/>
          <w:color w:val="000000" w:themeColor="text1"/>
          <w14:textFill>
            <w14:solidFill>
              <w14:schemeClr w14:val="tx1"/>
            </w14:solidFill>
          </w14:textFill>
        </w:rPr>
      </w:pPr>
      <w:bookmarkStart w:id="114" w:name="_Toc19653"/>
      <w:r>
        <w:rPr>
          <w:rFonts w:eastAsia="宋体"/>
          <w:b/>
          <w:bCs/>
          <w:color w:val="000000" w:themeColor="text1"/>
          <w14:textFill>
            <w14:solidFill>
              <w14:schemeClr w14:val="tx1"/>
            </w14:solidFill>
          </w14:textFill>
        </w:rPr>
        <w:t>表2.4-8  本项目</w:t>
      </w:r>
      <w:bookmarkEnd w:id="114"/>
      <w:r>
        <w:rPr>
          <w:rFonts w:eastAsia="宋体"/>
          <w:b/>
          <w:bCs/>
          <w:color w:val="000000" w:themeColor="text1"/>
          <w14:textFill>
            <w14:solidFill>
              <w14:schemeClr w14:val="tx1"/>
            </w14:solidFill>
          </w14:textFill>
        </w:rPr>
        <w:t>废气产排情况汇总表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751"/>
        <w:gridCol w:w="967"/>
        <w:gridCol w:w="751"/>
        <w:gridCol w:w="896"/>
        <w:gridCol w:w="808"/>
        <w:gridCol w:w="606"/>
        <w:gridCol w:w="925"/>
        <w:gridCol w:w="703"/>
        <w:gridCol w:w="771"/>
        <w:gridCol w:w="771"/>
        <w:gridCol w:w="771"/>
        <w:gridCol w:w="771"/>
        <w:gridCol w:w="771"/>
        <w:gridCol w:w="768"/>
        <w:gridCol w:w="612"/>
        <w:gridCol w:w="450"/>
        <w:gridCol w:w="609"/>
        <w:gridCol w:w="452"/>
        <w:gridCol w:w="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工序</w:t>
            </w:r>
          </w:p>
        </w:tc>
        <w:tc>
          <w:tcPr>
            <w:tcW w:w="264"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污染源</w:t>
            </w:r>
          </w:p>
        </w:tc>
        <w:tc>
          <w:tcPr>
            <w:tcW w:w="340"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w:t>
            </w:r>
          </w:p>
        </w:tc>
        <w:tc>
          <w:tcPr>
            <w:tcW w:w="863" w:type="pct"/>
            <w:gridSpan w:val="3"/>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污染物产生</w:t>
            </w:r>
          </w:p>
        </w:tc>
        <w:tc>
          <w:tcPr>
            <w:tcW w:w="784" w:type="pct"/>
            <w:gridSpan w:val="3"/>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治理措施</w:t>
            </w:r>
          </w:p>
        </w:tc>
        <w:tc>
          <w:tcPr>
            <w:tcW w:w="2370" w:type="pct"/>
            <w:gridSpan w:val="10"/>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污染物排放</w:t>
            </w:r>
          </w:p>
        </w:tc>
        <w:tc>
          <w:tcPr>
            <w:tcW w:w="152"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863" w:type="pct"/>
            <w:gridSpan w:val="3"/>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784" w:type="pct"/>
            <w:gridSpan w:val="3"/>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083" w:type="pct"/>
            <w:gridSpan w:val="4"/>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有组织</w:t>
            </w:r>
          </w:p>
        </w:tc>
        <w:tc>
          <w:tcPr>
            <w:tcW w:w="541" w:type="pct"/>
            <w:gridSpan w:val="2"/>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无组织</w:t>
            </w:r>
          </w:p>
        </w:tc>
        <w:tc>
          <w:tcPr>
            <w:tcW w:w="215" w:type="pct"/>
            <w:vMerge w:val="restar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排放时间</w:t>
            </w:r>
          </w:p>
        </w:tc>
        <w:tc>
          <w:tcPr>
            <w:tcW w:w="531" w:type="pct"/>
            <w:gridSpan w:val="3"/>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排气筒</w:t>
            </w: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废气产生量</w:t>
            </w:r>
          </w:p>
        </w:tc>
        <w:tc>
          <w:tcPr>
            <w:tcW w:w="315"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产生浓度</w:t>
            </w:r>
          </w:p>
        </w:tc>
        <w:tc>
          <w:tcPr>
            <w:tcW w:w="28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产生量</w:t>
            </w:r>
          </w:p>
        </w:tc>
        <w:tc>
          <w:tcPr>
            <w:tcW w:w="213"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收集效率</w:t>
            </w:r>
          </w:p>
        </w:tc>
        <w:tc>
          <w:tcPr>
            <w:tcW w:w="325"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治理工艺</w:t>
            </w:r>
          </w:p>
        </w:tc>
        <w:tc>
          <w:tcPr>
            <w:tcW w:w="247"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去除效率</w:t>
            </w:r>
          </w:p>
        </w:tc>
        <w:tc>
          <w:tcPr>
            <w:tcW w:w="271"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废气排放量</w:t>
            </w:r>
          </w:p>
        </w:tc>
        <w:tc>
          <w:tcPr>
            <w:tcW w:w="271"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排放浓度</w:t>
            </w:r>
          </w:p>
        </w:tc>
        <w:tc>
          <w:tcPr>
            <w:tcW w:w="542" w:type="pct"/>
            <w:gridSpan w:val="2"/>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排放量</w:t>
            </w:r>
          </w:p>
        </w:tc>
        <w:tc>
          <w:tcPr>
            <w:tcW w:w="541" w:type="pct"/>
            <w:gridSpan w:val="2"/>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排放量</w:t>
            </w:r>
          </w:p>
        </w:tc>
        <w:tc>
          <w:tcPr>
            <w:tcW w:w="215" w:type="pct"/>
            <w:vMerge w:val="continue"/>
            <w:vAlign w:val="center"/>
          </w:tcPr>
          <w:p>
            <w:pPr>
              <w:spacing w:line="240" w:lineRule="auto"/>
              <w:jc w:val="center"/>
              <w:rPr>
                <w:rFonts w:eastAsia="宋体"/>
                <w:b/>
                <w:color w:val="000000" w:themeColor="text1"/>
                <w:spacing w:val="-20"/>
                <w:sz w:val="21"/>
                <w:szCs w:val="21"/>
                <w14:textFill>
                  <w14:solidFill>
                    <w14:schemeClr w14:val="tx1"/>
                  </w14:solidFill>
                </w14:textFill>
              </w:rPr>
            </w:pPr>
          </w:p>
        </w:tc>
        <w:tc>
          <w:tcPr>
            <w:tcW w:w="158"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高度</w:t>
            </w:r>
          </w:p>
        </w:tc>
        <w:tc>
          <w:tcPr>
            <w:tcW w:w="21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直径</w:t>
            </w:r>
          </w:p>
        </w:tc>
        <w:tc>
          <w:tcPr>
            <w:tcW w:w="159"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温度</w:t>
            </w: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m</w:t>
            </w:r>
            <w:r>
              <w:rPr>
                <w:rFonts w:eastAsia="宋体"/>
                <w:b/>
                <w:color w:val="000000" w:themeColor="text1"/>
                <w:sz w:val="21"/>
                <w:szCs w:val="21"/>
                <w:vertAlign w:val="superscript"/>
                <w14:textFill>
                  <w14:solidFill>
                    <w14:schemeClr w14:val="tx1"/>
                  </w14:solidFill>
                </w14:textFill>
              </w:rPr>
              <w:t>3</w:t>
            </w:r>
            <w:r>
              <w:rPr>
                <w:rFonts w:eastAsia="宋体"/>
                <w:b/>
                <w:color w:val="000000" w:themeColor="text1"/>
                <w:sz w:val="21"/>
                <w:szCs w:val="21"/>
                <w14:textFill>
                  <w14:solidFill>
                    <w14:schemeClr w14:val="tx1"/>
                  </w14:solidFill>
                </w14:textFill>
              </w:rPr>
              <w:t>/h</w:t>
            </w:r>
          </w:p>
        </w:tc>
        <w:tc>
          <w:tcPr>
            <w:tcW w:w="315"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mg/m</w:t>
            </w:r>
            <w:r>
              <w:rPr>
                <w:rFonts w:eastAsia="宋体"/>
                <w:b/>
                <w:color w:val="000000" w:themeColor="text1"/>
                <w:spacing w:val="-20"/>
                <w:sz w:val="21"/>
                <w:szCs w:val="21"/>
                <w:vertAlign w:val="superscript"/>
                <w14:textFill>
                  <w14:solidFill>
                    <w14:schemeClr w14:val="tx1"/>
                  </w14:solidFill>
                </w14:textFill>
              </w:rPr>
              <w:t>3</w:t>
            </w:r>
          </w:p>
        </w:tc>
        <w:tc>
          <w:tcPr>
            <w:tcW w:w="28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t/a</w:t>
            </w:r>
          </w:p>
        </w:tc>
        <w:tc>
          <w:tcPr>
            <w:tcW w:w="213"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w:t>
            </w:r>
          </w:p>
        </w:tc>
        <w:tc>
          <w:tcPr>
            <w:tcW w:w="325"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w:t>
            </w:r>
          </w:p>
        </w:tc>
        <w:tc>
          <w:tcPr>
            <w:tcW w:w="247"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m</w:t>
            </w:r>
            <w:r>
              <w:rPr>
                <w:rFonts w:eastAsia="宋体"/>
                <w:b/>
                <w:color w:val="000000" w:themeColor="text1"/>
                <w:sz w:val="21"/>
                <w:szCs w:val="21"/>
                <w:vertAlign w:val="superscript"/>
                <w14:textFill>
                  <w14:solidFill>
                    <w14:schemeClr w14:val="tx1"/>
                  </w14:solidFill>
                </w14:textFill>
              </w:rPr>
              <w:t>3</w:t>
            </w:r>
            <w:r>
              <w:rPr>
                <w:rFonts w:eastAsia="宋体"/>
                <w:b/>
                <w:color w:val="000000" w:themeColor="text1"/>
                <w:sz w:val="21"/>
                <w:szCs w:val="21"/>
                <w14:textFill>
                  <w14:solidFill>
                    <w14:schemeClr w14:val="tx1"/>
                  </w14:solidFill>
                </w14:textFill>
              </w:rPr>
              <w:t>/h</w:t>
            </w:r>
          </w:p>
        </w:tc>
        <w:tc>
          <w:tcPr>
            <w:tcW w:w="271" w:type="pct"/>
            <w:vAlign w:val="center"/>
          </w:tcPr>
          <w:p>
            <w:pPr>
              <w:spacing w:line="240" w:lineRule="auto"/>
              <w:jc w:val="center"/>
              <w:rPr>
                <w:rFonts w:eastAsia="宋体"/>
                <w:b/>
                <w:color w:val="000000" w:themeColor="text1"/>
                <w:spacing w:val="-20"/>
                <w:sz w:val="21"/>
                <w:szCs w:val="21"/>
                <w14:textFill>
                  <w14:solidFill>
                    <w14:schemeClr w14:val="tx1"/>
                  </w14:solidFill>
                </w14:textFill>
              </w:rPr>
            </w:pPr>
            <w:r>
              <w:rPr>
                <w:rFonts w:eastAsia="宋体"/>
                <w:b/>
                <w:color w:val="000000" w:themeColor="text1"/>
                <w:spacing w:val="-20"/>
                <w:sz w:val="21"/>
                <w:szCs w:val="21"/>
                <w14:textFill>
                  <w14:solidFill>
                    <w14:schemeClr w14:val="tx1"/>
                  </w14:solidFill>
                </w14:textFill>
              </w:rPr>
              <w:t>mg/m</w:t>
            </w:r>
            <w:r>
              <w:rPr>
                <w:rFonts w:eastAsia="宋体"/>
                <w:b/>
                <w:color w:val="000000" w:themeColor="text1"/>
                <w:spacing w:val="-20"/>
                <w:sz w:val="21"/>
                <w:szCs w:val="21"/>
                <w:vertAlign w:val="superscript"/>
                <w14:textFill>
                  <w14:solidFill>
                    <w14:schemeClr w14:val="tx1"/>
                  </w14:solidFill>
                </w14:textFill>
              </w:rPr>
              <w:t>3</w:t>
            </w:r>
          </w:p>
        </w:tc>
        <w:tc>
          <w:tcPr>
            <w:tcW w:w="271"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kg/h</w:t>
            </w:r>
          </w:p>
        </w:tc>
        <w:tc>
          <w:tcPr>
            <w:tcW w:w="271"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t/a</w:t>
            </w:r>
          </w:p>
        </w:tc>
        <w:tc>
          <w:tcPr>
            <w:tcW w:w="271"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kg/h</w:t>
            </w:r>
          </w:p>
        </w:tc>
        <w:tc>
          <w:tcPr>
            <w:tcW w:w="270"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t/a</w:t>
            </w:r>
          </w:p>
        </w:tc>
        <w:tc>
          <w:tcPr>
            <w:tcW w:w="215"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h</w:t>
            </w:r>
          </w:p>
        </w:tc>
        <w:tc>
          <w:tcPr>
            <w:tcW w:w="158"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m</w:t>
            </w:r>
          </w:p>
        </w:tc>
        <w:tc>
          <w:tcPr>
            <w:tcW w:w="21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m</w:t>
            </w:r>
          </w:p>
        </w:tc>
        <w:tc>
          <w:tcPr>
            <w:tcW w:w="159"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w:t>
            </w: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切割下料</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等离子切割机等</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30000</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226.30</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34.76</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滤筒</w:t>
            </w:r>
            <w:r>
              <w:rPr>
                <w:rFonts w:eastAsia="宋体"/>
                <w:color w:val="000000" w:themeColor="text1"/>
                <w:sz w:val="21"/>
                <w:szCs w:val="21"/>
                <w14:textFill>
                  <w14:solidFill>
                    <w14:schemeClr w14:val="tx1"/>
                  </w14:solidFill>
                </w14:textFill>
              </w:rPr>
              <w:t>除尘器</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95</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30000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1.77</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0.271</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1.390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0.271</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1.390</w:t>
            </w:r>
          </w:p>
        </w:tc>
        <w:tc>
          <w:tcPr>
            <w:tcW w:w="215" w:type="pc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5120</w:t>
            </w:r>
          </w:p>
        </w:tc>
        <w:tc>
          <w:tcPr>
            <w:tcW w:w="1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21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0.8</w:t>
            </w:r>
          </w:p>
        </w:tc>
        <w:tc>
          <w:tcPr>
            <w:tcW w:w="1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焊接</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焊机等</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4.686</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移动式焊烟净化器</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0.256</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1.312</w:t>
            </w:r>
          </w:p>
        </w:tc>
        <w:tc>
          <w:tcPr>
            <w:tcW w:w="215" w:type="pc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5120</w:t>
            </w:r>
          </w:p>
        </w:tc>
        <w:tc>
          <w:tcPr>
            <w:tcW w:w="1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喷砂</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喷砂机</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50000</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270.33</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69.204</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布袋除尘器</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95</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50000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2.59</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0.662</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3.391</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0.270</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1.384</w:t>
            </w:r>
          </w:p>
        </w:tc>
        <w:tc>
          <w:tcPr>
            <w:tcW w:w="215" w:type="pc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5120</w:t>
            </w:r>
          </w:p>
        </w:tc>
        <w:tc>
          <w:tcPr>
            <w:tcW w:w="1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21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1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5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调漆、喷漆、晾干等</w:t>
            </w: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涂装车间</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65520</w:t>
            </w:r>
          </w:p>
        </w:tc>
        <w:tc>
          <w:tcPr>
            <w:tcW w:w="31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18.68</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2.753</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“气旋喷淋+干式过滤+活性炭脱附+催化燃烧”</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271"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70000</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2.75</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0.026</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0.059</w:t>
            </w:r>
          </w:p>
        </w:tc>
        <w:tc>
          <w:tcPr>
            <w:tcW w:w="215" w:type="pct"/>
            <w:vMerge w:val="restar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4800</w:t>
            </w:r>
          </w:p>
        </w:tc>
        <w:tc>
          <w:tcPr>
            <w:tcW w:w="15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21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15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152"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1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7.25</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1.069</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.07</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0.010</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0.022</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1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129.56</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17.303</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19.05</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.333</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0.181</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0.453</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15"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111.56</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19.524</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95</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5.47</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.383</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.429</w:t>
            </w:r>
          </w:p>
        </w:tc>
        <w:tc>
          <w:tcPr>
            <w:tcW w:w="271"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0.156</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0.583</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危废暂存</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危废暂存间</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甲苯、二甲苯、非甲烷总烃</w:t>
            </w:r>
          </w:p>
        </w:tc>
        <w:tc>
          <w:tcPr>
            <w:tcW w:w="26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1000</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少量</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少量</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少量</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食堂</w:t>
            </w: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1号食堂</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油烟</w:t>
            </w: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8000</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0.029</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油烟净化设施</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w:t>
            </w:r>
          </w:p>
        </w:tc>
        <w:tc>
          <w:tcPr>
            <w:tcW w:w="271"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8000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0.59</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0.005</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0.003</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5" w:type="pct"/>
            <w:vMerge w:val="restar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640</w:t>
            </w:r>
          </w:p>
        </w:tc>
        <w:tc>
          <w:tcPr>
            <w:tcW w:w="15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21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w:t>
            </w:r>
          </w:p>
        </w:tc>
        <w:tc>
          <w:tcPr>
            <w:tcW w:w="15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52"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14.2</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4.97</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2号食堂</w:t>
            </w: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油烟</w:t>
            </w:r>
          </w:p>
        </w:tc>
        <w:tc>
          <w:tcPr>
            <w:tcW w:w="26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4000</w:t>
            </w: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0.010</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油烟净化设施</w:t>
            </w: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w:t>
            </w:r>
          </w:p>
        </w:tc>
        <w:tc>
          <w:tcPr>
            <w:tcW w:w="271"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4000</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0.59</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0.002</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5" w:type="pct"/>
            <w:vMerge w:val="restart"/>
            <w:vAlign w:val="center"/>
          </w:tcPr>
          <w:p>
            <w:pPr>
              <w:spacing w:line="240" w:lineRule="auto"/>
              <w:jc w:val="center"/>
              <w:rPr>
                <w:rFonts w:eastAsia="宋体"/>
                <w:color w:val="000000" w:themeColor="text1"/>
                <w:spacing w:val="-20"/>
                <w:sz w:val="21"/>
                <w:szCs w:val="21"/>
                <w14:textFill>
                  <w14:solidFill>
                    <w14:schemeClr w14:val="tx1"/>
                  </w14:solidFill>
                </w14:textFill>
              </w:rPr>
            </w:pPr>
            <w:r>
              <w:rPr>
                <w:rFonts w:eastAsia="宋体"/>
                <w:color w:val="000000" w:themeColor="text1"/>
                <w:spacing w:val="-20"/>
                <w:sz w:val="21"/>
                <w:szCs w:val="21"/>
                <w14:textFill>
                  <w14:solidFill>
                    <w14:schemeClr w14:val="tx1"/>
                  </w14:solidFill>
                </w14:textFill>
              </w:rPr>
              <w:t>640</w:t>
            </w:r>
          </w:p>
        </w:tc>
        <w:tc>
          <w:tcPr>
            <w:tcW w:w="158"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214"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w:t>
            </w:r>
          </w:p>
        </w:tc>
        <w:tc>
          <w:tcPr>
            <w:tcW w:w="159"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52"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7"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26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31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14.2</w:t>
            </w:r>
          </w:p>
        </w:tc>
        <w:tc>
          <w:tcPr>
            <w:tcW w:w="28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4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w:t>
            </w:r>
          </w:p>
        </w:tc>
        <w:tc>
          <w:tcPr>
            <w:tcW w:w="271"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4.97</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15" w:type="pct"/>
            <w:vMerge w:val="continue"/>
            <w:vAlign w:val="center"/>
          </w:tcPr>
          <w:p>
            <w:pPr>
              <w:spacing w:line="240" w:lineRule="auto"/>
              <w:jc w:val="center"/>
              <w:rPr>
                <w:rFonts w:eastAsia="宋体"/>
                <w:color w:val="000000" w:themeColor="text1"/>
                <w:spacing w:val="-20"/>
                <w:sz w:val="21"/>
                <w:szCs w:val="21"/>
                <w14:textFill>
                  <w14:solidFill>
                    <w14:schemeClr w14:val="tx1"/>
                  </w14:solidFill>
                </w14:textFill>
              </w:rPr>
            </w:pPr>
          </w:p>
        </w:tc>
        <w:tc>
          <w:tcPr>
            <w:tcW w:w="158"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14"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5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bl>
    <w:p>
      <w:pPr>
        <w:spacing w:line="240" w:lineRule="auto"/>
        <w:ind w:firstLine="422" w:firstLineChars="200"/>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注：涂装</w:t>
      </w:r>
      <w:r>
        <w:rPr>
          <w:rFonts w:hint="eastAsia" w:eastAsia="宋体"/>
          <w:b/>
          <w:bCs/>
          <w:color w:val="000000" w:themeColor="text1"/>
          <w:sz w:val="21"/>
          <w:szCs w:val="21"/>
          <w14:textFill>
            <w14:solidFill>
              <w14:schemeClr w14:val="tx1"/>
            </w14:solidFill>
          </w14:textFill>
        </w:rPr>
        <w:t>废气</w:t>
      </w:r>
      <w:r>
        <w:rPr>
          <w:rFonts w:eastAsia="宋体"/>
          <w:b/>
          <w:bCs/>
          <w:color w:val="000000" w:themeColor="text1"/>
          <w:sz w:val="21"/>
          <w:szCs w:val="21"/>
          <w14:textFill>
            <w14:solidFill>
              <w14:schemeClr w14:val="tx1"/>
            </w14:solidFill>
          </w14:textFill>
        </w:rPr>
        <w:t>给出的最大工况下，各污染物产生浓度、排放浓度、排放速率。</w:t>
      </w:r>
    </w:p>
    <w:p>
      <w:pPr>
        <w:ind w:firstLine="518" w:firstLineChars="215"/>
        <w:rPr>
          <w:rFonts w:eastAsia="宋体"/>
          <w:b/>
          <w:bCs/>
          <w:color w:val="000000" w:themeColor="text1"/>
          <w:szCs w:val="32"/>
          <w14:textFill>
            <w14:solidFill>
              <w14:schemeClr w14:val="tx1"/>
            </w14:solidFill>
          </w14:textFill>
        </w:rPr>
        <w:sectPr>
          <w:pgSz w:w="16838" w:h="11906" w:orient="landscape"/>
          <w:pgMar w:top="1800" w:right="1387" w:bottom="1800" w:left="1440" w:header="851" w:footer="992" w:gutter="0"/>
          <w:cols w:space="425" w:num="1"/>
          <w:docGrid w:type="lines" w:linePitch="326" w:charSpace="0"/>
        </w:sectPr>
      </w:pPr>
    </w:p>
    <w:p>
      <w:pPr>
        <w:ind w:firstLine="518" w:firstLineChars="215"/>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（3）废气污染源非正常排放</w:t>
      </w:r>
    </w:p>
    <w:p>
      <w:pPr>
        <w:ind w:firstLine="516" w:firstLineChars="215"/>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项目非正常工况主要包括：生产过程中开停车（工、炉）、设备检修、工艺设备运转异常等非正常工况下的污染物排放，以及污染物排放控制措施达不到应有效率等情况下的排放。结合项目设备、生产工艺、相应污染防治措施可知，本项目最不利非正常工况为废气处理设施达不到应有效率。因此，本次非正常工况主要设定为：项目配套的废气处理设施处理效率降低，</w:t>
      </w:r>
      <w:r>
        <w:rPr>
          <w:rFonts w:hint="eastAsia" w:eastAsia="宋体"/>
          <w:bCs/>
          <w:color w:val="000000" w:themeColor="text1"/>
          <w:szCs w:val="32"/>
          <w14:textFill>
            <w14:solidFill>
              <w14:schemeClr w14:val="tx1"/>
            </w14:solidFill>
          </w14:textFill>
        </w:rPr>
        <w:t>除尘器和涂装废气处理设施</w:t>
      </w:r>
      <w:r>
        <w:rPr>
          <w:rFonts w:eastAsia="宋体"/>
          <w:bCs/>
          <w:color w:val="000000" w:themeColor="text1"/>
          <w:szCs w:val="32"/>
          <w14:textFill>
            <w14:solidFill>
              <w14:schemeClr w14:val="tx1"/>
            </w14:solidFill>
          </w14:textFill>
        </w:rPr>
        <w:t>处理设施处理效率</w:t>
      </w:r>
      <w:r>
        <w:rPr>
          <w:rFonts w:hint="eastAsia" w:eastAsia="宋体"/>
          <w:bCs/>
          <w:color w:val="000000" w:themeColor="text1"/>
          <w:szCs w:val="32"/>
          <w14:textFill>
            <w14:solidFill>
              <w14:schemeClr w14:val="tx1"/>
            </w14:solidFill>
          </w14:textFill>
        </w:rPr>
        <w:t>分别</w:t>
      </w:r>
      <w:r>
        <w:rPr>
          <w:rFonts w:eastAsia="宋体"/>
          <w:bCs/>
          <w:color w:val="000000" w:themeColor="text1"/>
          <w:szCs w:val="32"/>
          <w14:textFill>
            <w14:solidFill>
              <w14:schemeClr w14:val="tx1"/>
            </w14:solidFill>
          </w14:textFill>
        </w:rPr>
        <w:t>为</w:t>
      </w:r>
      <w:r>
        <w:rPr>
          <w:rFonts w:hint="eastAsia" w:eastAsia="宋体"/>
          <w:bCs/>
          <w:color w:val="000000" w:themeColor="text1"/>
          <w:szCs w:val="32"/>
          <w14:textFill>
            <w14:solidFill>
              <w14:schemeClr w14:val="tx1"/>
            </w14:solidFill>
          </w14:textFill>
        </w:rPr>
        <w:t>8</w:t>
      </w:r>
      <w:r>
        <w:rPr>
          <w:rFonts w:eastAsia="宋体"/>
          <w:bCs/>
          <w:color w:val="000000" w:themeColor="text1"/>
          <w:szCs w:val="32"/>
          <w14:textFill>
            <w14:solidFill>
              <w14:schemeClr w14:val="tx1"/>
            </w14:solidFill>
          </w14:textFill>
        </w:rPr>
        <w:t>0%</w:t>
      </w:r>
      <w:r>
        <w:rPr>
          <w:rFonts w:hint="eastAsia" w:eastAsia="宋体"/>
          <w:bCs/>
          <w:color w:val="000000" w:themeColor="text1"/>
          <w:szCs w:val="32"/>
          <w14:textFill>
            <w14:solidFill>
              <w14:schemeClr w14:val="tx1"/>
            </w14:solidFill>
          </w14:textFill>
        </w:rPr>
        <w:t>、</w:t>
      </w:r>
      <w:r>
        <w:rPr>
          <w:rFonts w:eastAsia="宋体"/>
          <w:bCs/>
          <w:color w:val="000000" w:themeColor="text1"/>
          <w:szCs w:val="32"/>
          <w14:textFill>
            <w14:solidFill>
              <w14:schemeClr w14:val="tx1"/>
            </w14:solidFill>
          </w14:textFill>
        </w:rPr>
        <w:t>50%。项目非正常工况下排放口情况见表2.4-9。</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表2.4-9  非正常工况排放情况表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935"/>
        <w:gridCol w:w="1436"/>
        <w:gridCol w:w="1571"/>
        <w:gridCol w:w="1656"/>
        <w:gridCol w:w="1189"/>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污染源</w:t>
            </w:r>
          </w:p>
        </w:tc>
        <w:tc>
          <w:tcPr>
            <w:tcW w:w="506"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污染物名称</w:t>
            </w:r>
          </w:p>
        </w:tc>
        <w:tc>
          <w:tcPr>
            <w:tcW w:w="777"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非正常排放原因</w:t>
            </w:r>
          </w:p>
        </w:tc>
        <w:tc>
          <w:tcPr>
            <w:tcW w:w="3211" w:type="pct"/>
            <w:gridSpan w:val="4"/>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非正常排放状况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50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7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0"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浓度</w:t>
            </w:r>
            <w:r>
              <w:rPr>
                <w:rFonts w:eastAsia="宋体"/>
                <w:b/>
                <w:color w:val="000000" w:themeColor="text1"/>
                <w:spacing w:val="-20"/>
                <w:sz w:val="21"/>
                <w:szCs w:val="21"/>
                <w14:textFill>
                  <w14:solidFill>
                    <w14:schemeClr w14:val="tx1"/>
                  </w14:solidFill>
                </w14:textFill>
              </w:rPr>
              <w:t>（mg/m</w:t>
            </w:r>
            <w:r>
              <w:rPr>
                <w:rFonts w:eastAsia="宋体"/>
                <w:b/>
                <w:color w:val="000000" w:themeColor="text1"/>
                <w:spacing w:val="-20"/>
                <w:sz w:val="21"/>
                <w:szCs w:val="21"/>
                <w:vertAlign w:val="superscript"/>
                <w14:textFill>
                  <w14:solidFill>
                    <w14:schemeClr w14:val="tx1"/>
                  </w14:solidFill>
                </w14:textFill>
              </w:rPr>
              <w:t>3</w:t>
            </w:r>
            <w:r>
              <w:rPr>
                <w:rFonts w:eastAsia="宋体"/>
                <w:b/>
                <w:color w:val="000000" w:themeColor="text1"/>
                <w:spacing w:val="-20"/>
                <w:sz w:val="21"/>
                <w:szCs w:val="21"/>
                <w14:textFill>
                  <w14:solidFill>
                    <w14:schemeClr w14:val="tx1"/>
                  </w14:solidFill>
                </w14:textFill>
              </w:rPr>
              <w:t>）</w:t>
            </w:r>
          </w:p>
        </w:tc>
        <w:tc>
          <w:tcPr>
            <w:tcW w:w="896"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c>
          <w:tcPr>
            <w:tcW w:w="643"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频次及持续时间</w:t>
            </w:r>
          </w:p>
        </w:tc>
        <w:tc>
          <w:tcPr>
            <w:tcW w:w="822"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排放量（kg/a）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DA001</w:t>
            </w: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77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废气处理效率降低，处理效率80%</w:t>
            </w: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.08</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.08</w:t>
            </w:r>
          </w:p>
        </w:tc>
        <w:tc>
          <w:tcPr>
            <w:tcW w:w="64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DA002</w:t>
            </w: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77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废气处理效率降低，处理效率80%</w:t>
            </w: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0.36</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.65</w:t>
            </w:r>
          </w:p>
        </w:tc>
        <w:tc>
          <w:tcPr>
            <w:tcW w:w="64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DA003</w:t>
            </w: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777"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废气处理效率降低，处理效率50%</w:t>
            </w: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9.17 </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0.640 </w:t>
            </w:r>
          </w:p>
        </w:tc>
        <w:tc>
          <w:tcPr>
            <w:tcW w:w="643"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0.640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77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3.57 </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0.250 </w:t>
            </w:r>
          </w:p>
        </w:tc>
        <w:tc>
          <w:tcPr>
            <w:tcW w:w="643"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0.250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77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63.50 </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4.443 </w:t>
            </w:r>
          </w:p>
        </w:tc>
        <w:tc>
          <w:tcPr>
            <w:tcW w:w="643"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4.443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50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77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0"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54.70 </w:t>
            </w:r>
          </w:p>
        </w:tc>
        <w:tc>
          <w:tcPr>
            <w:tcW w:w="89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3.830 </w:t>
            </w:r>
          </w:p>
        </w:tc>
        <w:tc>
          <w:tcPr>
            <w:tcW w:w="643"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22"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3.830 </w:t>
            </w:r>
          </w:p>
        </w:tc>
      </w:tr>
    </w:tbl>
    <w:p>
      <w:pPr>
        <w:keepNext/>
        <w:keepLines/>
        <w:adjustRightInd w:val="0"/>
        <w:spacing w:before="120" w:beforeLines="5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2.4.2废水</w:t>
      </w:r>
    </w:p>
    <w:p>
      <w:pPr>
        <w:ind w:firstLine="518" w:firstLineChars="215"/>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（1）废水污染物源强核算</w:t>
      </w:r>
    </w:p>
    <w:p>
      <w:pPr>
        <w:ind w:firstLine="516" w:firstLineChars="215"/>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项目废水主要有生活污水、食堂废水、车间地面清洁废水、洗手废水、空压机冷凝水</w:t>
      </w:r>
      <w:r>
        <w:rPr>
          <w:rFonts w:hint="eastAsia" w:eastAsia="宋体"/>
          <w:bCs/>
          <w:color w:val="000000" w:themeColor="text1"/>
          <w:szCs w:val="32"/>
          <w14:textFill>
            <w14:solidFill>
              <w14:schemeClr w14:val="tx1"/>
            </w14:solidFill>
          </w14:textFill>
        </w:rPr>
        <w:t>等</w:t>
      </w:r>
      <w:r>
        <w:rPr>
          <w:rFonts w:eastAsia="宋体"/>
          <w:bCs/>
          <w:color w:val="000000" w:themeColor="text1"/>
          <w:szCs w:val="32"/>
          <w14:textFill>
            <w14:solidFill>
              <w14:schemeClr w14:val="tx1"/>
            </w14:solidFill>
          </w14:textFill>
        </w:rPr>
        <w:t>。结合水平衡分析，项目废水水质及产生情况见表2.4-10。</w:t>
      </w:r>
    </w:p>
    <w:p>
      <w:pPr>
        <w:spacing w:line="240" w:lineRule="auto"/>
        <w:jc w:val="center"/>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表2.4-10  项目废水产生情况一览表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414"/>
        <w:gridCol w:w="992"/>
        <w:gridCol w:w="709"/>
        <w:gridCol w:w="2835"/>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位置</w:t>
            </w:r>
          </w:p>
        </w:tc>
        <w:tc>
          <w:tcPr>
            <w:tcW w:w="2414" w:type="dxa"/>
            <w:vMerge w:val="restart"/>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废水污染源</w:t>
            </w:r>
          </w:p>
        </w:tc>
        <w:tc>
          <w:tcPr>
            <w:tcW w:w="1701" w:type="dxa"/>
            <w:gridSpan w:val="2"/>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废水量</w:t>
            </w:r>
          </w:p>
        </w:tc>
        <w:tc>
          <w:tcPr>
            <w:tcW w:w="2835" w:type="dxa"/>
            <w:vMerge w:val="restart"/>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主要污染物</w:t>
            </w:r>
          </w:p>
        </w:tc>
        <w:tc>
          <w:tcPr>
            <w:tcW w:w="1513" w:type="dxa"/>
            <w:vMerge w:val="restart"/>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p>
        </w:tc>
        <w:tc>
          <w:tcPr>
            <w:tcW w:w="2414" w:type="dxa"/>
            <w:vMerge w:val="continue"/>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p>
        </w:tc>
        <w:tc>
          <w:tcPr>
            <w:tcW w:w="992" w:type="dxa"/>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/d</w:t>
            </w:r>
            <w:r>
              <w:rPr>
                <w:b/>
                <w:color w:val="000000" w:themeColor="text1"/>
                <w:szCs w:val="21"/>
                <w:vertAlign w:val="subscript"/>
                <w14:textFill>
                  <w14:solidFill>
                    <w14:schemeClr w14:val="tx1"/>
                  </w14:solidFill>
                </w14:textFill>
              </w:rPr>
              <w:t>max</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/a</w:t>
            </w:r>
          </w:p>
        </w:tc>
        <w:tc>
          <w:tcPr>
            <w:tcW w:w="2835" w:type="dxa"/>
            <w:vMerge w:val="continue"/>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p>
        </w:tc>
        <w:tc>
          <w:tcPr>
            <w:tcW w:w="1513" w:type="dxa"/>
            <w:vMerge w:val="continue"/>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1号地块</w:t>
            </w: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6.2</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184</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COD：504mg/L、BOD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-N：50.7mg/L、SS：350mg/L</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.96</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经1#生化池排入园区污水管网。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食堂废水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.05</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396</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COD：504mg/L、BOD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-N：50.7mg/L、SS：350mg/L、动植物油：100mg/L</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.96</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经1#隔油沉淀设施预处理后排入1#生化池。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员工洗手废水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.46</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66.6</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COD：450mg/L、SS：200mg/L、石油类：25mg/L</w:t>
            </w:r>
          </w:p>
        </w:tc>
        <w:tc>
          <w:tcPr>
            <w:tcW w:w="1513" w:type="dxa"/>
            <w:vMerge w:val="restart"/>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经2#隔油沉淀设施预处理后排入1#生化池。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车间地面清洁废水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3.89</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194</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COD：450mg/L、SS：200mg/L、石油类：25mg/L</w:t>
            </w:r>
          </w:p>
        </w:tc>
        <w:tc>
          <w:tcPr>
            <w:tcW w:w="1513" w:type="dxa"/>
            <w:vMerge w:val="continue"/>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空压机冷凝水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.07</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39.2</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石油类：25mg/L</w:t>
            </w:r>
          </w:p>
        </w:tc>
        <w:tc>
          <w:tcPr>
            <w:tcW w:w="1513" w:type="dxa"/>
            <w:vMerge w:val="continue"/>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小计</w:t>
            </w:r>
          </w:p>
        </w:tc>
        <w:tc>
          <w:tcPr>
            <w:tcW w:w="992" w:type="dxa"/>
            <w:shd w:val="clear" w:color="auto" w:fill="auto"/>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26.67</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7379.8</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2号地块</w:t>
            </w: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76</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COD：504mg/L、BOD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-N：50.7mg/L、SS：350mg/L</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.96</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经2#生化池排入园区污水管网。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食堂废水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.45</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44</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COD：504mg/L、BOD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-N：50.7mg/L、SS：350mg/L、动植物油：100mg/L</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.96</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经3#隔油沉淀设施预处理后排入2#生化池。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员工洗手废水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.16</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1.8</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COD：450mg/L、SS：200mg/L、石油类：25mg/L</w:t>
            </w:r>
          </w:p>
        </w:tc>
        <w:tc>
          <w:tcPr>
            <w:tcW w:w="1513" w:type="dxa"/>
            <w:vMerge w:val="restart"/>
            <w:shd w:val="clear" w:color="auto" w:fill="auto"/>
            <w:vAlign w:val="center"/>
          </w:tcPr>
          <w:p>
            <w:pPr>
              <w:pStyle w:val="367"/>
              <w:autoSpaceDE w:val="0"/>
              <w:autoSpaceDN w:val="0"/>
              <w:spacing w:line="240" w:lineRule="auto"/>
              <w:ind w:firstLine="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经生产废水处理设施预处理后排入2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生化池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车间地面清洁废水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COD：450mg/L、SS：200mg/L、石油类：25mg/L</w:t>
            </w:r>
          </w:p>
        </w:tc>
        <w:tc>
          <w:tcPr>
            <w:tcW w:w="1513" w:type="dxa"/>
            <w:vMerge w:val="continue"/>
            <w:shd w:val="clear" w:color="auto" w:fill="auto"/>
            <w:vAlign w:val="center"/>
          </w:tcPr>
          <w:p>
            <w:pPr>
              <w:pStyle w:val="367"/>
              <w:autoSpaceDE w:val="0"/>
              <w:autoSpaceDN w:val="0"/>
              <w:spacing w:line="240" w:lineRule="auto"/>
              <w:jc w:val="center"/>
              <w:textAlignment w:val="baseline"/>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空压机冷凝水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1.07</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239.2</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石油类：25mg/L</w:t>
            </w:r>
          </w:p>
        </w:tc>
        <w:tc>
          <w:tcPr>
            <w:tcW w:w="1513" w:type="dxa"/>
            <w:vMerge w:val="continue"/>
            <w:shd w:val="clear" w:color="auto" w:fill="auto"/>
            <w:vAlign w:val="center"/>
          </w:tcPr>
          <w:p>
            <w:pPr>
              <w:pStyle w:val="367"/>
              <w:autoSpaceDE w:val="0"/>
              <w:autoSpaceDN w:val="0"/>
              <w:spacing w:line="240" w:lineRule="auto"/>
              <w:jc w:val="center"/>
              <w:textAlignment w:val="baseline"/>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喷枪清洗废水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.002</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.32</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vMerge w:val="continue"/>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气旋喷淋废水</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.75</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60</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w:t>
            </w:r>
          </w:p>
        </w:tc>
        <w:tc>
          <w:tcPr>
            <w:tcW w:w="1513" w:type="dxa"/>
            <w:vMerge w:val="continue"/>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p>
        </w:tc>
        <w:tc>
          <w:tcPr>
            <w:tcW w:w="2414" w:type="dxa"/>
            <w:shd w:val="clear" w:color="auto" w:fill="auto"/>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小计</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.302</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1</w:t>
            </w:r>
            <w:r>
              <w:rPr>
                <w:color w:val="000000" w:themeColor="text1"/>
                <w:spacing w:val="-4"/>
                <w:szCs w:val="21"/>
                <w14:textFill>
                  <w14:solidFill>
                    <w14:schemeClr w14:val="tx1"/>
                  </w14:solidFill>
                </w14:textFill>
              </w:rPr>
              <w:t>574.92</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7" w:type="dxa"/>
            <w:gridSpan w:val="2"/>
            <w:vAlign w:val="center"/>
          </w:tcPr>
          <w:p>
            <w:pPr>
              <w:pStyle w:val="367"/>
              <w:autoSpaceDE w:val="0"/>
              <w:autoSpaceDN w:val="0"/>
              <w:spacing w:line="240" w:lineRule="auto"/>
              <w:ind w:firstLine="0"/>
              <w:jc w:val="center"/>
              <w:textAlignment w:val="baseline"/>
              <w:outlineLvl w:val="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合计</w:t>
            </w:r>
          </w:p>
        </w:tc>
        <w:tc>
          <w:tcPr>
            <w:tcW w:w="992"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1.972</w:t>
            </w:r>
          </w:p>
        </w:tc>
        <w:tc>
          <w:tcPr>
            <w:tcW w:w="709"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8</w:t>
            </w:r>
            <w:r>
              <w:rPr>
                <w:color w:val="000000" w:themeColor="text1"/>
                <w:spacing w:val="-4"/>
                <w:szCs w:val="21"/>
                <w14:textFill>
                  <w14:solidFill>
                    <w14:schemeClr w14:val="tx1"/>
                  </w14:solidFill>
                </w14:textFill>
              </w:rPr>
              <w:t>954.72</w:t>
            </w:r>
          </w:p>
        </w:tc>
        <w:tc>
          <w:tcPr>
            <w:tcW w:w="2835"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3" w:type="dxa"/>
            <w:shd w:val="clear" w:color="auto" w:fill="auto"/>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6" w:type="dxa"/>
            <w:gridSpan w:val="6"/>
            <w:vAlign w:val="center"/>
          </w:tcPr>
          <w:p>
            <w:pPr>
              <w:pStyle w:val="367"/>
              <w:autoSpaceDE w:val="0"/>
              <w:autoSpaceDN w:val="0"/>
              <w:spacing w:line="240" w:lineRule="auto"/>
              <w:ind w:firstLine="0"/>
              <w:jc w:val="left"/>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r>
              <w:rPr>
                <w:bCs/>
                <w:color w:val="000000" w:themeColor="text1"/>
                <w:szCs w:val="21"/>
                <w14:textFill>
                  <w14:solidFill>
                    <w14:schemeClr w14:val="tx1"/>
                  </w14:solidFill>
                </w14:textFill>
              </w:rPr>
              <w:t>参考《第二次全国污染源普查 生活污染源产排污系数手册（试用版）》，污染物产污系数为COD：252~</w:t>
            </w:r>
            <w:r>
              <w:rPr>
                <w:color w:val="000000" w:themeColor="text1"/>
                <w:szCs w:val="21"/>
                <w14:textFill>
                  <w14:solidFill>
                    <w14:schemeClr w14:val="tx1"/>
                  </w14:solidFill>
                </w14:textFill>
              </w:rPr>
              <w:t>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:110~220mg/L、NH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-N：25.3~50.7mg/L</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TP：2.78~6.96mg/L</w:t>
            </w:r>
            <w:r>
              <w:rPr>
                <w:color w:val="000000" w:themeColor="text1"/>
                <w:szCs w:val="21"/>
                <w14:textFill>
                  <w14:solidFill>
                    <w14:schemeClr w14:val="tx1"/>
                  </w14:solidFill>
                </w14:textFill>
              </w:rPr>
              <w:t>。本次评价按最不利情况取值，COD：504mg/L、BOD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：220mg/L、NH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-N：50.7mg/L</w:t>
            </w:r>
            <w:r>
              <w:rPr>
                <w:rFonts w:hint="eastAsia"/>
                <w:color w:val="000000" w:themeColor="text1"/>
                <w:szCs w:val="21"/>
                <w14:textFill>
                  <w14:solidFill>
                    <w14:schemeClr w14:val="tx1"/>
                  </w14:solidFill>
                </w14:textFill>
              </w:rPr>
              <w:t>、T</w:t>
            </w:r>
            <w:r>
              <w:rPr>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.96</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/L。其他污染物产生浓度类比同类型企业。</w:t>
            </w:r>
          </w:p>
        </w:tc>
      </w:tr>
    </w:tbl>
    <w:p>
      <w:pPr>
        <w:ind w:firstLine="518" w:firstLineChars="215"/>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（2）废水治理设施及排放量核算</w:t>
      </w:r>
    </w:p>
    <w:p>
      <w:pPr>
        <w:ind w:firstLine="516" w:firstLineChars="215"/>
        <w:rPr>
          <w:rFonts w:eastAsia="宋体"/>
          <w:color w:val="000000" w:themeColor="text1"/>
          <w14:textFill>
            <w14:solidFill>
              <w14:schemeClr w14:val="tx1"/>
            </w14:solidFill>
          </w14:textFill>
        </w:rPr>
      </w:pPr>
      <w:r>
        <w:rPr>
          <w:rFonts w:eastAsia="宋体"/>
          <w:bCs/>
          <w:color w:val="000000" w:themeColor="text1"/>
          <w:szCs w:val="32"/>
          <w14:textFill>
            <w14:solidFill>
              <w14:schemeClr w14:val="tx1"/>
            </w14:solidFill>
          </w14:textFill>
        </w:rPr>
        <w:t>1号地块的食堂废水经1#隔油沉淀设施预处理后排入1#生化池，员工洗手废水、车间地面清洁废水和空压机冷凝水经2#隔油沉淀设施预处理后排入1#生化池，然后和生活污水统一经1#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516" w:firstLineChars="21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2号地块的</w:t>
      </w:r>
      <w:r>
        <w:rPr>
          <w:rFonts w:eastAsia="宋体"/>
          <w:bCs/>
          <w:color w:val="000000" w:themeColor="text1"/>
          <w:szCs w:val="32"/>
          <w14:textFill>
            <w14:solidFill>
              <w14:schemeClr w14:val="tx1"/>
            </w14:solidFill>
          </w14:textFill>
        </w:rPr>
        <w:t>食堂废水经3#隔油沉淀设施预处理后排入2#生化池，员工洗手废水、车间地面清洁废水</w:t>
      </w:r>
      <w:r>
        <w:rPr>
          <w:rFonts w:hint="eastAsia" w:eastAsia="宋体"/>
          <w:bCs/>
          <w:color w:val="000000" w:themeColor="text1"/>
          <w:szCs w:val="32"/>
          <w14:textFill>
            <w14:solidFill>
              <w14:schemeClr w14:val="tx1"/>
            </w14:solidFill>
          </w14:textFill>
        </w:rPr>
        <w:t>、</w:t>
      </w:r>
      <w:r>
        <w:rPr>
          <w:rFonts w:eastAsia="宋体"/>
          <w:bCs/>
          <w:color w:val="000000" w:themeColor="text1"/>
          <w:szCs w:val="32"/>
          <w14:textFill>
            <w14:solidFill>
              <w14:schemeClr w14:val="tx1"/>
            </w14:solidFill>
          </w14:textFill>
        </w:rPr>
        <w:t>空压机冷凝水</w:t>
      </w:r>
      <w:r>
        <w:rPr>
          <w:rFonts w:hint="eastAsia" w:eastAsia="宋体"/>
          <w:bCs/>
          <w:color w:val="000000" w:themeColor="text1"/>
          <w:szCs w:val="32"/>
          <w14:textFill>
            <w14:solidFill>
              <w14:schemeClr w14:val="tx1"/>
            </w14:solidFill>
          </w14:textFill>
        </w:rPr>
        <w:t>、喷枪清洗废水和气旋喷淋废水经生产废水处理设施预处理后排入2</w:t>
      </w:r>
      <w:r>
        <w:rPr>
          <w:rFonts w:eastAsia="宋体"/>
          <w:bCs/>
          <w:color w:val="000000" w:themeColor="text1"/>
          <w:szCs w:val="32"/>
          <w14:textFill>
            <w14:solidFill>
              <w14:schemeClr w14:val="tx1"/>
            </w14:solidFill>
          </w14:textFill>
        </w:rPr>
        <w:t>#</w:t>
      </w:r>
      <w:r>
        <w:rPr>
          <w:rFonts w:hint="eastAsia" w:eastAsia="宋体"/>
          <w:bCs/>
          <w:color w:val="000000" w:themeColor="text1"/>
          <w:szCs w:val="32"/>
          <w14:textFill>
            <w14:solidFill>
              <w14:schemeClr w14:val="tx1"/>
            </w14:solidFill>
          </w14:textFill>
        </w:rPr>
        <w:t>生化池，</w:t>
      </w:r>
      <w:r>
        <w:rPr>
          <w:rFonts w:eastAsia="宋体"/>
          <w:bCs/>
          <w:color w:val="000000" w:themeColor="text1"/>
          <w:szCs w:val="32"/>
          <w14:textFill>
            <w14:solidFill>
              <w14:schemeClr w14:val="tx1"/>
            </w14:solidFill>
          </w14:textFill>
        </w:rPr>
        <w:t>然后和生活污水统一经2#生化池处理达《污水综合排放标准》（GB8978-1996）中三级标准后排入园区污水管网，进入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516" w:firstLineChars="215"/>
        <w:rPr>
          <w:rFonts w:eastAsia="宋体"/>
          <w:bCs/>
          <w:color w:val="000000" w:themeColor="text1"/>
          <w:szCs w:val="32"/>
          <w14:textFill>
            <w14:solidFill>
              <w14:schemeClr w14:val="tx1"/>
            </w14:solidFill>
          </w14:textFill>
        </w:rPr>
      </w:pPr>
      <w:r>
        <w:rPr>
          <w:rFonts w:eastAsia="宋体"/>
          <w:color w:val="000000" w:themeColor="text1"/>
          <w14:textFill>
            <w14:solidFill>
              <w14:schemeClr w14:val="tx1"/>
            </w14:solidFill>
          </w14:textFill>
        </w:rPr>
        <w:t>项目废水经双桥工业园区污水处理厂处理达《城镇污水处理厂污染物排放标准》（GB18918-2002）中一级B标准后排入苦水河。</w:t>
      </w:r>
    </w:p>
    <w:p>
      <w:pPr>
        <w:ind w:firstLine="516" w:firstLineChars="21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本项目废水污染物产生、排放情况见表2.4-11。</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表2.4-11  本项目废水污染物产排情况一览表</w:t>
      </w:r>
    </w:p>
    <w:tbl>
      <w:tblPr>
        <w:tblStyle w:val="89"/>
        <w:tblW w:w="94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134"/>
        <w:gridCol w:w="1067"/>
        <w:gridCol w:w="833"/>
        <w:gridCol w:w="1047"/>
        <w:gridCol w:w="1022"/>
        <w:gridCol w:w="851"/>
        <w:gridCol w:w="850"/>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位置</w:t>
            </w:r>
          </w:p>
        </w:tc>
        <w:tc>
          <w:tcPr>
            <w:tcW w:w="1134" w:type="dxa"/>
            <w:vMerge w:val="restar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污染源</w:t>
            </w:r>
          </w:p>
        </w:tc>
        <w:tc>
          <w:tcPr>
            <w:tcW w:w="1134" w:type="dxa"/>
            <w:vMerge w:val="restar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废水量（m</w:t>
            </w:r>
            <w:r>
              <w:rPr>
                <w:rFonts w:eastAsia="宋体"/>
                <w:b/>
                <w:color w:val="000000" w:themeColor="text1"/>
                <w:kern w:val="0"/>
                <w:sz w:val="21"/>
                <w:szCs w:val="21"/>
                <w:vertAlign w:val="superscript"/>
                <w14:textFill>
                  <w14:solidFill>
                    <w14:schemeClr w14:val="tx1"/>
                  </w14:solidFill>
                </w14:textFill>
              </w:rPr>
              <w:t>3</w:t>
            </w:r>
            <w:r>
              <w:rPr>
                <w:rFonts w:eastAsia="宋体"/>
                <w:b/>
                <w:color w:val="000000" w:themeColor="text1"/>
                <w:kern w:val="0"/>
                <w:sz w:val="21"/>
                <w:szCs w:val="21"/>
                <w14:textFill>
                  <w14:solidFill>
                    <w14:schemeClr w14:val="tx1"/>
                  </w14:solidFill>
                </w14:textFill>
              </w:rPr>
              <w:t>/a）</w:t>
            </w:r>
          </w:p>
        </w:tc>
        <w:tc>
          <w:tcPr>
            <w:tcW w:w="1067" w:type="dxa"/>
            <w:vMerge w:val="restar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污染物</w:t>
            </w:r>
          </w:p>
        </w:tc>
        <w:tc>
          <w:tcPr>
            <w:tcW w:w="1880" w:type="dxa"/>
            <w:gridSpan w:val="2"/>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产生情况</w:t>
            </w:r>
          </w:p>
        </w:tc>
        <w:tc>
          <w:tcPr>
            <w:tcW w:w="1873" w:type="dxa"/>
            <w:gridSpan w:val="2"/>
            <w:vAlign w:val="center"/>
          </w:tcPr>
          <w:p>
            <w:pPr>
              <w:spacing w:line="240" w:lineRule="auto"/>
              <w:jc w:val="center"/>
              <w:rPr>
                <w:rFonts w:eastAsia="宋体"/>
                <w:b/>
                <w:color w:val="000000" w:themeColor="text1"/>
                <w:spacing w:val="-20"/>
                <w:kern w:val="0"/>
                <w:sz w:val="21"/>
                <w:szCs w:val="21"/>
                <w14:textFill>
                  <w14:solidFill>
                    <w14:schemeClr w14:val="tx1"/>
                  </w14:solidFill>
                </w14:textFill>
              </w:rPr>
            </w:pPr>
            <w:r>
              <w:rPr>
                <w:rFonts w:eastAsia="宋体"/>
                <w:b/>
                <w:color w:val="000000" w:themeColor="text1"/>
                <w:spacing w:val="-20"/>
                <w:kern w:val="0"/>
                <w:sz w:val="21"/>
                <w:szCs w:val="21"/>
                <w14:textFill>
                  <w14:solidFill>
                    <w14:schemeClr w14:val="tx1"/>
                  </w14:solidFill>
                </w14:textFill>
              </w:rPr>
              <w:t>污水处理设施处理后</w:t>
            </w:r>
          </w:p>
        </w:tc>
        <w:tc>
          <w:tcPr>
            <w:tcW w:w="1680" w:type="dxa"/>
            <w:gridSpan w:val="2"/>
            <w:vAlign w:val="center"/>
          </w:tcPr>
          <w:p>
            <w:pPr>
              <w:spacing w:line="240" w:lineRule="auto"/>
              <w:jc w:val="center"/>
              <w:rPr>
                <w:rFonts w:eastAsia="宋体"/>
                <w:b/>
                <w:color w:val="000000" w:themeColor="text1"/>
                <w:spacing w:val="-20"/>
                <w:kern w:val="0"/>
                <w:sz w:val="21"/>
                <w:szCs w:val="21"/>
                <w14:textFill>
                  <w14:solidFill>
                    <w14:schemeClr w14:val="tx1"/>
                  </w14:solidFill>
                </w14:textFill>
              </w:rPr>
            </w:pPr>
            <w:r>
              <w:rPr>
                <w:rFonts w:eastAsia="宋体"/>
                <w:b/>
                <w:color w:val="000000" w:themeColor="text1"/>
                <w:spacing w:val="-20"/>
                <w:kern w:val="0"/>
                <w:sz w:val="21"/>
                <w:szCs w:val="21"/>
                <w14:textFill>
                  <w14:solidFill>
                    <w14:schemeClr w14:val="tx1"/>
                  </w14:solidFill>
                </w14:textFill>
              </w:rPr>
              <w:t>污水处理厂处理后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b/>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b/>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b/>
                <w:color w:val="000000" w:themeColor="text1"/>
                <w:kern w:val="0"/>
                <w:sz w:val="21"/>
                <w:szCs w:val="21"/>
                <w14:textFill>
                  <w14:solidFill>
                    <w14:schemeClr w14:val="tx1"/>
                  </w14:solidFill>
                </w14:textFill>
              </w:rPr>
            </w:pPr>
          </w:p>
        </w:tc>
        <w:tc>
          <w:tcPr>
            <w:tcW w:w="1067" w:type="dxa"/>
            <w:vMerge w:val="continue"/>
            <w:vAlign w:val="center"/>
          </w:tcPr>
          <w:p>
            <w:pPr>
              <w:spacing w:line="240" w:lineRule="auto"/>
              <w:jc w:val="center"/>
              <w:rPr>
                <w:rFonts w:eastAsia="宋体"/>
                <w:b/>
                <w:color w:val="000000" w:themeColor="text1"/>
                <w:kern w:val="0"/>
                <w:sz w:val="21"/>
                <w:szCs w:val="21"/>
                <w14:textFill>
                  <w14:solidFill>
                    <w14:schemeClr w14:val="tx1"/>
                  </w14:solidFill>
                </w14:textFill>
              </w:rPr>
            </w:pPr>
          </w:p>
        </w:tc>
        <w:tc>
          <w:tcPr>
            <w:tcW w:w="833"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mg/L</w:t>
            </w:r>
          </w:p>
        </w:tc>
        <w:tc>
          <w:tcPr>
            <w:tcW w:w="1047" w:type="dxa"/>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t/a</w:t>
            </w:r>
          </w:p>
        </w:tc>
        <w:tc>
          <w:tcPr>
            <w:tcW w:w="1022"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mg/L</w:t>
            </w:r>
          </w:p>
        </w:tc>
        <w:tc>
          <w:tcPr>
            <w:tcW w:w="851"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t/a</w:t>
            </w:r>
          </w:p>
        </w:tc>
        <w:tc>
          <w:tcPr>
            <w:tcW w:w="850"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mg/L</w:t>
            </w:r>
          </w:p>
        </w:tc>
        <w:tc>
          <w:tcPr>
            <w:tcW w:w="830"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1号地块</w:t>
            </w:r>
          </w:p>
        </w:tc>
        <w:tc>
          <w:tcPr>
            <w:tcW w:w="1134"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生活污水</w:t>
            </w:r>
          </w:p>
        </w:tc>
        <w:tc>
          <w:tcPr>
            <w:tcW w:w="1134"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5184</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504</w:t>
            </w:r>
          </w:p>
        </w:tc>
        <w:tc>
          <w:tcPr>
            <w:tcW w:w="1047" w:type="dxa"/>
            <w:shd w:val="clear" w:color="auto" w:fill="auto"/>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2.613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1.555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1.140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0.778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1.814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0.778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50.7</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0.263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0.156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6.69</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0.035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6.69</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0.035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食堂废水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1296</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504</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0.653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0.389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0.285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0.194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0.454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0.194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50.7</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0.066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0.130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0.013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6.69</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0.009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6.69</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员工洗手废水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466.6</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0.210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0.093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0.012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地面清洁废水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194</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0.087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0.058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0.039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空压机冷凝水</w:t>
            </w:r>
          </w:p>
        </w:tc>
        <w:tc>
          <w:tcPr>
            <w:tcW w:w="1134"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239.2</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小计</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7379.8</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483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3.563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290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2.142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60</w:t>
            </w:r>
          </w:p>
        </w:tc>
        <w:tc>
          <w:tcPr>
            <w:tcW w:w="830"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0.443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193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1.426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132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0.972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325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2.400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145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1.071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45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0.329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0.194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0.009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18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0.130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0.013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0.043 </w:t>
            </w:r>
          </w:p>
        </w:tc>
        <w:tc>
          <w:tcPr>
            <w:tcW w:w="850"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2号地块</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生活污水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576</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0.290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0.173 </w:t>
            </w:r>
          </w:p>
        </w:tc>
        <w:tc>
          <w:tcPr>
            <w:tcW w:w="851"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0.290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0.127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0.086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0.127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0.202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0.086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0.202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0.029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0.017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6.69</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食堂废水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144</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0.043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0.073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0.032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0.032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0.050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0.007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0.007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0.014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0.014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6.69</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员工洗手废水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51.8</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0.023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0.010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0.008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地面清洁废水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0.00009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0.00004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0.00009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空压机冷凝水</w:t>
            </w:r>
          </w:p>
        </w:tc>
        <w:tc>
          <w:tcPr>
            <w:tcW w:w="1134"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239.2</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喷枪清洗废水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0.32</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0.0003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0.0003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pStyle w:val="367"/>
              <w:autoSpaceDE w:val="0"/>
              <w:autoSpaceDN w:val="0"/>
              <w:spacing w:line="240" w:lineRule="auto"/>
              <w:ind w:firstLine="0"/>
              <w:jc w:val="center"/>
              <w:textAlignment w:val="baseline"/>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喷枪清洗废水</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560</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0.560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0.280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0.560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0.560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0.224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0.560 </w:t>
            </w:r>
          </w:p>
        </w:tc>
        <w:tc>
          <w:tcPr>
            <w:tcW w:w="85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30"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小计</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574.92</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602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0.948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326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0.513 </w:t>
            </w:r>
          </w:p>
        </w:tc>
        <w:tc>
          <w:tcPr>
            <w:tcW w:w="850"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830"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101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0.158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69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0.108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523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0.823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216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0.340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0.037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0.007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0.003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9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0.014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 </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1022"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 </w:t>
            </w:r>
          </w:p>
        </w:tc>
        <w:tc>
          <w:tcPr>
            <w:tcW w:w="851"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合计</w:t>
            </w:r>
          </w:p>
        </w:tc>
        <w:tc>
          <w:tcPr>
            <w:tcW w:w="1134"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954.72</w:t>
            </w: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8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4.511</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830"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0.537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1.584</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3.223</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0.366</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0.029</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0.144</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43" w:type="dxa"/>
            <w:gridSpan w:val="2"/>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833" w:type="dxa"/>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4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022"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85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30"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r>
    </w:tbl>
    <w:p>
      <w:pPr>
        <w:keepNext/>
        <w:keepLines/>
        <w:adjustRightInd w:val="0"/>
        <w:spacing w:before="120" w:beforeLines="50"/>
        <w:outlineLvl w:val="2"/>
        <w:rPr>
          <w:rFonts w:eastAsia="宋体"/>
          <w:b/>
          <w:color w:val="000000" w:themeColor="text1"/>
          <w14:textFill>
            <w14:solidFill>
              <w14:schemeClr w14:val="tx1"/>
            </w14:solidFill>
          </w14:textFill>
        </w:rPr>
      </w:pPr>
      <w:r>
        <w:rPr>
          <w:rFonts w:eastAsia="宋体"/>
          <w:b/>
          <w:bCs/>
          <w:color w:val="000000" w:themeColor="text1"/>
          <w:szCs w:val="32"/>
          <w14:textFill>
            <w14:solidFill>
              <w14:schemeClr w14:val="tx1"/>
            </w14:solidFill>
          </w14:textFill>
        </w:rPr>
        <w:t>2.4.3噪声</w:t>
      </w:r>
    </w:p>
    <w:p>
      <w:pPr>
        <w:pStyle w:val="272"/>
        <w:ind w:firstLine="480"/>
        <w:rPr>
          <w:rFonts w:ascii="Times New Roman" w:hAnsi="Times New Roman" w:eastAsia="宋体"/>
          <w:color w:val="000000" w:themeColor="text1"/>
          <w:szCs w:val="24"/>
          <w14:textFill>
            <w14:solidFill>
              <w14:schemeClr w14:val="tx1"/>
            </w14:solidFill>
          </w14:textFill>
        </w:rPr>
        <w:sectPr>
          <w:pgSz w:w="11906" w:h="16838"/>
          <w:pgMar w:top="1276" w:right="1440" w:bottom="1276" w:left="1440" w:header="720" w:footer="720" w:gutter="0"/>
          <w:cols w:space="720" w:num="1"/>
          <w:docGrid w:linePitch="326" w:charSpace="0"/>
        </w:sectPr>
      </w:pPr>
      <w:r>
        <w:rPr>
          <w:rFonts w:ascii="Times New Roman" w:hAnsi="Times New Roman" w:eastAsia="宋体"/>
          <w:color w:val="000000" w:themeColor="text1"/>
          <w:szCs w:val="24"/>
          <w14:textFill>
            <w14:solidFill>
              <w14:schemeClr w14:val="tx1"/>
            </w14:solidFill>
          </w14:textFill>
        </w:rPr>
        <w:t>本项目1号地块噪声源主要有等离子切割机、激光切割机、卷板机、钻床、焊机、废气处理设施风机、空压机等。2号地块噪声源主要有废气处理设施风机、空压机、喷砂机。噪声值为75～95dB（A）。项目主要噪声源调查清单见表2.4-12、2.4-13。</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表2.4-12  项目1号地块噪声源调查清单（室内声源）</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850"/>
        <w:gridCol w:w="567"/>
        <w:gridCol w:w="709"/>
        <w:gridCol w:w="709"/>
        <w:gridCol w:w="567"/>
        <w:gridCol w:w="567"/>
        <w:gridCol w:w="567"/>
        <w:gridCol w:w="708"/>
        <w:gridCol w:w="567"/>
        <w:gridCol w:w="567"/>
        <w:gridCol w:w="567"/>
        <w:gridCol w:w="567"/>
        <w:gridCol w:w="567"/>
        <w:gridCol w:w="426"/>
        <w:gridCol w:w="850"/>
        <w:gridCol w:w="567"/>
        <w:gridCol w:w="567"/>
        <w:gridCol w:w="533"/>
        <w:gridCol w:w="459"/>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建筑物名称</w:t>
            </w:r>
          </w:p>
        </w:tc>
        <w:tc>
          <w:tcPr>
            <w:tcW w:w="1701"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声源名称</w:t>
            </w:r>
          </w:p>
        </w:tc>
        <w:tc>
          <w:tcPr>
            <w:tcW w:w="850"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声源源强</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距声源1m处的声压级</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/dB（A）</w:t>
            </w:r>
          </w:p>
        </w:tc>
        <w:tc>
          <w:tcPr>
            <w:tcW w:w="567"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声源控制措施</w:t>
            </w:r>
          </w:p>
        </w:tc>
        <w:tc>
          <w:tcPr>
            <w:tcW w:w="1985" w:type="dxa"/>
            <w:gridSpan w:val="3"/>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空间相对位置/m</w:t>
            </w:r>
          </w:p>
        </w:tc>
        <w:tc>
          <w:tcPr>
            <w:tcW w:w="2409" w:type="dxa"/>
            <w:gridSpan w:val="4"/>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距室内边界距离/m</w:t>
            </w:r>
          </w:p>
        </w:tc>
        <w:tc>
          <w:tcPr>
            <w:tcW w:w="2268" w:type="dxa"/>
            <w:gridSpan w:val="4"/>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室内边界声级/dB(A)</w:t>
            </w:r>
          </w:p>
        </w:tc>
        <w:tc>
          <w:tcPr>
            <w:tcW w:w="426"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运行时段</w:t>
            </w:r>
          </w:p>
        </w:tc>
        <w:tc>
          <w:tcPr>
            <w:tcW w:w="850"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建筑物插入损失dB(A)</w:t>
            </w:r>
          </w:p>
        </w:tc>
        <w:tc>
          <w:tcPr>
            <w:tcW w:w="2804" w:type="dxa"/>
            <w:gridSpan w:val="5"/>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701"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567"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985" w:type="dxa"/>
            <w:gridSpan w:val="3"/>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409" w:type="dxa"/>
            <w:gridSpan w:val="4"/>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268" w:type="dxa"/>
            <w:gridSpan w:val="4"/>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126" w:type="dxa"/>
            <w:gridSpan w:val="4"/>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声压级/dB（A）</w:t>
            </w:r>
          </w:p>
        </w:tc>
        <w:tc>
          <w:tcPr>
            <w:tcW w:w="678"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701"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567"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X</w:t>
            </w:r>
          </w:p>
        </w:tc>
        <w:tc>
          <w:tcPr>
            <w:tcW w:w="70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Y</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Z</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708"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533"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45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678"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选用低噪声设备、建筑隔声、减振等</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70 </w:t>
            </w:r>
          </w:p>
        </w:tc>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昼夜间</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66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75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龙门焊机1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60型工钢矫正机</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气刨机1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等离子切割机1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等离子切割机2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激光切割机1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激光切割机2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火焰切割机1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火焰切割机2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铣边机</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数控钻床1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数控龙门铣床</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71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废气处理设施风机</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等离子切割机3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十字焊机1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十字焊机2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十字焊机3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十字焊机4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卷板机</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相贯线切割机</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71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数控钻床2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74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钻床10</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气保焊机10</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气保焊机19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气保焊机20</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龙门焊机2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气刨机2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气刨机3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6#车间</w:t>
            </w: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钻床17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80</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62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气保焊机29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26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气保焊机30</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气保焊机31</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气保焊机32</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气保焊机33</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214</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45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30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241</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52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217</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42</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13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气保焊机39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-34</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142</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19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气保焊机40</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埋弧焊机6</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96</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埋弧焊机7</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240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12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22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埋弧焊机8</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43</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198</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61</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埋弧焊机9</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-47</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-56</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147</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99</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46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气刨机4</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-35</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164</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32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35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31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17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20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28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16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70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气刨机5</w:t>
            </w: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75</w:t>
            </w:r>
          </w:p>
        </w:tc>
        <w:tc>
          <w:tcPr>
            <w:tcW w:w="56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70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120</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200</w:t>
            </w:r>
          </w:p>
        </w:tc>
        <w:tc>
          <w:tcPr>
            <w:tcW w:w="70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59</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33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29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40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18 </w:t>
            </w:r>
          </w:p>
        </w:tc>
        <w:tc>
          <w:tcPr>
            <w:tcW w:w="567"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14 </w:t>
            </w:r>
          </w:p>
        </w:tc>
        <w:tc>
          <w:tcPr>
            <w:tcW w:w="533"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459"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286" w:type="dxa"/>
            <w:gridSpan w:val="22"/>
            <w:shd w:val="clear" w:color="auto" w:fill="auto"/>
            <w:vAlign w:val="center"/>
          </w:tcPr>
          <w:p>
            <w:pPr>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w:t>
            </w:r>
            <w:r>
              <w:rPr>
                <w:rFonts w:hint="eastAsia" w:ascii="宋体" w:hAnsi="宋体" w:eastAsia="宋体" w:cs="宋体"/>
                <w:color w:val="000000" w:themeColor="text1"/>
                <w:kern w:val="0"/>
                <w:sz w:val="21"/>
                <w:szCs w:val="21"/>
                <w14:textFill>
                  <w14:solidFill>
                    <w14:schemeClr w14:val="tx1"/>
                  </w14:solidFill>
                </w14:textFill>
              </w:rPr>
              <w:t>①</w:t>
            </w:r>
            <w:r>
              <w:rPr>
                <w:rFonts w:eastAsia="宋体"/>
                <w:color w:val="000000" w:themeColor="text1"/>
                <w:kern w:val="0"/>
                <w:sz w:val="21"/>
                <w:szCs w:val="21"/>
                <w14:textFill>
                  <w14:solidFill>
                    <w14:schemeClr w14:val="tx1"/>
                  </w14:solidFill>
                </w14:textFill>
              </w:rPr>
              <w:t>根据建设单位提供资料，项目生产车间均为钢结构，车间墙体均设有封闭的玻璃窗；1~2#车间为连体结构，3~6#车间为连体结构，2#车间与3~6#车间设有人流、物流通道，参照《工业企业噪声控制设计规范》（GB/T50087-2013），墙体及门窗平均隔声损失15dB（A）。</w:t>
            </w:r>
          </w:p>
          <w:p>
            <w:pPr>
              <w:spacing w:line="240" w:lineRule="auto"/>
              <w:ind w:firstLine="420"/>
              <w:jc w:val="left"/>
              <w:rPr>
                <w:rFonts w:eastAsia="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②</w:t>
            </w:r>
            <w:r>
              <w:rPr>
                <w:rFonts w:eastAsia="宋体"/>
                <w:color w:val="000000" w:themeColor="text1"/>
                <w:kern w:val="0"/>
                <w:sz w:val="21"/>
                <w:szCs w:val="21"/>
                <w14:textFill>
                  <w14:solidFill>
                    <w14:schemeClr w14:val="tx1"/>
                  </w14:solidFill>
                </w14:textFill>
              </w:rPr>
              <w:t>以1号地块中央位置为坐标原点（0,0）。</w:t>
            </w:r>
          </w:p>
        </w:tc>
      </w:tr>
    </w:tbl>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表2.4-13  项目2号地块噪声源调查清单</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850"/>
        <w:gridCol w:w="709"/>
        <w:gridCol w:w="709"/>
        <w:gridCol w:w="567"/>
        <w:gridCol w:w="567"/>
        <w:gridCol w:w="567"/>
        <w:gridCol w:w="708"/>
        <w:gridCol w:w="567"/>
        <w:gridCol w:w="426"/>
        <w:gridCol w:w="141"/>
        <w:gridCol w:w="567"/>
        <w:gridCol w:w="567"/>
        <w:gridCol w:w="95"/>
        <w:gridCol w:w="472"/>
        <w:gridCol w:w="426"/>
        <w:gridCol w:w="472"/>
        <w:gridCol w:w="378"/>
        <w:gridCol w:w="567"/>
        <w:gridCol w:w="425"/>
        <w:gridCol w:w="142"/>
        <w:gridCol w:w="533"/>
        <w:gridCol w:w="459"/>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286" w:type="dxa"/>
            <w:gridSpan w:val="26"/>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室内声源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建筑物名称</w:t>
            </w:r>
          </w:p>
        </w:tc>
        <w:tc>
          <w:tcPr>
            <w:tcW w:w="1134"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声源名称</w:t>
            </w:r>
          </w:p>
        </w:tc>
        <w:tc>
          <w:tcPr>
            <w:tcW w:w="851"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声源源强</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距声源1m处的声压级</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/dB（A）</w:t>
            </w:r>
          </w:p>
        </w:tc>
        <w:tc>
          <w:tcPr>
            <w:tcW w:w="850"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声源控制措施</w:t>
            </w:r>
          </w:p>
        </w:tc>
        <w:tc>
          <w:tcPr>
            <w:tcW w:w="1985" w:type="dxa"/>
            <w:gridSpan w:val="3"/>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空间相对位置/m</w:t>
            </w:r>
          </w:p>
        </w:tc>
        <w:tc>
          <w:tcPr>
            <w:tcW w:w="2409" w:type="dxa"/>
            <w:gridSpan w:val="4"/>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距室内边界距离/m</w:t>
            </w:r>
          </w:p>
        </w:tc>
        <w:tc>
          <w:tcPr>
            <w:tcW w:w="2268" w:type="dxa"/>
            <w:gridSpan w:val="6"/>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室内边界声级/dB(A)</w:t>
            </w:r>
          </w:p>
        </w:tc>
        <w:tc>
          <w:tcPr>
            <w:tcW w:w="426"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运行时段</w:t>
            </w:r>
          </w:p>
        </w:tc>
        <w:tc>
          <w:tcPr>
            <w:tcW w:w="850" w:type="dxa"/>
            <w:gridSpan w:val="2"/>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建筑物插入损失dB(A)</w:t>
            </w:r>
          </w:p>
        </w:tc>
        <w:tc>
          <w:tcPr>
            <w:tcW w:w="2804" w:type="dxa"/>
            <w:gridSpan w:val="6"/>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1"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985" w:type="dxa"/>
            <w:gridSpan w:val="3"/>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409" w:type="dxa"/>
            <w:gridSpan w:val="4"/>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268" w:type="dxa"/>
            <w:gridSpan w:val="6"/>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gridSpan w:val="2"/>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126" w:type="dxa"/>
            <w:gridSpan w:val="5"/>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声压级/dB（A）</w:t>
            </w:r>
          </w:p>
        </w:tc>
        <w:tc>
          <w:tcPr>
            <w:tcW w:w="678" w:type="dxa"/>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134"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1"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X</w:t>
            </w:r>
          </w:p>
        </w:tc>
        <w:tc>
          <w:tcPr>
            <w:tcW w:w="70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Y</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Z</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708"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567" w:type="dxa"/>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567" w:type="dxa"/>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426"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850" w:type="dxa"/>
            <w:gridSpan w:val="2"/>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567"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东</w:t>
            </w:r>
          </w:p>
        </w:tc>
        <w:tc>
          <w:tcPr>
            <w:tcW w:w="567" w:type="dxa"/>
            <w:gridSpan w:val="2"/>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南</w:t>
            </w:r>
          </w:p>
        </w:tc>
        <w:tc>
          <w:tcPr>
            <w:tcW w:w="533"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西</w:t>
            </w:r>
          </w:p>
        </w:tc>
        <w:tc>
          <w:tcPr>
            <w:tcW w:w="459" w:type="dxa"/>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北</w:t>
            </w:r>
          </w:p>
        </w:tc>
        <w:tc>
          <w:tcPr>
            <w:tcW w:w="678" w:type="dxa"/>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喷砂车间</w:t>
            </w:r>
          </w:p>
        </w:tc>
        <w:tc>
          <w:tcPr>
            <w:tcW w:w="1134"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喷砂机</w:t>
            </w:r>
            <w:r>
              <w:rPr>
                <w:rFonts w:eastAsia="宋体"/>
                <w:color w:val="000000" w:themeColor="text1"/>
                <w:kern w:val="0"/>
                <w:sz w:val="21"/>
                <w:szCs w:val="21"/>
                <w14:textFill>
                  <w14:solidFill>
                    <w14:schemeClr w14:val="tx1"/>
                  </w14:solidFill>
                </w14:textFill>
              </w:rPr>
              <w:t>1</w:t>
            </w:r>
          </w:p>
        </w:tc>
        <w:tc>
          <w:tcPr>
            <w:tcW w:w="85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5</w:t>
            </w:r>
          </w:p>
        </w:tc>
        <w:tc>
          <w:tcPr>
            <w:tcW w:w="850"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选用低噪声设备、建筑隔声、减振等</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708"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65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63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67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67 </w:t>
            </w:r>
          </w:p>
        </w:tc>
        <w:tc>
          <w:tcPr>
            <w:tcW w:w="426" w:type="dxa"/>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昼夜间</w:t>
            </w:r>
          </w:p>
        </w:tc>
        <w:tc>
          <w:tcPr>
            <w:tcW w:w="850"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50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48 </w:t>
            </w:r>
          </w:p>
        </w:tc>
        <w:tc>
          <w:tcPr>
            <w:tcW w:w="5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52 </w:t>
            </w:r>
          </w:p>
        </w:tc>
        <w:tc>
          <w:tcPr>
            <w:tcW w:w="45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52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喷砂机</w:t>
            </w:r>
            <w:r>
              <w:rPr>
                <w:rFonts w:eastAsia="宋体"/>
                <w:color w:val="000000" w:themeColor="text1"/>
                <w:kern w:val="0"/>
                <w:sz w:val="21"/>
                <w:szCs w:val="21"/>
                <w14:textFill>
                  <w14:solidFill>
                    <w14:schemeClr w14:val="tx1"/>
                  </w14:solidFill>
                </w14:textFill>
              </w:rPr>
              <w:t>2</w:t>
            </w:r>
          </w:p>
        </w:tc>
        <w:tc>
          <w:tcPr>
            <w:tcW w:w="85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5</w:t>
            </w: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708"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71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70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71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70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56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55 </w:t>
            </w:r>
          </w:p>
        </w:tc>
        <w:tc>
          <w:tcPr>
            <w:tcW w:w="5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56 </w:t>
            </w:r>
          </w:p>
        </w:tc>
        <w:tc>
          <w:tcPr>
            <w:tcW w:w="45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55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风机2</w:t>
            </w:r>
          </w:p>
        </w:tc>
        <w:tc>
          <w:tcPr>
            <w:tcW w:w="85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w:t>
            </w: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47</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708"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70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72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72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68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55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57 </w:t>
            </w:r>
          </w:p>
        </w:tc>
        <w:tc>
          <w:tcPr>
            <w:tcW w:w="5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57 </w:t>
            </w:r>
          </w:p>
        </w:tc>
        <w:tc>
          <w:tcPr>
            <w:tcW w:w="45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53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空压机房</w:t>
            </w:r>
          </w:p>
        </w:tc>
        <w:tc>
          <w:tcPr>
            <w:tcW w:w="1134"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w:t>
            </w:r>
            <w:r>
              <w:rPr>
                <w:rFonts w:hint="eastAsia" w:eastAsia="宋体"/>
                <w:color w:val="000000" w:themeColor="text1"/>
                <w:kern w:val="0"/>
                <w:sz w:val="21"/>
                <w:szCs w:val="21"/>
                <w14:textFill>
                  <w14:solidFill>
                    <w14:schemeClr w14:val="tx1"/>
                  </w14:solidFill>
                </w14:textFill>
              </w:rPr>
              <w:t>1</w:t>
            </w:r>
          </w:p>
        </w:tc>
        <w:tc>
          <w:tcPr>
            <w:tcW w:w="85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95</w:t>
            </w: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708"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83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83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89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89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68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68 </w:t>
            </w:r>
          </w:p>
        </w:tc>
        <w:tc>
          <w:tcPr>
            <w:tcW w:w="5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74 </w:t>
            </w:r>
          </w:p>
        </w:tc>
        <w:tc>
          <w:tcPr>
            <w:tcW w:w="45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74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134"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空压机2</w:t>
            </w:r>
          </w:p>
        </w:tc>
        <w:tc>
          <w:tcPr>
            <w:tcW w:w="851"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w:t>
            </w:r>
            <w:r>
              <w:rPr>
                <w:rFonts w:eastAsia="宋体"/>
                <w:color w:val="000000" w:themeColor="text1"/>
                <w:kern w:val="0"/>
                <w:sz w:val="21"/>
                <w:szCs w:val="21"/>
                <w14:textFill>
                  <w14:solidFill>
                    <w14:schemeClr w14:val="tx1"/>
                  </w14:solidFill>
                </w14:textFill>
              </w:rPr>
              <w:t>5</w:t>
            </w: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37</w:t>
            </w:r>
          </w:p>
        </w:tc>
        <w:tc>
          <w:tcPr>
            <w:tcW w:w="70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08"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89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89 </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83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83 </w:t>
            </w:r>
          </w:p>
        </w:tc>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67"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74 </w:t>
            </w:r>
          </w:p>
        </w:tc>
        <w:tc>
          <w:tcPr>
            <w:tcW w:w="567" w:type="dxa"/>
            <w:gridSpan w:val="2"/>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74 </w:t>
            </w:r>
          </w:p>
        </w:tc>
        <w:tc>
          <w:tcPr>
            <w:tcW w:w="533"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68 </w:t>
            </w:r>
          </w:p>
        </w:tc>
        <w:tc>
          <w:tcPr>
            <w:tcW w:w="459" w:type="dxa"/>
            <w:shd w:val="clear" w:color="auto" w:fill="auto"/>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68 </w:t>
            </w:r>
          </w:p>
        </w:tc>
        <w:tc>
          <w:tcPr>
            <w:tcW w:w="678" w:type="dxa"/>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286" w:type="dxa"/>
            <w:gridSpan w:val="26"/>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室外声源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gridSpan w:val="2"/>
            <w:vMerge w:val="restar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声源名称</w:t>
            </w:r>
          </w:p>
        </w:tc>
        <w:tc>
          <w:tcPr>
            <w:tcW w:w="4253" w:type="dxa"/>
            <w:gridSpan w:val="6"/>
            <w:vMerge w:val="restart"/>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声源源强</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距声源1m处的声压级</w:t>
            </w:r>
            <w:r>
              <w:rPr>
                <w:rFonts w:hint="eastAsia" w:eastAsia="宋体"/>
                <w:b/>
                <w:bCs/>
                <w:color w:val="000000" w:themeColor="text1"/>
                <w:kern w:val="0"/>
                <w:sz w:val="21"/>
                <w:szCs w:val="21"/>
                <w14:textFill>
                  <w14:solidFill>
                    <w14:schemeClr w14:val="tx1"/>
                  </w14:solidFill>
                </w14:textFill>
              </w:rPr>
              <w:t>）</w:t>
            </w:r>
            <w:r>
              <w:rPr>
                <w:rFonts w:eastAsia="宋体"/>
                <w:b/>
                <w:bCs/>
                <w:color w:val="000000" w:themeColor="text1"/>
                <w:kern w:val="0"/>
                <w:sz w:val="21"/>
                <w:szCs w:val="21"/>
                <w14:textFill>
                  <w14:solidFill>
                    <w14:schemeClr w14:val="tx1"/>
                  </w14:solidFill>
                </w14:textFill>
              </w:rPr>
              <w:t>/dB（A）</w:t>
            </w:r>
          </w:p>
        </w:tc>
        <w:tc>
          <w:tcPr>
            <w:tcW w:w="2268" w:type="dxa"/>
            <w:gridSpan w:val="4"/>
            <w:vMerge w:val="restart"/>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声源控制措施</w:t>
            </w:r>
          </w:p>
        </w:tc>
        <w:tc>
          <w:tcPr>
            <w:tcW w:w="4110" w:type="dxa"/>
            <w:gridSpan w:val="10"/>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空间相对位置/m</w:t>
            </w:r>
          </w:p>
        </w:tc>
        <w:tc>
          <w:tcPr>
            <w:tcW w:w="1812" w:type="dxa"/>
            <w:gridSpan w:val="4"/>
            <w:vMerge w:val="restar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gridSpan w:val="2"/>
            <w:vMerge w:val="continue"/>
            <w:vAlign w:val="center"/>
          </w:tcPr>
          <w:p>
            <w:pPr>
              <w:spacing w:line="240" w:lineRule="auto"/>
              <w:jc w:val="center"/>
              <w:rPr>
                <w:rFonts w:eastAsia="宋体"/>
                <w:b/>
                <w:color w:val="000000" w:themeColor="text1"/>
                <w:kern w:val="0"/>
                <w:sz w:val="21"/>
                <w:szCs w:val="21"/>
                <w14:textFill>
                  <w14:solidFill>
                    <w14:schemeClr w14:val="tx1"/>
                  </w14:solidFill>
                </w14:textFill>
              </w:rPr>
            </w:pPr>
          </w:p>
        </w:tc>
        <w:tc>
          <w:tcPr>
            <w:tcW w:w="4253" w:type="dxa"/>
            <w:gridSpan w:val="6"/>
            <w:vMerge w:val="continue"/>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2268" w:type="dxa"/>
            <w:gridSpan w:val="4"/>
            <w:vMerge w:val="continue"/>
            <w:vAlign w:val="center"/>
          </w:tcPr>
          <w:p>
            <w:pPr>
              <w:spacing w:line="240" w:lineRule="auto"/>
              <w:jc w:val="center"/>
              <w:rPr>
                <w:rFonts w:eastAsia="宋体"/>
                <w:b/>
                <w:bCs/>
                <w:color w:val="000000" w:themeColor="text1"/>
                <w:kern w:val="0"/>
                <w:sz w:val="21"/>
                <w:szCs w:val="21"/>
                <w14:textFill>
                  <w14:solidFill>
                    <w14:schemeClr w14:val="tx1"/>
                  </w14:solidFill>
                </w14:textFill>
              </w:rPr>
            </w:pPr>
          </w:p>
        </w:tc>
        <w:tc>
          <w:tcPr>
            <w:tcW w:w="1370" w:type="dxa"/>
            <w:gridSpan w:val="4"/>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X</w:t>
            </w:r>
          </w:p>
        </w:tc>
        <w:tc>
          <w:tcPr>
            <w:tcW w:w="1370" w:type="dxa"/>
            <w:gridSpan w:val="3"/>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Y</w:t>
            </w:r>
          </w:p>
        </w:tc>
        <w:tc>
          <w:tcPr>
            <w:tcW w:w="1370" w:type="dxa"/>
            <w:gridSpan w:val="3"/>
            <w:shd w:val="clear" w:color="auto" w:fill="auto"/>
            <w:vAlign w:val="center"/>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Z</w:t>
            </w:r>
          </w:p>
        </w:tc>
        <w:tc>
          <w:tcPr>
            <w:tcW w:w="1812" w:type="dxa"/>
            <w:gridSpan w:val="4"/>
            <w:vMerge w:val="continue"/>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gridSpan w:val="2"/>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风机3</w:t>
            </w:r>
          </w:p>
        </w:tc>
        <w:tc>
          <w:tcPr>
            <w:tcW w:w="4253" w:type="dxa"/>
            <w:gridSpan w:val="6"/>
            <w:shd w:val="clear" w:color="auto" w:fill="auto"/>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90</w:t>
            </w:r>
          </w:p>
        </w:tc>
        <w:tc>
          <w:tcPr>
            <w:tcW w:w="2268" w:type="dxa"/>
            <w:gridSpan w:val="4"/>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选用低噪声设备、基础减振</w:t>
            </w:r>
          </w:p>
        </w:tc>
        <w:tc>
          <w:tcPr>
            <w:tcW w:w="1370" w:type="dxa"/>
            <w:gridSpan w:val="4"/>
            <w:shd w:val="clear" w:color="auto" w:fill="auto"/>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41</w:t>
            </w:r>
          </w:p>
        </w:tc>
        <w:tc>
          <w:tcPr>
            <w:tcW w:w="1370" w:type="dxa"/>
            <w:gridSpan w:val="3"/>
            <w:shd w:val="clear" w:color="auto" w:fill="auto"/>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40</w:t>
            </w:r>
          </w:p>
        </w:tc>
        <w:tc>
          <w:tcPr>
            <w:tcW w:w="1370" w:type="dxa"/>
            <w:gridSpan w:val="3"/>
            <w:shd w:val="clear" w:color="auto" w:fill="auto"/>
            <w:vAlign w:val="center"/>
          </w:tcPr>
          <w:p>
            <w:pPr>
              <w:spacing w:line="240" w:lineRule="auto"/>
              <w:jc w:val="center"/>
              <w:rPr>
                <w:rFonts w:eastAsia="宋体"/>
                <w:bCs/>
                <w:color w:val="000000" w:themeColor="text1"/>
                <w:kern w:val="0"/>
                <w:sz w:val="21"/>
                <w:szCs w:val="21"/>
                <w14:textFill>
                  <w14:solidFill>
                    <w14:schemeClr w14:val="tx1"/>
                  </w14:solidFill>
                </w14:textFill>
              </w:rPr>
            </w:pPr>
            <w:r>
              <w:rPr>
                <w:rFonts w:eastAsia="宋体"/>
                <w:bCs/>
                <w:color w:val="000000" w:themeColor="text1"/>
                <w:kern w:val="0"/>
                <w:sz w:val="21"/>
                <w:szCs w:val="21"/>
                <w14:textFill>
                  <w14:solidFill>
                    <w14:schemeClr w14:val="tx1"/>
                  </w14:solidFill>
                </w14:textFill>
              </w:rPr>
              <w:t>1.5</w:t>
            </w:r>
          </w:p>
        </w:tc>
        <w:tc>
          <w:tcPr>
            <w:tcW w:w="1812" w:type="dxa"/>
            <w:gridSpan w:val="4"/>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昼夜间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286" w:type="dxa"/>
            <w:gridSpan w:val="26"/>
            <w:vAlign w:val="center"/>
          </w:tcPr>
          <w:p>
            <w:pPr>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w:t>
            </w:r>
            <w:r>
              <w:rPr>
                <w:rFonts w:hint="eastAsia" w:ascii="宋体" w:hAnsi="宋体" w:eastAsia="宋体" w:cs="宋体"/>
                <w:color w:val="000000" w:themeColor="text1"/>
                <w:kern w:val="0"/>
                <w:sz w:val="21"/>
                <w:szCs w:val="21"/>
                <w14:textFill>
                  <w14:solidFill>
                    <w14:schemeClr w14:val="tx1"/>
                  </w14:solidFill>
                </w14:textFill>
              </w:rPr>
              <w:t>①</w:t>
            </w:r>
            <w:r>
              <w:rPr>
                <w:rFonts w:eastAsia="宋体"/>
                <w:color w:val="000000" w:themeColor="text1"/>
                <w:kern w:val="0"/>
                <w:sz w:val="21"/>
                <w:szCs w:val="21"/>
                <w14:textFill>
                  <w14:solidFill>
                    <w14:schemeClr w14:val="tx1"/>
                  </w14:solidFill>
                </w14:textFill>
              </w:rPr>
              <w:t>以2号地块中央为坐标原点（0,0,0）。</w:t>
            </w:r>
          </w:p>
          <w:p>
            <w:pPr>
              <w:spacing w:line="240" w:lineRule="auto"/>
              <w:jc w:val="left"/>
              <w:rPr>
                <w:rFonts w:eastAsia="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②</w:t>
            </w:r>
            <w:r>
              <w:rPr>
                <w:rFonts w:eastAsia="宋体"/>
                <w:color w:val="000000" w:themeColor="text1"/>
                <w:kern w:val="0"/>
                <w:sz w:val="21"/>
                <w:szCs w:val="21"/>
                <w14:textFill>
                  <w14:solidFill>
                    <w14:schemeClr w14:val="tx1"/>
                  </w14:solidFill>
                </w14:textFill>
              </w:rPr>
              <w:t>喷砂车间和空压机房均采用钢结构，设有出入门，参照《工业企业噪声控制设计规范》（GB/T50087-2013），墙体及门平均隔声损失15dB（A）。</w:t>
            </w:r>
          </w:p>
        </w:tc>
      </w:tr>
    </w:tbl>
    <w:p>
      <w:pPr>
        <w:pStyle w:val="272"/>
        <w:ind w:firstLine="480"/>
        <w:rPr>
          <w:rFonts w:ascii="Times New Roman" w:hAnsi="Times New Roman" w:eastAsia="宋体"/>
          <w:color w:val="000000" w:themeColor="text1"/>
          <w:szCs w:val="24"/>
          <w14:textFill>
            <w14:solidFill>
              <w14:schemeClr w14:val="tx1"/>
            </w14:solidFill>
          </w14:textFill>
        </w:rPr>
      </w:pPr>
    </w:p>
    <w:p>
      <w:pPr>
        <w:pStyle w:val="272"/>
        <w:ind w:firstLine="480"/>
        <w:rPr>
          <w:rFonts w:ascii="Times New Roman" w:hAnsi="Times New Roman" w:eastAsia="宋体"/>
          <w:color w:val="000000" w:themeColor="text1"/>
          <w:szCs w:val="24"/>
          <w14:textFill>
            <w14:solidFill>
              <w14:schemeClr w14:val="tx1"/>
            </w14:solidFill>
          </w14:textFill>
        </w:rPr>
      </w:pPr>
    </w:p>
    <w:p>
      <w:pPr>
        <w:pStyle w:val="272"/>
        <w:ind w:firstLine="480"/>
        <w:rPr>
          <w:rFonts w:ascii="Times New Roman" w:hAnsi="Times New Roman" w:eastAsia="宋体"/>
          <w:color w:val="000000" w:themeColor="text1"/>
          <w:szCs w:val="24"/>
          <w14:textFill>
            <w14:solidFill>
              <w14:schemeClr w14:val="tx1"/>
            </w14:solidFill>
          </w14:textFill>
        </w:rPr>
        <w:sectPr>
          <w:pgSz w:w="16838" w:h="11906" w:orient="landscape"/>
          <w:pgMar w:top="1440" w:right="1276" w:bottom="1440" w:left="1276" w:header="720" w:footer="720" w:gutter="0"/>
          <w:cols w:space="720" w:num="1"/>
          <w:docGrid w:linePitch="326" w:charSpace="0"/>
        </w:sectPr>
      </w:pPr>
    </w:p>
    <w:p>
      <w:pPr>
        <w:keepNext/>
        <w:keepLines/>
        <w:adjustRightInd w:val="0"/>
        <w:outlineLvl w:val="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2.4.4固体废物</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本项目运营期间的固体废物类型有一般工业固废、危险废物</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生活垃圾</w:t>
      </w:r>
      <w:r>
        <w:rPr>
          <w:rFonts w:hint="eastAsia" w:ascii="Times New Roman" w:hAnsi="Times New Roman" w:eastAsia="宋体"/>
          <w:color w:val="000000" w:themeColor="text1"/>
          <w:szCs w:val="24"/>
          <w14:textFill>
            <w14:solidFill>
              <w14:schemeClr w14:val="tx1"/>
            </w14:solidFill>
          </w14:textFill>
        </w:rPr>
        <w:t>和餐厨垃圾</w:t>
      </w:r>
      <w:r>
        <w:rPr>
          <w:rFonts w:ascii="Times New Roman" w:hAnsi="Times New Roman" w:eastAsia="宋体"/>
          <w:color w:val="000000" w:themeColor="text1"/>
          <w:szCs w:val="24"/>
          <w14:textFill>
            <w14:solidFill>
              <w14:schemeClr w14:val="tx1"/>
            </w14:solidFill>
          </w14:textFill>
        </w:rPr>
        <w:t>。</w:t>
      </w:r>
    </w:p>
    <w:p>
      <w:pPr>
        <w:pStyle w:val="272"/>
        <w:numPr>
          <w:ilvl w:val="0"/>
          <w:numId w:val="11"/>
        </w:numPr>
        <w:ind w:firstLine="482"/>
        <w:rPr>
          <w:rFonts w:ascii="Times New Roman" w:hAnsi="Times New Roman" w:eastAsia="宋体"/>
          <w:b/>
          <w:bCs/>
          <w:color w:val="000000" w:themeColor="text1"/>
          <w:szCs w:val="24"/>
          <w14:textFill>
            <w14:solidFill>
              <w14:schemeClr w14:val="tx1"/>
            </w14:solidFill>
          </w14:textFill>
        </w:rPr>
      </w:pPr>
      <w:r>
        <w:rPr>
          <w:rFonts w:ascii="Times New Roman" w:hAnsi="Times New Roman" w:eastAsia="宋体"/>
          <w:b/>
          <w:bCs/>
          <w:color w:val="000000" w:themeColor="text1"/>
          <w:szCs w:val="24"/>
          <w14:textFill>
            <w14:solidFill>
              <w14:schemeClr w14:val="tx1"/>
            </w14:solidFill>
          </w14:textFill>
        </w:rPr>
        <w:t>一般工业固体废物</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ascii="Times New Roman" w:hAnsi="Times New Roman" w:eastAsia="宋体"/>
          <w:color w:val="000000" w:themeColor="text1"/>
          <w:szCs w:val="24"/>
          <w14:textFill>
            <w14:solidFill>
              <w14:schemeClr w14:val="tx1"/>
            </w14:solidFill>
          </w14:textFill>
        </w:rPr>
        <w:t>废边角料S1（900-001-S17）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项目废边角料主要来源钢材切割等过程，其主要成分为钢。根据建设单位提供资料，废边角料产生量约占钢板原料用量的5%。项目钢板年用量31600t/a，则废边角料产生量为1580t/a。</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ascii="Times New Roman" w:hAnsi="Times New Roman" w:eastAsia="宋体"/>
          <w:color w:val="000000" w:themeColor="text1"/>
          <w:szCs w:val="24"/>
          <w14:textFill>
            <w14:solidFill>
              <w14:schemeClr w14:val="tx1"/>
            </w14:solidFill>
          </w14:textFill>
        </w:rPr>
        <w:t>焊渣S4（900-002-S17）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项目焊接过程中产生的废焊渣。参考《机加工行业环境影响评价中常见污染物源强估算及污染治理》章节2.4固体废物估算及处理措施中“焊渣=焊材使用量×（1/11+4%）”。则项目废焊材产生量约58.9t/a。</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ascii="Times New Roman" w:hAnsi="Times New Roman" w:eastAsia="宋体"/>
          <w:color w:val="000000" w:themeColor="text1"/>
          <w:szCs w:val="24"/>
          <w14:textFill>
            <w14:solidFill>
              <w14:schemeClr w14:val="tx1"/>
            </w14:solidFill>
          </w14:textFill>
        </w:rPr>
        <w:t>收尘灰S11（900-001-S17）</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滤筒除尘、</w:t>
      </w:r>
      <w:r>
        <w:rPr>
          <w:rFonts w:ascii="Times New Roman" w:hAnsi="Times New Roman" w:eastAsia="宋体"/>
          <w:color w:val="000000" w:themeColor="text1"/>
          <w:szCs w:val="24"/>
          <w14:textFill>
            <w14:solidFill>
              <w14:schemeClr w14:val="tx1"/>
            </w14:solidFill>
          </w14:textFill>
        </w:rPr>
        <w:t>布袋除尘器和移动式焊烟净化器收集的收尘灰。根据废气产排污分析，项目1号地块收尘灰约29.792t/a；2号地块收尘灰约64.429t/a。</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ascii="Times New Roman" w:hAnsi="Times New Roman" w:eastAsia="宋体"/>
          <w:color w:val="000000" w:themeColor="text1"/>
          <w:szCs w:val="24"/>
          <w14:textFill>
            <w14:solidFill>
              <w14:schemeClr w14:val="tx1"/>
            </w14:solidFill>
          </w14:textFill>
        </w:rPr>
        <w:t>生化池污泥S14（900-099-S07）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项目1#生化池废水处理量为7379.8m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/a，2#生化池废水处理量为1574.92m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/a。污泥产率按1.5L-污泥/m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-污水计算，污泥密度按1.08t/m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计。则项目1#地块污泥产生量为11.96t/a，2#地块污泥产生量为2.55t/a。生化池污泥应委托有资质单位定期清掏，然后交环卫部门清运处理。</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⑤</w:t>
      </w:r>
      <w:r>
        <w:rPr>
          <w:rFonts w:ascii="Times New Roman" w:hAnsi="Times New Roman" w:eastAsia="宋体"/>
          <w:color w:val="000000" w:themeColor="text1"/>
          <w:szCs w:val="24"/>
          <w14:textFill>
            <w14:solidFill>
              <w14:schemeClr w14:val="tx1"/>
            </w14:solidFill>
          </w14:textFill>
        </w:rPr>
        <w:t>废包装材料S15（900-005-S17）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项目焊材、钢砂包装拆解下来的废包装材料，预计1号地块废包装材料产生量约5t/a，2号地块废包装材料产生量约3t/a。</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⑥</w:t>
      </w:r>
      <w:r>
        <w:rPr>
          <w:rFonts w:ascii="Times New Roman" w:hAnsi="Times New Roman" w:eastAsia="宋体"/>
          <w:color w:val="000000" w:themeColor="text1"/>
          <w:szCs w:val="24"/>
          <w14:textFill>
            <w14:solidFill>
              <w14:schemeClr w14:val="tx1"/>
            </w14:solidFill>
          </w14:textFill>
        </w:rPr>
        <w:t>废钢砂S16（900-001-S17）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项目喷砂工序产生废钢砂，根据建设单位提供资料，回收的废钢砂约占钢砂使用量的10%，则废钢砂产生量约30t/a。</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⑦</w:t>
      </w:r>
      <w:r>
        <w:rPr>
          <w:rFonts w:ascii="Times New Roman" w:hAnsi="Times New Roman" w:eastAsia="宋体"/>
          <w:color w:val="000000" w:themeColor="text1"/>
          <w:szCs w:val="24"/>
          <w14:textFill>
            <w14:solidFill>
              <w14:schemeClr w14:val="tx1"/>
            </w14:solidFill>
          </w14:textFill>
        </w:rPr>
        <w:t>废水性漆包装桶S22（900-99-S17）</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项目废水性漆包装桶产生数量约2165个，单桶质量约0.5kg，则产生废水性漆包装桶约1.08t/a。</w:t>
      </w:r>
    </w:p>
    <w:p>
      <w:pPr>
        <w:pStyle w:val="272"/>
        <w:numPr>
          <w:ilvl w:val="0"/>
          <w:numId w:val="11"/>
        </w:numPr>
        <w:ind w:firstLine="482"/>
        <w:rPr>
          <w:rFonts w:ascii="Times New Roman" w:hAnsi="Times New Roman" w:eastAsia="宋体"/>
          <w:b/>
          <w:bCs/>
          <w:color w:val="000000" w:themeColor="text1"/>
          <w:szCs w:val="24"/>
          <w14:textFill>
            <w14:solidFill>
              <w14:schemeClr w14:val="tx1"/>
            </w14:solidFill>
          </w14:textFill>
        </w:rPr>
      </w:pPr>
      <w:r>
        <w:rPr>
          <w:rFonts w:ascii="Times New Roman" w:hAnsi="Times New Roman" w:eastAsia="宋体"/>
          <w:b/>
          <w:bCs/>
          <w:color w:val="000000" w:themeColor="text1"/>
          <w:szCs w:val="24"/>
          <w14:textFill>
            <w14:solidFill>
              <w14:schemeClr w14:val="tx1"/>
            </w14:solidFill>
          </w14:textFill>
        </w:rPr>
        <w:t>危险废物</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废含油金属屑S2（HW08,900-249-08）</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项目钻孔、铣边过程产生的废含油金属屑。根据建设单位提供资料，废含油金属屑约占钢板原料用量的0.05%，即15.8t/a。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废切削液S3（HW09,900-006-09）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项目切削液循环使用，定期更换，考虑蒸发及工件带走等损失，废切削液产生量约1.5t/a。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废润滑油S5（HW08,900-214-08）</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项目设备维护保养过程产生，废润滑油产生量约0.2t/a</w:t>
      </w:r>
      <w:r>
        <w:rPr>
          <w:rFonts w:hint="eastAsia"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废油桶S6（HW08,900-249-08）</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项目1号地块废油桶产生量约278个/a，2号地块废油桶产生量约2个/a。单桶质量约0.5kg，则产生废油桶分别为0.139t/a、0.001t/a。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废含油棉纱手套S7（900-041-49）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项目设备维护保养过程，产生的废含油棉纱手套，1号地块和2号地块分别产生量约0.006t/a、0.004t/a。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⑤</w:t>
      </w:r>
      <w:r>
        <w:rPr>
          <w:rFonts w:eastAsia="宋体"/>
          <w:color w:val="000000" w:themeColor="text1"/>
          <w:szCs w:val="24"/>
          <w14:textFill>
            <w14:solidFill>
              <w14:schemeClr w14:val="tx1"/>
            </w14:solidFill>
          </w14:textFill>
        </w:rPr>
        <w:t>废空压机油S8（HW08,900-249-08）</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空压机维护保养更换下来的废空压机油，每台空压机产生废空压机油约0.002t，共0.008t/a。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⑥</w:t>
      </w:r>
      <w:r>
        <w:rPr>
          <w:rFonts w:eastAsia="宋体"/>
          <w:color w:val="000000" w:themeColor="text1"/>
          <w:szCs w:val="24"/>
          <w14:textFill>
            <w14:solidFill>
              <w14:schemeClr w14:val="tx1"/>
            </w14:solidFill>
          </w14:textFill>
        </w:rPr>
        <w:t>废油渣S13（HW08,900-210-08）</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2#隔油沉淀设施和</w:t>
      </w:r>
      <w:r>
        <w:rPr>
          <w:rFonts w:hint="eastAsia" w:eastAsia="宋体"/>
          <w:color w:val="000000" w:themeColor="text1"/>
          <w:szCs w:val="24"/>
          <w14:textFill>
            <w14:solidFill>
              <w14:schemeClr w14:val="tx1"/>
            </w14:solidFill>
          </w14:textFill>
        </w:rPr>
        <w:t>生产废水处理设施隔油</w:t>
      </w:r>
      <w:r>
        <w:rPr>
          <w:rFonts w:eastAsia="宋体"/>
          <w:color w:val="000000" w:themeColor="text1"/>
          <w:szCs w:val="24"/>
          <w14:textFill>
            <w14:solidFill>
              <w14:schemeClr w14:val="tx1"/>
            </w14:solidFill>
          </w14:textFill>
        </w:rPr>
        <w:t>产生的废油渣，定期清理。根据废水产排污分析，分别产生量约0.009t/a、0.003t/a。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⑦</w:t>
      </w:r>
      <w:r>
        <w:rPr>
          <w:rFonts w:eastAsia="宋体"/>
          <w:color w:val="000000" w:themeColor="text1"/>
          <w:szCs w:val="24"/>
          <w14:textFill>
            <w14:solidFill>
              <w14:schemeClr w14:val="tx1"/>
            </w14:solidFill>
          </w14:textFill>
        </w:rPr>
        <w:t>废漆渣S17（</w:t>
      </w:r>
      <w:r>
        <w:rPr>
          <w:rFonts w:hint="eastAsia" w:eastAsia="宋体"/>
          <w:color w:val="000000" w:themeColor="text1"/>
          <w:szCs w:val="24"/>
          <w14:textFill>
            <w14:solidFill>
              <w14:schemeClr w14:val="tx1"/>
            </w14:solidFill>
          </w14:textFill>
        </w:rPr>
        <w:t>H</w:t>
      </w:r>
      <w:r>
        <w:rPr>
          <w:rFonts w:eastAsia="宋体"/>
          <w:color w:val="000000" w:themeColor="text1"/>
          <w:szCs w:val="24"/>
          <w14:textFill>
            <w14:solidFill>
              <w14:schemeClr w14:val="tx1"/>
            </w14:solidFill>
          </w14:textFill>
        </w:rPr>
        <w:t>W12,900-252-12）</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气旋喷淋水池打捞以及涂装车间喷漆工位各位置掉落的漆渣，根据工程分析，漆渣产生量约27.023</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⑧</w:t>
      </w:r>
      <w:r>
        <w:rPr>
          <w:rFonts w:eastAsia="宋体"/>
          <w:color w:val="000000" w:themeColor="text1"/>
          <w:szCs w:val="24"/>
          <w14:textFill>
            <w14:solidFill>
              <w14:schemeClr w14:val="tx1"/>
            </w14:solidFill>
          </w14:textFill>
        </w:rPr>
        <w:t>废含油漆防护手套S18（HW49,900-041-49）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项目涂装过程，员工戴防护手套操作，更换下来的废含油漆防护手套，产生量约0.05t/a。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⑨</w:t>
      </w:r>
      <w:r>
        <w:rPr>
          <w:rFonts w:eastAsia="宋体"/>
          <w:color w:val="000000" w:themeColor="text1"/>
          <w:szCs w:val="24"/>
          <w14:textFill>
            <w14:solidFill>
              <w14:schemeClr w14:val="tx1"/>
            </w14:solidFill>
          </w14:textFill>
        </w:rPr>
        <w:t>废过滤棉S19（HW49,900-041-49）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项目涂装废气处理设施更换的废过滤棉。参考《漆雾高效过滤净化法的关键-过滤材料》（高淑敏，科技纵横），过滤棉容尘取4.5kg/m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，密度约500g/m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。根据废气产排污分析，项目进入吸附棉的漆雾颗粒物量为4.285t/a，废过滤棉产生量约0.48t/a。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⑩</w:t>
      </w:r>
      <w:r>
        <w:rPr>
          <w:rFonts w:eastAsia="宋体"/>
          <w:color w:val="000000" w:themeColor="text1"/>
          <w:szCs w:val="24"/>
          <w14:textFill>
            <w14:solidFill>
              <w14:schemeClr w14:val="tx1"/>
            </w14:solidFill>
          </w14:textFill>
        </w:rPr>
        <w:t>废活性炭S20（HW49,900-039-49）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本项目涂装废气采用“干式过滤+活性炭吸附浓缩+催化燃烧”处理，废气经活性炭吸附浓缩后再通过脱附，然后进入催化燃烧装置进行燃烧处理。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一套活性炭吸附系统采用3套活性炭吸附箱，采用蜂窝状活性炭，</w:t>
      </w:r>
      <w:r>
        <w:rPr>
          <w:rFonts w:hint="eastAsia" w:eastAsia="宋体"/>
          <w:color w:val="000000" w:themeColor="text1"/>
          <w:szCs w:val="24"/>
          <w14:textFill>
            <w14:solidFill>
              <w14:schemeClr w14:val="tx1"/>
            </w14:solidFill>
          </w14:textFill>
        </w:rPr>
        <w:t>活性炭碘吸附值应不低于6</w:t>
      </w:r>
      <w:r>
        <w:rPr>
          <w:rFonts w:eastAsia="宋体"/>
          <w:color w:val="000000" w:themeColor="text1"/>
          <w:szCs w:val="24"/>
          <w14:textFill>
            <w14:solidFill>
              <w14:schemeClr w14:val="tx1"/>
            </w14:solidFill>
          </w14:textFill>
        </w:rPr>
        <w:t>50</w:t>
      </w:r>
      <w:r>
        <w:rPr>
          <w:rFonts w:hint="eastAsia" w:eastAsia="宋体"/>
          <w:color w:val="000000" w:themeColor="text1"/>
          <w:szCs w:val="24"/>
          <w14:textFill>
            <w14:solidFill>
              <w14:schemeClr w14:val="tx1"/>
            </w14:solidFill>
          </w14:textFill>
        </w:rPr>
        <w:t>mg</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g。</w:t>
      </w:r>
      <w:r>
        <w:rPr>
          <w:rFonts w:eastAsia="宋体"/>
          <w:color w:val="000000" w:themeColor="text1"/>
          <w:szCs w:val="24"/>
          <w14:textFill>
            <w14:solidFill>
              <w14:schemeClr w14:val="tx1"/>
            </w14:solidFill>
          </w14:textFill>
        </w:rPr>
        <w:t>单个活性炭吸附箱一次装填量2m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（一共6m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按照实际运行情况，废气处理装置采用连续吸脱附工艺，吸附饱和后，由电加热的催化燃烧装置供给热空气进入活性炭箱进行热风循环脱附，脱附下来的废气进入催化燃烧装置进行燃烧。根据经验计算，活性炭密度为0.4t/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，活性炭吸附量按照5吨活性炭吸附1t有机废气计，则每个箱体达到饱和时吸附有机废气量为160kg。每年更换一次废活性炭，废活性炭产生量为2.88t/a。</w:t>
      </w:r>
    </w:p>
    <w:p>
      <w:pPr>
        <w:ind w:firstLine="480"/>
        <w:rPr>
          <w:rFonts w:eastAsia="宋体"/>
          <w:color w:val="000000" w:themeColor="text1"/>
          <w:szCs w:val="24"/>
          <w14:textFill>
            <w14:solidFill>
              <w14:schemeClr w14:val="tx1"/>
            </w14:solidFill>
          </w14:textFill>
        </w:rPr>
      </w:pPr>
      <w:r>
        <w:rPr>
          <w:rFonts w:ascii="Cambria Math" w:hAnsi="Cambria Math" w:eastAsia="宋体" w:cs="Cambria Math"/>
          <w:color w:val="000000" w:themeColor="text1"/>
          <w:szCs w:val="24"/>
          <w14:textFill>
            <w14:solidFill>
              <w14:schemeClr w14:val="tx1"/>
            </w14:solidFill>
          </w14:textFill>
        </w:rPr>
        <w:t>⑪</w:t>
      </w:r>
      <w:r>
        <w:rPr>
          <w:rFonts w:eastAsia="宋体"/>
          <w:color w:val="000000" w:themeColor="text1"/>
          <w:szCs w:val="24"/>
          <w14:textFill>
            <w14:solidFill>
              <w14:schemeClr w14:val="tx1"/>
            </w14:solidFill>
          </w14:textFill>
        </w:rPr>
        <w:t>废催化剂S21（HW50,772-007-50）</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本项目催化燃烧装置使用催化剂（铂、钯、钌等贵金属），由于催化剂使用两年后催化能力减弱，需更换处理，以保证催化效率，则废催化剂需每2年更换一次，每次约0.5t。</w:t>
      </w:r>
    </w:p>
    <w:p>
      <w:pPr>
        <w:ind w:firstLine="480"/>
        <w:rPr>
          <w:rFonts w:eastAsia="宋体"/>
          <w:color w:val="000000" w:themeColor="text1"/>
          <w:szCs w:val="24"/>
          <w14:textFill>
            <w14:solidFill>
              <w14:schemeClr w14:val="tx1"/>
            </w14:solidFill>
          </w14:textFill>
        </w:rPr>
      </w:pPr>
      <w:r>
        <w:rPr>
          <w:rFonts w:ascii="Cambria Math" w:hAnsi="Cambria Math" w:eastAsia="宋体" w:cs="Cambria Math"/>
          <w:color w:val="000000" w:themeColor="text1"/>
          <w:szCs w:val="24"/>
          <w14:textFill>
            <w14:solidFill>
              <w14:schemeClr w14:val="tx1"/>
            </w14:solidFill>
          </w14:textFill>
        </w:rPr>
        <w:t>⑫</w:t>
      </w:r>
      <w:r>
        <w:rPr>
          <w:rFonts w:eastAsia="宋体"/>
          <w:color w:val="000000" w:themeColor="text1"/>
          <w:szCs w:val="24"/>
          <w14:textFill>
            <w14:solidFill>
              <w14:schemeClr w14:val="tx1"/>
            </w14:solidFill>
          </w14:textFill>
        </w:rPr>
        <w:t>废油性漆包装桶S23（HW49,900-041-49）</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项目废油性漆包装桶产生量约2074个，单桶质量约0.5kg，则产生废水性漆包装桶约1.04t/a。</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项目危险废物统一暂存于危废暂存间，定期交有资质单位处理。本项目共设置2间危废暂存间，分别为：1#危废暂存间位于1号地块的办公楼1层，面积约10m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；2#危废暂存间位于2号地块的办公楼1层，面积约10m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项目危废暂存间基本情况见表2.4-14，危险废物统计见表2.4-15。</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表2.4-14  项目危险废物贮存场所（设施）基本情况表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159"/>
        <w:gridCol w:w="1695"/>
        <w:gridCol w:w="821"/>
        <w:gridCol w:w="1469"/>
        <w:gridCol w:w="749"/>
        <w:gridCol w:w="749"/>
        <w:gridCol w:w="689"/>
        <w:gridCol w:w="754"/>
        <w:gridCol w:w="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序号</w:t>
            </w:r>
          </w:p>
        </w:tc>
        <w:tc>
          <w:tcPr>
            <w:tcW w:w="627"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贮存场所（设施）名称</w:t>
            </w:r>
          </w:p>
        </w:tc>
        <w:tc>
          <w:tcPr>
            <w:tcW w:w="917"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危险废物名称</w:t>
            </w:r>
          </w:p>
        </w:tc>
        <w:tc>
          <w:tcPr>
            <w:tcW w:w="444"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危险废物类别</w:t>
            </w:r>
          </w:p>
        </w:tc>
        <w:tc>
          <w:tcPr>
            <w:tcW w:w="795"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危险废物代码</w:t>
            </w:r>
          </w:p>
        </w:tc>
        <w:tc>
          <w:tcPr>
            <w:tcW w:w="405"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位置</w:t>
            </w:r>
          </w:p>
        </w:tc>
        <w:tc>
          <w:tcPr>
            <w:tcW w:w="405"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占地面积</w:t>
            </w:r>
          </w:p>
        </w:tc>
        <w:tc>
          <w:tcPr>
            <w:tcW w:w="373"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贮存</w:t>
            </w:r>
          </w:p>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方式</w:t>
            </w:r>
          </w:p>
        </w:tc>
        <w:tc>
          <w:tcPr>
            <w:tcW w:w="408"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贮存能力</w:t>
            </w:r>
          </w:p>
        </w:tc>
        <w:tc>
          <w:tcPr>
            <w:tcW w:w="389" w:type="pct"/>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627"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1#危废暂存间</w:t>
            </w: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废含油金属屑</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900-249-08</w:t>
            </w:r>
          </w:p>
        </w:tc>
        <w:tc>
          <w:tcPr>
            <w:tcW w:w="405"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1号地块的办公楼1层</w:t>
            </w:r>
          </w:p>
        </w:tc>
        <w:tc>
          <w:tcPr>
            <w:tcW w:w="405"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10m</w:t>
            </w:r>
            <w:r>
              <w:rPr>
                <w:color w:val="000000" w:themeColor="text1"/>
                <w:sz w:val="21"/>
                <w:vertAlign w:val="superscript"/>
                <w14:textFill>
                  <w14:solidFill>
                    <w14:schemeClr w14:val="tx1"/>
                  </w14:solidFill>
                </w14:textFill>
              </w:rPr>
              <w:t>2</w:t>
            </w:r>
          </w:p>
        </w:tc>
        <w:tc>
          <w:tcPr>
            <w:tcW w:w="373"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桶装</w:t>
            </w:r>
          </w:p>
        </w:tc>
        <w:tc>
          <w:tcPr>
            <w:tcW w:w="408"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10t</w:t>
            </w:r>
          </w:p>
        </w:tc>
        <w:tc>
          <w:tcPr>
            <w:tcW w:w="389"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不超过1年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HW09</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900-006-09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废润滑油</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topLinePunct/>
              <w:adjustRightInd w:val="0"/>
              <w:snapToGrid w:val="0"/>
              <w:spacing w:line="240" w:lineRule="auto"/>
              <w:jc w:val="center"/>
              <w:rPr>
                <w:rFonts w:eastAsia="宋体"/>
                <w:color w:val="000000" w:themeColor="text1"/>
                <w:spacing w:val="8"/>
                <w:sz w:val="21"/>
                <w:szCs w:val="21"/>
                <w14:textFill>
                  <w14:solidFill>
                    <w14:schemeClr w14:val="tx1"/>
                  </w14:solidFill>
                </w14:textFill>
              </w:rPr>
            </w:pPr>
            <w:r>
              <w:rPr>
                <w:rFonts w:eastAsia="宋体"/>
                <w:color w:val="000000" w:themeColor="text1"/>
                <w:spacing w:val="8"/>
                <w:sz w:val="21"/>
                <w:szCs w:val="21"/>
                <w14:textFill>
                  <w14:solidFill>
                    <w14:schemeClr w14:val="tx1"/>
                  </w14:solidFill>
                </w14:textFill>
              </w:rPr>
              <w:t>900-214-08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4</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废油桶</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900-249-08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废含油棉纱手套</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6</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废空压机油</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900-249-08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7</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900-210-08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8</w:t>
            </w:r>
          </w:p>
        </w:tc>
        <w:tc>
          <w:tcPr>
            <w:tcW w:w="627"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2#危废暂存间</w:t>
            </w: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废油桶</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900-249-08</w:t>
            </w:r>
          </w:p>
        </w:tc>
        <w:tc>
          <w:tcPr>
            <w:tcW w:w="405"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2号地块的办公楼1层</w:t>
            </w:r>
          </w:p>
        </w:tc>
        <w:tc>
          <w:tcPr>
            <w:tcW w:w="405"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10m</w:t>
            </w:r>
            <w:r>
              <w:rPr>
                <w:color w:val="000000" w:themeColor="text1"/>
                <w:sz w:val="21"/>
                <w:vertAlign w:val="superscript"/>
                <w14:textFill>
                  <w14:solidFill>
                    <w14:schemeClr w14:val="tx1"/>
                  </w14:solidFill>
                </w14:textFill>
              </w:rPr>
              <w:t>2</w:t>
            </w: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10t</w:t>
            </w:r>
          </w:p>
        </w:tc>
        <w:tc>
          <w:tcPr>
            <w:tcW w:w="389"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不超过1年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废含油棉纱手套</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废空压机油</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900-249-08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11</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HW08</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900-210-08</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12</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废漆渣</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HW12</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900-252-12</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13</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废含油漆防护手套</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HW49</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14</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废过滤棉</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HW49</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废活性炭</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HW49</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900-039-49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16</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废催化剂</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HW50</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772-007-50</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17</w:t>
            </w:r>
          </w:p>
        </w:tc>
        <w:tc>
          <w:tcPr>
            <w:tcW w:w="627"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917"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废油性漆包装桶</w:t>
            </w:r>
          </w:p>
        </w:tc>
        <w:tc>
          <w:tcPr>
            <w:tcW w:w="444"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HW49</w:t>
            </w:r>
          </w:p>
        </w:tc>
        <w:tc>
          <w:tcPr>
            <w:tcW w:w="795"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900-041-49</w:t>
            </w: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405"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sz w:val="21"/>
                <w14:textFill>
                  <w14:solidFill>
                    <w14:schemeClr w14:val="tx1"/>
                  </w14:solidFill>
                </w14:textFill>
              </w:rPr>
              <w:t>桶装</w:t>
            </w:r>
          </w:p>
        </w:tc>
        <w:tc>
          <w:tcPr>
            <w:tcW w:w="408"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389" w:type="pct"/>
            <w:vMerge w:val="continue"/>
            <w:vAlign w:val="center"/>
          </w:tcPr>
          <w:p>
            <w:pPr>
              <w:pStyle w:val="296"/>
              <w:spacing w:line="240" w:lineRule="auto"/>
              <w:ind w:firstLine="0"/>
              <w:rPr>
                <w:color w:val="000000" w:themeColor="text1"/>
                <w:sz w:val="21"/>
                <w14:textFill>
                  <w14:solidFill>
                    <w14:schemeClr w14:val="tx1"/>
                  </w14:solidFill>
                </w14:textFill>
              </w:rPr>
            </w:pPr>
          </w:p>
        </w:tc>
      </w:tr>
    </w:tbl>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表2.4-15  本项目生产过程中产生的危险废物汇总表</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849"/>
        <w:gridCol w:w="738"/>
        <w:gridCol w:w="805"/>
        <w:gridCol w:w="859"/>
        <w:gridCol w:w="758"/>
        <w:gridCol w:w="477"/>
        <w:gridCol w:w="749"/>
        <w:gridCol w:w="567"/>
        <w:gridCol w:w="567"/>
        <w:gridCol w:w="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危险废物</w:t>
            </w:r>
          </w:p>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名称</w:t>
            </w:r>
          </w:p>
        </w:tc>
        <w:tc>
          <w:tcPr>
            <w:tcW w:w="1849"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危废编号</w:t>
            </w:r>
          </w:p>
        </w:tc>
        <w:tc>
          <w:tcPr>
            <w:tcW w:w="2402" w:type="dxa"/>
            <w:gridSpan w:val="3"/>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产生量</w:t>
            </w:r>
          </w:p>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（t/a）</w:t>
            </w:r>
          </w:p>
        </w:tc>
        <w:tc>
          <w:tcPr>
            <w:tcW w:w="758"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产生工序及装置</w:t>
            </w:r>
          </w:p>
        </w:tc>
        <w:tc>
          <w:tcPr>
            <w:tcW w:w="477"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形态</w:t>
            </w:r>
          </w:p>
        </w:tc>
        <w:tc>
          <w:tcPr>
            <w:tcW w:w="749"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主要</w:t>
            </w:r>
          </w:p>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成分</w:t>
            </w:r>
          </w:p>
        </w:tc>
        <w:tc>
          <w:tcPr>
            <w:tcW w:w="567"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产废周期</w:t>
            </w:r>
          </w:p>
        </w:tc>
        <w:tc>
          <w:tcPr>
            <w:tcW w:w="567"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危险</w:t>
            </w:r>
          </w:p>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特性</w:t>
            </w:r>
          </w:p>
        </w:tc>
        <w:tc>
          <w:tcPr>
            <w:tcW w:w="804" w:type="dxa"/>
            <w:vMerge w:val="restart"/>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49"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738"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1号地块</w:t>
            </w:r>
          </w:p>
        </w:tc>
        <w:tc>
          <w:tcPr>
            <w:tcW w:w="805" w:type="dxa"/>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2号地块</w:t>
            </w:r>
          </w:p>
        </w:tc>
        <w:tc>
          <w:tcPr>
            <w:tcW w:w="859" w:type="dxa"/>
            <w:vAlign w:val="center"/>
          </w:tcPr>
          <w:p>
            <w:pPr>
              <w:topLinePunct/>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合计</w:t>
            </w:r>
          </w:p>
        </w:tc>
        <w:tc>
          <w:tcPr>
            <w:tcW w:w="758"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477"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749"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567"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567"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804" w:type="dxa"/>
            <w:vMerge w:val="continue"/>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废含油金属屑</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758" w:type="dxa"/>
            <w:vMerge w:val="restart"/>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钻、铣</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restart"/>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分类暂存于危废暂存间，定期有资质的单位处置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18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HW09,900-006-09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758"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液态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废润滑油</w:t>
            </w:r>
          </w:p>
        </w:tc>
        <w:tc>
          <w:tcPr>
            <w:tcW w:w="18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HW08,900-214-08</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758" w:type="dxa"/>
            <w:vMerge w:val="restart"/>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维修保养</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液态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废油桶</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0.139</w:t>
            </w:r>
          </w:p>
        </w:tc>
        <w:tc>
          <w:tcPr>
            <w:tcW w:w="805"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0.14</w:t>
            </w:r>
          </w:p>
        </w:tc>
        <w:tc>
          <w:tcPr>
            <w:tcW w:w="758" w:type="dxa"/>
            <w:vMerge w:val="continue"/>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废含油纱手套</w:t>
            </w:r>
          </w:p>
        </w:tc>
        <w:tc>
          <w:tcPr>
            <w:tcW w:w="18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900-041-49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0.004</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w:t>
            </w:r>
          </w:p>
        </w:tc>
        <w:tc>
          <w:tcPr>
            <w:tcW w:w="758"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废空压机油</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0.004</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0.002</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758"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空压机</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液态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矿物油</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HW08,900-210-08</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.009</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.003</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0.012</w:t>
            </w:r>
          </w:p>
        </w:tc>
        <w:tc>
          <w:tcPr>
            <w:tcW w:w="758"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喷漆</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油漆</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废漆渣</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HW12,900-252-12</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7.023</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7.023</w:t>
            </w:r>
          </w:p>
        </w:tc>
        <w:tc>
          <w:tcPr>
            <w:tcW w:w="758"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喷枪清洁</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液态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油漆</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废含油漆防护手套</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0.05</w:t>
            </w:r>
          </w:p>
        </w:tc>
        <w:tc>
          <w:tcPr>
            <w:tcW w:w="758"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喷漆</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油漆</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T/In</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废过滤棉</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.48</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.48</w:t>
            </w:r>
          </w:p>
        </w:tc>
        <w:tc>
          <w:tcPr>
            <w:tcW w:w="758" w:type="dxa"/>
            <w:vMerge w:val="restart"/>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废气处理</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油漆</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T/In</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废活性炭</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HW49,900-039-49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2.88</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2.88</w:t>
            </w:r>
          </w:p>
        </w:tc>
        <w:tc>
          <w:tcPr>
            <w:tcW w:w="758"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有机废气</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废催化剂</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HW50,772-007-50</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0.5</w:t>
            </w:r>
          </w:p>
        </w:tc>
        <w:tc>
          <w:tcPr>
            <w:tcW w:w="758"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铂、钯</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废油性漆包装桶</w:t>
            </w:r>
          </w:p>
        </w:tc>
        <w:tc>
          <w:tcPr>
            <w:tcW w:w="1849"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38"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05"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1.04</w:t>
            </w:r>
          </w:p>
        </w:tc>
        <w:tc>
          <w:tcPr>
            <w:tcW w:w="85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1.04</w:t>
            </w:r>
          </w:p>
        </w:tc>
        <w:tc>
          <w:tcPr>
            <w:tcW w:w="758"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原料包装</w:t>
            </w:r>
          </w:p>
        </w:tc>
        <w:tc>
          <w:tcPr>
            <w:tcW w:w="47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固态</w:t>
            </w:r>
          </w:p>
        </w:tc>
        <w:tc>
          <w:tcPr>
            <w:tcW w:w="749"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油漆</w:t>
            </w:r>
          </w:p>
        </w:tc>
        <w:tc>
          <w:tcPr>
            <w:tcW w:w="567" w:type="dxa"/>
            <w:vAlign w:val="center"/>
          </w:tcPr>
          <w:p>
            <w:pPr>
              <w:spacing w:line="240" w:lineRule="auto"/>
              <w:jc w:val="center"/>
              <w:rPr>
                <w:rFonts w:eastAsia="宋体"/>
                <w:color w:val="000000" w:themeColor="text1"/>
                <w14:textFill>
                  <w14:solidFill>
                    <w14:schemeClr w14:val="tx1"/>
                  </w14:solidFill>
                </w14:textFill>
              </w:rPr>
            </w:pPr>
            <w:r>
              <w:rPr>
                <w:rFonts w:eastAsia="宋体"/>
                <w:color w:val="000000" w:themeColor="text1"/>
                <w:kern w:val="0"/>
                <w:sz w:val="21"/>
                <w:szCs w:val="21"/>
                <w14:textFill>
                  <w14:solidFill>
                    <w14:schemeClr w14:val="tx1"/>
                  </w14:solidFill>
                </w14:textFill>
              </w:rPr>
              <w:t>间断</w:t>
            </w:r>
          </w:p>
        </w:tc>
        <w:tc>
          <w:tcPr>
            <w:tcW w:w="56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T/In</w:t>
            </w:r>
          </w:p>
        </w:tc>
        <w:tc>
          <w:tcPr>
            <w:tcW w:w="804" w:type="dxa"/>
            <w:vMerge w:val="continue"/>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bl>
    <w:p>
      <w:pPr>
        <w:ind w:firstLine="480"/>
        <w:rPr>
          <w:rFonts w:eastAsia="宋体"/>
          <w:bCs/>
          <w:color w:val="000000" w:themeColor="text1"/>
          <w:szCs w:val="21"/>
          <w14:textFill>
            <w14:solidFill>
              <w14:schemeClr w14:val="tx1"/>
            </w14:solidFill>
          </w14:textFill>
        </w:rPr>
      </w:pPr>
      <w:r>
        <w:rPr>
          <w:rFonts w:eastAsia="宋体"/>
          <w:bCs/>
          <w:color w:val="000000" w:themeColor="text1"/>
          <w:szCs w:val="21"/>
          <w14:textFill>
            <w14:solidFill>
              <w14:schemeClr w14:val="tx1"/>
            </w14:solidFill>
          </w14:textFill>
        </w:rPr>
        <w:t>注：T为毒性，I为易燃性，In为感染性。</w:t>
      </w:r>
    </w:p>
    <w:p>
      <w:pPr>
        <w:ind w:firstLine="482"/>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（3）生活垃圾S9、餐厨垃圾S10、废油脂S12</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生活垃圾</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00-001-S62</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00-002-S62</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：每人生活垃圾产生量以0.5kg/d计，项目1号地块劳动定员180人，2号地块劳动定员20人。则1号地块和2号地块生活垃圾分别为28.8ta、3.2t/a。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餐厨垃圾</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00-002-S61</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：每人餐厨垃圾产生量以0.25kg/d计。则1号地块和2号地块的餐厨垃圾分别为14.4t/a、1.6t/a。</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废油脂</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00-002-S61</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：食堂废水隔油沉淀设施产生的废油脂。根据废水产排污分析，1号地块和2号地块废油脂产生量分别为0.117t/a、0.013t/a。</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本项目主要固体废物产生情况及治理措施详见表2.4-16。</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表2.4-16  本项目主要固体废物产生情况及治理措施</w:t>
      </w:r>
    </w:p>
    <w:tbl>
      <w:tblPr>
        <w:tblStyle w:val="89"/>
        <w:tblW w:w="87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671"/>
        <w:gridCol w:w="1892"/>
        <w:gridCol w:w="1836"/>
        <w:gridCol w:w="794"/>
        <w:gridCol w:w="990"/>
        <w:gridCol w:w="849"/>
        <w:gridCol w:w="1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563" w:type="dxa"/>
            <w:gridSpan w:val="2"/>
            <w:vMerge w:val="restart"/>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类别</w:t>
            </w:r>
          </w:p>
        </w:tc>
        <w:tc>
          <w:tcPr>
            <w:tcW w:w="1836" w:type="dxa"/>
            <w:vMerge w:val="restart"/>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代码</w:t>
            </w:r>
          </w:p>
        </w:tc>
        <w:tc>
          <w:tcPr>
            <w:tcW w:w="2633" w:type="dxa"/>
            <w:gridSpan w:val="3"/>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产生量（t/a）</w:t>
            </w:r>
          </w:p>
        </w:tc>
        <w:tc>
          <w:tcPr>
            <w:tcW w:w="1760" w:type="dxa"/>
            <w:vMerge w:val="restart"/>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563" w:type="dxa"/>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3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794"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1号地块</w:t>
            </w:r>
          </w:p>
        </w:tc>
        <w:tc>
          <w:tcPr>
            <w:tcW w:w="990"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2号地块</w:t>
            </w:r>
          </w:p>
        </w:tc>
        <w:tc>
          <w:tcPr>
            <w:tcW w:w="849"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合计</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一般工业固废</w:t>
            </w: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废边角料</w:t>
            </w:r>
          </w:p>
        </w:tc>
        <w:tc>
          <w:tcPr>
            <w:tcW w:w="183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900-001-S17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1580</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1580</w:t>
            </w:r>
          </w:p>
        </w:tc>
        <w:tc>
          <w:tcPr>
            <w:tcW w:w="1760"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外售物资回收部门综合利用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焊渣</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900-001-S17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58.9</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58.9</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收尘灰</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900-001-S17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29.792</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64.429</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94.221</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废包装材料</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900-005-S17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8</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废钢砂</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900-001-S17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30</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废水性漆包装桶</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900-99-S17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.08</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.08</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生化池污泥</w:t>
            </w:r>
          </w:p>
        </w:tc>
        <w:tc>
          <w:tcPr>
            <w:tcW w:w="1836" w:type="dxa"/>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900-099-S07</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1.96</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.55</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4.51</w:t>
            </w:r>
          </w:p>
        </w:tc>
        <w:tc>
          <w:tcPr>
            <w:tcW w:w="176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83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900-001-S62、900-002-S62</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8.8</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r>
              <w:rPr>
                <w:color w:val="000000" w:themeColor="text1"/>
                <w:sz w:val="21"/>
                <w14:textFill>
                  <w14:solidFill>
                    <w14:schemeClr w14:val="tx1"/>
                  </w14:solidFill>
                </w14:textFill>
              </w:rPr>
              <w:t>.2</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32</w:t>
            </w:r>
          </w:p>
        </w:tc>
        <w:tc>
          <w:tcPr>
            <w:tcW w:w="176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餐厨垃圾</w:t>
            </w:r>
          </w:p>
        </w:tc>
        <w:tc>
          <w:tcPr>
            <w:tcW w:w="183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900-002-S61</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4.4</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.6</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16</w:t>
            </w:r>
          </w:p>
        </w:tc>
        <w:tc>
          <w:tcPr>
            <w:tcW w:w="1760"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交由资质单位处置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废油脂</w:t>
            </w:r>
          </w:p>
        </w:tc>
        <w:tc>
          <w:tcPr>
            <w:tcW w:w="183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900-002-S61</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.117</w:t>
            </w:r>
          </w:p>
        </w:tc>
        <w:tc>
          <w:tcPr>
            <w:tcW w:w="99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.013</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0.130</w:t>
            </w:r>
          </w:p>
        </w:tc>
        <w:tc>
          <w:tcPr>
            <w:tcW w:w="1760" w:type="dxa"/>
            <w:vMerge w:val="continue"/>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危险废物</w:t>
            </w: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废含油金属屑</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1760"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定期交有资质单位处置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1836"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HW09,900-006-09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废润滑油</w:t>
            </w:r>
          </w:p>
        </w:tc>
        <w:tc>
          <w:tcPr>
            <w:tcW w:w="1836"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HW08,900-214-08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废油桶</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0.139</w:t>
            </w:r>
          </w:p>
        </w:tc>
        <w:tc>
          <w:tcPr>
            <w:tcW w:w="990"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0.14</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废含油纱手套</w:t>
            </w:r>
          </w:p>
        </w:tc>
        <w:tc>
          <w:tcPr>
            <w:tcW w:w="1836"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0.004</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废空压机油</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0.004</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0.002</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HW08,900-210-08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0.009</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0.003</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0.012</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废漆渣</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HW12,900-252-12</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7.023</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7.023</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废含油漆防护手套</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0.05</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废过滤棉</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.48</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.48</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废活性炭</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HW49,900-039-49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2.88</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2.88</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废催化剂</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HW50,772-007-50</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0.5</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671"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892"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油性漆包装桶</w:t>
            </w:r>
          </w:p>
        </w:tc>
        <w:tc>
          <w:tcPr>
            <w:tcW w:w="1836"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90"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.04</w:t>
            </w:r>
          </w:p>
        </w:tc>
        <w:tc>
          <w:tcPr>
            <w:tcW w:w="849"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.04</w:t>
            </w:r>
          </w:p>
        </w:tc>
        <w:tc>
          <w:tcPr>
            <w:tcW w:w="1760" w:type="dxa"/>
            <w:vMerge w:val="continue"/>
            <w:vAlign w:val="center"/>
          </w:tcPr>
          <w:p>
            <w:pPr>
              <w:pStyle w:val="296"/>
              <w:spacing w:line="240" w:lineRule="auto"/>
              <w:ind w:firstLine="0"/>
              <w:jc w:val="both"/>
              <w:rPr>
                <w:color w:val="000000" w:themeColor="text1"/>
                <w:sz w:val="21"/>
                <w14:textFill>
                  <w14:solidFill>
                    <w14:schemeClr w14:val="tx1"/>
                  </w14:solidFill>
                </w14:textFill>
              </w:rPr>
            </w:pPr>
          </w:p>
        </w:tc>
      </w:tr>
    </w:tbl>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.4.4</w:t>
      </w:r>
      <w:r>
        <w:rPr>
          <w:rFonts w:hint="eastAsia" w:eastAsia="宋体"/>
          <w:b/>
          <w:color w:val="000000" w:themeColor="text1"/>
          <w14:textFill>
            <w14:solidFill>
              <w14:schemeClr w14:val="tx1"/>
            </w14:solidFill>
          </w14:textFill>
        </w:rPr>
        <w:t>交通运输移动源调查</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本项目为大气评价等级一级，编制报告书的工业类项目，根据《环境影响评价技术导则 大气环境》（H</w:t>
      </w:r>
      <w:r>
        <w:rPr>
          <w:rFonts w:eastAsia="宋体"/>
          <w:color w:val="000000" w:themeColor="text1"/>
          <w14:textFill>
            <w14:solidFill>
              <w14:schemeClr w14:val="tx1"/>
            </w14:solidFill>
          </w14:textFill>
        </w:rPr>
        <w:t>J 2.2-2018</w:t>
      </w:r>
      <w:r>
        <w:rPr>
          <w:rFonts w:hint="eastAsia" w:eastAsia="宋体"/>
          <w:color w:val="000000" w:themeColor="text1"/>
          <w14:textFill>
            <w14:solidFill>
              <w14:schemeClr w14:val="tx1"/>
            </w14:solidFill>
          </w14:textFill>
        </w:rPr>
        <w:t>）7</w:t>
      </w:r>
      <w:r>
        <w:rPr>
          <w:rFonts w:eastAsia="宋体"/>
          <w:color w:val="000000" w:themeColor="text1"/>
          <w14:textFill>
            <w14:solidFill>
              <w14:schemeClr w14:val="tx1"/>
            </w14:solidFill>
          </w14:textFill>
        </w:rPr>
        <w:t>.1.1.4</w:t>
      </w:r>
      <w:r>
        <w:rPr>
          <w:rFonts w:hint="eastAsia" w:eastAsia="宋体"/>
          <w:color w:val="000000" w:themeColor="text1"/>
          <w14:textFill>
            <w14:solidFill>
              <w14:schemeClr w14:val="tx1"/>
            </w14:solidFill>
          </w14:textFill>
        </w:rPr>
        <w:t>的相关要求，需分析调查新增交通运输移动源。</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本项目需外购的原辅材料、输出的产品以及1号地块与2号地块工件转运均采取公路运输，项目的物料运输情况见表2</w:t>
      </w:r>
      <w:r>
        <w:rPr>
          <w:rFonts w:eastAsia="宋体"/>
          <w:color w:val="000000" w:themeColor="text1"/>
          <w14:textFill>
            <w14:solidFill>
              <w14:schemeClr w14:val="tx1"/>
            </w14:solidFill>
          </w14:textFill>
        </w:rPr>
        <w:t>.4-17</w:t>
      </w:r>
      <w:r>
        <w:rPr>
          <w:rFonts w:hint="eastAsia" w:eastAsia="宋体"/>
          <w:color w:val="000000" w:themeColor="text1"/>
          <w14:textFill>
            <w14:solidFill>
              <w14:schemeClr w14:val="tx1"/>
            </w14:solidFill>
          </w14:textFill>
        </w:rPr>
        <w:t>。</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表2.4-17  项目</w:t>
      </w:r>
      <w:r>
        <w:rPr>
          <w:rFonts w:hint="eastAsia" w:ascii="Times New Roman" w:hAnsi="Times New Roman" w:eastAsia="宋体"/>
          <w:b/>
          <w:color w:val="000000" w:themeColor="text1"/>
          <w:szCs w:val="24"/>
          <w14:textFill>
            <w14:solidFill>
              <w14:schemeClr w14:val="tx1"/>
            </w14:solidFill>
          </w14:textFill>
        </w:rPr>
        <w:t>物料运输情况一览表</w:t>
      </w:r>
    </w:p>
    <w:tbl>
      <w:tblPr>
        <w:tblStyle w:val="89"/>
        <w:tblW w:w="480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1"/>
        <w:gridCol w:w="2677"/>
        <w:gridCol w:w="1847"/>
        <w:gridCol w:w="1399"/>
        <w:gridCol w:w="19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2615" w:type="dxa"/>
            <w:vAlign w:val="center"/>
          </w:tcPr>
          <w:p>
            <w:pPr>
              <w:pStyle w:val="454"/>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物料名称</w:t>
            </w:r>
          </w:p>
        </w:tc>
        <w:tc>
          <w:tcPr>
            <w:tcW w:w="1804" w:type="dxa"/>
            <w:vAlign w:val="center"/>
          </w:tcPr>
          <w:p>
            <w:pPr>
              <w:pStyle w:val="454"/>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年运输量（t/a）</w:t>
            </w:r>
          </w:p>
        </w:tc>
        <w:tc>
          <w:tcPr>
            <w:tcW w:w="1366" w:type="dxa"/>
            <w:vAlign w:val="center"/>
          </w:tcPr>
          <w:p>
            <w:pPr>
              <w:pStyle w:val="454"/>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运输方式</w:t>
            </w:r>
          </w:p>
        </w:tc>
        <w:tc>
          <w:tcPr>
            <w:tcW w:w="1925" w:type="dxa"/>
            <w:vAlign w:val="center"/>
          </w:tcPr>
          <w:p>
            <w:pPr>
              <w:pStyle w:val="454"/>
              <w:spacing w:line="240" w:lineRule="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钢</w:t>
            </w:r>
            <w:r>
              <w:rPr>
                <w:rFonts w:hint="eastAsia"/>
                <w:color w:val="000000" w:themeColor="text1"/>
                <w:sz w:val="21"/>
                <w:szCs w:val="21"/>
                <w14:textFill>
                  <w14:solidFill>
                    <w14:schemeClr w14:val="tx1"/>
                  </w14:solidFill>
                </w14:textFill>
              </w:rPr>
              <w:t>板</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31600</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供应企业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涂料</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14:textFill>
                  <w14:solidFill>
                    <w14:schemeClr w14:val="tx1"/>
                  </w14:solidFill>
                </w14:textFill>
              </w:rPr>
              <w:t>105.960</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供应企业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焊材</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450</w:t>
            </w:r>
          </w:p>
        </w:tc>
        <w:tc>
          <w:tcPr>
            <w:tcW w:w="1366" w:type="dxa"/>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供应企业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氩气、二氧化碳</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11</w:t>
            </w:r>
            <w:r>
              <w:rPr>
                <w:rFonts w:hint="eastAsia"/>
                <w:color w:val="000000" w:themeColor="text1"/>
                <w:sz w:val="21"/>
                <w:szCs w:val="21"/>
                <w:u w:val="single" w:color="FFFFFF"/>
                <w14:textFill>
                  <w14:solidFill>
                    <w14:schemeClr w14:val="tx1"/>
                  </w14:solidFill>
                </w14:textFill>
              </w:rPr>
              <w:t>万m</w:t>
            </w:r>
            <w:r>
              <w:rPr>
                <w:color w:val="000000" w:themeColor="text1"/>
                <w:sz w:val="21"/>
                <w:szCs w:val="21"/>
                <w:u w:val="single" w:color="FFFFFF"/>
                <w:vertAlign w:val="superscript"/>
                <w14:textFill>
                  <w14:solidFill>
                    <w14:schemeClr w14:val="tx1"/>
                  </w14:solidFill>
                </w14:textFill>
              </w:rPr>
              <w:t>3</w:t>
            </w:r>
            <w:r>
              <w:rPr>
                <w:color w:val="000000" w:themeColor="text1"/>
                <w:sz w:val="21"/>
                <w:szCs w:val="21"/>
                <w:u w:val="single" w:color="FFFFFF"/>
                <w14:textFill>
                  <w14:solidFill>
                    <w14:schemeClr w14:val="tx1"/>
                  </w14:solidFill>
                </w14:textFill>
              </w:rPr>
              <w:t>/</w:t>
            </w:r>
            <w:r>
              <w:rPr>
                <w:rFonts w:hint="eastAsia"/>
                <w:color w:val="000000" w:themeColor="text1"/>
                <w:sz w:val="21"/>
                <w:szCs w:val="21"/>
                <w:u w:val="single" w:color="FFFFFF"/>
                <w14:textFill>
                  <w14:solidFill>
                    <w14:schemeClr w14:val="tx1"/>
                  </w14:solidFill>
                </w14:textFill>
              </w:rPr>
              <w:t>a，约2</w:t>
            </w:r>
            <w:r>
              <w:rPr>
                <w:color w:val="000000" w:themeColor="text1"/>
                <w:sz w:val="21"/>
                <w:szCs w:val="21"/>
                <w:u w:val="single" w:color="FFFFFF"/>
                <w14:textFill>
                  <w14:solidFill>
                    <w14:schemeClr w14:val="tx1"/>
                  </w14:solidFill>
                </w14:textFill>
              </w:rPr>
              <w:t>07</w:t>
            </w:r>
            <w:r>
              <w:rPr>
                <w:rFonts w:hint="eastAsia"/>
                <w:color w:val="000000" w:themeColor="text1"/>
                <w:sz w:val="21"/>
                <w:szCs w:val="21"/>
                <w:u w:val="single" w:color="FFFFFF"/>
                <w14:textFill>
                  <w14:solidFill>
                    <w14:schemeClr w14:val="tx1"/>
                  </w14:solidFill>
                </w14:textFill>
              </w:rPr>
              <w:t>t</w:t>
            </w:r>
            <w:r>
              <w:rPr>
                <w:color w:val="000000" w:themeColor="text1"/>
                <w:sz w:val="21"/>
                <w:szCs w:val="21"/>
                <w:u w:val="single" w:color="FFFFFF"/>
                <w14:textFill>
                  <w14:solidFill>
                    <w14:schemeClr w14:val="tx1"/>
                  </w14:solidFill>
                </w14:textFill>
              </w:rPr>
              <w:t>/</w:t>
            </w:r>
            <w:r>
              <w:rPr>
                <w:rFonts w:hint="eastAsia"/>
                <w:color w:val="000000" w:themeColor="text1"/>
                <w:sz w:val="21"/>
                <w:szCs w:val="21"/>
                <w:u w:val="single" w:color="FFFFFF"/>
                <w14:textFill>
                  <w14:solidFill>
                    <w14:schemeClr w14:val="tx1"/>
                  </w14:solidFill>
                </w14:textFill>
              </w:rPr>
              <w:t>a</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供应企业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钢砂</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空压机油、润滑油、切削液</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305.59</w:t>
            </w:r>
            <w:r>
              <w:rPr>
                <w:rFonts w:hint="eastAsia"/>
                <w:color w:val="000000" w:themeColor="text1"/>
                <w:sz w:val="21"/>
                <w:szCs w:val="21"/>
                <w:u w:val="single" w:color="FFFFFF"/>
                <w14:textFill>
                  <w14:solidFill>
                    <w14:schemeClr w14:val="tx1"/>
                  </w14:solidFill>
                </w14:textFill>
              </w:rPr>
              <w:t>t</w:t>
            </w:r>
            <w:r>
              <w:rPr>
                <w:color w:val="000000" w:themeColor="text1"/>
                <w:sz w:val="21"/>
                <w:szCs w:val="21"/>
                <w:u w:val="single" w:color="FFFFFF"/>
                <w14:textFill>
                  <w14:solidFill>
                    <w14:schemeClr w14:val="tx1"/>
                  </w14:solidFill>
                </w14:textFill>
              </w:rPr>
              <w:t>/</w:t>
            </w:r>
            <w:r>
              <w:rPr>
                <w:rFonts w:hint="eastAsia"/>
                <w:color w:val="000000" w:themeColor="text1"/>
                <w:sz w:val="21"/>
                <w:szCs w:val="21"/>
                <w:u w:val="single" w:color="FFFFFF"/>
                <w14:textFill>
                  <w14:solidFill>
                    <w14:schemeClr w14:val="tx1"/>
                  </w14:solidFill>
                </w14:textFill>
              </w:rPr>
              <w:t>a</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供应企业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78" w:type="dxa"/>
            <w:gridSpan w:val="5"/>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钢桥结构件</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30000</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78" w:type="dxa"/>
            <w:gridSpan w:val="5"/>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一般固废、危险废物、生活垃圾</w:t>
            </w:r>
            <w:r>
              <w:rPr>
                <w:rFonts w:hint="eastAsia"/>
                <w:color w:val="000000" w:themeColor="text1"/>
                <w:sz w:val="21"/>
                <w:szCs w:val="21"/>
                <w14:textFill>
                  <w14:solidFill>
                    <w14:schemeClr w14:val="tx1"/>
                  </w14:solidFill>
                </w14:textFill>
              </w:rPr>
              <w:t>、餐厨垃圾</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1884.482</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汽车</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261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804" w:type="dxa"/>
            <w:vAlign w:val="center"/>
          </w:tcPr>
          <w:p>
            <w:pPr>
              <w:pStyle w:val="454"/>
              <w:spacing w:line="240" w:lineRule="auto"/>
              <w:rPr>
                <w:color w:val="000000" w:themeColor="text1"/>
                <w:sz w:val="21"/>
                <w:szCs w:val="21"/>
                <w:u w:val="single" w:color="FFFFFF"/>
                <w14:textFill>
                  <w14:solidFill>
                    <w14:schemeClr w14:val="tx1"/>
                  </w14:solidFill>
                </w14:textFill>
              </w:rPr>
            </w:pPr>
            <w:r>
              <w:rPr>
                <w:color w:val="000000" w:themeColor="text1"/>
                <w:sz w:val="21"/>
                <w:szCs w:val="21"/>
                <w:u w:val="single" w:color="FFFFFF"/>
                <w14:textFill>
                  <w14:solidFill>
                    <w14:schemeClr w14:val="tx1"/>
                  </w14:solidFill>
                </w14:textFill>
              </w:rPr>
              <w:t>64553.03</w:t>
            </w:r>
          </w:p>
        </w:tc>
        <w:tc>
          <w:tcPr>
            <w:tcW w:w="1366"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25" w:type="dxa"/>
            <w:vAlign w:val="center"/>
          </w:tcPr>
          <w:p>
            <w:pPr>
              <w:pStyle w:val="454"/>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pPr>
        <w:ind w:firstLine="480" w:firstLineChars="200"/>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项目原料、产品运输均采用汽车运输，</w:t>
      </w:r>
      <w:r>
        <w:rPr>
          <w:rFonts w:ascii="宋体" w:hAnsi="宋体" w:eastAsia="宋体" w:cs="宋体"/>
          <w:color w:val="000000" w:themeColor="text1"/>
          <w:szCs w:val="24"/>
          <w14:textFill>
            <w14:solidFill>
              <w14:schemeClr w14:val="tx1"/>
            </w14:solidFill>
          </w14:textFill>
        </w:rPr>
        <w:t>运输车辆均采用柴油作为能源，</w:t>
      </w:r>
      <w:r>
        <w:rPr>
          <w:rFonts w:hint="eastAsia" w:ascii="宋体" w:hAnsi="宋体" w:eastAsia="宋体" w:cs="宋体"/>
          <w:color w:val="000000" w:themeColor="text1"/>
          <w:szCs w:val="24"/>
          <w14:textFill>
            <w14:solidFill>
              <w14:schemeClr w14:val="tx1"/>
            </w14:solidFill>
          </w14:textFill>
        </w:rPr>
        <w:t>采用压燃式发动机及废气再循环系统</w:t>
      </w:r>
      <w:r>
        <w:rPr>
          <w:rFonts w:hint="eastAsia" w:ascii="宋体" w:hAnsi="宋体" w:eastAsia="宋体" w:cs="宋体"/>
          <w:color w:val="000000" w:themeColor="text1"/>
          <w:szCs w:val="24"/>
          <w:lang w:eastAsia="zh-CN"/>
          <w14:textFill>
            <w14:solidFill>
              <w14:schemeClr w14:val="tx1"/>
            </w14:solidFill>
          </w14:textFill>
        </w:rPr>
        <w:t>（</w:t>
      </w:r>
      <w:r>
        <w:rPr>
          <w:color w:val="000000" w:themeColor="text1"/>
          <w:szCs w:val="24"/>
          <w14:textFill>
            <w14:solidFill>
              <w14:schemeClr w14:val="tx1"/>
            </w14:solidFill>
          </w14:textFill>
        </w:rPr>
        <w:t>EGR)</w:t>
      </w:r>
      <w:r>
        <w:rPr>
          <w:rFonts w:hint="eastAsia" w:ascii="宋体" w:hAnsi="宋体" w:eastAsia="宋体" w:cs="宋体"/>
          <w:color w:val="000000" w:themeColor="text1"/>
          <w:szCs w:val="24"/>
          <w14:textFill>
            <w14:solidFill>
              <w14:schemeClr w14:val="tx1"/>
            </w14:solidFill>
          </w14:textFill>
        </w:rPr>
        <w:t>。根据核算，项目每年新增运输物料量约为</w:t>
      </w:r>
      <w:r>
        <w:rPr>
          <w:color w:val="000000" w:themeColor="text1"/>
          <w:szCs w:val="24"/>
          <w14:textFill>
            <w14:solidFill>
              <w14:schemeClr w14:val="tx1"/>
            </w14:solidFill>
          </w14:textFill>
        </w:rPr>
        <w:t>64553.03t</w:t>
      </w:r>
      <w:r>
        <w:rPr>
          <w:rFonts w:hint="eastAsia" w:ascii="宋体" w:hAnsi="宋体" w:eastAsia="宋体" w:cs="宋体"/>
          <w:color w:val="000000" w:themeColor="text1"/>
          <w:szCs w:val="24"/>
          <w14:textFill>
            <w14:solidFill>
              <w14:schemeClr w14:val="tx1"/>
            </w14:solidFill>
          </w14:textFill>
        </w:rPr>
        <w:t>，主要采用</w:t>
      </w:r>
      <w:r>
        <w:rPr>
          <w:color w:val="000000" w:themeColor="text1"/>
          <w:szCs w:val="24"/>
          <w14:textFill>
            <w14:solidFill>
              <w14:schemeClr w14:val="tx1"/>
            </w14:solidFill>
          </w14:textFill>
        </w:rPr>
        <w:t>30t</w:t>
      </w:r>
      <w:r>
        <w:rPr>
          <w:rFonts w:hint="eastAsia" w:ascii="宋体" w:hAnsi="宋体" w:eastAsia="宋体" w:cs="宋体"/>
          <w:color w:val="000000" w:themeColor="text1"/>
          <w:szCs w:val="24"/>
          <w14:textFill>
            <w14:solidFill>
              <w14:schemeClr w14:val="tx1"/>
            </w14:solidFill>
          </w14:textFill>
        </w:rPr>
        <w:t>货车进行运输，车重考虑为</w:t>
      </w:r>
      <w:r>
        <w:rPr>
          <w:color w:val="000000" w:themeColor="text1"/>
          <w:szCs w:val="24"/>
          <w14:textFill>
            <w14:solidFill>
              <w14:schemeClr w14:val="tx1"/>
            </w14:solidFill>
          </w14:textFill>
        </w:rPr>
        <w:t>10t</w:t>
      </w:r>
      <w:r>
        <w:rPr>
          <w:rFonts w:hint="eastAsia" w:ascii="宋体" w:hAnsi="宋体" w:eastAsia="宋体" w:cs="宋体"/>
          <w:color w:val="000000" w:themeColor="text1"/>
          <w:szCs w:val="24"/>
          <w14:textFill>
            <w14:solidFill>
              <w14:schemeClr w14:val="tx1"/>
            </w14:solidFill>
          </w14:textFill>
        </w:rPr>
        <w:t>，载货量为</w:t>
      </w:r>
      <w:r>
        <w:rPr>
          <w:color w:val="000000" w:themeColor="text1"/>
          <w:szCs w:val="24"/>
          <w14:textFill>
            <w14:solidFill>
              <w14:schemeClr w14:val="tx1"/>
            </w14:solidFill>
          </w14:textFill>
        </w:rPr>
        <w:t>20t</w:t>
      </w:r>
      <w:r>
        <w:rPr>
          <w:rFonts w:hint="eastAsia" w:ascii="宋体" w:hAnsi="宋体" w:eastAsia="宋体" w:cs="宋体"/>
          <w:color w:val="000000" w:themeColor="text1"/>
          <w:szCs w:val="24"/>
          <w14:textFill>
            <w14:solidFill>
              <w14:schemeClr w14:val="tx1"/>
            </w14:solidFill>
          </w14:textFill>
        </w:rPr>
        <w:t>，每年新增货车运输约</w:t>
      </w:r>
      <w:r>
        <w:rPr>
          <w:color w:val="000000" w:themeColor="text1"/>
          <w:szCs w:val="24"/>
          <w14:textFill>
            <w14:solidFill>
              <w14:schemeClr w14:val="tx1"/>
            </w14:solidFill>
          </w14:textFill>
        </w:rPr>
        <w:t>3228</w:t>
      </w:r>
      <w:r>
        <w:rPr>
          <w:rFonts w:hint="eastAsia" w:ascii="宋体" w:hAnsi="宋体" w:eastAsia="宋体" w:cs="宋体"/>
          <w:color w:val="000000" w:themeColor="text1"/>
          <w:szCs w:val="24"/>
          <w14:textFill>
            <w14:solidFill>
              <w14:schemeClr w14:val="tx1"/>
            </w14:solidFill>
          </w14:textFill>
        </w:rPr>
        <w:t>车次。</w:t>
      </w:r>
    </w:p>
    <w:p>
      <w:pPr>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原料、产品由货车单程运输距离按照100km计，考虑平均时速80km/h。汽车载货功率考虑为245kW，空载功率考虑为120kW，各运行1.25h。柴油作为能源主要将产生CO、NOx、碳氢化合物、烟粉尘等污染物，同时脱硝的系统可能产生少量氨气。现我国执行《重型柴油车污染物排放限值及测量方法（中国第六阶段）》（GB17691-2018），本项目将采用该标准中“6.3发动机标准循环排放限值”中表2标准进行污染物核定，具体如下：</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表</w:t>
      </w:r>
      <w:r>
        <w:rPr>
          <w:rFonts w:ascii="Times New Roman" w:hAnsi="Times New Roman" w:eastAsia="宋体"/>
          <w:b/>
          <w:color w:val="000000" w:themeColor="text1"/>
          <w:szCs w:val="24"/>
          <w14:textFill>
            <w14:solidFill>
              <w14:schemeClr w14:val="tx1"/>
            </w14:solidFill>
          </w14:textFill>
        </w:rPr>
        <w:t>2.4</w:t>
      </w:r>
      <w:r>
        <w:rPr>
          <w:rFonts w:hint="eastAsia" w:ascii="Times New Roman" w:hAnsi="Times New Roman" w:eastAsia="宋体"/>
          <w:b/>
          <w:color w:val="000000" w:themeColor="text1"/>
          <w:szCs w:val="24"/>
          <w14:textFill>
            <w14:solidFill>
              <w14:schemeClr w14:val="tx1"/>
            </w14:solidFill>
          </w14:textFill>
        </w:rPr>
        <w:t>-</w:t>
      </w:r>
      <w:r>
        <w:rPr>
          <w:rFonts w:ascii="Times New Roman" w:hAnsi="Times New Roman" w:eastAsia="宋体"/>
          <w:b/>
          <w:color w:val="000000" w:themeColor="text1"/>
          <w:szCs w:val="24"/>
          <w14:textFill>
            <w14:solidFill>
              <w14:schemeClr w14:val="tx1"/>
            </w14:solidFill>
          </w14:textFill>
        </w:rPr>
        <w:t>18</w:t>
      </w:r>
      <w:r>
        <w:rPr>
          <w:rFonts w:hint="eastAsia" w:ascii="Times New Roman" w:hAnsi="Times New Roman" w:eastAsia="宋体"/>
          <w:b/>
          <w:color w:val="000000" w:themeColor="text1"/>
          <w:szCs w:val="24"/>
          <w14:textFill>
            <w14:solidFill>
              <w14:schemeClr w14:val="tx1"/>
            </w14:solidFill>
          </w14:textFill>
        </w:rPr>
        <w:t xml:space="preserve">  发动机标准循环排放限值 </w:t>
      </w:r>
      <w:r>
        <w:rPr>
          <w:rFonts w:ascii="Times New Roman" w:hAnsi="Times New Roman" w:eastAsia="宋体"/>
          <w:b/>
          <w:color w:val="000000" w:themeColor="text1"/>
          <w:szCs w:val="24"/>
          <w14:textFill>
            <w14:solidFill>
              <w14:schemeClr w14:val="tx1"/>
            </w14:solidFill>
          </w14:textFill>
        </w:rPr>
        <w:t xml:space="preserve"> </w:t>
      </w:r>
      <w:r>
        <w:rPr>
          <w:rFonts w:hint="eastAsia" w:ascii="Times New Roman" w:hAnsi="Times New Roman" w:eastAsia="宋体"/>
          <w:b/>
          <w:color w:val="000000" w:themeColor="text1"/>
          <w:szCs w:val="24"/>
          <w14:textFill>
            <w14:solidFill>
              <w14:schemeClr w14:val="tx1"/>
            </w14:solidFill>
          </w14:textFill>
        </w:rPr>
        <w:t>单位：</w:t>
      </w:r>
      <w:r>
        <w:rPr>
          <w:rFonts w:ascii="Times New Roman" w:hAnsi="Times New Roman" w:eastAsia="宋体"/>
          <w:b/>
          <w:color w:val="000000" w:themeColor="text1"/>
          <w:szCs w:val="24"/>
          <w14:textFill>
            <w14:solidFill>
              <w14:schemeClr w14:val="tx1"/>
            </w14:solidFill>
          </w14:textFill>
        </w:rPr>
        <w:t>mg/kWh</w:t>
      </w:r>
    </w:p>
    <w:tbl>
      <w:tblPr>
        <w:tblStyle w:val="89"/>
        <w:tblW w:w="485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544"/>
        <w:gridCol w:w="1789"/>
        <w:gridCol w:w="1938"/>
        <w:gridCol w:w="16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69"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发动机类型</w:t>
            </w:r>
          </w:p>
        </w:tc>
        <w:tc>
          <w:tcPr>
            <w:tcW w:w="1701"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1842"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THC</w:t>
            </w:r>
          </w:p>
        </w:tc>
        <w:tc>
          <w:tcPr>
            <w:tcW w:w="1610"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69"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压燃机稳态工况</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WHSC)</w:t>
            </w:r>
          </w:p>
        </w:tc>
        <w:tc>
          <w:tcPr>
            <w:tcW w:w="1701"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1500</w:t>
            </w:r>
          </w:p>
        </w:tc>
        <w:tc>
          <w:tcPr>
            <w:tcW w:w="1842"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130</w:t>
            </w:r>
          </w:p>
        </w:tc>
        <w:tc>
          <w:tcPr>
            <w:tcW w:w="1610" w:type="dxa"/>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w:t>
            </w:r>
          </w:p>
        </w:tc>
      </w:tr>
    </w:tbl>
    <w:p>
      <w:pPr>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项目采用压燃机稳态测试循环工况进行污染物核算，经计算，项目实施后总体交通源污染物总量为CO2.209t/a、THC0.191t/a、NOx0.589t/a。</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本次评价仅对新增的交通源的污染物进行调查和核定，不将其纳入项目的总量核算中。</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.4.5</w:t>
      </w:r>
      <w:r>
        <w:rPr>
          <w:rFonts w:hint="eastAsia" w:eastAsia="宋体"/>
          <w:b/>
          <w:color w:val="000000" w:themeColor="text1"/>
          <w14:textFill>
            <w14:solidFill>
              <w14:schemeClr w14:val="tx1"/>
            </w14:solidFill>
          </w14:textFill>
        </w:rPr>
        <w:t>污染物排放情况汇总</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本项目污染物产生、排放情况见表2</w:t>
      </w:r>
      <w:r>
        <w:rPr>
          <w:rFonts w:eastAsia="宋体"/>
          <w:color w:val="000000" w:themeColor="text1"/>
          <w14:textFill>
            <w14:solidFill>
              <w14:schemeClr w14:val="tx1"/>
            </w14:solidFill>
          </w14:textFill>
        </w:rPr>
        <w:t>.4</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19</w:t>
      </w:r>
      <w:r>
        <w:rPr>
          <w:rFonts w:hint="eastAsia" w:eastAsia="宋体"/>
          <w:color w:val="000000" w:themeColor="text1"/>
          <w14:textFill>
            <w14:solidFill>
              <w14:schemeClr w14:val="tx1"/>
            </w14:solidFill>
          </w14:textFill>
        </w:rPr>
        <w:t>。</w:t>
      </w:r>
    </w:p>
    <w:p>
      <w:pPr>
        <w:spacing w:line="240" w:lineRule="auto"/>
        <w:jc w:val="center"/>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表2</w:t>
      </w:r>
      <w:r>
        <w:rPr>
          <w:rFonts w:eastAsia="宋体"/>
          <w:b/>
          <w:color w:val="000000" w:themeColor="text1"/>
          <w14:textFill>
            <w14:solidFill>
              <w14:schemeClr w14:val="tx1"/>
            </w14:solidFill>
          </w14:textFill>
        </w:rPr>
        <w:t>.4</w:t>
      </w:r>
      <w:r>
        <w:rPr>
          <w:rFonts w:hint="eastAsia" w:eastAsia="宋体"/>
          <w:b/>
          <w:color w:val="000000" w:themeColor="text1"/>
          <w14:textFill>
            <w14:solidFill>
              <w14:schemeClr w14:val="tx1"/>
            </w14:solidFill>
          </w14:textFill>
        </w:rPr>
        <w:t>-</w:t>
      </w:r>
      <w:r>
        <w:rPr>
          <w:rFonts w:eastAsia="宋体"/>
          <w:b/>
          <w:color w:val="000000" w:themeColor="text1"/>
          <w14:textFill>
            <w14:solidFill>
              <w14:schemeClr w14:val="tx1"/>
            </w14:solidFill>
          </w14:textFill>
        </w:rPr>
        <w:t xml:space="preserve">19  </w:t>
      </w:r>
      <w:r>
        <w:rPr>
          <w:rFonts w:hint="eastAsia" w:eastAsia="宋体"/>
          <w:b/>
          <w:color w:val="000000" w:themeColor="text1"/>
          <w14:textFill>
            <w14:solidFill>
              <w14:schemeClr w14:val="tx1"/>
            </w14:solidFill>
          </w14:textFill>
        </w:rPr>
        <w:t xml:space="preserve">项目废气、废水、固废产生及排放情况一览表 </w:t>
      </w:r>
      <w:r>
        <w:rPr>
          <w:rFonts w:eastAsia="宋体"/>
          <w:b/>
          <w:color w:val="000000" w:themeColor="text1"/>
          <w14:textFill>
            <w14:solidFill>
              <w14:schemeClr w14:val="tx1"/>
            </w14:solidFill>
          </w14:textFill>
        </w:rPr>
        <w:t xml:space="preserve"> </w:t>
      </w:r>
      <w:r>
        <w:rPr>
          <w:rFonts w:hint="eastAsia" w:eastAsia="宋体"/>
          <w:b/>
          <w:color w:val="000000" w:themeColor="text1"/>
          <w14:textFill>
            <w14:solidFill>
              <w14:schemeClr w14:val="tx1"/>
            </w14:solidFill>
          </w14:textFill>
        </w:rPr>
        <w:t>单位：t</w:t>
      </w:r>
      <w:r>
        <w:rPr>
          <w:rFonts w:eastAsia="宋体"/>
          <w:b/>
          <w:color w:val="000000" w:themeColor="text1"/>
          <w14:textFill>
            <w14:solidFill>
              <w14:schemeClr w14:val="tx1"/>
            </w14:solidFill>
          </w14:textFill>
        </w:rPr>
        <w:t>/</w:t>
      </w:r>
      <w:r>
        <w:rPr>
          <w:rFonts w:hint="eastAsia" w:eastAsia="宋体"/>
          <w:b/>
          <w:color w:val="000000" w:themeColor="text1"/>
          <w14:textFill>
            <w14:solidFill>
              <w14:schemeClr w14:val="tx1"/>
            </w14:solidFill>
          </w14:textFill>
        </w:rPr>
        <w:t>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5"/>
        <w:gridCol w:w="3244"/>
        <w:gridCol w:w="1225"/>
        <w:gridCol w:w="35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63"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类别</w:t>
            </w:r>
          </w:p>
        </w:tc>
        <w:tc>
          <w:tcPr>
            <w:tcW w:w="1755"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污染物名称</w:t>
            </w:r>
          </w:p>
        </w:tc>
        <w:tc>
          <w:tcPr>
            <w:tcW w:w="663" w:type="pct"/>
            <w:shd w:val="clear" w:color="auto" w:fill="auto"/>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产生量</w:t>
            </w:r>
          </w:p>
        </w:tc>
        <w:tc>
          <w:tcPr>
            <w:tcW w:w="1919" w:type="pct"/>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63"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废水</w:t>
            </w: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废水量</w:t>
            </w:r>
          </w:p>
        </w:tc>
        <w:tc>
          <w:tcPr>
            <w:tcW w:w="663"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954.72</w:t>
            </w:r>
          </w:p>
        </w:tc>
        <w:tc>
          <w:tcPr>
            <w:tcW w:w="1919"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954.72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4.511</w:t>
            </w:r>
          </w:p>
        </w:tc>
        <w:tc>
          <w:tcPr>
            <w:tcW w:w="1919" w:type="pct"/>
            <w:shd w:val="clear" w:color="auto" w:fill="auto"/>
            <w:noWrap/>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0.537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1.584</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3.223</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0.366</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0.029</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0.144</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663"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0.048</w:t>
            </w:r>
          </w:p>
        </w:tc>
        <w:tc>
          <w:tcPr>
            <w:tcW w:w="1919" w:type="pct"/>
            <w:shd w:val="clear" w:color="auto" w:fill="auto"/>
            <w:noWrap/>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restar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废气（有组织）</w:t>
            </w:r>
          </w:p>
        </w:tc>
        <w:tc>
          <w:tcPr>
            <w:tcW w:w="1755" w:type="pct"/>
            <w:shd w:val="clear" w:color="auto" w:fill="auto"/>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废气量（万m</w:t>
            </w:r>
            <w:r>
              <w:rPr>
                <w:rFonts w:eastAsia="宋体"/>
                <w:color w:val="000000" w:themeColor="text1"/>
                <w:kern w:val="0"/>
                <w:sz w:val="21"/>
                <w:szCs w:val="21"/>
                <w:vertAlign w:val="superscript"/>
                <w14:textFill>
                  <w14:solidFill>
                    <w14:schemeClr w14:val="tx1"/>
                  </w14:solidFill>
                </w14:textFill>
              </w:rPr>
              <w:t>3</w:t>
            </w:r>
            <w:r>
              <w:rPr>
                <w:rFonts w:eastAsia="宋体"/>
                <w:color w:val="000000" w:themeColor="text1"/>
                <w:kern w:val="0"/>
                <w:sz w:val="21"/>
                <w:szCs w:val="21"/>
                <w14:textFill>
                  <w14:solidFill>
                    <w14:schemeClr w14:val="tx1"/>
                  </w14:solidFill>
                </w14:textFill>
              </w:rPr>
              <w:t>/a）</w:t>
            </w:r>
          </w:p>
        </w:tc>
        <w:tc>
          <w:tcPr>
            <w:tcW w:w="663"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w:t>
            </w:r>
            <w:r>
              <w:rPr>
                <w:rFonts w:eastAsia="宋体"/>
                <w:color w:val="000000" w:themeColor="text1"/>
                <w:kern w:val="0"/>
                <w:sz w:val="21"/>
                <w:szCs w:val="21"/>
                <w14:textFill>
                  <w14:solidFill>
                    <w14:schemeClr w14:val="tx1"/>
                  </w14:solidFill>
                </w14:textFill>
              </w:rPr>
              <w:t>68000</w:t>
            </w:r>
          </w:p>
        </w:tc>
        <w:tc>
          <w:tcPr>
            <w:tcW w:w="1919"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w:t>
            </w:r>
            <w:r>
              <w:rPr>
                <w:rFonts w:eastAsia="宋体"/>
                <w:color w:val="000000" w:themeColor="text1"/>
                <w:kern w:val="0"/>
                <w:sz w:val="21"/>
                <w:szCs w:val="21"/>
                <w14:textFill>
                  <w14:solidFill>
                    <w14:schemeClr w14:val="tx1"/>
                  </w14:solidFill>
                </w14:textFill>
              </w:rPr>
              <w:t>68000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663" w:type="pct"/>
            <w:shd w:val="clear" w:color="auto" w:fill="auto"/>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.753</w:t>
            </w:r>
          </w:p>
        </w:tc>
        <w:tc>
          <w:tcPr>
            <w:tcW w:w="1919" w:type="pct"/>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663" w:type="pct"/>
            <w:shd w:val="clear" w:color="auto" w:fill="auto"/>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.069</w:t>
            </w:r>
          </w:p>
        </w:tc>
        <w:tc>
          <w:tcPr>
            <w:tcW w:w="1919" w:type="pct"/>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663" w:type="pct"/>
            <w:shd w:val="clear" w:color="auto" w:fill="auto"/>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7.303</w:t>
            </w:r>
          </w:p>
        </w:tc>
        <w:tc>
          <w:tcPr>
            <w:tcW w:w="1919" w:type="pct"/>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663" w:type="pct"/>
            <w:shd w:val="clear" w:color="auto" w:fill="auto"/>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28.174</w:t>
            </w:r>
          </w:p>
        </w:tc>
        <w:tc>
          <w:tcPr>
            <w:tcW w:w="1919" w:type="pct"/>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固废</w:t>
            </w: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危险废物</w:t>
            </w:r>
          </w:p>
        </w:tc>
        <w:tc>
          <w:tcPr>
            <w:tcW w:w="663"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9.641</w:t>
            </w:r>
          </w:p>
        </w:tc>
        <w:tc>
          <w:tcPr>
            <w:tcW w:w="1919"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一般工业固体废物</w:t>
            </w:r>
          </w:p>
        </w:tc>
        <w:tc>
          <w:tcPr>
            <w:tcW w:w="663"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786.711</w:t>
            </w:r>
          </w:p>
        </w:tc>
        <w:tc>
          <w:tcPr>
            <w:tcW w:w="1919"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663" w:type="pct"/>
            <w:vMerge w:val="continue"/>
            <w:vAlign w:val="center"/>
          </w:tcPr>
          <w:p>
            <w:pPr>
              <w:spacing w:line="240" w:lineRule="auto"/>
              <w:jc w:val="left"/>
              <w:rPr>
                <w:rFonts w:eastAsia="宋体"/>
                <w:color w:val="000000" w:themeColor="text1"/>
                <w:kern w:val="0"/>
                <w:sz w:val="21"/>
                <w:szCs w:val="21"/>
                <w14:textFill>
                  <w14:solidFill>
                    <w14:schemeClr w14:val="tx1"/>
                  </w14:solidFill>
                </w14:textFill>
              </w:rPr>
            </w:pPr>
          </w:p>
        </w:tc>
        <w:tc>
          <w:tcPr>
            <w:tcW w:w="175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生活垃圾（含餐厨垃圾）</w:t>
            </w:r>
          </w:p>
        </w:tc>
        <w:tc>
          <w:tcPr>
            <w:tcW w:w="663"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8.13</w:t>
            </w:r>
          </w:p>
        </w:tc>
        <w:tc>
          <w:tcPr>
            <w:tcW w:w="1919"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w:t>
            </w:r>
          </w:p>
        </w:tc>
      </w:tr>
    </w:tbl>
    <w:p>
      <w:pPr>
        <w:pStyle w:val="1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清洁生产分析</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.5.1</w:t>
      </w:r>
      <w:r>
        <w:rPr>
          <w:rFonts w:hint="eastAsia" w:eastAsia="宋体"/>
          <w:b/>
          <w:color w:val="000000" w:themeColor="text1"/>
          <w14:textFill>
            <w14:solidFill>
              <w14:schemeClr w14:val="tx1"/>
            </w14:solidFill>
          </w14:textFill>
        </w:rPr>
        <w:t>清洁生产工艺及设备</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项目属于</w:t>
      </w:r>
      <w:r>
        <w:rPr>
          <w:rFonts w:hint="eastAsia" w:eastAsia="宋体"/>
          <w:color w:val="000000" w:themeColor="text1"/>
          <w14:textFill>
            <w14:solidFill>
              <w14:schemeClr w14:val="tx1"/>
            </w14:solidFill>
          </w14:textFill>
        </w:rPr>
        <w:t>结构性</w:t>
      </w:r>
      <w:r>
        <w:rPr>
          <w:rFonts w:eastAsia="宋体"/>
          <w:color w:val="000000" w:themeColor="text1"/>
          <w14:textFill>
            <w14:solidFill>
              <w14:schemeClr w14:val="tx1"/>
            </w14:solidFill>
          </w14:textFill>
        </w:rPr>
        <w:t>金属</w:t>
      </w:r>
      <w:r>
        <w:rPr>
          <w:rFonts w:hint="eastAsia" w:eastAsia="宋体"/>
          <w:color w:val="000000" w:themeColor="text1"/>
          <w14:textFill>
            <w14:solidFill>
              <w14:schemeClr w14:val="tx1"/>
            </w14:solidFill>
          </w14:textFill>
        </w:rPr>
        <w:t>制品制造业，切割下料、焊接、喷砂过程产生的颗粒物均收集处理后排放；涂装车间产生涂装废气密闭收集，然后经活性炭吸附浓缩+催化燃烧处理后达标排放。项目生产设备无国家淘汰落后设备。</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.5.2</w:t>
      </w:r>
      <w:r>
        <w:rPr>
          <w:rFonts w:hint="eastAsia" w:eastAsia="宋体"/>
          <w:b/>
          <w:color w:val="000000" w:themeColor="text1"/>
          <w14:textFill>
            <w14:solidFill>
              <w14:schemeClr w14:val="tx1"/>
            </w14:solidFill>
          </w14:textFill>
        </w:rPr>
        <w:t>原料、产品清洁性分析</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项目主要原料为钢板，，产品为钢桥结构件，其中约2</w:t>
      </w:r>
      <w:r>
        <w:rPr>
          <w:rFonts w:eastAsia="宋体"/>
          <w:color w:val="000000" w:themeColor="text1"/>
          <w14:textFill>
            <w14:solidFill>
              <w14:schemeClr w14:val="tx1"/>
            </w14:solidFill>
          </w14:textFill>
        </w:rPr>
        <w:t>/3</w:t>
      </w:r>
      <w:r>
        <w:rPr>
          <w:rFonts w:hint="eastAsia" w:eastAsia="宋体"/>
          <w:color w:val="000000" w:themeColor="text1"/>
          <w14:textFill>
            <w14:solidFill>
              <w14:schemeClr w14:val="tx1"/>
            </w14:solidFill>
          </w14:textFill>
        </w:rPr>
        <w:t>产品采用水性漆喷涂，1</w:t>
      </w:r>
      <w:r>
        <w:rPr>
          <w:rFonts w:eastAsia="宋体"/>
          <w:color w:val="000000" w:themeColor="text1"/>
          <w14:textFill>
            <w14:solidFill>
              <w14:schemeClr w14:val="tx1"/>
            </w14:solidFill>
          </w14:textFill>
        </w:rPr>
        <w:t>/3</w:t>
      </w:r>
      <w:r>
        <w:rPr>
          <w:rFonts w:hint="eastAsia" w:eastAsia="宋体"/>
          <w:color w:val="000000" w:themeColor="text1"/>
          <w14:textFill>
            <w14:solidFill>
              <w14:schemeClr w14:val="tx1"/>
            </w14:solidFill>
          </w14:textFill>
        </w:rPr>
        <w:t>产品采用油性漆喷涂。项目使用的油性漆和水性漆均符合《工业防护涂料中有害物质限量》（GB 30981-2020）的相关限值要求；焊接过程使用的焊丝、焊条，均不含铬、镉、铅、汞、砷五类重金属物质；项目使用清洁能源天然气。因此，项目使用的原材料清洁。</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.5.3</w:t>
      </w:r>
      <w:r>
        <w:rPr>
          <w:rFonts w:hint="eastAsia" w:eastAsia="宋体"/>
          <w:b/>
          <w:color w:val="000000" w:themeColor="text1"/>
          <w14:textFill>
            <w14:solidFill>
              <w14:schemeClr w14:val="tx1"/>
            </w14:solidFill>
          </w14:textFill>
        </w:rPr>
        <w:t>资源能源消耗水平</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项目主要采取了以下节能减耗措施：</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（1）采用催化燃烧的废气对活性炭进行脱附再生，减少了额外的能源消耗。</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（2）合理布置生产、废气处理设施，在确保废气收集的前提下，尽量减少废气管线的设置。</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.5.4</w:t>
      </w:r>
      <w:r>
        <w:rPr>
          <w:rFonts w:hint="eastAsia" w:eastAsia="宋体"/>
          <w:b/>
          <w:color w:val="000000" w:themeColor="text1"/>
          <w14:textFill>
            <w14:solidFill>
              <w14:schemeClr w14:val="tx1"/>
            </w14:solidFill>
          </w14:textFill>
        </w:rPr>
        <w:t>污染物产生水平</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采用的生产工艺及废气处理设施均为国内先进工艺，项目涂装车间封闭，设置微负压收集系统，废气收集后经活性炭吸附浓缩+催化燃烧处理后排放，有利于减少废气无组织排放，废气、废水均采取有效的治理措施，使污染物实现达标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因此，项目污染物产生水平满足清洁生产要求。</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.5.5</w:t>
      </w:r>
      <w:r>
        <w:rPr>
          <w:rFonts w:hint="eastAsia" w:eastAsia="宋体"/>
          <w:b/>
          <w:color w:val="000000" w:themeColor="text1"/>
          <w14:textFill>
            <w14:solidFill>
              <w14:schemeClr w14:val="tx1"/>
            </w14:solidFill>
          </w14:textFill>
        </w:rPr>
        <w:t>清洁生产措施</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本次评价，要求建设单位在生产中，加强管理，对本项目生产过程中产生的污染物从源头治理，为此，建议建设单位采取以下的清洁生产措施。</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（1）原料选择</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建议在满足相关生产要求的前提下，尽可能采用水性漆生产，从源头减少有毒有害物质的产生。</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（2）节能措施</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选用节能设备：建议建设单位在设备选用上采用低能耗设备；辅助动力设备选用与工艺要求相匹配，以降低功率因素及节约用电。</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注重工艺节能：建设单位在生产中应不断优化生产工艺，合理安排工序，切实做好节能降耗工作。</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车间照明：车间照明选用节能灯具，选用合理照度，功率因素指标达到0.9以上。</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（3）生产中的管理制度</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加强环境管理，定期监测各污染源。做好污染物排放申报工作。</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加强员工环境保护的宣传意识，加强设备的维修和保养工作，减少生产中的跑、冒、滴、漏。</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加强物料堆放区的环境管理，特别做好化学品等的存放，要做好防漏、防火工作。</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eastAsia="宋体"/>
          <w:color w:val="000000" w:themeColor="text1"/>
          <w14:textFill>
            <w14:solidFill>
              <w14:schemeClr w14:val="tx1"/>
            </w14:solidFill>
          </w14:textFill>
        </w:rPr>
        <w:t>加强职工技能培训，提高职工的操作技巧和水平，减少产品报废率。</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（4）清洁生产审核制度</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企业应开展“清洁生产审计”，从管理、工艺方面着手，全面消减污染负荷。</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建立ISO14000环境管理体系，制定ISO14000系列标准，用以规范企业所有组织的活动、产品和服务的环境行为。建立环境管理方案，遵守有关环境法律规定，进行持续改进和污染预防。</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随着生产技术、生产设备的不断发展，企业应持续改进，采用更先进、物耗能耗水平更低的生产技术和生产设备。</w:t>
      </w:r>
    </w:p>
    <w:p>
      <w:pPr>
        <w:ind w:firstLine="480" w:firstLineChars="20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eastAsia="宋体"/>
          <w:bCs/>
          <w:color w:val="000000" w:themeColor="text1"/>
          <w14:textFill>
            <w14:solidFill>
              <w14:schemeClr w14:val="tx1"/>
            </w14:solidFill>
          </w14:textFill>
        </w:rPr>
        <w:t>清洁生产是一种相对的不断改进的概念，实现清洁生产不但可以减少企业生产活动中对环境造成的污染，同时也可降低生产者的经营成本，改善经营者和生产者的活动环境，是一项社会、个人共同得益的理念。建议建设单位在抓生产提高企业经济效益的同时应该抓住企业员工的业务和环境保护等的培训，以提高员工的业务水平和环境保护意识，将清洁生产作为员工的自觉行动，共同参与和提高企业清洁生产水平</w:t>
      </w:r>
      <w:r>
        <w:rPr>
          <w:rFonts w:hint="eastAsia" w:eastAsia="宋体"/>
          <w:color w:val="000000" w:themeColor="text1"/>
          <w14:textFill>
            <w14:solidFill>
              <w14:schemeClr w14:val="tx1"/>
            </w14:solidFill>
          </w14:textFill>
        </w:rPr>
        <w:t>。</w:t>
      </w:r>
    </w:p>
    <w:p>
      <w:pPr>
        <w:keepNext/>
        <w:keepLines/>
        <w:adjustRightInd w:val="0"/>
        <w:outlineLvl w:val="2"/>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2</w:t>
      </w:r>
      <w:r>
        <w:rPr>
          <w:rFonts w:eastAsia="宋体"/>
          <w:b/>
          <w:color w:val="000000" w:themeColor="text1"/>
          <w14:textFill>
            <w14:solidFill>
              <w14:schemeClr w14:val="tx1"/>
            </w14:solidFill>
          </w14:textFill>
        </w:rPr>
        <w:t>.5.6</w:t>
      </w:r>
      <w:r>
        <w:rPr>
          <w:rFonts w:hint="eastAsia" w:eastAsia="宋体"/>
          <w:b/>
          <w:color w:val="000000" w:themeColor="text1"/>
          <w14:textFill>
            <w14:solidFill>
              <w14:schemeClr w14:val="tx1"/>
            </w14:solidFill>
          </w14:textFill>
        </w:rPr>
        <w:t>清洁生产小结</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综上所述，本项目采用了国内先进的工艺技术和生产设备，以及清洁的原辅材料，且项目废气、废水污染物实现达标排放，采取了节能减耗措施。因此，可认为本项目清洁生产水平属于国内先进水平。</w:t>
      </w:r>
    </w:p>
    <w:p>
      <w:pPr>
        <w:ind w:firstLine="480"/>
        <w:rPr>
          <w:rFonts w:eastAsia="宋体"/>
          <w:color w:val="000000" w:themeColor="text1"/>
          <w14:textFill>
            <w14:solidFill>
              <w14:schemeClr w14:val="tx1"/>
            </w14:solidFill>
          </w14:textFill>
        </w:rPr>
        <w:sectPr>
          <w:pgSz w:w="11906" w:h="16838"/>
          <w:pgMar w:top="1276" w:right="1440" w:bottom="1135" w:left="1440" w:header="720" w:footer="720" w:gutter="0"/>
          <w:cols w:space="720" w:num="1"/>
          <w:docGrid w:linePitch="326" w:charSpace="0"/>
        </w:sectPr>
      </w:pPr>
    </w:p>
    <w:p>
      <w:pPr>
        <w:pStyle w:val="181"/>
        <w:rPr>
          <w:rFonts w:eastAsia="宋体"/>
          <w:color w:val="000000" w:themeColor="text1"/>
          <w14:textFill>
            <w14:solidFill>
              <w14:schemeClr w14:val="tx1"/>
            </w14:solidFill>
          </w14:textFill>
        </w:rPr>
      </w:pPr>
      <w:bookmarkStart w:id="115" w:name="_Toc155271416"/>
      <w:r>
        <w:rPr>
          <w:rFonts w:eastAsia="宋体"/>
          <w:color w:val="000000" w:themeColor="text1"/>
          <w14:textFill>
            <w14:solidFill>
              <w14:schemeClr w14:val="tx1"/>
            </w14:solidFill>
          </w14:textFill>
        </w:rPr>
        <w:t>3环境现状调查与评价</w:t>
      </w:r>
      <w:bookmarkEnd w:id="115"/>
    </w:p>
    <w:p>
      <w:pPr>
        <w:pStyle w:val="179"/>
        <w:rPr>
          <w:rFonts w:eastAsia="宋体"/>
          <w:b w:val="0"/>
          <w:bCs w:val="0"/>
          <w:color w:val="000000" w:themeColor="text1"/>
          <w14:textFill>
            <w14:solidFill>
              <w14:schemeClr w14:val="tx1"/>
            </w14:solidFill>
          </w14:textFill>
        </w:rPr>
      </w:pPr>
      <w:bookmarkStart w:id="116" w:name="_Toc31863"/>
      <w:bookmarkStart w:id="117" w:name="_Toc155271417"/>
      <w:r>
        <w:rPr>
          <w:rFonts w:eastAsia="宋体"/>
          <w:color w:val="000000" w:themeColor="text1"/>
          <w14:textFill>
            <w14:solidFill>
              <w14:schemeClr w14:val="tx1"/>
            </w14:solidFill>
          </w14:textFill>
        </w:rPr>
        <w:t>3.1自然环境</w:t>
      </w:r>
      <w:bookmarkEnd w:id="116"/>
      <w:r>
        <w:rPr>
          <w:rFonts w:eastAsia="宋体"/>
          <w:color w:val="000000" w:themeColor="text1"/>
          <w14:textFill>
            <w14:solidFill>
              <w14:schemeClr w14:val="tx1"/>
            </w14:solidFill>
          </w14:textFill>
        </w:rPr>
        <w:t>概况</w:t>
      </w:r>
      <w:bookmarkEnd w:id="117"/>
    </w:p>
    <w:p>
      <w:pPr>
        <w:keepNext/>
        <w:keepLines/>
        <w:adjustRightInd w:val="0"/>
        <w:outlineLvl w:val="2"/>
        <w:rPr>
          <w:rFonts w:eastAsia="宋体"/>
          <w:b/>
          <w:bCs/>
          <w:color w:val="000000" w:themeColor="text1"/>
          <w:szCs w:val="32"/>
          <w14:textFill>
            <w14:solidFill>
              <w14:schemeClr w14:val="tx1"/>
            </w14:solidFill>
          </w14:textFill>
        </w:rPr>
      </w:pPr>
      <w:bookmarkStart w:id="118" w:name="_Toc489281043"/>
      <w:bookmarkStart w:id="119" w:name="_Toc490235543"/>
      <w:bookmarkStart w:id="120" w:name="_Toc22310"/>
      <w:r>
        <w:rPr>
          <w:rFonts w:eastAsia="宋体"/>
          <w:b/>
          <w:bCs/>
          <w:color w:val="000000" w:themeColor="text1"/>
          <w:szCs w:val="32"/>
          <w14:textFill>
            <w14:solidFill>
              <w14:schemeClr w14:val="tx1"/>
            </w14:solidFill>
          </w14:textFill>
        </w:rPr>
        <w:t>3.1.1地理位置</w:t>
      </w:r>
      <w:bookmarkEnd w:id="118"/>
      <w:bookmarkEnd w:id="119"/>
      <w:bookmarkEnd w:id="120"/>
    </w:p>
    <w:p>
      <w:pPr>
        <w:pStyle w:val="283"/>
        <w:tabs>
          <w:tab w:val="left" w:pos="0"/>
        </w:tabs>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重庆市大足区位于重庆市西部，位于北纬29°23′至29°52′,东经105°28′至106°2′之间。面积14636km</w:t>
      </w:r>
      <w:r>
        <w:rPr>
          <w:rFonts w:ascii="Times New Roman" w:hAnsi="Times New Roman" w:cs="Times New Roman"/>
          <w:color w:val="000000" w:themeColor="text1"/>
          <w:kern w:val="0"/>
          <w:sz w:val="24"/>
          <w:vertAlign w:val="superscript"/>
          <w14:textFill>
            <w14:solidFill>
              <w14:schemeClr w14:val="tx1"/>
            </w14:solidFill>
          </w14:textFill>
        </w:rPr>
        <w:t>2</w:t>
      </w:r>
      <w:r>
        <w:rPr>
          <w:rFonts w:ascii="Times New Roman" w:hAnsi="Times New Roman" w:cs="Times New Roman"/>
          <w:color w:val="000000" w:themeColor="text1"/>
          <w:kern w:val="0"/>
          <w:sz w:val="24"/>
          <w14:textFill>
            <w14:solidFill>
              <w14:schemeClr w14:val="tx1"/>
            </w14:solidFill>
          </w14:textFill>
        </w:rPr>
        <w:t>，距重庆77.5km，成都269km。北临潼南，东北接铜梁，东南邻永川，西南界荣昌，西北连四川安岳县。</w:t>
      </w:r>
    </w:p>
    <w:p>
      <w:pPr>
        <w:pStyle w:val="283"/>
        <w:tabs>
          <w:tab w:val="left" w:pos="0"/>
        </w:tabs>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邮亭镇</w:t>
      </w:r>
      <w:r>
        <w:rPr>
          <w:rFonts w:ascii="Times New Roman" w:hAnsi="Times New Roman" w:cs="Times New Roman"/>
          <w:color w:val="000000" w:themeColor="text1"/>
          <w:kern w:val="0"/>
          <w:sz w:val="24"/>
          <w14:textFill>
            <w14:solidFill>
              <w14:schemeClr w14:val="tx1"/>
            </w14:solidFill>
          </w14:textFill>
        </w:rPr>
        <w:t>位于</w:t>
      </w:r>
      <w:r>
        <w:rPr>
          <w:rFonts w:hint="eastAsia" w:ascii="Times New Roman" w:hAnsi="Times New Roman" w:cs="Times New Roman"/>
          <w:color w:val="000000" w:themeColor="text1"/>
          <w:kern w:val="0"/>
          <w:sz w:val="24"/>
          <w14:textFill>
            <w14:solidFill>
              <w14:schemeClr w14:val="tx1"/>
            </w14:solidFill>
          </w14:textFill>
        </w:rPr>
        <w:t>大足高新技术产业开发区</w:t>
      </w:r>
      <w:r>
        <w:rPr>
          <w:rFonts w:ascii="Times New Roman" w:hAnsi="Times New Roman" w:cs="Times New Roman"/>
          <w:color w:val="000000" w:themeColor="text1"/>
          <w:kern w:val="0"/>
          <w:sz w:val="24"/>
          <w14:textFill>
            <w14:solidFill>
              <w14:schemeClr w14:val="tx1"/>
            </w14:solidFill>
          </w14:textFill>
        </w:rPr>
        <w:t>南部，辖区东西最大距离13.75km，南北最大距离10.9km，区域总总面积91.09km</w:t>
      </w:r>
      <w:r>
        <w:rPr>
          <w:rFonts w:ascii="Times New Roman" w:hAnsi="Times New Roman" w:cs="Times New Roman"/>
          <w:color w:val="000000" w:themeColor="text1"/>
          <w:kern w:val="0"/>
          <w:sz w:val="24"/>
          <w:vertAlign w:val="superscript"/>
          <w14:textFill>
            <w14:solidFill>
              <w14:schemeClr w14:val="tx1"/>
            </w14:solidFill>
          </w14:textFill>
        </w:rPr>
        <w:t>2</w:t>
      </w:r>
      <w:r>
        <w:rPr>
          <w:rFonts w:ascii="Times New Roman" w:hAnsi="Times New Roman" w:cs="Times New Roman"/>
          <w:color w:val="000000" w:themeColor="text1"/>
          <w:kern w:val="0"/>
          <w:sz w:val="24"/>
          <w14:textFill>
            <w14:solidFill>
              <w14:schemeClr w14:val="tx1"/>
            </w14:solidFill>
          </w14:textFill>
        </w:rPr>
        <w:t>，与永川区、荣昌区接壤，是渝西地区的交通枢纽、物资集散中心，主要交通运输是公路运输，东距重庆70km，西距成都252km，成渝铁路、成语高速公路横贯全境，交通便利，资源丰富，区位地势明显，是成渝经济区、重庆一小时经济圈重要的腹心地带，是大足高新技术产业开发区邮亭组团所在地，是重庆市首批小城镇建设试点镇，是重庆“百镇工程”实施镇和重庆市市级中心镇。大足高新技术产业开发区邮亭组团位于邮亭镇镇区北部，根据最新规划，大足高新区邮亭组团规划面积</w:t>
      </w:r>
      <w:r>
        <w:rPr>
          <w:rFonts w:ascii="Times New Roman" w:hAnsi="Times New Roman" w:cs="Times New Roman"/>
          <w:color w:val="000000" w:themeColor="text1"/>
          <w:sz w:val="24"/>
          <w14:textFill>
            <w14:solidFill>
              <w14:schemeClr w14:val="tx1"/>
            </w14:solidFill>
          </w14:textFill>
        </w:rPr>
        <w:t>6.68km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kern w:val="0"/>
          <w:sz w:val="24"/>
          <w14:textFill>
            <w14:solidFill>
              <w14:schemeClr w14:val="tx1"/>
            </w14:solidFill>
          </w14:textFill>
        </w:rPr>
        <w:t>。</w:t>
      </w:r>
    </w:p>
    <w:p>
      <w:pPr>
        <w:pStyle w:val="282"/>
        <w:spacing w:after="0"/>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本项目位于大足高新技术产业开发区邮亭组团，地理位置见附图1。</w:t>
      </w:r>
    </w:p>
    <w:p>
      <w:pPr>
        <w:keepNext/>
        <w:keepLines/>
        <w:adjustRightInd w:val="0"/>
        <w:outlineLvl w:val="2"/>
        <w:rPr>
          <w:rFonts w:eastAsia="宋体"/>
          <w:b/>
          <w:bCs/>
          <w:color w:val="000000" w:themeColor="text1"/>
          <w:szCs w:val="32"/>
          <w14:textFill>
            <w14:solidFill>
              <w14:schemeClr w14:val="tx1"/>
            </w14:solidFill>
          </w14:textFill>
        </w:rPr>
      </w:pPr>
      <w:bookmarkStart w:id="121" w:name="_Toc490235544"/>
      <w:bookmarkStart w:id="122" w:name="_Toc15418"/>
      <w:bookmarkStart w:id="123" w:name="_Toc489281044"/>
      <w:r>
        <w:rPr>
          <w:rFonts w:eastAsia="宋体"/>
          <w:b/>
          <w:bCs/>
          <w:color w:val="000000" w:themeColor="text1"/>
          <w:szCs w:val="32"/>
          <w14:textFill>
            <w14:solidFill>
              <w14:schemeClr w14:val="tx1"/>
            </w14:solidFill>
          </w14:textFill>
        </w:rPr>
        <w:t>3.1.2地形、地貌</w:t>
      </w:r>
      <w:bookmarkEnd w:id="121"/>
      <w:bookmarkEnd w:id="122"/>
      <w:bookmarkEnd w:id="123"/>
    </w:p>
    <w:p>
      <w:pPr>
        <w:ind w:firstLine="480"/>
        <w:rPr>
          <w:rFonts w:eastAsia="宋体"/>
          <w:color w:val="000000" w:themeColor="text1"/>
          <w:kern w:val="0"/>
          <w:szCs w:val="24"/>
          <w14:textFill>
            <w14:solidFill>
              <w14:schemeClr w14:val="tx1"/>
            </w14:solidFill>
          </w14:textFill>
        </w:rPr>
      </w:pPr>
      <w:r>
        <w:rPr>
          <w:rFonts w:eastAsia="宋体"/>
          <w:color w:val="000000" w:themeColor="text1"/>
          <w:kern w:val="0"/>
          <w:szCs w:val="24"/>
          <w14:textFill>
            <w14:solidFill>
              <w14:schemeClr w14:val="tx1"/>
            </w14:solidFill>
          </w14:textFill>
        </w:rPr>
        <w:t>大足区地处川东平行岭谷与川中丘陵的交接地带，境域略呈倒置的三角形，地势东南和西北部较高，中部和东北部低而宽缓，海拔高程267-934m，区域内的地貌总特征是“六丘三山一分坝”。</w:t>
      </w:r>
    </w:p>
    <w:p>
      <w:pPr>
        <w:ind w:firstLine="480"/>
        <w:rPr>
          <w:rFonts w:eastAsia="宋体"/>
          <w:color w:val="000000" w:themeColor="text1"/>
          <w:kern w:val="0"/>
          <w:szCs w:val="24"/>
          <w14:textFill>
            <w14:solidFill>
              <w14:schemeClr w14:val="tx1"/>
            </w14:solidFill>
          </w14:textFill>
        </w:rPr>
      </w:pPr>
      <w:r>
        <w:rPr>
          <w:rFonts w:eastAsia="宋体"/>
          <w:color w:val="000000" w:themeColor="text1"/>
          <w:kern w:val="0"/>
          <w:szCs w:val="24"/>
          <w14:textFill>
            <w14:solidFill>
              <w14:schemeClr w14:val="tx1"/>
            </w14:solidFill>
          </w14:textFill>
        </w:rPr>
        <w:t>双桥经开区地势东高西低，东部为巴岳山背斜南段锯齿状条形低山，其余部分为中低丘陵和缓丘平地三种地貌类型，地质构造简单，为缓丘地貌，串珠状丘包，沟谷相间，丘包斜坡坡度较缓，坡度角一般10~20°。总体地势较为平坦，右侧邻巴岳山山脉，呈西高东低、北高南低的趋势。</w:t>
      </w:r>
    </w:p>
    <w:p>
      <w:pPr>
        <w:ind w:firstLine="480"/>
        <w:rPr>
          <w:rFonts w:eastAsia="宋体"/>
          <w:color w:val="000000" w:themeColor="text1"/>
          <w:kern w:val="0"/>
          <w:szCs w:val="24"/>
          <w14:textFill>
            <w14:solidFill>
              <w14:schemeClr w14:val="tx1"/>
            </w14:solidFill>
          </w14:textFill>
        </w:rPr>
      </w:pPr>
      <w:r>
        <w:rPr>
          <w:rFonts w:eastAsia="宋体"/>
          <w:color w:val="000000" w:themeColor="text1"/>
          <w:kern w:val="0"/>
          <w:szCs w:val="24"/>
          <w14:textFill>
            <w14:solidFill>
              <w14:schemeClr w14:val="tx1"/>
            </w14:solidFill>
          </w14:textFill>
        </w:rPr>
        <w:t>项目位于大足高新区邮亭组团，厂区总体地势平缓，相对高差小。区域内无陡崖地貌，地形地貌简单。</w:t>
      </w:r>
    </w:p>
    <w:p>
      <w:pPr>
        <w:keepNext/>
        <w:keepLines/>
        <w:adjustRightInd w:val="0"/>
        <w:outlineLvl w:val="2"/>
        <w:rPr>
          <w:rFonts w:eastAsia="宋体"/>
          <w:b/>
          <w:bCs/>
          <w:color w:val="000000" w:themeColor="text1"/>
          <w:szCs w:val="32"/>
          <w14:textFill>
            <w14:solidFill>
              <w14:schemeClr w14:val="tx1"/>
            </w14:solidFill>
          </w14:textFill>
        </w:rPr>
      </w:pPr>
      <w:bookmarkStart w:id="124" w:name="_Toc490235545"/>
      <w:bookmarkStart w:id="125" w:name="_Toc30412"/>
      <w:bookmarkStart w:id="126" w:name="_Toc489281045"/>
      <w:r>
        <w:rPr>
          <w:rFonts w:eastAsia="宋体"/>
          <w:b/>
          <w:bCs/>
          <w:color w:val="000000" w:themeColor="text1"/>
          <w:szCs w:val="32"/>
          <w14:textFill>
            <w14:solidFill>
              <w14:schemeClr w14:val="tx1"/>
            </w14:solidFill>
          </w14:textFill>
        </w:rPr>
        <w:t>3.1.3地质</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大足区境内出露地层为中生界三叠系、侏罗系，总厚度374～1750米，其外有新生界第四系河岸堆积物。地质构造属新华夏系第三沉积带四川沉降褶带。</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双桥经开区地处重庆市西部，地质构造属新华夏系第三沉积带四川沉降褶皱带，具体属川东褶皱带，构造轴线总体上呈NE30°～35°向展布，由西向东为双路铺向斜、西山背斜，向斜宽缓、背斜紧凑。受区内构造特征及地形地貌条件影响，决定了区内地质灾害不甚发育，地质灾害现象主要分布在巴岳山背斜翼部，而宽缓的平坝丘陵区基本无地质灾害现象存在。根据国家地震局编制的《中国地震动参数区划图》（GB 18306-2015）及《建筑抗震设计规范》（ GB 50011-2010）（2016年版），该区抗震设防烈度为6度，地震基本烈度Ⅵ度，地震动峰值加速度为0.05g，地震动加速度反应谱特征周期0.35s。</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规划区位于石盘铺向斜北端倾伏端两翼，区内无断层通过。向斜北西翼岩层产状为110~130°</w:t>
      </w:r>
      <w:r>
        <w:rPr>
          <w:rFonts w:hint="eastAsia" w:ascii="宋体" w:hAnsi="宋体" w:cs="宋体"/>
          <w:color w:val="000000" w:themeColor="text1"/>
          <w:kern w:val="2"/>
          <w14:textFill>
            <w14:solidFill>
              <w14:schemeClr w14:val="tx1"/>
            </w14:solidFill>
          </w14:textFill>
        </w:rPr>
        <w:t>∠</w:t>
      </w:r>
      <w:r>
        <w:rPr>
          <w:color w:val="000000" w:themeColor="text1"/>
          <w:kern w:val="2"/>
          <w14:textFill>
            <w14:solidFill>
              <w14:schemeClr w14:val="tx1"/>
            </w14:solidFill>
          </w14:textFill>
        </w:rPr>
        <w:t>2~8°，岩体中发育有3组裂隙。向斜南东翼岩层产状300~320°</w:t>
      </w:r>
      <w:r>
        <w:rPr>
          <w:rFonts w:hint="eastAsia" w:ascii="宋体" w:hAnsi="宋体" w:cs="宋体"/>
          <w:color w:val="000000" w:themeColor="text1"/>
          <w:kern w:val="2"/>
          <w14:textFill>
            <w14:solidFill>
              <w14:schemeClr w14:val="tx1"/>
            </w14:solidFill>
          </w14:textFill>
        </w:rPr>
        <w:t>∠</w:t>
      </w:r>
      <w:r>
        <w:rPr>
          <w:color w:val="000000" w:themeColor="text1"/>
          <w:kern w:val="2"/>
          <w14:textFill>
            <w14:solidFill>
              <w14:schemeClr w14:val="tx1"/>
            </w14:solidFill>
          </w14:textFill>
        </w:rPr>
        <w:t>3~12°，岩体中发育有2组裂隙。规划区属中、低等地质灾害易发区，建设基本不受限制，但应避免高切深填，人为诱发滑坡、崩塌、沉降等地质灾害。</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项目</w:t>
      </w:r>
      <w:r>
        <w:rPr>
          <w:color w:val="000000" w:themeColor="text1"/>
          <w14:textFill>
            <w14:solidFill>
              <w14:schemeClr w14:val="tx1"/>
            </w14:solidFill>
          </w14:textFill>
        </w:rPr>
        <w:t>区域地质结构良好，场地及近邻未发现滑坡、崩塌、泥石流及地下洞室、断裂构造和软弱夹层等不良地质现象，周边自然边坡稳定，适宜项目建设。</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3.1.4</w:t>
      </w:r>
      <w:bookmarkEnd w:id="124"/>
      <w:bookmarkEnd w:id="125"/>
      <w:bookmarkEnd w:id="126"/>
      <w:r>
        <w:rPr>
          <w:rFonts w:eastAsia="宋体"/>
          <w:b/>
          <w:bCs/>
          <w:color w:val="000000" w:themeColor="text1"/>
          <w:szCs w:val="32"/>
          <w14:textFill>
            <w14:solidFill>
              <w14:schemeClr w14:val="tx1"/>
            </w14:solidFill>
          </w14:textFill>
        </w:rPr>
        <w:t>水文</w:t>
      </w:r>
    </w:p>
    <w:p>
      <w:pPr>
        <w:pStyle w:val="282"/>
        <w:spacing w:after="0"/>
        <w:ind w:firstLine="480"/>
        <w:rPr>
          <w:color w:val="000000" w:themeColor="text1"/>
          <w:kern w:val="2"/>
          <w14:textFill>
            <w14:solidFill>
              <w14:schemeClr w14:val="tx1"/>
            </w14:solidFill>
          </w14:textFill>
        </w:rPr>
      </w:pPr>
      <w:bookmarkStart w:id="127" w:name="_Toc28186"/>
      <w:bookmarkStart w:id="128" w:name="_Toc490235546"/>
      <w:bookmarkStart w:id="129" w:name="_Toc489281046"/>
      <w:r>
        <w:rPr>
          <w:color w:val="000000" w:themeColor="text1"/>
          <w:kern w:val="2"/>
          <w14:textFill>
            <w14:solidFill>
              <w14:schemeClr w14:val="tx1"/>
            </w14:solidFill>
          </w14:textFill>
        </w:rPr>
        <w:t>双桥经开区水系属于沱江水系濑溪河和涪江水系小安溪支流，辖区内没有大的河流经过，主要有太平河和苦水河，水资源较为贫乏。地表水、地下水资源总量337万m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，降雨多年平均径流为444.26mm，多年平均水量1.66×10</w:t>
      </w:r>
      <w:r>
        <w:rPr>
          <w:color w:val="000000" w:themeColor="text1"/>
          <w:kern w:val="2"/>
          <w:vertAlign w:val="superscript"/>
          <w14:textFill>
            <w14:solidFill>
              <w14:schemeClr w14:val="tx1"/>
            </w14:solidFill>
          </w14:textFill>
        </w:rPr>
        <w:t>7</w:t>
      </w:r>
      <w:r>
        <w:rPr>
          <w:color w:val="000000" w:themeColor="text1"/>
          <w:kern w:val="2"/>
          <w14:textFill>
            <w14:solidFill>
              <w14:schemeClr w14:val="tx1"/>
            </w14:solidFill>
          </w14:textFill>
        </w:rPr>
        <w:t>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太平河是双桥经开区境内的主要地表水系，也是区内仅有的一条集雨面积在20km</w:t>
      </w:r>
      <w:r>
        <w:rPr>
          <w:color w:val="000000" w:themeColor="text1"/>
          <w:kern w:val="2"/>
          <w:vertAlign w:val="superscript"/>
          <w14:textFill>
            <w14:solidFill>
              <w14:schemeClr w14:val="tx1"/>
            </w14:solidFill>
          </w14:textFill>
        </w:rPr>
        <w:t>2</w:t>
      </w:r>
      <w:r>
        <w:rPr>
          <w:color w:val="000000" w:themeColor="text1"/>
          <w:kern w:val="2"/>
          <w14:textFill>
            <w14:solidFill>
              <w14:schemeClr w14:val="tx1"/>
            </w14:solidFill>
          </w14:textFill>
        </w:rPr>
        <w:t>以上的河流，河床平缓，流量小，流速较慢，环境容量及自净能力较差，其水体主要功能为农业取水、泄洪、纳污，不作为饮用水源。太平河为小安溪河的一级支流，发源于双桥经开区巴岳山，流经双桥经开区、永川区汇入小安溪河，再经铜梁和合川，注入嘉陵江。太平河多年枯水期月平均流量为0.91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/s，平均流速0.012m/s。</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苦水河是双桥经开区境内的一条主要河流，水体功能为农业取水、泄洪和纳污。苦水河发源于邮亭镇中华村，在二朗塘汇入太平河。境内河宽约25m，深约1m，流量约0.8m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/s，集雨面积28.91km</w:t>
      </w:r>
      <w:r>
        <w:rPr>
          <w:color w:val="000000" w:themeColor="text1"/>
          <w:kern w:val="2"/>
          <w:vertAlign w:val="superscript"/>
          <w14:textFill>
            <w14:solidFill>
              <w14:schemeClr w14:val="tx1"/>
            </w14:solidFill>
          </w14:textFill>
        </w:rPr>
        <w:t>2</w:t>
      </w:r>
      <w:r>
        <w:rPr>
          <w:color w:val="000000" w:themeColor="text1"/>
          <w:kern w:val="2"/>
          <w14:textFill>
            <w14:solidFill>
              <w14:schemeClr w14:val="tx1"/>
            </w14:solidFill>
          </w14:textFill>
        </w:rPr>
        <w:t>。苦水河最枯月平均流量为0.0798m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/s，平均流速0.00447m/s。</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项目受纳水体为苦水河，排放的废水经园区污水管网进入双桥工业园区污水处理厂，排入苦水河，流入太平河，最后汇入小安溪河。苦水河为太平河右岸一级支流。</w:t>
      </w:r>
    </w:p>
    <w:p>
      <w:pPr>
        <w:pStyle w:val="282"/>
        <w:spacing w:after="0"/>
        <w:ind w:firstLine="480"/>
        <w:rPr>
          <w:color w:val="000000" w:themeColor="text1"/>
          <w:kern w:val="2"/>
          <w14:textFill>
            <w14:solidFill>
              <w14:schemeClr w14:val="tx1"/>
            </w14:solidFill>
          </w14:textFill>
        </w:rPr>
      </w:pPr>
      <w:r>
        <w:rPr>
          <w:color w:val="000000" w:themeColor="text1"/>
          <w:kern w:val="2"/>
          <w14:textFill>
            <w14:solidFill>
              <w14:schemeClr w14:val="tx1"/>
            </w14:solidFill>
          </w14:textFill>
        </w:rPr>
        <w:t>场地内地下水为赋存于松散岩类孔隙水和基岩裂隙水。松散岩类孔隙水主要赋存于第四系人工填土层及粉质粘土中，直接接受降雨补给，场地地下水贫乏，水文地质条件简单。</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3.1.5区域水文地质条件</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（1）含水层与隔水层划分</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从场地水文地质条件分析，填土为松散透水层，透水性强，砂岩为含水层，透水性强，泥岩透水性弱，为相对隔水层。根据区内地层与地下水赋存的条件，地下水含水岩组可分为松散孔隙裂隙水、基岩裂隙水。</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松散孔隙裂隙水：地下水赋存于基岩上部粉砂质泥岩与填土中，根据钻探工程揭露，填土主要由泥岩、砂岩碎块石、粉质粘土组成，物质成分来源于当地，均匀程度差，未受污染。密实度松散，稍湿，土石比约8:2～7:3，粒径一般在2cm～20cm。粉质粘土呈褐黄色，呈可塑，土质纯，韧性、干强度中等，无摇震反应，稍有光泽，场地局部有分布，孔隙度较大，地下水主要赋存于孔隙中。水量不大，属水量贫乏，受大气降水影响较大。</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基岩裂隙水：地下水赋存于基岩孔隙裂隙中，根据钻探揭露，下部泥岩、泥质粉砂岩裂隙发育，富水性中等，透水性一般。</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（2）地下水补给、径流、排泄条件</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评价区内地下水总体上受大气降水补给，松散孔隙裂隙水直接受大气降水垂直入渗补给，基岩裂隙含水层岩组上覆有松散孔隙裂隙含水岩组，两者之间无连续、良好的隔水层，水力联系密切，连通性较好。故基岩裂隙水在出露区受大气降水补给，此外，还受上部松散孔隙裂隙水垂向补给。</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填方区在大气降雨时，在回填土孔隙中形成暂时性上层滞水，上层滞水径流排泄主要受原始地貌影响，由于评价区原始地貌西高东低，除部分垂直向下入渗，主要顺原始地貌向东流动。下部基岩裂隙水向东径流。</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由于冲沟等沟谷切割零碎，区内形成与地表水相似的众多独立的小水文地质单元。多以泉的形式排泄于冲沟等低洼地带，最终排入东侧苦水河。</w:t>
      </w:r>
    </w:p>
    <w:p>
      <w:pPr>
        <w:keepNext/>
        <w:keepLines/>
        <w:adjustRightInd w:val="0"/>
        <w:outlineLvl w:val="2"/>
        <w:rPr>
          <w:rFonts w:eastAsia="宋体"/>
          <w:b/>
          <w:bCs/>
          <w:color w:val="000000" w:themeColor="text1"/>
          <w:kern w:val="0"/>
          <w:szCs w:val="32"/>
          <w14:textFill>
            <w14:solidFill>
              <w14:schemeClr w14:val="tx1"/>
            </w14:solidFill>
          </w14:textFill>
        </w:rPr>
      </w:pPr>
      <w:r>
        <w:rPr>
          <w:rFonts w:eastAsia="宋体"/>
          <w:b/>
          <w:bCs/>
          <w:color w:val="000000" w:themeColor="text1"/>
          <w:szCs w:val="32"/>
          <w14:textFill>
            <w14:solidFill>
              <w14:schemeClr w14:val="tx1"/>
            </w14:solidFill>
          </w14:textFill>
        </w:rPr>
        <w:t>3.1.6气候、气象</w:t>
      </w:r>
      <w:bookmarkEnd w:id="127"/>
      <w:bookmarkEnd w:id="128"/>
      <w:bookmarkEnd w:id="129"/>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大足区属中亚热带季风性湿润气候，四季分明，气候温和稳定，具有冬暖春早、秋短夏长，初夏多雨，盛夏炎热多伏旱，秋多连绵雨。据大足气象站2002</w:t>
      </w:r>
      <w:r>
        <w:rPr>
          <w:rFonts w:hint="eastAsia" w:eastAsia="宋体"/>
          <w:color w:val="000000" w:themeColor="text1"/>
          <w14:textFill>
            <w14:solidFill>
              <w14:schemeClr w14:val="tx1"/>
            </w14:solidFill>
          </w14:textFill>
        </w:rPr>
        <w:t>—2022年</w:t>
      </w:r>
      <w:r>
        <w:rPr>
          <w:rFonts w:eastAsia="宋体"/>
          <w:color w:val="000000" w:themeColor="text1"/>
          <w14:textFill>
            <w14:solidFill>
              <w14:schemeClr w14:val="tx1"/>
            </w14:solidFill>
          </w14:textFill>
        </w:rPr>
        <w:t>累计气象观测数据，大足区多年平均气压964.58hPa，多年平均相对湿度82.08%，多年平均气温17.66℃，多年平均风速1.38m/s，多年平均静风出现频率13.25%，多年平均年降雨量1014.39mm，多年平均最大日降雨量91.11mm（极值205.3mm，出现日期2012.8.31），极大风速统计值为17.57m/s（极值25.4m/s，出现日期2022.4.12，风向354°），多年平均最低气温-0.99℃（极值-3.3℃，出现日期2018.1.9），多年平均最高气温38.81℃（极值41.9℃，出现日期2006.8.15），主导风向NW（平均频率9.05%）。</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3.1.5生态环境现状</w:t>
      </w:r>
    </w:p>
    <w:p>
      <w:pPr>
        <w:pStyle w:val="282"/>
        <w:spacing w:after="0"/>
        <w:ind w:firstLine="480"/>
        <w:rPr>
          <w:color w:val="000000" w:themeColor="text1"/>
          <w14:textFill>
            <w14:solidFill>
              <w14:schemeClr w14:val="tx1"/>
            </w14:solidFill>
          </w14:textFill>
        </w:rPr>
      </w:pPr>
      <w:r>
        <w:rPr>
          <w:color w:val="000000" w:themeColor="text1"/>
          <w14:textFill>
            <w14:solidFill>
              <w14:schemeClr w14:val="tx1"/>
            </w14:solidFill>
          </w14:textFill>
        </w:rPr>
        <w:t>区域植被受地貌影响，主要分布在巴岳自然风景区，形成亚热带针阔叶混交林植被、竹林植被、灌丛植被等为主的森林生态系统。</w:t>
      </w:r>
    </w:p>
    <w:p>
      <w:pPr>
        <w:pStyle w:val="282"/>
        <w:spacing w:after="0"/>
        <w:ind w:firstLine="480"/>
        <w:rPr>
          <w:color w:val="000000" w:themeColor="text1"/>
          <w14:textFill>
            <w14:solidFill>
              <w14:schemeClr w14:val="tx1"/>
            </w14:solidFill>
          </w14:textFill>
        </w:rPr>
      </w:pPr>
      <w:r>
        <w:rPr>
          <w:color w:val="000000" w:themeColor="text1"/>
          <w14:textFill>
            <w14:solidFill>
              <w14:schemeClr w14:val="tx1"/>
            </w14:solidFill>
          </w14:textFill>
        </w:rPr>
        <w:t>区域地貌以平地为主，所在地周边目前主要为农业生态系统，有少数小山丘，区域植被较好，有少量成片树木，以马尾松、杉木和慈竹为主，区域农作物以稻谷、小麦、玉米、红薯为主，有少量果木和蔬菜等其它作物。土壤以沙溪庙祖母质发育而成的灰棕紫泥地为主。动物主要为家畜，营养层次简单。区域内土壤主要为水稻土、紫色土。区域内无珍稀重点保护动植物分布，无名胜古迹、集中林地分布。</w:t>
      </w:r>
    </w:p>
    <w:p>
      <w:pPr>
        <w:pStyle w:val="179"/>
        <w:rPr>
          <w:rFonts w:eastAsia="宋体"/>
          <w:color w:val="000000" w:themeColor="text1"/>
          <w14:textFill>
            <w14:solidFill>
              <w14:schemeClr w14:val="tx1"/>
            </w14:solidFill>
          </w14:textFill>
        </w:rPr>
      </w:pPr>
      <w:bookmarkStart w:id="130" w:name="_Toc489281047"/>
      <w:bookmarkStart w:id="131" w:name="_Toc490235547"/>
      <w:bookmarkStart w:id="132" w:name="_Toc9681"/>
      <w:bookmarkStart w:id="133" w:name="_Toc155271418"/>
      <w:r>
        <w:rPr>
          <w:rFonts w:eastAsia="宋体"/>
          <w:color w:val="000000" w:themeColor="text1"/>
          <w14:textFill>
            <w14:solidFill>
              <w14:schemeClr w14:val="tx1"/>
            </w14:solidFill>
          </w14:textFill>
        </w:rPr>
        <w:t>3.</w:t>
      </w:r>
      <w:bookmarkEnd w:id="130"/>
      <w:bookmarkEnd w:id="131"/>
      <w:bookmarkEnd w:id="132"/>
      <w:r>
        <w:rPr>
          <w:rFonts w:eastAsia="宋体"/>
          <w:color w:val="000000" w:themeColor="text1"/>
          <w14:textFill>
            <w14:solidFill>
              <w14:schemeClr w14:val="tx1"/>
            </w14:solidFill>
          </w14:textFill>
        </w:rPr>
        <w:t>2大足高新区邮亭组团简况</w:t>
      </w:r>
      <w:bookmarkEnd w:id="133"/>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3.2.1大足高新区邮亭组团概况</w:t>
      </w:r>
    </w:p>
    <w:p>
      <w:pPr>
        <w:adjustRightInd w:val="0"/>
        <w:snapToGrid w:val="0"/>
        <w:ind w:firstLine="480"/>
        <w:rPr>
          <w:rFonts w:eastAsia="宋体"/>
          <w:color w:val="000000" w:themeColor="text1"/>
          <w:kern w:val="0"/>
          <w14:textFill>
            <w14:solidFill>
              <w14:schemeClr w14:val="tx1"/>
            </w14:solidFill>
          </w14:textFill>
        </w:rPr>
      </w:pPr>
      <w:r>
        <w:rPr>
          <w:rFonts w:eastAsia="宋体"/>
          <w:color w:val="000000" w:themeColor="text1"/>
          <w:kern w:val="0"/>
          <w:szCs w:val="24"/>
          <w14:textFill>
            <w14:solidFill>
              <w14:schemeClr w14:val="tx1"/>
            </w14:solidFill>
          </w14:textFill>
        </w:rPr>
        <w:t>大足高新区邮亭组团（原邮亭工业园区，以下简称“邮亭组团”）位于邮亭镇镇区北部，2006年重庆市园区办同意该园区进行规划建设。总规划</w:t>
      </w:r>
      <w:r>
        <w:rPr>
          <w:rFonts w:eastAsia="宋体"/>
          <w:color w:val="000000" w:themeColor="text1"/>
          <w:kern w:val="0"/>
          <w14:textFill>
            <w14:solidFill>
              <w14:schemeClr w14:val="tx1"/>
            </w14:solidFill>
          </w14:textFill>
        </w:rPr>
        <w:t>面积6.68km</w:t>
      </w:r>
      <w:r>
        <w:rPr>
          <w:rFonts w:eastAsia="宋体"/>
          <w:color w:val="000000" w:themeColor="text1"/>
          <w:kern w:val="0"/>
          <w:vertAlign w:val="superscript"/>
          <w14:textFill>
            <w14:solidFill>
              <w14:schemeClr w14:val="tx1"/>
            </w14:solidFill>
          </w14:textFill>
        </w:rPr>
        <w:t>2</w:t>
      </w:r>
      <w:r>
        <w:rPr>
          <w:rFonts w:eastAsia="宋体"/>
          <w:color w:val="000000" w:themeColor="text1"/>
          <w:kern w:val="0"/>
          <w14:textFill>
            <w14:solidFill>
              <w14:schemeClr w14:val="tx1"/>
            </w14:solidFill>
          </w14:textFill>
        </w:rPr>
        <w:t>，规划四至范围为东至经开大道，西至大邮西路，北至新胜水库，南至成渝高速公路。规划主导产业发展资源循环利用产业、汽车零部件产业。</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3.2.2园区规划环评情况</w:t>
      </w:r>
    </w:p>
    <w:p>
      <w:pPr>
        <w:adjustRightInd w:val="0"/>
        <w:snapToGrid w:val="0"/>
        <w:ind w:firstLine="480"/>
        <w:rPr>
          <w:rFonts w:eastAsia="宋体"/>
          <w:color w:val="000000" w:themeColor="text1"/>
          <w:kern w:val="0"/>
          <w:sz w:val="22"/>
          <w14:textFill>
            <w14:solidFill>
              <w14:schemeClr w14:val="tx1"/>
            </w14:solidFill>
          </w14:textFill>
        </w:rPr>
      </w:pPr>
      <w:r>
        <w:rPr>
          <w:rFonts w:eastAsia="宋体"/>
          <w:color w:val="000000" w:themeColor="text1"/>
          <w:kern w:val="0"/>
          <w14:textFill>
            <w14:solidFill>
              <w14:schemeClr w14:val="tx1"/>
            </w14:solidFill>
          </w14:textFill>
        </w:rPr>
        <w:t>邮亭组团成立至今，分别于2013年、2016年按照双桥经开区邮亭片区A区和B区开展了规划环境影响评价，2021年对邮亭片区A区进行了规划跟踪环境影响评价。2023年开展了大足高新区邮亭组团规划环境影响评价。</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3.2.3双桥工业园区污水处理厂简介</w:t>
      </w:r>
    </w:p>
    <w:p>
      <w:pPr>
        <w:ind w:firstLine="480"/>
        <w:rPr>
          <w:rFonts w:eastAsia="宋体"/>
          <w:color w:val="000000" w:themeColor="text1"/>
          <w:kern w:val="0"/>
          <w14:textFill>
            <w14:solidFill>
              <w14:schemeClr w14:val="tx1"/>
            </w14:solidFill>
          </w14:textFill>
        </w:rPr>
      </w:pPr>
      <w:bookmarkStart w:id="134" w:name="_Toc22882"/>
      <w:r>
        <w:rPr>
          <w:rFonts w:eastAsia="宋体"/>
          <w:color w:val="000000" w:themeColor="text1"/>
          <w:kern w:val="0"/>
          <w14:textFill>
            <w14:solidFill>
              <w14:schemeClr w14:val="tx1"/>
            </w14:solidFill>
          </w14:textFill>
        </w:rPr>
        <w:t>双桥工业园区污水处理厂位于邮亭镇天堂村4组，布置于园区东侧，已建成处理规模为1万m</w:t>
      </w:r>
      <w:r>
        <w:rPr>
          <w:rFonts w:eastAsia="宋体"/>
          <w:color w:val="000000" w:themeColor="text1"/>
          <w:kern w:val="0"/>
          <w:vertAlign w:val="superscript"/>
          <w14:textFill>
            <w14:solidFill>
              <w14:schemeClr w14:val="tx1"/>
            </w14:solidFill>
          </w14:textFill>
        </w:rPr>
        <w:t>3</w:t>
      </w:r>
      <w:r>
        <w:rPr>
          <w:rFonts w:eastAsia="宋体"/>
          <w:color w:val="000000" w:themeColor="text1"/>
          <w:kern w:val="0"/>
          <w14:textFill>
            <w14:solidFill>
              <w14:schemeClr w14:val="tx1"/>
            </w14:solidFill>
          </w14:textFill>
        </w:rPr>
        <w:t>/d，于2015年10月建成投运，占地1.66hm</w:t>
      </w:r>
      <w:r>
        <w:rPr>
          <w:rFonts w:eastAsia="宋体"/>
          <w:color w:val="000000" w:themeColor="text1"/>
          <w:kern w:val="0"/>
          <w:vertAlign w:val="superscript"/>
          <w14:textFill>
            <w14:solidFill>
              <w14:schemeClr w14:val="tx1"/>
            </w14:solidFill>
          </w14:textFill>
        </w:rPr>
        <w:t>2</w:t>
      </w:r>
      <w:r>
        <w:rPr>
          <w:rFonts w:eastAsia="宋体"/>
          <w:color w:val="000000" w:themeColor="text1"/>
          <w:kern w:val="0"/>
          <w14:textFill>
            <w14:solidFill>
              <w14:schemeClr w14:val="tx1"/>
            </w14:solidFill>
          </w14:textFill>
        </w:rPr>
        <w:t>，目前剩余处理规模约0.5万m</w:t>
      </w:r>
      <w:r>
        <w:rPr>
          <w:rFonts w:eastAsia="宋体"/>
          <w:color w:val="000000" w:themeColor="text1"/>
          <w:kern w:val="0"/>
          <w:vertAlign w:val="superscript"/>
          <w14:textFill>
            <w14:solidFill>
              <w14:schemeClr w14:val="tx1"/>
            </w14:solidFill>
          </w14:textFill>
        </w:rPr>
        <w:t>3</w:t>
      </w:r>
      <w:r>
        <w:rPr>
          <w:rFonts w:eastAsia="宋体"/>
          <w:color w:val="000000" w:themeColor="text1"/>
          <w:kern w:val="0"/>
          <w14:textFill>
            <w14:solidFill>
              <w14:schemeClr w14:val="tx1"/>
            </w14:solidFill>
          </w14:textFill>
        </w:rPr>
        <w:t>/d。污水处理厂目前服务范围为邮亭工业园区、大邮路东侧的邮亭镇少量居民生活污水，服务面积约10.7km</w:t>
      </w:r>
      <w:r>
        <w:rPr>
          <w:rFonts w:eastAsia="宋体"/>
          <w:color w:val="000000" w:themeColor="text1"/>
          <w:kern w:val="0"/>
          <w:vertAlign w:val="superscript"/>
          <w14:textFill>
            <w14:solidFill>
              <w14:schemeClr w14:val="tx1"/>
            </w14:solidFill>
          </w14:textFill>
        </w:rPr>
        <w:t>2</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采用改良卡式氧化沟工艺</w:t>
      </w:r>
      <w:r>
        <w:rPr>
          <w:rFonts w:hint="eastAsia" w:eastAsia="宋体"/>
          <w:color w:val="000000" w:themeColor="text1"/>
          <w:kern w:val="0"/>
          <w14:textFill>
            <w14:solidFill>
              <w14:schemeClr w14:val="tx1"/>
            </w14:solidFill>
          </w14:textFill>
        </w:rPr>
        <w:t>。目前污水处理厂正在开展提标改造工作，尾水排放由现状</w:t>
      </w:r>
      <w:r>
        <w:rPr>
          <w:rFonts w:eastAsia="宋体"/>
          <w:color w:val="000000" w:themeColor="text1"/>
          <w:kern w:val="0"/>
          <w14:textFill>
            <w14:solidFill>
              <w14:schemeClr w14:val="tx1"/>
            </w14:solidFill>
          </w14:textFill>
        </w:rPr>
        <w:t>《城镇污水处理厂污染物排放标准》（GB18918-2002）中一级</w:t>
      </w:r>
      <w:r>
        <w:rPr>
          <w:rFonts w:hint="eastAsia" w:eastAsia="宋体"/>
          <w:color w:val="000000" w:themeColor="text1"/>
          <w:kern w:val="0"/>
          <w14:textFill>
            <w14:solidFill>
              <w14:schemeClr w14:val="tx1"/>
            </w14:solidFill>
          </w14:textFill>
        </w:rPr>
        <w:t>B</w:t>
      </w:r>
      <w:r>
        <w:rPr>
          <w:rFonts w:eastAsia="宋体"/>
          <w:color w:val="000000" w:themeColor="text1"/>
          <w:kern w:val="0"/>
          <w14:textFill>
            <w14:solidFill>
              <w14:schemeClr w14:val="tx1"/>
            </w14:solidFill>
          </w14:textFill>
        </w:rPr>
        <w:t>标准</w:t>
      </w:r>
      <w:r>
        <w:rPr>
          <w:rFonts w:hint="eastAsia" w:eastAsia="宋体"/>
          <w:color w:val="000000" w:themeColor="text1"/>
          <w:kern w:val="0"/>
          <w14:textFill>
            <w14:solidFill>
              <w14:schemeClr w14:val="tx1"/>
            </w14:solidFill>
          </w14:textFill>
        </w:rPr>
        <w:t>提标至</w:t>
      </w:r>
      <w:r>
        <w:rPr>
          <w:rFonts w:eastAsia="宋体"/>
          <w:color w:val="000000" w:themeColor="text1"/>
          <w:kern w:val="0"/>
          <w14:textFill>
            <w14:solidFill>
              <w14:schemeClr w14:val="tx1"/>
            </w14:solidFill>
          </w14:textFill>
        </w:rPr>
        <w:t>《城镇污水处理厂污染物排放标准》（GB18918-2002）中一级A标准（其中COD、氨氮、TP执行《地表水环境质量标准》（GB 3838-2002）Ⅳ类标准）后排入苦水河。</w:t>
      </w:r>
      <w:bookmarkEnd w:id="134"/>
    </w:p>
    <w:p>
      <w:pPr>
        <w:ind w:firstLine="480"/>
        <w:rPr>
          <w:rFonts w:eastAsia="宋体"/>
          <w:color w:val="000000" w:themeColor="text1"/>
          <w14:textFill>
            <w14:solidFill>
              <w14:schemeClr w14:val="tx1"/>
            </w14:solidFill>
          </w14:textFill>
        </w:rPr>
        <w:sectPr>
          <w:pgSz w:w="11906" w:h="16838"/>
          <w:pgMar w:top="1276" w:right="1440" w:bottom="1276" w:left="1440" w:header="720" w:footer="720" w:gutter="0"/>
          <w:cols w:space="720" w:num="1"/>
          <w:docGrid w:linePitch="326" w:charSpace="0"/>
        </w:sectPr>
      </w:pPr>
      <w:r>
        <w:rPr>
          <w:rFonts w:eastAsia="宋体"/>
          <w:color w:val="000000" w:themeColor="text1"/>
          <w:kern w:val="0"/>
          <w14:textFill>
            <w14:solidFill>
              <w14:schemeClr w14:val="tx1"/>
            </w14:solidFill>
          </w14:textFill>
        </w:rPr>
        <w:t>本项目位于</w:t>
      </w:r>
      <w:r>
        <w:rPr>
          <w:rFonts w:eastAsia="宋体"/>
          <w:color w:val="000000" w:themeColor="text1"/>
          <w14:textFill>
            <w14:solidFill>
              <w14:schemeClr w14:val="tx1"/>
            </w14:solidFill>
          </w14:textFill>
        </w:rPr>
        <w:t>重庆市大足区邮亭镇天堂</w:t>
      </w:r>
      <w:r>
        <w:rPr>
          <w:rFonts w:hint="eastAsia" w:eastAsia="宋体"/>
          <w:color w:val="000000" w:themeColor="text1"/>
          <w14:textFill>
            <w14:solidFill>
              <w14:schemeClr w14:val="tx1"/>
            </w14:solidFill>
          </w14:textFill>
        </w:rPr>
        <w:t>村九组</w:t>
      </w:r>
      <w:r>
        <w:rPr>
          <w:rFonts w:eastAsia="宋体"/>
          <w:color w:val="000000" w:themeColor="text1"/>
          <w14:textFill>
            <w14:solidFill>
              <w14:schemeClr w14:val="tx1"/>
            </w14:solidFill>
          </w14:textFill>
        </w:rPr>
        <w:t>129号（1号地块）、重庆市大足区邮亭镇工业园区烈火村17组（2号地块）。属于C3311金属结构制造业，符合园区产业规划，不在园区负面清单内。园区市政基础设施可满足项目建设需求。</w:t>
      </w:r>
    </w:p>
    <w:p>
      <w:pPr>
        <w:pStyle w:val="179"/>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w:t>
      </w:r>
      <w:r>
        <w:rPr>
          <w:rFonts w:hint="eastAsia" w:eastAsia="宋体"/>
          <w:color w:val="000000" w:themeColor="text1"/>
          <w14:textFill>
            <w14:solidFill>
              <w14:schemeClr w14:val="tx1"/>
            </w14:solidFill>
          </w14:textFill>
        </w:rPr>
        <w:t>区域污染源调查</w:t>
      </w:r>
    </w:p>
    <w:p>
      <w:pPr>
        <w:ind w:firstLine="480"/>
        <w:rPr>
          <w:rFonts w:eastAsia="宋体"/>
          <w:color w:val="000000" w:themeColor="text1"/>
          <w:kern w:val="0"/>
          <w:szCs w:val="24"/>
          <w14:textFill>
            <w14:solidFill>
              <w14:schemeClr w14:val="tx1"/>
            </w14:solidFill>
          </w14:textFill>
        </w:rPr>
      </w:pPr>
      <w:r>
        <w:rPr>
          <w:rFonts w:hint="eastAsia" w:eastAsia="宋体"/>
          <w:color w:val="000000" w:themeColor="text1"/>
          <w:kern w:val="0"/>
          <w:szCs w:val="24"/>
          <w14:textFill>
            <w14:solidFill>
              <w14:schemeClr w14:val="tx1"/>
            </w14:solidFill>
          </w14:textFill>
        </w:rPr>
        <w:t>根据统计资料及《大足高新区邮亭组团规划环境影响报告书》，评价区域内主要企业污染物排放情况见表</w:t>
      </w:r>
      <w:r>
        <w:rPr>
          <w:rFonts w:eastAsia="宋体"/>
          <w:color w:val="000000" w:themeColor="text1"/>
          <w:kern w:val="0"/>
          <w:szCs w:val="24"/>
          <w14:textFill>
            <w14:solidFill>
              <w14:schemeClr w14:val="tx1"/>
            </w14:solidFill>
          </w14:textFill>
        </w:rPr>
        <w:t>3.3</w:t>
      </w:r>
      <w:r>
        <w:rPr>
          <w:rFonts w:hint="eastAsia" w:eastAsia="宋体"/>
          <w:color w:val="000000" w:themeColor="text1"/>
          <w:kern w:val="0"/>
          <w:szCs w:val="24"/>
          <w14:textFill>
            <w14:solidFill>
              <w14:schemeClr w14:val="tx1"/>
            </w14:solidFill>
          </w14:textFill>
        </w:rPr>
        <w:t>-</w:t>
      </w:r>
      <w:r>
        <w:rPr>
          <w:rFonts w:eastAsia="宋体"/>
          <w:color w:val="000000" w:themeColor="text1"/>
          <w:kern w:val="0"/>
          <w:szCs w:val="24"/>
          <w14:textFill>
            <w14:solidFill>
              <w14:schemeClr w14:val="tx1"/>
            </w14:solidFill>
          </w14:textFill>
        </w:rPr>
        <w:t>1</w:t>
      </w:r>
      <w:r>
        <w:rPr>
          <w:rFonts w:hint="eastAsia" w:eastAsia="宋体"/>
          <w:color w:val="000000" w:themeColor="text1"/>
          <w:kern w:val="0"/>
          <w:szCs w:val="24"/>
          <w14:textFill>
            <w14:solidFill>
              <w14:schemeClr w14:val="tx1"/>
            </w14:solidFill>
          </w14:textFill>
        </w:rPr>
        <w:t>-1。</w:t>
      </w:r>
    </w:p>
    <w:p>
      <w:pPr>
        <w:spacing w:line="240" w:lineRule="auto"/>
        <w:jc w:val="center"/>
        <w:rPr>
          <w:rFonts w:eastAsia="宋体"/>
          <w:b/>
          <w:bCs/>
          <w:color w:val="000000" w:themeColor="text1"/>
          <w:szCs w:val="24"/>
          <w:lang w:val="zh-CN"/>
          <w14:textFill>
            <w14:solidFill>
              <w14:schemeClr w14:val="tx1"/>
            </w14:solidFill>
          </w14:textFill>
        </w:rPr>
      </w:pPr>
      <w:r>
        <w:rPr>
          <w:rFonts w:eastAsia="宋体"/>
          <w:b/>
          <w:bCs/>
          <w:color w:val="000000" w:themeColor="text1"/>
          <w:kern w:val="0"/>
          <w14:textFill>
            <w14:solidFill>
              <w14:schemeClr w14:val="tx1"/>
            </w14:solidFill>
          </w14:textFill>
        </w:rPr>
        <w:t xml:space="preserve">表3.3-1  区域主要企业废气（已建、在建）排放情况汇总表  </w:t>
      </w:r>
      <w:r>
        <w:rPr>
          <w:rFonts w:eastAsia="宋体"/>
          <w:b/>
          <w:bCs/>
          <w:color w:val="000000" w:themeColor="text1"/>
          <w:szCs w:val="24"/>
          <w:lang w:val="zh-CN"/>
          <w14:textFill>
            <w14:solidFill>
              <w14:schemeClr w14:val="tx1"/>
            </w14:solidFill>
          </w14:textFill>
        </w:rPr>
        <w:t>单位：t/a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3889"/>
        <w:gridCol w:w="972"/>
        <w:gridCol w:w="972"/>
        <w:gridCol w:w="1027"/>
        <w:gridCol w:w="824"/>
        <w:gridCol w:w="983"/>
        <w:gridCol w:w="1038"/>
        <w:gridCol w:w="1038"/>
        <w:gridCol w:w="812"/>
        <w:gridCol w:w="812"/>
        <w:gridCol w:w="14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序号</w:t>
            </w:r>
          </w:p>
        </w:tc>
        <w:tc>
          <w:tcPr>
            <w:tcW w:w="1341" w:type="pct"/>
            <w:shd w:val="clear" w:color="auto" w:fill="auto"/>
            <w:noWrap/>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企业名称</w:t>
            </w:r>
          </w:p>
        </w:tc>
        <w:tc>
          <w:tcPr>
            <w:tcW w:w="335" w:type="pct"/>
            <w:shd w:val="clear" w:color="auto" w:fill="auto"/>
            <w:noWrap/>
            <w:vAlign w:val="center"/>
          </w:tcPr>
          <w:p>
            <w:pPr>
              <w:spacing w:line="240" w:lineRule="auto"/>
              <w:jc w:val="center"/>
              <w:rPr>
                <w:rFonts w:eastAsia="宋体"/>
                <w:b/>
                <w:color w:val="000000" w:themeColor="text1"/>
                <w:sz w:val="18"/>
                <w:szCs w:val="18"/>
                <w:vertAlign w:val="subscript"/>
                <w14:textFill>
                  <w14:solidFill>
                    <w14:schemeClr w14:val="tx1"/>
                  </w14:solidFill>
                </w14:textFill>
              </w:rPr>
            </w:pPr>
            <w:r>
              <w:rPr>
                <w:rFonts w:eastAsia="宋体"/>
                <w:b/>
                <w:color w:val="000000" w:themeColor="text1"/>
                <w:sz w:val="18"/>
                <w:szCs w:val="18"/>
                <w14:textFill>
                  <w14:solidFill>
                    <w14:schemeClr w14:val="tx1"/>
                  </w14:solidFill>
                </w14:textFill>
              </w:rPr>
              <w:t>SO</w:t>
            </w:r>
            <w:r>
              <w:rPr>
                <w:rFonts w:eastAsia="宋体"/>
                <w:b/>
                <w:color w:val="000000" w:themeColor="text1"/>
                <w:sz w:val="18"/>
                <w:szCs w:val="18"/>
                <w:vertAlign w:val="subscript"/>
                <w14:textFill>
                  <w14:solidFill>
                    <w14:schemeClr w14:val="tx1"/>
                  </w14:solidFill>
                </w14:textFill>
              </w:rPr>
              <w:t>2</w:t>
            </w:r>
          </w:p>
        </w:tc>
        <w:tc>
          <w:tcPr>
            <w:tcW w:w="335" w:type="pct"/>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NOx</w:t>
            </w:r>
          </w:p>
        </w:tc>
        <w:tc>
          <w:tcPr>
            <w:tcW w:w="354" w:type="pct"/>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颗粒物</w:t>
            </w:r>
          </w:p>
        </w:tc>
        <w:tc>
          <w:tcPr>
            <w:tcW w:w="284"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铅</w:t>
            </w:r>
          </w:p>
        </w:tc>
        <w:tc>
          <w:tcPr>
            <w:tcW w:w="339"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二甲苯</w:t>
            </w:r>
          </w:p>
        </w:tc>
        <w:tc>
          <w:tcPr>
            <w:tcW w:w="358"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非甲烷总烃</w:t>
            </w:r>
          </w:p>
        </w:tc>
        <w:tc>
          <w:tcPr>
            <w:tcW w:w="358"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VOCs</w:t>
            </w:r>
          </w:p>
        </w:tc>
        <w:tc>
          <w:tcPr>
            <w:tcW w:w="280"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氨</w:t>
            </w:r>
          </w:p>
        </w:tc>
        <w:tc>
          <w:tcPr>
            <w:tcW w:w="280"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硫酸雾</w:t>
            </w:r>
          </w:p>
        </w:tc>
        <w:tc>
          <w:tcPr>
            <w:tcW w:w="501" w:type="pct"/>
            <w:shd w:val="clear" w:color="auto" w:fill="auto"/>
            <w:vAlign w:val="center"/>
          </w:tcPr>
          <w:p>
            <w:pPr>
              <w:spacing w:line="240" w:lineRule="auto"/>
              <w:jc w:val="center"/>
              <w:rPr>
                <w:rFonts w:eastAsia="宋体"/>
                <w:b/>
                <w:color w:val="000000" w:themeColor="text1"/>
                <w:sz w:val="18"/>
                <w:szCs w:val="18"/>
                <w14:textFill>
                  <w14:solidFill>
                    <w14:schemeClr w14:val="tx1"/>
                  </w14:solidFill>
                </w14:textFill>
              </w:rPr>
            </w:pPr>
            <w:r>
              <w:rPr>
                <w:rFonts w:eastAsia="宋体"/>
                <w:b/>
                <w:color w:val="000000" w:themeColor="text1"/>
                <w:sz w:val="18"/>
                <w:szCs w:val="18"/>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一、再生资源产业（含铅酸蓄电池）</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32.77</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126.50</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35.78</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0.887</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0.796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18.26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4.45</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6.49</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2.21</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重庆德能再生资源股份有限公司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6.35</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21.6</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8.32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0.176</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重庆瀚渝再生资源有限公司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0.75</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2.24</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2.30</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0.36</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2.30</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0.33</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氯化氢0.35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重庆佳航废旧金属回收有限公司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0.01</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0.06</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2.05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0.005</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重庆汇集再生资源有限公司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0.9</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重庆春兴再生资源有限公司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11.6</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19.44</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6.51</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0.21</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重庆科博蓄电池有限公司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0.59</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5.29</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0.88</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0.076</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1.38</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重庆一电新能源有限公司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3.82</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35.745</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0.425</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8</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威立雅油气环境治理（重庆）有限公司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5.143</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11.679</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2.627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2.115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氯化氢0.37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9</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重庆正旭环保科技有限公司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重庆市恩德再生资源综合利用有限公司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0.82</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w:t>
            </w:r>
          </w:p>
        </w:tc>
        <w:tc>
          <w:tcPr>
            <w:tcW w:w="1341"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重庆市报废汽车集团有限公司</w:t>
            </w:r>
          </w:p>
        </w:tc>
        <w:tc>
          <w:tcPr>
            <w:tcW w:w="335" w:type="pct"/>
            <w:shd w:val="clear" w:color="auto" w:fill="auto"/>
            <w:noWrap/>
            <w:vAlign w:val="center"/>
          </w:tcPr>
          <w:p>
            <w:pPr>
              <w:adjustRightInd w:val="0"/>
              <w:snapToGrid w:val="0"/>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0.75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b/>
                <w:bCs/>
                <w:color w:val="000000" w:themeColor="text1"/>
                <w:kern w:val="0"/>
                <w:sz w:val="18"/>
                <w:szCs w:val="18"/>
                <w14:textFill>
                  <w14:solidFill>
                    <w14:schemeClr w14:val="tx1"/>
                  </w14:solidFill>
                </w14:textFill>
              </w:rPr>
              <w:t>0.3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w:t>
            </w:r>
          </w:p>
        </w:tc>
        <w:tc>
          <w:tcPr>
            <w:tcW w:w="1341"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重庆胜铭再生资源回收有限公司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13</w:t>
            </w:r>
          </w:p>
        </w:tc>
        <w:tc>
          <w:tcPr>
            <w:tcW w:w="1341"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重庆金亭环保工程有限公司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0.049</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0.349</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0.044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0.937</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14</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重庆中态盛信环保科技有限公司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0.44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0.27</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锡及其化合物0.0005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15</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重庆三贡再生资源有限公司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1.094</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6.664</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1.727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0.292</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5.221</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0.001</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氟化物0.06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16</w:t>
            </w:r>
          </w:p>
        </w:tc>
        <w:tc>
          <w:tcPr>
            <w:tcW w:w="1341"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华新环境工程有限公司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3.542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0.004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1.764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0.0132</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0.0033</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17</w:t>
            </w:r>
          </w:p>
        </w:tc>
        <w:tc>
          <w:tcPr>
            <w:tcW w:w="1341"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重庆新霆易环保科技有限公司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3.02</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12.15</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4.257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2.19</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18</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重庆诺海再生资源综合利用有限公司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0.962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重庆同诚再生资源有限公司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0.042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0.82</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0.9608</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20</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重庆驰兴塑料制品有限公司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1.40</w:t>
            </w: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重庆市双渝报废汽车拆解利用有限公司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r>
              <w:rPr>
                <w:rFonts w:eastAsia="宋体"/>
                <w:snapToGrid w:val="0"/>
                <w:color w:val="000000" w:themeColor="text1"/>
                <w:kern w:val="0"/>
                <w:sz w:val="18"/>
                <w:szCs w:val="18"/>
                <w14:textFill>
                  <w14:solidFill>
                    <w14:schemeClr w14:val="tx1"/>
                  </w14:solidFill>
                </w14:textFill>
              </w:rPr>
              <w:t>0.43</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0"/>
                <w:sz w:val="18"/>
                <w:szCs w:val="18"/>
                <w14:textFill>
                  <w14:solidFill>
                    <w14:schemeClr w14:val="tx1"/>
                  </w14:solidFill>
                </w14:textFill>
              </w:rPr>
              <w:t>0.333</w:t>
            </w: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重庆槿沐环境科技有限公司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0.34</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11.28</w:t>
            </w:r>
          </w:p>
        </w:tc>
        <w:tc>
          <w:tcPr>
            <w:tcW w:w="354" w:type="pct"/>
            <w:vAlign w:val="center"/>
          </w:tcPr>
          <w:p>
            <w:pPr>
              <w:spacing w:line="240" w:lineRule="auto"/>
              <w:jc w:val="center"/>
              <w:rPr>
                <w:rFonts w:eastAsia="宋体"/>
                <w:snapToGrid w:val="0"/>
                <w:color w:val="000000" w:themeColor="text1"/>
                <w:kern w:val="0"/>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0"/>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4.18</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硫化氢0.18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二、汽摩零配件</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314.71</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261.00</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191.71</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0.713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12.00</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19.21</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重庆莱钢建筑材料有限公司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1.65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2.985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2.985</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重庆立腾精密模具有限公司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重庆壬顺金属加工有限公司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35</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3.54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重庆足航钢铁有限公司</w:t>
            </w:r>
          </w:p>
        </w:tc>
        <w:tc>
          <w:tcPr>
            <w:tcW w:w="335"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302.52</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205.61</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165.66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二噁英：4.04g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重庆标杰车厢制造有限公司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0.189</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0.754</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1.968</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0.713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8.073</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8.073</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重庆市卓鼎机电有限公司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1.07</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5.78</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0.135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0.188</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重庆圣特诺五金制品有限公司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0.054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8</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重庆佳铭机械制造有限公司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2.32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9</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重庆耀敏金属制品有限公司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0.252</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0.657</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0.114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重庆聚航钢结构制造有限公司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3.01</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7.96</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重庆嘉锐铝业有限公司</w:t>
            </w:r>
          </w:p>
        </w:tc>
        <w:tc>
          <w:tcPr>
            <w:tcW w:w="335"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0.68</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13.2</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10.97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氯化氢3.99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重庆思也其汽车零部件有限公司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13</w:t>
            </w:r>
          </w:p>
        </w:tc>
        <w:tc>
          <w:tcPr>
            <w:tcW w:w="1341"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重庆碧禄汽车板簧有限公司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0.08</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三、笔电配套</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12.96</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26.56</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59.61</w:t>
            </w:r>
          </w:p>
        </w:tc>
        <w:tc>
          <w:tcPr>
            <w:tcW w:w="28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64.06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195.16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193.66</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大昶</w:t>
            </w:r>
            <w:r>
              <w:rPr>
                <w:rFonts w:hint="eastAsia" w:eastAsia="宋体"/>
                <w:color w:val="000000" w:themeColor="text1"/>
                <w:sz w:val="18"/>
                <w:szCs w:val="18"/>
                <w:lang w:eastAsia="zh-CN"/>
                <w14:textFill>
                  <w14:solidFill>
                    <w14:schemeClr w14:val="tx1"/>
                  </w14:solidFill>
                </w14:textFill>
              </w:rPr>
              <w:t>（</w:t>
            </w:r>
            <w:r>
              <w:rPr>
                <w:rFonts w:eastAsia="宋体"/>
                <w:color w:val="000000" w:themeColor="text1"/>
                <w:sz w:val="18"/>
                <w:szCs w:val="18"/>
                <w14:textFill>
                  <w14:solidFill>
                    <w14:schemeClr w14:val="tx1"/>
                  </w14:solidFill>
                </w14:textFill>
              </w:rPr>
              <w:t>重庆</w:t>
            </w:r>
            <w:r>
              <w:rPr>
                <w:rFonts w:hint="eastAsia" w:eastAsia="宋体"/>
                <w:color w:val="000000" w:themeColor="text1"/>
                <w:sz w:val="18"/>
                <w:szCs w:val="18"/>
                <w:lang w:eastAsia="zh-CN"/>
                <w14:textFill>
                  <w14:solidFill>
                    <w14:schemeClr w14:val="tx1"/>
                  </w14:solidFill>
                </w14:textFill>
              </w:rPr>
              <w:t>）</w:t>
            </w:r>
            <w:r>
              <w:rPr>
                <w:rFonts w:eastAsia="宋体"/>
                <w:color w:val="000000" w:themeColor="text1"/>
                <w:sz w:val="18"/>
                <w:szCs w:val="18"/>
                <w14:textFill>
                  <w14:solidFill>
                    <w14:schemeClr w14:val="tx1"/>
                  </w14:solidFill>
                </w14:textFill>
              </w:rPr>
              <w:t>电子科技有限公司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昶宝电子科技</w:t>
            </w:r>
            <w:r>
              <w:rPr>
                <w:rFonts w:hint="eastAsia" w:eastAsia="宋体"/>
                <w:color w:val="000000" w:themeColor="text1"/>
                <w:sz w:val="18"/>
                <w:szCs w:val="18"/>
                <w:lang w:eastAsia="zh-CN"/>
                <w14:textFill>
                  <w14:solidFill>
                    <w14:schemeClr w14:val="tx1"/>
                  </w14:solidFill>
                </w14:textFill>
              </w:rPr>
              <w:t>（</w:t>
            </w:r>
            <w:r>
              <w:rPr>
                <w:rFonts w:eastAsia="宋体"/>
                <w:color w:val="000000" w:themeColor="text1"/>
                <w:sz w:val="18"/>
                <w:szCs w:val="18"/>
                <w14:textFill>
                  <w14:solidFill>
                    <w14:schemeClr w14:val="tx1"/>
                  </w14:solidFill>
                </w14:textFill>
              </w:rPr>
              <w:t>重庆</w:t>
            </w:r>
            <w:r>
              <w:rPr>
                <w:rFonts w:hint="eastAsia" w:eastAsia="宋体"/>
                <w:color w:val="000000" w:themeColor="text1"/>
                <w:sz w:val="18"/>
                <w:szCs w:val="18"/>
                <w:lang w:eastAsia="zh-CN"/>
                <w14:textFill>
                  <w14:solidFill>
                    <w14:schemeClr w14:val="tx1"/>
                  </w14:solidFill>
                </w14:textFill>
              </w:rPr>
              <w:t>）</w:t>
            </w:r>
            <w:r>
              <w:rPr>
                <w:rFonts w:eastAsia="宋体"/>
                <w:color w:val="000000" w:themeColor="text1"/>
                <w:sz w:val="18"/>
                <w:szCs w:val="18"/>
                <w14:textFill>
                  <w14:solidFill>
                    <w14:schemeClr w14:val="tx1"/>
                  </w14:solidFill>
                </w14:textFill>
              </w:rPr>
              <w:t>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7.504</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11.864</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56.9397</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64.06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193.6358</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193.6358</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0.009</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合立成电子材料（重庆）有限公司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0.024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0.024</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柏腾（重庆）光电科技有限公司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0.069</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重庆宝昌包装有限公司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1.34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重庆宽威电子科技有限公司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5.46</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14.7</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0.162</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四、建材</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24.466</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144.115</w:t>
            </w:r>
          </w:p>
        </w:tc>
        <w:tc>
          <w:tcPr>
            <w:tcW w:w="354" w:type="pct"/>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99.997</w:t>
            </w:r>
          </w:p>
        </w:tc>
        <w:tc>
          <w:tcPr>
            <w:tcW w:w="28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0.575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3.118</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5.477</w:t>
            </w:r>
          </w:p>
        </w:tc>
        <w:tc>
          <w:tcPr>
            <w:tcW w:w="280"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重庆足丰水泥有限公司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32.48</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重庆足运建筑制品有限公司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0.652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0.071</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0.226</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重庆博腾节能科技有限公司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11.90</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27.32</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29.24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4.8</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甲醛：2.4</w:t>
            </w:r>
          </w:p>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酚类：2.4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4</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重庆立巨建材有限公司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0.45</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2.12</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2.822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重庆绿色世界新型建材有限公司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0.796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0.675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snapToGrid w:val="0"/>
                <w:color w:val="000000" w:themeColor="text1"/>
                <w:kern w:val="21"/>
                <w:sz w:val="18"/>
                <w:szCs w:val="18"/>
                <w14:textFill>
                  <w14:solidFill>
                    <w14:schemeClr w14:val="tx1"/>
                  </w14:solidFill>
                </w14:textFill>
              </w:rPr>
              <w:t>0.677</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氯化氢</w:t>
            </w:r>
            <w:r>
              <w:rPr>
                <w:rFonts w:eastAsia="宋体"/>
                <w:snapToGrid w:val="0"/>
                <w:color w:val="000000" w:themeColor="text1"/>
                <w:kern w:val="21"/>
                <w:sz w:val="18"/>
                <w:szCs w:val="18"/>
                <w14:textFill>
                  <w14:solidFill>
                    <w14:schemeClr w14:val="tx1"/>
                  </w14:solidFill>
                </w14:textFill>
              </w:rPr>
              <w:t>0.000706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w:t>
            </w:r>
          </w:p>
        </w:tc>
        <w:tc>
          <w:tcPr>
            <w:tcW w:w="1341"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重庆元塑管业有限公司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1.094</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0.322</w:t>
            </w: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7</w:t>
            </w:r>
          </w:p>
        </w:tc>
        <w:tc>
          <w:tcPr>
            <w:tcW w:w="1341"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重庆胜远威陶瓷有限公司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12.1</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114.62</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29.112</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氟化物2.1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8</w:t>
            </w:r>
          </w:p>
        </w:tc>
        <w:tc>
          <w:tcPr>
            <w:tcW w:w="1341"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重庆精平艺门有限责任公司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2.891</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0.504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1.895</w:t>
            </w: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9</w:t>
            </w:r>
          </w:p>
        </w:tc>
        <w:tc>
          <w:tcPr>
            <w:tcW w:w="1341"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重庆天亘建筑工程有限公司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0.685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bCs/>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10</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重庆天合首创建材有限公司</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bCs/>
                <w:color w:val="000000" w:themeColor="text1"/>
                <w:sz w:val="18"/>
                <w:szCs w:val="18"/>
                <w14:textFill>
                  <w14:solidFill>
                    <w14:schemeClr w14:val="tx1"/>
                  </w14:solidFill>
                </w14:textFill>
              </w:rPr>
              <w:t>0.016</w:t>
            </w:r>
          </w:p>
        </w:tc>
        <w:tc>
          <w:tcPr>
            <w:tcW w:w="335"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lang w:val="de-DE"/>
                <w14:textFill>
                  <w14:solidFill>
                    <w14:schemeClr w14:val="tx1"/>
                  </w14:solidFill>
                </w14:textFill>
              </w:rPr>
              <w:t>0.055</w:t>
            </w:r>
          </w:p>
        </w:tc>
        <w:tc>
          <w:tcPr>
            <w:tcW w:w="354" w:type="pct"/>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0.225</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snapToGrid w:val="0"/>
                <w:color w:val="000000" w:themeColor="text1"/>
                <w:kern w:val="2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五、电镀</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335"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6.29</w:t>
            </w:r>
          </w:p>
        </w:tc>
        <w:tc>
          <w:tcPr>
            <w:tcW w:w="354" w:type="pct"/>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9.96</w:t>
            </w:r>
          </w:p>
        </w:tc>
        <w:tc>
          <w:tcPr>
            <w:tcW w:w="284" w:type="pct"/>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358"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0.037</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0.61</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1</w:t>
            </w:r>
          </w:p>
        </w:tc>
        <w:tc>
          <w:tcPr>
            <w:tcW w:w="1341"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大足表面处理集中加工区</w:t>
            </w:r>
          </w:p>
        </w:tc>
        <w:tc>
          <w:tcPr>
            <w:tcW w:w="335" w:type="pct"/>
            <w:shd w:val="clear" w:color="auto" w:fill="auto"/>
            <w:noWrap/>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335" w:type="pct"/>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6.29</w:t>
            </w:r>
          </w:p>
        </w:tc>
        <w:tc>
          <w:tcPr>
            <w:tcW w:w="354" w:type="pct"/>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9.96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p>
        </w:tc>
        <w:tc>
          <w:tcPr>
            <w:tcW w:w="358"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358" w:type="pct"/>
            <w:shd w:val="clear" w:color="auto" w:fill="auto"/>
            <w:vAlign w:val="center"/>
          </w:tcPr>
          <w:p>
            <w:pPr>
              <w:spacing w:line="240" w:lineRule="auto"/>
              <w:jc w:val="center"/>
              <w:rPr>
                <w:rFonts w:eastAsia="宋体"/>
                <w:color w:val="000000" w:themeColor="text1"/>
                <w:kern w:val="0"/>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0.037</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0.61</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氯化氢1.42</w:t>
            </w:r>
          </w:p>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铬酸雾0.0038氟化物0.0068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75" w:type="pct"/>
            <w:gridSpan w:val="2"/>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合计</w:t>
            </w:r>
          </w:p>
        </w:tc>
        <w:tc>
          <w:tcPr>
            <w:tcW w:w="335" w:type="pct"/>
            <w:shd w:val="clear" w:color="auto" w:fill="auto"/>
            <w:noWrap/>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385.51</w:t>
            </w:r>
          </w:p>
        </w:tc>
        <w:tc>
          <w:tcPr>
            <w:tcW w:w="335"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564.47</w:t>
            </w:r>
          </w:p>
        </w:tc>
        <w:tc>
          <w:tcPr>
            <w:tcW w:w="35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397.06</w:t>
            </w:r>
          </w:p>
        </w:tc>
        <w:tc>
          <w:tcPr>
            <w:tcW w:w="284"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0.887</w:t>
            </w:r>
          </w:p>
        </w:tc>
        <w:tc>
          <w:tcPr>
            <w:tcW w:w="339"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66.15</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229.14</w:t>
            </w:r>
          </w:p>
        </w:tc>
        <w:tc>
          <w:tcPr>
            <w:tcW w:w="358"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223.40</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6.54</w:t>
            </w:r>
          </w:p>
        </w:tc>
        <w:tc>
          <w:tcPr>
            <w:tcW w:w="280"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2.82</w:t>
            </w:r>
          </w:p>
        </w:tc>
        <w:tc>
          <w:tcPr>
            <w:tcW w:w="501" w:type="pct"/>
            <w:shd w:val="clear" w:color="auto" w:fill="auto"/>
            <w:vAlign w:val="center"/>
          </w:tcPr>
          <w:p>
            <w:pPr>
              <w:spacing w:line="240" w:lineRule="auto"/>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w:t>
            </w:r>
          </w:p>
        </w:tc>
      </w:tr>
    </w:tbl>
    <w:p>
      <w:pPr>
        <w:rPr>
          <w:rFonts w:eastAsia="宋体"/>
          <w:color w:val="000000" w:themeColor="text1"/>
          <w:kern w:val="0"/>
          <w:szCs w:val="24"/>
          <w14:textFill>
            <w14:solidFill>
              <w14:schemeClr w14:val="tx1"/>
            </w14:solidFill>
          </w14:textFill>
        </w:rPr>
      </w:pPr>
    </w:p>
    <w:p>
      <w:pPr>
        <w:ind w:firstLine="480"/>
        <w:rPr>
          <w:rFonts w:eastAsia="宋体"/>
          <w:color w:val="000000" w:themeColor="text1"/>
          <w:kern w:val="0"/>
          <w:szCs w:val="24"/>
          <w14:textFill>
            <w14:solidFill>
              <w14:schemeClr w14:val="tx1"/>
            </w14:solidFill>
          </w14:textFill>
        </w:rPr>
        <w:sectPr>
          <w:pgSz w:w="16838" w:h="11906" w:orient="landscape"/>
          <w:pgMar w:top="1440" w:right="1276" w:bottom="1440" w:left="1276" w:header="720" w:footer="720" w:gutter="0"/>
          <w:cols w:space="720" w:num="1"/>
          <w:docGrid w:linePitch="326" w:charSpace="0"/>
        </w:sectPr>
      </w:pPr>
    </w:p>
    <w:p>
      <w:pPr>
        <w:pStyle w:val="179"/>
        <w:rPr>
          <w:rFonts w:eastAsia="宋体"/>
          <w:color w:val="000000" w:themeColor="text1"/>
          <w14:textFill>
            <w14:solidFill>
              <w14:schemeClr w14:val="tx1"/>
            </w14:solidFill>
          </w14:textFill>
        </w:rPr>
      </w:pPr>
      <w:bookmarkStart w:id="135" w:name="_Toc12557"/>
      <w:bookmarkStart w:id="136" w:name="_Toc155271419"/>
      <w:r>
        <w:rPr>
          <w:rFonts w:eastAsia="宋体"/>
          <w:color w:val="000000" w:themeColor="text1"/>
          <w14:textFill>
            <w14:solidFill>
              <w14:schemeClr w14:val="tx1"/>
            </w14:solidFill>
          </w14:textFill>
        </w:rPr>
        <w:t>3.4环境</w:t>
      </w:r>
      <w:bookmarkEnd w:id="135"/>
      <w:r>
        <w:rPr>
          <w:rFonts w:eastAsia="宋体"/>
          <w:color w:val="000000" w:themeColor="text1"/>
          <w14:textFill>
            <w14:solidFill>
              <w14:schemeClr w14:val="tx1"/>
            </w14:solidFill>
          </w14:textFill>
        </w:rPr>
        <w:t>质量现状调查与评价</w:t>
      </w:r>
      <w:bookmarkEnd w:id="136"/>
    </w:p>
    <w:p>
      <w:pPr>
        <w:keepNext/>
        <w:keepLines/>
        <w:adjustRightInd w:val="0"/>
        <w:outlineLvl w:val="2"/>
        <w:rPr>
          <w:rFonts w:eastAsia="宋体"/>
          <w:b/>
          <w:bCs/>
          <w:color w:val="000000" w:themeColor="text1"/>
          <w:szCs w:val="32"/>
          <w14:textFill>
            <w14:solidFill>
              <w14:schemeClr w14:val="tx1"/>
            </w14:solidFill>
          </w14:textFill>
        </w:rPr>
      </w:pPr>
      <w:bookmarkStart w:id="137" w:name="_Toc490235550"/>
      <w:bookmarkStart w:id="138" w:name="_Toc7519"/>
      <w:bookmarkStart w:id="139" w:name="_Toc489281050"/>
      <w:r>
        <w:rPr>
          <w:rFonts w:eastAsia="宋体"/>
          <w:b/>
          <w:bCs/>
          <w:color w:val="000000" w:themeColor="text1"/>
          <w:szCs w:val="32"/>
          <w14:textFill>
            <w14:solidFill>
              <w14:schemeClr w14:val="tx1"/>
            </w14:solidFill>
          </w14:textFill>
        </w:rPr>
        <w:t>3.4.1环境空气</w:t>
      </w:r>
      <w:bookmarkEnd w:id="137"/>
      <w:bookmarkEnd w:id="138"/>
      <w:bookmarkEnd w:id="139"/>
      <w:r>
        <w:rPr>
          <w:rFonts w:eastAsia="宋体"/>
          <w:b/>
          <w:bCs/>
          <w:color w:val="000000" w:themeColor="text1"/>
          <w:szCs w:val="32"/>
          <w14:textFill>
            <w14:solidFill>
              <w14:schemeClr w14:val="tx1"/>
            </w14:solidFill>
          </w14:textFill>
        </w:rPr>
        <w:t>质量</w:t>
      </w:r>
    </w:p>
    <w:p>
      <w:pPr>
        <w:ind w:firstLine="48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本项目位于大足高新区邮亭组团。按照《重庆市人民政府关于印发重庆市环境空气质量功能区划分规定的通知》</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渝府发〔2016〕19号</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及（渝府发〔2008〕35号）规定，本项目所在区域为空气质量二类功能区，执行《环境空气质量标准》</w:t>
      </w:r>
      <w:r>
        <w:rPr>
          <w:rFonts w:hint="eastAsia" w:eastAsia="宋体"/>
          <w:color w:val="000000" w:themeColor="text1"/>
          <w:kern w:val="0"/>
          <w:lang w:eastAsia="zh-CN"/>
          <w14:textFill>
            <w14:solidFill>
              <w14:schemeClr w14:val="tx1"/>
            </w14:solidFill>
          </w14:textFill>
        </w:rPr>
        <w:t>（</w:t>
      </w:r>
      <w:r>
        <w:rPr>
          <w:rFonts w:eastAsia="宋体"/>
          <w:color w:val="000000" w:themeColor="text1"/>
          <w:kern w:val="0"/>
          <w14:textFill>
            <w14:solidFill>
              <w14:schemeClr w14:val="tx1"/>
            </w14:solidFill>
          </w14:textFill>
        </w:rPr>
        <w:t>GB3095-2012</w:t>
      </w:r>
      <w:r>
        <w:rPr>
          <w:rFonts w:hint="eastAsia" w:eastAsia="宋体"/>
          <w:color w:val="000000" w:themeColor="text1"/>
          <w:kern w:val="0"/>
          <w14:textFill>
            <w14:solidFill>
              <w14:schemeClr w14:val="tx1"/>
            </w14:solidFill>
          </w14:textFill>
        </w:rPr>
        <w:t>）</w:t>
      </w:r>
      <w:r>
        <w:rPr>
          <w:rFonts w:eastAsia="宋体"/>
          <w:color w:val="000000" w:themeColor="text1"/>
          <w:kern w:val="0"/>
          <w14:textFill>
            <w14:solidFill>
              <w14:schemeClr w14:val="tx1"/>
            </w14:solidFill>
          </w14:textFill>
        </w:rPr>
        <w:t>二类标准。</w:t>
      </w:r>
    </w:p>
    <w:p>
      <w:pPr>
        <w:ind w:firstLine="482"/>
        <w:rPr>
          <w:rFonts w:eastAsia="宋体"/>
          <w:b/>
          <w:bCs/>
          <w:color w:val="000000" w:themeColor="text1"/>
          <w:kern w:val="0"/>
          <w:szCs w:val="24"/>
          <w14:textFill>
            <w14:solidFill>
              <w14:schemeClr w14:val="tx1"/>
            </w14:solidFill>
          </w14:textFill>
        </w:rPr>
      </w:pPr>
      <w:r>
        <w:rPr>
          <w:rFonts w:eastAsia="宋体"/>
          <w:b/>
          <w:bCs/>
          <w:color w:val="000000" w:themeColor="text1"/>
          <w:kern w:val="0"/>
          <w:szCs w:val="24"/>
          <w14:textFill>
            <w14:solidFill>
              <w14:schemeClr w14:val="tx1"/>
            </w14:solidFill>
          </w14:textFill>
        </w:rPr>
        <w:t>（1）环境空气质量达标情况</w:t>
      </w:r>
    </w:p>
    <w:p>
      <w:pPr>
        <w:ind w:firstLine="480"/>
        <w:rPr>
          <w:rFonts w:eastAsia="宋体"/>
          <w:color w:val="000000" w:themeColor="text1"/>
          <w:kern w:val="0"/>
          <w:szCs w:val="24"/>
          <w14:textFill>
            <w14:solidFill>
              <w14:schemeClr w14:val="tx1"/>
            </w14:solidFill>
          </w14:textFill>
        </w:rPr>
      </w:pPr>
      <w:r>
        <w:rPr>
          <w:rFonts w:eastAsia="宋体"/>
          <w:color w:val="000000" w:themeColor="text1"/>
          <w:szCs w:val="24"/>
          <w14:textFill>
            <w14:solidFill>
              <w14:schemeClr w14:val="tx1"/>
            </w14:solidFill>
          </w14:textFill>
        </w:rPr>
        <w:t>本次评价基本污染物采用重庆市生态环境局公布的《2022年重庆市生态环境状况公报》中大足区环境空气质量现状数据。详见表3.4-1。</w:t>
      </w:r>
    </w:p>
    <w:p>
      <w:pPr>
        <w:spacing w:line="240" w:lineRule="auto"/>
        <w:jc w:val="center"/>
        <w:rPr>
          <w:rFonts w:eastAsia="宋体"/>
          <w:b/>
          <w:bCs/>
          <w:color w:val="000000" w:themeColor="text1"/>
          <w:kern w:val="0"/>
          <w:szCs w:val="24"/>
          <w:vertAlign w:val="superscript"/>
          <w14:textFill>
            <w14:solidFill>
              <w14:schemeClr w14:val="tx1"/>
            </w14:solidFill>
          </w14:textFill>
        </w:rPr>
      </w:pPr>
      <w:r>
        <w:rPr>
          <w:rFonts w:eastAsia="宋体"/>
          <w:b/>
          <w:bCs/>
          <w:color w:val="000000" w:themeColor="text1"/>
          <w:kern w:val="0"/>
          <w:szCs w:val="24"/>
          <w14:textFill>
            <w14:solidFill>
              <w14:schemeClr w14:val="tx1"/>
            </w14:solidFill>
          </w14:textFill>
        </w:rPr>
        <w:t>表3.4-1  基准污染物环境质量现状</w:t>
      </w:r>
      <w:r>
        <w:rPr>
          <w:rFonts w:hint="eastAsia" w:eastAsia="宋体"/>
          <w:b/>
          <w:bCs/>
          <w:color w:val="000000" w:themeColor="text1"/>
          <w:kern w:val="0"/>
          <w:szCs w:val="24"/>
          <w14:textFill>
            <w14:solidFill>
              <w14:schemeClr w14:val="tx1"/>
            </w14:solidFill>
          </w14:textFill>
        </w:rPr>
        <w:t xml:space="preserve"> </w:t>
      </w:r>
      <w:r>
        <w:rPr>
          <w:rFonts w:eastAsia="宋体"/>
          <w:b/>
          <w:bCs/>
          <w:color w:val="000000" w:themeColor="text1"/>
          <w:kern w:val="0"/>
          <w:szCs w:val="24"/>
          <w14:textFill>
            <w14:solidFill>
              <w14:schemeClr w14:val="tx1"/>
            </w14:solidFill>
          </w14:textFill>
        </w:rPr>
        <w:t xml:space="preserve"> </w:t>
      </w:r>
      <w:r>
        <w:rPr>
          <w:rFonts w:hint="eastAsia" w:eastAsia="宋体"/>
          <w:b/>
          <w:bCs/>
          <w:color w:val="000000" w:themeColor="text1"/>
          <w:kern w:val="0"/>
          <w:szCs w:val="24"/>
          <w14:textFill>
            <w14:solidFill>
              <w14:schemeClr w14:val="tx1"/>
            </w14:solidFill>
          </w14:textFill>
        </w:rPr>
        <w:t>单位：</w:t>
      </w:r>
      <w:r>
        <w:rPr>
          <w:rFonts w:eastAsia="宋体"/>
          <w:b/>
          <w:bCs/>
          <w:color w:val="000000" w:themeColor="text1"/>
          <w:kern w:val="0"/>
          <w:szCs w:val="24"/>
          <w14:textFill>
            <w14:solidFill>
              <w14:schemeClr w14:val="tx1"/>
            </w14:solidFill>
          </w14:textFill>
        </w:rPr>
        <w:t>μ</w:t>
      </w:r>
      <w:r>
        <w:rPr>
          <w:rFonts w:hint="eastAsia" w:eastAsia="宋体"/>
          <w:b/>
          <w:bCs/>
          <w:color w:val="000000" w:themeColor="text1"/>
          <w:kern w:val="0"/>
          <w:szCs w:val="24"/>
          <w14:textFill>
            <w14:solidFill>
              <w14:schemeClr w14:val="tx1"/>
            </w14:solidFill>
          </w14:textFill>
        </w:rPr>
        <w:t>g</w:t>
      </w:r>
      <w:r>
        <w:rPr>
          <w:rFonts w:eastAsia="宋体"/>
          <w:b/>
          <w:bCs/>
          <w:color w:val="000000" w:themeColor="text1"/>
          <w:kern w:val="0"/>
          <w:szCs w:val="24"/>
          <w14:textFill>
            <w14:solidFill>
              <w14:schemeClr w14:val="tx1"/>
            </w14:solidFill>
          </w14:textFill>
        </w:rPr>
        <w:t>/</w:t>
      </w:r>
      <w:r>
        <w:rPr>
          <w:rFonts w:hint="eastAsia" w:eastAsia="宋体"/>
          <w:b/>
          <w:bCs/>
          <w:color w:val="000000" w:themeColor="text1"/>
          <w:kern w:val="0"/>
          <w:szCs w:val="24"/>
          <w14:textFill>
            <w14:solidFill>
              <w14:schemeClr w14:val="tx1"/>
            </w14:solidFill>
          </w14:textFill>
        </w:rPr>
        <w:t>m</w:t>
      </w:r>
      <w:r>
        <w:rPr>
          <w:rFonts w:eastAsia="宋体"/>
          <w:b/>
          <w:bCs/>
          <w:color w:val="000000" w:themeColor="text1"/>
          <w:kern w:val="0"/>
          <w:szCs w:val="24"/>
          <w:vertAlign w:val="superscript"/>
          <w14:textFill>
            <w14:solidFill>
              <w14:schemeClr w14:val="tx1"/>
            </w14:solidFill>
          </w14:textFill>
        </w:rPr>
        <w:t>3</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1063"/>
        <w:gridCol w:w="2970"/>
        <w:gridCol w:w="1325"/>
        <w:gridCol w:w="1133"/>
        <w:gridCol w:w="1322"/>
        <w:gridCol w:w="142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w:t>
            </w:r>
          </w:p>
        </w:tc>
        <w:tc>
          <w:tcPr>
            <w:tcW w:w="1607"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评价指标</w:t>
            </w:r>
          </w:p>
        </w:tc>
        <w:tc>
          <w:tcPr>
            <w:tcW w:w="717"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现状浓度</w:t>
            </w:r>
          </w:p>
        </w:tc>
        <w:tc>
          <w:tcPr>
            <w:tcW w:w="613" w:type="pct"/>
            <w:vAlign w:val="center"/>
          </w:tcPr>
          <w:p>
            <w:pPr>
              <w:pStyle w:val="386"/>
              <w:spacing w:line="240" w:lineRule="auto"/>
              <w:ind w:firstLine="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标准值</w:t>
            </w:r>
          </w:p>
        </w:tc>
        <w:tc>
          <w:tcPr>
            <w:tcW w:w="715"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占标率%</w:t>
            </w:r>
          </w:p>
        </w:tc>
        <w:tc>
          <w:tcPr>
            <w:tcW w:w="773"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p>
        </w:tc>
        <w:tc>
          <w:tcPr>
            <w:tcW w:w="160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年均值</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47</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70</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67.1</w:t>
            </w:r>
          </w:p>
        </w:tc>
        <w:tc>
          <w:tcPr>
            <w:tcW w:w="77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60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年均值</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12</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60</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20.0</w:t>
            </w:r>
          </w:p>
        </w:tc>
        <w:tc>
          <w:tcPr>
            <w:tcW w:w="77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60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年均值</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15</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40</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37.5</w:t>
            </w:r>
          </w:p>
        </w:tc>
        <w:tc>
          <w:tcPr>
            <w:tcW w:w="773"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p>
        </w:tc>
        <w:tc>
          <w:tcPr>
            <w:tcW w:w="160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年均值</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34</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35</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97.1</w:t>
            </w:r>
          </w:p>
        </w:tc>
        <w:tc>
          <w:tcPr>
            <w:tcW w:w="77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607" w:type="pct"/>
            <w:vAlign w:val="center"/>
          </w:tcPr>
          <w:p>
            <w:pPr>
              <w:pStyle w:val="257"/>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最大8小时滑动平均值的第90百分位数</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150</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160</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93.8</w:t>
            </w:r>
          </w:p>
        </w:tc>
        <w:tc>
          <w:tcPr>
            <w:tcW w:w="77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0" w:hRule="atLeast"/>
          <w:jc w:val="center"/>
        </w:trPr>
        <w:tc>
          <w:tcPr>
            <w:tcW w:w="575" w:type="pct"/>
            <w:vAlign w:val="center"/>
          </w:tcPr>
          <w:p>
            <w:pPr>
              <w:pStyle w:val="404"/>
              <w:spacing w:line="24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CO</w:t>
            </w:r>
          </w:p>
        </w:tc>
        <w:tc>
          <w:tcPr>
            <w:tcW w:w="1607" w:type="pct"/>
            <w:vAlign w:val="center"/>
          </w:tcPr>
          <w:p>
            <w:pPr>
              <w:pStyle w:val="257"/>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24小时平均第95百分位数</w:t>
            </w:r>
          </w:p>
        </w:tc>
        <w:tc>
          <w:tcPr>
            <w:tcW w:w="717"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800</w:t>
            </w:r>
          </w:p>
        </w:tc>
        <w:tc>
          <w:tcPr>
            <w:tcW w:w="613"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4000</w:t>
            </w:r>
          </w:p>
        </w:tc>
        <w:tc>
          <w:tcPr>
            <w:tcW w:w="71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20.0</w:t>
            </w:r>
          </w:p>
        </w:tc>
        <w:tc>
          <w:tcPr>
            <w:tcW w:w="77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w:t>
            </w:r>
          </w:p>
        </w:tc>
      </w:tr>
    </w:tbl>
    <w:p>
      <w:pPr>
        <w:ind w:firstLine="480"/>
        <w:rPr>
          <w:rFonts w:eastAsia="宋体"/>
          <w:b/>
          <w:bCs/>
          <w:color w:val="000000" w:themeColor="text1"/>
          <w:kern w:val="0"/>
          <w:szCs w:val="24"/>
          <w14:textFill>
            <w14:solidFill>
              <w14:schemeClr w14:val="tx1"/>
            </w14:solidFill>
          </w14:textFill>
        </w:rPr>
      </w:pPr>
      <w:r>
        <w:rPr>
          <w:rFonts w:eastAsia="宋体"/>
          <w:color w:val="000000" w:themeColor="text1"/>
          <w:szCs w:val="24"/>
          <w14:textFill>
            <w14:solidFill>
              <w14:schemeClr w14:val="tx1"/>
            </w14:solidFill>
          </w14:textFill>
        </w:rPr>
        <w:t>由上表可知，大足区SO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、NO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、CO、O</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均满足《环境空气质量标准》（GB 3095-2012）二级标准的要求。根据《环境影响评价技术导则 大气环境》（HJ 2.2-2018），城市环境空气质量达标情况评价指标为SO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、NO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、CO、O</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，六项污染物全部达标即为城市环境空气质量达标，因此大足区属于达标区</w:t>
      </w:r>
      <w:r>
        <w:rPr>
          <w:rFonts w:eastAsia="宋体"/>
          <w:color w:val="000000" w:themeColor="text1"/>
          <w:kern w:val="0"/>
          <w:szCs w:val="24"/>
          <w14:textFill>
            <w14:solidFill>
              <w14:schemeClr w14:val="tx1"/>
            </w14:solidFill>
          </w14:textFill>
        </w:rPr>
        <w:t>。</w:t>
      </w:r>
    </w:p>
    <w:p>
      <w:pPr>
        <w:ind w:firstLine="482"/>
        <w:rPr>
          <w:rFonts w:eastAsia="宋体"/>
          <w:b/>
          <w:bCs/>
          <w:color w:val="000000" w:themeColor="text1"/>
          <w:kern w:val="0"/>
          <w:szCs w:val="24"/>
          <w14:textFill>
            <w14:solidFill>
              <w14:schemeClr w14:val="tx1"/>
            </w14:solidFill>
          </w14:textFill>
        </w:rPr>
      </w:pPr>
      <w:r>
        <w:rPr>
          <w:rFonts w:eastAsia="宋体"/>
          <w:b/>
          <w:bCs/>
          <w:color w:val="000000" w:themeColor="text1"/>
          <w:kern w:val="0"/>
          <w:szCs w:val="24"/>
          <w14:textFill>
            <w14:solidFill>
              <w14:schemeClr w14:val="tx1"/>
            </w14:solidFill>
          </w14:textFill>
        </w:rPr>
        <w:t>（2）其他污染物监测数据现状评价</w:t>
      </w:r>
    </w:p>
    <w:p>
      <w:pPr>
        <w:pStyle w:val="251"/>
        <w:ind w:firstLine="480" w:firstLineChars="200"/>
        <w:rPr>
          <w:rFonts w:ascii="Times New Roman" w:cs="Times New Roman"/>
          <w:color w:val="000000" w:themeColor="text1"/>
          <w14:textFill>
            <w14:solidFill>
              <w14:schemeClr w14:val="tx1"/>
            </w14:solidFill>
          </w14:textFill>
        </w:rPr>
      </w:pPr>
      <w:bookmarkStart w:id="140" w:name="_Toc489281051"/>
      <w:r>
        <w:rPr>
          <w:rFonts w:hint="eastAsia" w:hAnsi="宋体"/>
          <w:color w:val="000000" w:themeColor="text1"/>
          <w14:textFill>
            <w14:solidFill>
              <w14:schemeClr w14:val="tx1"/>
            </w14:solidFill>
          </w14:textFill>
        </w:rPr>
        <w:t>①</w:t>
      </w:r>
      <w:r>
        <w:rPr>
          <w:rFonts w:ascii="Times New Roman" w:cs="Times New Roman"/>
          <w:color w:val="000000" w:themeColor="text1"/>
          <w14:textFill>
            <w14:solidFill>
              <w14:schemeClr w14:val="tx1"/>
            </w14:solidFill>
          </w14:textFill>
        </w:rPr>
        <w:t>监测因子</w:t>
      </w:r>
    </w:p>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非甲烷总烃、甲苯、二甲苯</w:t>
      </w:r>
    </w:p>
    <w:p>
      <w:pPr>
        <w:pStyle w:val="251"/>
        <w:ind w:firstLine="480" w:firstLineChars="200"/>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②</w:t>
      </w:r>
      <w:r>
        <w:rPr>
          <w:rFonts w:ascii="Times New Roman" w:cs="Times New Roman"/>
          <w:color w:val="000000" w:themeColor="text1"/>
          <w14:textFill>
            <w14:solidFill>
              <w14:schemeClr w14:val="tx1"/>
            </w14:solidFill>
          </w14:textFill>
        </w:rPr>
        <w:t>监测数据来源</w:t>
      </w:r>
    </w:p>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非甲烷总烃、甲苯、二甲苯引用“渝西（大足）工业废物利用与处置中心项目”环境影响评价现状监测报告（新检字[2021]第HJ195-1-1号）中峰高盘石小学的监测数据进行评价。监测时间2021.5.21~2021.5.27，监测点位于本项目2号地块西北侧约3046m。引用的现状监测数据属于环评大气评价范围，监测数据未超过3年，引用数据合理可行，具有一定代表性。</w:t>
      </w:r>
    </w:p>
    <w:p>
      <w:pPr>
        <w:pStyle w:val="251"/>
        <w:ind w:firstLine="480" w:firstLineChars="200"/>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w:t>
      </w:r>
      <w:r>
        <w:rPr>
          <w:rFonts w:ascii="Times New Roman" w:cs="Times New Roman"/>
          <w:color w:val="000000" w:themeColor="text1"/>
          <w14:textFill>
            <w14:solidFill>
              <w14:schemeClr w14:val="tx1"/>
            </w14:solidFill>
          </w14:textFill>
        </w:rPr>
        <w:t>监测点位基本信息</w:t>
      </w:r>
    </w:p>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监测点位基本信息见表3.4-2。</w:t>
      </w:r>
    </w:p>
    <w:p>
      <w:pPr>
        <w:spacing w:line="240" w:lineRule="auto"/>
        <w:jc w:val="center"/>
        <w:rPr>
          <w:rFonts w:eastAsia="宋体"/>
          <w:b/>
          <w:bCs/>
          <w:color w:val="000000" w:themeColor="text1"/>
          <w:kern w:val="0"/>
          <w:szCs w:val="24"/>
          <w14:textFill>
            <w14:solidFill>
              <w14:schemeClr w14:val="tx1"/>
            </w14:solidFill>
          </w14:textFill>
        </w:rPr>
      </w:pPr>
    </w:p>
    <w:p>
      <w:pPr>
        <w:spacing w:line="240" w:lineRule="auto"/>
        <w:jc w:val="center"/>
        <w:rPr>
          <w:rFonts w:eastAsia="宋体"/>
          <w:b/>
          <w:bCs/>
          <w:color w:val="000000" w:themeColor="text1"/>
          <w:kern w:val="0"/>
          <w:szCs w:val="24"/>
          <w:vertAlign w:val="superscript"/>
          <w14:textFill>
            <w14:solidFill>
              <w14:schemeClr w14:val="tx1"/>
            </w14:solidFill>
          </w14:textFill>
        </w:rPr>
      </w:pPr>
      <w:r>
        <w:rPr>
          <w:rFonts w:eastAsia="宋体"/>
          <w:b/>
          <w:bCs/>
          <w:color w:val="000000" w:themeColor="text1"/>
          <w:kern w:val="0"/>
          <w:szCs w:val="24"/>
          <w14:textFill>
            <w14:solidFill>
              <w14:schemeClr w14:val="tx1"/>
            </w14:solidFill>
          </w14:textFill>
        </w:rPr>
        <w:t>表3.4-2  其他污染物监测点位基本信息</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30"/>
        <w:gridCol w:w="1734"/>
        <w:gridCol w:w="869"/>
        <w:gridCol w:w="726"/>
        <w:gridCol w:w="1303"/>
        <w:gridCol w:w="1305"/>
        <w:gridCol w:w="22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57" w:type="pct"/>
            <w:vMerge w:val="restar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点位编号</w:t>
            </w:r>
          </w:p>
        </w:tc>
        <w:tc>
          <w:tcPr>
            <w:tcW w:w="938" w:type="pct"/>
            <w:vMerge w:val="restar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监测点名称</w:t>
            </w:r>
          </w:p>
        </w:tc>
        <w:tc>
          <w:tcPr>
            <w:tcW w:w="863" w:type="pct"/>
            <w:gridSpan w:val="2"/>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监测点坐标</w:t>
            </w:r>
          </w:p>
        </w:tc>
        <w:tc>
          <w:tcPr>
            <w:tcW w:w="705" w:type="pct"/>
            <w:vMerge w:val="restart"/>
            <w:vAlign w:val="center"/>
          </w:tcPr>
          <w:p>
            <w:pPr>
              <w:pStyle w:val="386"/>
              <w:spacing w:line="240" w:lineRule="auto"/>
              <w:ind w:firstLine="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监测因子</w:t>
            </w:r>
          </w:p>
        </w:tc>
        <w:tc>
          <w:tcPr>
            <w:tcW w:w="706" w:type="pct"/>
            <w:vMerge w:val="restar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监测时段</w:t>
            </w:r>
          </w:p>
        </w:tc>
        <w:tc>
          <w:tcPr>
            <w:tcW w:w="1231" w:type="pct"/>
            <w:vMerge w:val="restar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相对厂址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57" w:type="pct"/>
            <w:vMerge w:val="continue"/>
            <w:vAlign w:val="center"/>
          </w:tcPr>
          <w:p>
            <w:pPr>
              <w:pStyle w:val="386"/>
              <w:spacing w:line="240" w:lineRule="auto"/>
              <w:ind w:firstLine="0"/>
              <w:jc w:val="center"/>
              <w:rPr>
                <w:b/>
                <w:color w:val="000000" w:themeColor="text1"/>
                <w:sz w:val="21"/>
                <w:szCs w:val="21"/>
                <w14:textFill>
                  <w14:solidFill>
                    <w14:schemeClr w14:val="tx1"/>
                  </w14:solidFill>
                </w14:textFill>
              </w:rPr>
            </w:pPr>
          </w:p>
        </w:tc>
        <w:tc>
          <w:tcPr>
            <w:tcW w:w="938" w:type="pct"/>
            <w:vMerge w:val="continue"/>
            <w:vAlign w:val="center"/>
          </w:tcPr>
          <w:p>
            <w:pPr>
              <w:pStyle w:val="386"/>
              <w:spacing w:line="240" w:lineRule="auto"/>
              <w:ind w:firstLine="0"/>
              <w:jc w:val="center"/>
              <w:rPr>
                <w:b/>
                <w:color w:val="000000" w:themeColor="text1"/>
                <w:sz w:val="21"/>
                <w:szCs w:val="21"/>
                <w14:textFill>
                  <w14:solidFill>
                    <w14:schemeClr w14:val="tx1"/>
                  </w14:solidFill>
                </w14:textFill>
              </w:rPr>
            </w:pPr>
          </w:p>
        </w:tc>
        <w:tc>
          <w:tcPr>
            <w:tcW w:w="470"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X</w:t>
            </w:r>
          </w:p>
        </w:tc>
        <w:tc>
          <w:tcPr>
            <w:tcW w:w="393" w:type="pct"/>
            <w:vAlign w:val="center"/>
          </w:tcPr>
          <w:p>
            <w:pPr>
              <w:pStyle w:val="386"/>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Y</w:t>
            </w:r>
          </w:p>
        </w:tc>
        <w:tc>
          <w:tcPr>
            <w:tcW w:w="705" w:type="pct"/>
            <w:vMerge w:val="continue"/>
            <w:vAlign w:val="center"/>
          </w:tcPr>
          <w:p>
            <w:pPr>
              <w:pStyle w:val="386"/>
              <w:spacing w:line="240" w:lineRule="auto"/>
              <w:ind w:firstLine="0"/>
              <w:jc w:val="center"/>
              <w:rPr>
                <w:b/>
                <w:bCs/>
                <w:color w:val="000000" w:themeColor="text1"/>
                <w:sz w:val="21"/>
                <w:szCs w:val="21"/>
                <w14:textFill>
                  <w14:solidFill>
                    <w14:schemeClr w14:val="tx1"/>
                  </w14:solidFill>
                </w14:textFill>
              </w:rPr>
            </w:pPr>
          </w:p>
        </w:tc>
        <w:tc>
          <w:tcPr>
            <w:tcW w:w="706" w:type="pct"/>
            <w:vMerge w:val="continue"/>
            <w:vAlign w:val="center"/>
          </w:tcPr>
          <w:p>
            <w:pPr>
              <w:pStyle w:val="386"/>
              <w:spacing w:line="240" w:lineRule="auto"/>
              <w:ind w:firstLine="0"/>
              <w:jc w:val="center"/>
              <w:rPr>
                <w:b/>
                <w:color w:val="000000" w:themeColor="text1"/>
                <w:sz w:val="21"/>
                <w:szCs w:val="21"/>
                <w14:textFill>
                  <w14:solidFill>
                    <w14:schemeClr w14:val="tx1"/>
                  </w14:solidFill>
                </w14:textFill>
              </w:rPr>
            </w:pPr>
          </w:p>
        </w:tc>
        <w:tc>
          <w:tcPr>
            <w:tcW w:w="1231" w:type="pct"/>
            <w:vMerge w:val="continue"/>
            <w:vAlign w:val="center"/>
          </w:tcPr>
          <w:p>
            <w:pPr>
              <w:pStyle w:val="386"/>
              <w:spacing w:line="240" w:lineRule="auto"/>
              <w:ind w:firstLine="0"/>
              <w:jc w:val="center"/>
              <w:rPr>
                <w:b/>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57" w:type="pct"/>
            <w:vMerge w:val="restart"/>
            <w:vAlign w:val="center"/>
          </w:tcPr>
          <w:p>
            <w:pPr>
              <w:pStyle w:val="386"/>
              <w:spacing w:line="240" w:lineRule="auto"/>
              <w:ind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38"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峰高石盘小学</w:t>
            </w:r>
          </w:p>
        </w:tc>
        <w:tc>
          <w:tcPr>
            <w:tcW w:w="470" w:type="pct"/>
            <w:vMerge w:val="restar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-2911</w:t>
            </w:r>
          </w:p>
        </w:tc>
        <w:tc>
          <w:tcPr>
            <w:tcW w:w="393" w:type="pct"/>
            <w:vMerge w:val="restar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787</w:t>
            </w:r>
          </w:p>
        </w:tc>
        <w:tc>
          <w:tcPr>
            <w:tcW w:w="70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非甲烷总烃</w:t>
            </w:r>
          </w:p>
        </w:tc>
        <w:tc>
          <w:tcPr>
            <w:tcW w:w="706"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1小时值</w:t>
            </w:r>
          </w:p>
        </w:tc>
        <w:tc>
          <w:tcPr>
            <w:tcW w:w="1231"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2号地块西北侧3046m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57" w:type="pct"/>
            <w:vMerge w:val="continue"/>
            <w:vAlign w:val="center"/>
          </w:tcPr>
          <w:p>
            <w:pPr>
              <w:pStyle w:val="386"/>
              <w:spacing w:line="240" w:lineRule="auto"/>
              <w:ind w:firstLine="0"/>
              <w:jc w:val="center"/>
              <w:rPr>
                <w:color w:val="000000" w:themeColor="text1"/>
                <w:sz w:val="21"/>
                <w:szCs w:val="21"/>
                <w14:textFill>
                  <w14:solidFill>
                    <w14:schemeClr w14:val="tx1"/>
                  </w14:solidFill>
                </w14:textFill>
              </w:rPr>
            </w:pPr>
          </w:p>
        </w:tc>
        <w:tc>
          <w:tcPr>
            <w:tcW w:w="93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470" w:type="pct"/>
            <w:vMerge w:val="continue"/>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p>
        </w:tc>
        <w:tc>
          <w:tcPr>
            <w:tcW w:w="393" w:type="pct"/>
            <w:vMerge w:val="continue"/>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p>
        </w:tc>
        <w:tc>
          <w:tcPr>
            <w:tcW w:w="70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甲苯</w:t>
            </w:r>
          </w:p>
        </w:tc>
        <w:tc>
          <w:tcPr>
            <w:tcW w:w="706"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1小时值</w:t>
            </w:r>
          </w:p>
        </w:tc>
        <w:tc>
          <w:tcPr>
            <w:tcW w:w="1231"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57" w:type="pct"/>
            <w:vMerge w:val="continue"/>
            <w:vAlign w:val="center"/>
          </w:tcPr>
          <w:p>
            <w:pPr>
              <w:pStyle w:val="386"/>
              <w:spacing w:line="240" w:lineRule="auto"/>
              <w:ind w:firstLine="0"/>
              <w:jc w:val="center"/>
              <w:rPr>
                <w:color w:val="000000" w:themeColor="text1"/>
                <w:sz w:val="21"/>
                <w:szCs w:val="21"/>
                <w14:textFill>
                  <w14:solidFill>
                    <w14:schemeClr w14:val="tx1"/>
                  </w14:solidFill>
                </w14:textFill>
              </w:rPr>
            </w:pPr>
          </w:p>
        </w:tc>
        <w:tc>
          <w:tcPr>
            <w:tcW w:w="93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470" w:type="pct"/>
            <w:vMerge w:val="continue"/>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p>
        </w:tc>
        <w:tc>
          <w:tcPr>
            <w:tcW w:w="393" w:type="pct"/>
            <w:vMerge w:val="continue"/>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p>
        </w:tc>
        <w:tc>
          <w:tcPr>
            <w:tcW w:w="705"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二甲苯</w:t>
            </w:r>
          </w:p>
        </w:tc>
        <w:tc>
          <w:tcPr>
            <w:tcW w:w="706" w:type="pct"/>
            <w:vAlign w:val="center"/>
          </w:tcPr>
          <w:p>
            <w:pPr>
              <w:pStyle w:val="251"/>
              <w:spacing w:line="24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1小时值</w:t>
            </w:r>
          </w:p>
        </w:tc>
        <w:tc>
          <w:tcPr>
            <w:tcW w:w="1231"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0" w:type="pct"/>
            <w:gridSpan w:val="7"/>
            <w:vAlign w:val="center"/>
          </w:tcPr>
          <w:p>
            <w:pPr>
              <w:adjustRightInd w:val="0"/>
              <w:snapToGrid w:val="0"/>
              <w:spacing w:line="240" w:lineRule="auto"/>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注：以2号地块厂址中央为坐标原点（0,0）。</w:t>
            </w:r>
          </w:p>
        </w:tc>
      </w:tr>
    </w:tbl>
    <w:p>
      <w:pPr>
        <w:pStyle w:val="251"/>
        <w:ind w:firstLine="480" w:firstLineChars="200"/>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w:t>
      </w:r>
      <w:r>
        <w:rPr>
          <w:rFonts w:ascii="Times New Roman" w:cs="Times New Roman"/>
          <w:color w:val="000000" w:themeColor="text1"/>
          <w14:textFill>
            <w14:solidFill>
              <w14:schemeClr w14:val="tx1"/>
            </w14:solidFill>
          </w14:textFill>
        </w:rPr>
        <w:t>评价方法</w:t>
      </w:r>
    </w:p>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采用最大浓度值占相应标准浓度限值的百分比（即占标率）。</w:t>
      </w:r>
    </w:p>
    <w:p>
      <w:pPr>
        <w:pStyle w:val="286"/>
        <w:spacing w:after="0" w:line="360" w:lineRule="auto"/>
        <w:ind w:left="0" w:leftChars="0" w:firstLine="480" w:firstLineChars="200"/>
        <w:rPr>
          <w:rFonts w:ascii="Times New Roman" w:hAnsi="Times New Roman" w:cs="Times New Roman"/>
          <w:bCs w:val="0"/>
          <w:color w:val="000000" w:themeColor="text1"/>
          <w:sz w:val="24"/>
          <w14:textFill>
            <w14:solidFill>
              <w14:schemeClr w14:val="tx1"/>
            </w14:solidFill>
          </w14:textFill>
        </w:rPr>
      </w:pPr>
      <w:r>
        <w:rPr>
          <w:rFonts w:ascii="Times New Roman" w:hAnsi="Times New Roman" w:cs="Times New Roman"/>
          <w:bCs w:val="0"/>
          <w:color w:val="000000" w:themeColor="text1"/>
          <w:sz w:val="24"/>
          <w14:textFill>
            <w14:solidFill>
              <w14:schemeClr w14:val="tx1"/>
            </w14:solidFill>
          </w14:textFill>
        </w:rPr>
        <w:t>评价采用最大地面浓度占标率Pi评价环境空气质量，计算公式为：</w:t>
      </w:r>
    </w:p>
    <w:p>
      <w:pPr>
        <w:pStyle w:val="286"/>
        <w:spacing w:after="0" w:line="360" w:lineRule="auto"/>
        <w:ind w:left="0" w:leftChars="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object>
          <v:shape id="_x0000_i1031" o:spt="75" type="#_x0000_t75" style="height:34.5pt;width:72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732155</wp:posOffset>
            </wp:positionH>
            <wp:positionV relativeFrom="paragraph">
              <wp:posOffset>60325</wp:posOffset>
            </wp:positionV>
            <wp:extent cx="158115" cy="228600"/>
            <wp:effectExtent l="0" t="0" r="0" b="0"/>
            <wp:wrapNone/>
            <wp:docPr id="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58115" cy="228600"/>
                    </a:xfrm>
                    <a:prstGeom prst="rect">
                      <a:avLst/>
                    </a:prstGeom>
                    <a:noFill/>
                  </pic:spPr>
                </pic:pic>
              </a:graphicData>
            </a:graphic>
          </wp:anchor>
        </w:drawing>
      </w:r>
      <w:r>
        <w:rPr>
          <w:rFonts w:eastAsia="宋体"/>
          <w:color w:val="000000" w:themeColor="text1"/>
          <w:kern w:val="0"/>
          <w:szCs w:val="24"/>
          <w14:textFill>
            <w14:solidFill>
              <w14:schemeClr w14:val="tx1"/>
            </w14:solidFill>
          </w14:textFill>
        </w:rPr>
        <w:t>式中：</w:t>
      </w:r>
      <w:r>
        <w:rPr>
          <w:rFonts w:eastAsia="宋体"/>
          <w:color w:val="000000" w:themeColor="text1"/>
          <w14:textFill>
            <w14:solidFill>
              <w14:schemeClr w14:val="tx1"/>
            </w14:solidFill>
          </w14:textFill>
        </w:rPr>
        <w:t xml:space="preserve">  ——</w:t>
      </w:r>
      <w:r>
        <w:rPr>
          <w:rFonts w:eastAsia="宋体"/>
          <w:color w:val="000000" w:themeColor="text1"/>
          <w:kern w:val="0"/>
          <w:szCs w:val="24"/>
          <w14:textFill>
            <w14:solidFill>
              <w14:schemeClr w14:val="tx1"/>
            </w14:solidFill>
          </w14:textFill>
        </w:rPr>
        <w:t>第i个污染物的最大地面浓度占标率，%</w:t>
      </w:r>
      <w:r>
        <w:rPr>
          <w:rFonts w:eastAsia="宋体"/>
          <w:color w:val="000000" w:themeColor="text1"/>
          <w14:textFill>
            <w14:solidFill>
              <w14:schemeClr w14:val="tx1"/>
            </w14:solidFill>
          </w14:textFill>
        </w:rPr>
        <w:t>；</w:t>
      </w:r>
    </w:p>
    <w:p>
      <w:pPr>
        <w:ind w:firstLine="1440" w:firstLineChars="6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727710</wp:posOffset>
            </wp:positionH>
            <wp:positionV relativeFrom="paragraph">
              <wp:posOffset>60325</wp:posOffset>
            </wp:positionV>
            <wp:extent cx="184150" cy="228600"/>
            <wp:effectExtent l="0" t="0" r="0" b="0"/>
            <wp:wrapNone/>
            <wp:docPr id="1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4150" cy="228600"/>
                    </a:xfrm>
                    <a:prstGeom prst="rect">
                      <a:avLst/>
                    </a:prstGeom>
                    <a:noFill/>
                  </pic:spPr>
                </pic:pic>
              </a:graphicData>
            </a:graphic>
          </wp:anchor>
        </w:drawing>
      </w:r>
      <w:r>
        <w:rPr>
          <w:rFonts w:eastAsia="宋体"/>
          <w:color w:val="000000" w:themeColor="text1"/>
          <w14:textFill>
            <w14:solidFill>
              <w14:schemeClr w14:val="tx1"/>
            </w14:solidFill>
          </w14:textFill>
        </w:rPr>
        <w:t>——</w:t>
      </w:r>
      <w:r>
        <w:rPr>
          <w:rFonts w:eastAsia="宋体"/>
          <w:color w:val="000000" w:themeColor="text1"/>
          <w:kern w:val="0"/>
          <w:szCs w:val="24"/>
          <w14:textFill>
            <w14:solidFill>
              <w14:schemeClr w14:val="tx1"/>
            </w14:solidFill>
          </w14:textFill>
        </w:rPr>
        <w:t>第i个污染物实测浓度值，mg/m</w:t>
      </w:r>
      <w:r>
        <w:rPr>
          <w:rFonts w:eastAsia="宋体"/>
          <w:color w:val="000000" w:themeColor="text1"/>
          <w:kern w:val="0"/>
          <w:szCs w:val="24"/>
          <w:vertAlign w:val="superscript"/>
          <w14:textFill>
            <w14:solidFill>
              <w14:schemeClr w14:val="tx1"/>
            </w14:solidFill>
          </w14:textFill>
        </w:rPr>
        <w:t>3</w:t>
      </w:r>
      <w:r>
        <w:rPr>
          <w:rFonts w:eastAsia="宋体"/>
          <w:color w:val="000000" w:themeColor="text1"/>
          <w14:textFill>
            <w14:solidFill>
              <w14:schemeClr w14:val="tx1"/>
            </w14:solidFill>
          </w14:textFill>
        </w:rPr>
        <w:t>；</w:t>
      </w:r>
    </w:p>
    <w:p>
      <w:pPr>
        <w:pStyle w:val="251"/>
        <w:ind w:firstLine="1440" w:firstLineChars="6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713740</wp:posOffset>
            </wp:positionH>
            <wp:positionV relativeFrom="paragraph">
              <wp:posOffset>70485</wp:posOffset>
            </wp:positionV>
            <wp:extent cx="250825" cy="228600"/>
            <wp:effectExtent l="0" t="0" r="0" b="0"/>
            <wp:wrapNone/>
            <wp:docPr id="1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0825" cy="228600"/>
                    </a:xfrm>
                    <a:prstGeom prst="rect">
                      <a:avLst/>
                    </a:prstGeom>
                    <a:noFill/>
                  </pic:spPr>
                </pic:pic>
              </a:graphicData>
            </a:graphic>
          </wp:anchor>
        </w:drawing>
      </w:r>
      <w:r>
        <w:rPr>
          <w:rFonts w:ascii="Times New Roman" w:cs="Times New Roman"/>
          <w:color w:val="000000" w:themeColor="text1"/>
          <w14:textFill>
            <w14:solidFill>
              <w14:schemeClr w14:val="tx1"/>
            </w14:solidFill>
          </w14:textFill>
        </w:rPr>
        <w:t>——第i个污染物的环境空气质量标准，mg/m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w:t>
      </w:r>
    </w:p>
    <w:p>
      <w:pPr>
        <w:pStyle w:val="251"/>
        <w:ind w:firstLine="480" w:firstLineChars="200"/>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w:t>
      </w:r>
      <w:r>
        <w:rPr>
          <w:rFonts w:ascii="Times New Roman" w:cs="Times New Roman"/>
          <w:color w:val="000000" w:themeColor="text1"/>
          <w14:textFill>
            <w14:solidFill>
              <w14:schemeClr w14:val="tx1"/>
            </w14:solidFill>
          </w14:textFill>
        </w:rPr>
        <w:t>监测数据统计及评价</w:t>
      </w:r>
    </w:p>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其他污染物现状监测结果统计见下表。</w:t>
      </w:r>
    </w:p>
    <w:p>
      <w:pPr>
        <w:spacing w:line="240" w:lineRule="auto"/>
        <w:jc w:val="center"/>
        <w:rPr>
          <w:rFonts w:eastAsia="宋体"/>
          <w:b/>
          <w:bCs/>
          <w:color w:val="000000" w:themeColor="text1"/>
          <w:kern w:val="0"/>
          <w:szCs w:val="24"/>
          <w14:textFill>
            <w14:solidFill>
              <w14:schemeClr w14:val="tx1"/>
            </w14:solidFill>
          </w14:textFill>
        </w:rPr>
      </w:pPr>
      <w:bookmarkStart w:id="141" w:name="_Toc24513"/>
      <w:r>
        <w:rPr>
          <w:rFonts w:eastAsia="宋体"/>
          <w:b/>
          <w:bCs/>
          <w:color w:val="000000" w:themeColor="text1"/>
          <w:kern w:val="0"/>
          <w:szCs w:val="24"/>
          <w14:textFill>
            <w14:solidFill>
              <w14:schemeClr w14:val="tx1"/>
            </w14:solidFill>
          </w14:textFill>
        </w:rPr>
        <w:t>表3.4-3  其他污染物现状监测结果</w:t>
      </w:r>
      <w:bookmarkEnd w:id="141"/>
      <w:r>
        <w:rPr>
          <w:rFonts w:eastAsia="宋体"/>
          <w:b/>
          <w:bCs/>
          <w:color w:val="000000" w:themeColor="text1"/>
          <w:kern w:val="0"/>
          <w:szCs w:val="24"/>
          <w14:textFill>
            <w14:solidFill>
              <w14:schemeClr w14:val="tx1"/>
            </w14:solidFill>
          </w14:textFill>
        </w:rPr>
        <w:t>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595"/>
        <w:gridCol w:w="1598"/>
        <w:gridCol w:w="1304"/>
        <w:gridCol w:w="1551"/>
        <w:gridCol w:w="135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点位编号</w:t>
            </w:r>
          </w:p>
        </w:tc>
        <w:tc>
          <w:tcPr>
            <w:tcW w:w="863"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监测日期</w:t>
            </w:r>
          </w:p>
        </w:tc>
        <w:tc>
          <w:tcPr>
            <w:tcW w:w="865"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监测点位</w:t>
            </w:r>
          </w:p>
        </w:tc>
        <w:tc>
          <w:tcPr>
            <w:tcW w:w="706"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监测项目</w:t>
            </w:r>
          </w:p>
        </w:tc>
        <w:tc>
          <w:tcPr>
            <w:tcW w:w="839"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浓度范围（mg/m</w:t>
            </w:r>
            <w:r>
              <w:rPr>
                <w:rFonts w:eastAsia="宋体"/>
                <w:b/>
                <w:bCs/>
                <w:color w:val="000000" w:themeColor="text1"/>
                <w:kern w:val="0"/>
                <w:sz w:val="21"/>
                <w:szCs w:val="21"/>
                <w:vertAlign w:val="superscript"/>
                <w14:textFill>
                  <w14:solidFill>
                    <w14:schemeClr w14:val="tx1"/>
                  </w14:solidFill>
                </w14:textFill>
              </w:rPr>
              <w:t>3</w:t>
            </w:r>
            <w:r>
              <w:rPr>
                <w:rFonts w:eastAsia="宋体"/>
                <w:b/>
                <w:bCs/>
                <w:color w:val="000000" w:themeColor="text1"/>
                <w:kern w:val="0"/>
                <w:sz w:val="21"/>
                <w:szCs w:val="21"/>
                <w14:textFill>
                  <w14:solidFill>
                    <w14:schemeClr w14:val="tx1"/>
                  </w14:solidFill>
                </w14:textFill>
              </w:rPr>
              <w:t>）</w:t>
            </w:r>
          </w:p>
        </w:tc>
        <w:tc>
          <w:tcPr>
            <w:tcW w:w="731"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标准限值（mg/m</w:t>
            </w:r>
            <w:r>
              <w:rPr>
                <w:rFonts w:eastAsia="宋体"/>
                <w:b/>
                <w:bCs/>
                <w:color w:val="000000" w:themeColor="text1"/>
                <w:kern w:val="0"/>
                <w:sz w:val="21"/>
                <w:szCs w:val="21"/>
                <w:vertAlign w:val="superscript"/>
                <w14:textFill>
                  <w14:solidFill>
                    <w14:schemeClr w14:val="tx1"/>
                  </w14:solidFill>
                </w14:textFill>
              </w:rPr>
              <w:t>3</w:t>
            </w:r>
            <w:r>
              <w:rPr>
                <w:rFonts w:eastAsia="宋体"/>
                <w:b/>
                <w:bCs/>
                <w:color w:val="000000" w:themeColor="text1"/>
                <w:kern w:val="0"/>
                <w:sz w:val="21"/>
                <w:szCs w:val="21"/>
                <w14:textFill>
                  <w14:solidFill>
                    <w14:schemeClr w14:val="tx1"/>
                  </w14:solidFill>
                </w14:textFill>
              </w:rPr>
              <w:t>）</w:t>
            </w:r>
          </w:p>
        </w:tc>
        <w:tc>
          <w:tcPr>
            <w:tcW w:w="603" w:type="pct"/>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最大占标率（%）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Merge w:val="restar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863" w:type="pct"/>
            <w:vMerge w:val="restar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2021.5.21~2021.5.27</w:t>
            </w:r>
          </w:p>
        </w:tc>
        <w:tc>
          <w:tcPr>
            <w:tcW w:w="865"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峰高石盘小学</w:t>
            </w:r>
          </w:p>
        </w:tc>
        <w:tc>
          <w:tcPr>
            <w:tcW w:w="706"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非甲烷总烃</w:t>
            </w:r>
          </w:p>
        </w:tc>
        <w:tc>
          <w:tcPr>
            <w:tcW w:w="839"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0.44~0.75</w:t>
            </w:r>
          </w:p>
        </w:tc>
        <w:tc>
          <w:tcPr>
            <w:tcW w:w="731"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w:t>
            </w:r>
          </w:p>
        </w:tc>
        <w:tc>
          <w:tcPr>
            <w:tcW w:w="603"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Merge w:val="continue"/>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863"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06"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甲苯</w:t>
            </w:r>
          </w:p>
        </w:tc>
        <w:tc>
          <w:tcPr>
            <w:tcW w:w="839"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5.00×10</w:t>
            </w:r>
            <w:r>
              <w:rPr>
                <w:rFonts w:eastAsia="宋体"/>
                <w:color w:val="000000" w:themeColor="text1"/>
                <w:kern w:val="0"/>
                <w:sz w:val="21"/>
                <w:szCs w:val="21"/>
                <w:vertAlign w:val="superscript"/>
                <w14:textFill>
                  <w14:solidFill>
                    <w14:schemeClr w14:val="tx1"/>
                  </w14:solidFill>
                </w14:textFill>
              </w:rPr>
              <w:t>-4</w:t>
            </w:r>
            <w:r>
              <w:rPr>
                <w:rFonts w:eastAsia="宋体"/>
                <w:color w:val="000000" w:themeColor="text1"/>
                <w:kern w:val="0"/>
                <w:sz w:val="21"/>
                <w:szCs w:val="21"/>
                <w14:textFill>
                  <w14:solidFill>
                    <w14:schemeClr w14:val="tx1"/>
                  </w14:solidFill>
                </w14:textFill>
              </w:rPr>
              <w:t>L</w:t>
            </w:r>
          </w:p>
        </w:tc>
        <w:tc>
          <w:tcPr>
            <w:tcW w:w="731"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w:t>
            </w:r>
          </w:p>
        </w:tc>
        <w:tc>
          <w:tcPr>
            <w:tcW w:w="603"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3" w:type="pct"/>
            <w:vMerge w:val="continue"/>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863"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06"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二甲苯</w:t>
            </w:r>
          </w:p>
        </w:tc>
        <w:tc>
          <w:tcPr>
            <w:tcW w:w="839"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5.00×10</w:t>
            </w:r>
            <w:r>
              <w:rPr>
                <w:rFonts w:eastAsia="宋体"/>
                <w:color w:val="000000" w:themeColor="text1"/>
                <w:kern w:val="0"/>
                <w:sz w:val="21"/>
                <w:szCs w:val="21"/>
                <w:vertAlign w:val="superscript"/>
                <w14:textFill>
                  <w14:solidFill>
                    <w14:schemeClr w14:val="tx1"/>
                  </w14:solidFill>
                </w14:textFill>
              </w:rPr>
              <w:t>-4</w:t>
            </w:r>
            <w:r>
              <w:rPr>
                <w:rFonts w:eastAsia="宋体"/>
                <w:color w:val="000000" w:themeColor="text1"/>
                <w:kern w:val="0"/>
                <w:sz w:val="21"/>
                <w:szCs w:val="21"/>
                <w14:textFill>
                  <w14:solidFill>
                    <w14:schemeClr w14:val="tx1"/>
                  </w14:solidFill>
                </w14:textFill>
              </w:rPr>
              <w:t>L</w:t>
            </w:r>
          </w:p>
        </w:tc>
        <w:tc>
          <w:tcPr>
            <w:tcW w:w="731"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w:t>
            </w:r>
          </w:p>
        </w:tc>
        <w:tc>
          <w:tcPr>
            <w:tcW w:w="603"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7"/>
            <w:vAlign w:val="center"/>
          </w:tcPr>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注：带“L”的数据表示未检出，结果为该项目的方法检出限。</w:t>
            </w:r>
          </w:p>
        </w:tc>
      </w:tr>
    </w:tbl>
    <w:p>
      <w:pPr>
        <w:pStyle w:val="251"/>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根据上表可知，非甲烷总烃满足《环境空气质量 非甲烷总烃限值》（DB 13/1577-2012）二级标准要求；甲苯、二甲苯满足《环境影响评价技术导则 大气环境》（HJ 2.2-2018）中表D.1的要求。</w:t>
      </w:r>
    </w:p>
    <w:p>
      <w:pPr>
        <w:keepNext/>
        <w:keepLines/>
        <w:adjustRightInd w:val="0"/>
        <w:outlineLvl w:val="2"/>
        <w:rPr>
          <w:rFonts w:eastAsia="宋体"/>
          <w:b/>
          <w:bCs/>
          <w:color w:val="000000" w:themeColor="text1"/>
          <w14:textFill>
            <w14:solidFill>
              <w14:schemeClr w14:val="tx1"/>
            </w14:solidFill>
          </w14:textFill>
        </w:rPr>
      </w:pPr>
      <w:bookmarkStart w:id="142" w:name="_Toc490235551"/>
      <w:bookmarkStart w:id="143" w:name="_Toc24363"/>
      <w:r>
        <w:rPr>
          <w:rFonts w:eastAsia="宋体"/>
          <w:b/>
          <w:bCs/>
          <w:color w:val="000000" w:themeColor="text1"/>
          <w:szCs w:val="32"/>
          <w14:textFill>
            <w14:solidFill>
              <w14:schemeClr w14:val="tx1"/>
            </w14:solidFill>
          </w14:textFill>
        </w:rPr>
        <w:t>3.4.2地表水环境质量</w:t>
      </w:r>
      <w:bookmarkEnd w:id="140"/>
      <w:bookmarkEnd w:id="142"/>
      <w:bookmarkEnd w:id="143"/>
    </w:p>
    <w:p>
      <w:pPr>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本项目受纳水体为苦水河。</w:t>
      </w:r>
      <w:r>
        <w:rPr>
          <w:rFonts w:eastAsia="宋体"/>
          <w:color w:val="000000" w:themeColor="text1"/>
          <w14:textFill>
            <w14:solidFill>
              <w14:schemeClr w14:val="tx1"/>
            </w14:solidFill>
          </w14:textFill>
        </w:rPr>
        <w:t>苦水河水域功能为Ⅳ类</w:t>
      </w:r>
      <w:r>
        <w:rPr>
          <w:rFonts w:eastAsia="宋体"/>
          <w:color w:val="000000" w:themeColor="text1"/>
          <w:szCs w:val="24"/>
          <w14:textFill>
            <w14:solidFill>
              <w14:schemeClr w14:val="tx1"/>
            </w14:solidFill>
          </w14:textFill>
        </w:rPr>
        <w:t>，执行《地表水环境质量标准》（GB3838-2002）</w:t>
      </w:r>
      <w:r>
        <w:rPr>
          <w:rFonts w:eastAsia="宋体"/>
          <w:color w:val="000000" w:themeColor="text1"/>
          <w14:textFill>
            <w14:solidFill>
              <w14:schemeClr w14:val="tx1"/>
            </w14:solidFill>
          </w14:textFill>
        </w:rPr>
        <w:t>Ⅳ</w:t>
      </w:r>
      <w:r>
        <w:rPr>
          <w:rFonts w:eastAsia="宋体"/>
          <w:color w:val="000000" w:themeColor="text1"/>
          <w:szCs w:val="24"/>
          <w14:textFill>
            <w14:solidFill>
              <w14:schemeClr w14:val="tx1"/>
            </w14:solidFill>
          </w14:textFill>
        </w:rPr>
        <w:t>类水域水质标准。</w:t>
      </w:r>
    </w:p>
    <w:p>
      <w:pPr>
        <w:snapToGrid w:val="0"/>
        <w:ind w:firstLine="480"/>
        <w:rPr>
          <w:rFonts w:eastAsia="宋体"/>
          <w:color w:val="000000" w:themeColor="text1"/>
          <w:kern w:val="0"/>
          <w14:textFill>
            <w14:solidFill>
              <w14:schemeClr w14:val="tx1"/>
            </w14:solidFill>
          </w14:textFill>
        </w:rPr>
      </w:pPr>
      <w:r>
        <w:rPr>
          <w:rFonts w:eastAsia="宋体"/>
          <w:color w:val="000000" w:themeColor="text1"/>
          <w:szCs w:val="24"/>
          <w14:textFill>
            <w14:solidFill>
              <w14:schemeClr w14:val="tx1"/>
            </w14:solidFill>
          </w14:textFill>
        </w:rPr>
        <w:t>为了解苦水河地表水环境质量，本次评价引用重庆港庆测控技术有限公司监测的“双桥工业园区污水处理厂”检测报告（港庆（监）字[2022]第05020-HP号）的监测数据进行评价。</w:t>
      </w:r>
    </w:p>
    <w:p>
      <w:pPr>
        <w:snapToGrid w:val="0"/>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（1）监测</w:t>
      </w:r>
      <w:r>
        <w:rPr>
          <w:rFonts w:eastAsia="宋体"/>
          <w:color w:val="000000" w:themeColor="text1"/>
          <w:szCs w:val="24"/>
          <w14:textFill>
            <w14:solidFill>
              <w14:schemeClr w14:val="tx1"/>
            </w14:solidFill>
          </w14:textFill>
        </w:rPr>
        <w:t>因子：pH、NH</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-N、COD、BOD</w:t>
      </w:r>
      <w:r>
        <w:rPr>
          <w:rFonts w:eastAsia="宋体"/>
          <w:color w:val="000000" w:themeColor="text1"/>
          <w:szCs w:val="24"/>
          <w:vertAlign w:val="subscript"/>
          <w14:textFill>
            <w14:solidFill>
              <w14:schemeClr w14:val="tx1"/>
            </w14:solidFill>
          </w14:textFill>
        </w:rPr>
        <w:t>5</w:t>
      </w:r>
      <w:r>
        <w:rPr>
          <w:rFonts w:eastAsia="宋体"/>
          <w:color w:val="000000" w:themeColor="text1"/>
          <w:szCs w:val="24"/>
          <w14:textFill>
            <w14:solidFill>
              <w14:schemeClr w14:val="tx1"/>
            </w14:solidFill>
          </w14:textFill>
        </w:rPr>
        <w:t>、石油类；</w:t>
      </w:r>
    </w:p>
    <w:p>
      <w:pPr>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（2）引用监测断面：W3-苦水河双桥工业园区污水处理厂排放口上游500m处、W4苦水河双桥工业园区污水处理厂排放口下游2000m处；</w:t>
      </w:r>
    </w:p>
    <w:p>
      <w:pPr>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（3）监测时间：2022年5月16日~2022</w:t>
      </w:r>
      <w:r>
        <w:rPr>
          <w:rFonts w:hint="eastAsia" w:eastAsia="宋体"/>
          <w:color w:val="000000" w:themeColor="text1"/>
          <w:szCs w:val="24"/>
          <w14:textFill>
            <w14:solidFill>
              <w14:schemeClr w14:val="tx1"/>
            </w14:solidFill>
          </w14:textFill>
        </w:rPr>
        <w:t>年</w:t>
      </w:r>
      <w:r>
        <w:rPr>
          <w:rFonts w:eastAsia="宋体"/>
          <w:color w:val="000000" w:themeColor="text1"/>
          <w:szCs w:val="24"/>
          <w14:textFill>
            <w14:solidFill>
              <w14:schemeClr w14:val="tx1"/>
            </w14:solidFill>
          </w14:textFill>
        </w:rPr>
        <w:t>5月18日；</w:t>
      </w:r>
    </w:p>
    <w:p>
      <w:pPr>
        <w:snapToGrid w:val="0"/>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（4）评价方法：根据《环境影响评价技术导则 地表水环境》（HJ 2.3-2018）附录D，地表水环境质量评价方法采用水质指数法。</w:t>
      </w:r>
    </w:p>
    <w:p>
      <w:pPr>
        <w:ind w:left="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一般水质因子</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随水质浓度增加而水质变差的水质因子</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w:t>
      </w:r>
    </w:p>
    <w:p>
      <w:pPr>
        <w:ind w:firstLine="480"/>
        <w:jc w:val="center"/>
        <w:rPr>
          <w:rFonts w:eastAsia="宋体"/>
          <w:color w:val="000000" w:themeColor="text1"/>
          <w14:textFill>
            <w14:solidFill>
              <w14:schemeClr w14:val="tx1"/>
            </w14:solidFill>
          </w14:textFill>
        </w:rPr>
      </w:pPr>
      <w:r>
        <w:rPr>
          <w:rFonts w:eastAsia="宋体"/>
          <w:bCs/>
          <w:color w:val="000000" w:themeColor="text1"/>
          <w14:textFill>
            <w14:solidFill>
              <w14:schemeClr w14:val="tx1"/>
            </w14:solidFill>
          </w14:textFill>
        </w:rPr>
        <w:object>
          <v:shape id="_x0000_i1032" o:spt="75" type="#_x0000_t75" style="height:34.5pt;width:49.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式中：S</w:t>
      </w:r>
      <w:r>
        <w:rPr>
          <w:rFonts w:eastAsia="宋体"/>
          <w:color w:val="000000" w:themeColor="text1"/>
          <w:vertAlign w:val="subscript"/>
          <w14:textFill>
            <w14:solidFill>
              <w14:schemeClr w14:val="tx1"/>
            </w14:solidFill>
          </w14:textFill>
        </w:rPr>
        <w:t>i，j</w:t>
      </w:r>
      <w:r>
        <w:rPr>
          <w:rFonts w:eastAsia="宋体"/>
          <w:color w:val="000000" w:themeColor="text1"/>
          <w14:textFill>
            <w14:solidFill>
              <w14:schemeClr w14:val="tx1"/>
            </w14:solidFill>
          </w14:textFill>
        </w:rPr>
        <w:t>——单项水质因子i在第j点的标准指数；</w:t>
      </w:r>
    </w:p>
    <w:p>
      <w:pPr>
        <w:ind w:left="2160" w:leftChars="550" w:hanging="840" w:hangingChars="35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w:t>
      </w:r>
      <w:r>
        <w:rPr>
          <w:rFonts w:eastAsia="宋体"/>
          <w:color w:val="000000" w:themeColor="text1"/>
          <w:vertAlign w:val="subscript"/>
          <w14:textFill>
            <w14:solidFill>
              <w14:schemeClr w14:val="tx1"/>
            </w14:solidFill>
          </w14:textFill>
        </w:rPr>
        <w:t>i，j</w:t>
      </w:r>
      <w:r>
        <w:rPr>
          <w:rFonts w:eastAsia="宋体"/>
          <w:color w:val="000000" w:themeColor="text1"/>
          <w14:textFill>
            <w14:solidFill>
              <w14:schemeClr w14:val="tx1"/>
            </w14:solidFill>
          </w14:textFill>
        </w:rPr>
        <w:t>——(i，j</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点的评价因子水质浓度或水质因子i在预测点</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或监测点</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的水质浓度，mg/L；</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w:t>
      </w:r>
      <w:r>
        <w:rPr>
          <w:rFonts w:eastAsia="宋体"/>
          <w:color w:val="000000" w:themeColor="text1"/>
          <w:vertAlign w:val="subscript"/>
          <w14:textFill>
            <w14:solidFill>
              <w14:schemeClr w14:val="tx1"/>
            </w14:solidFill>
          </w14:textFill>
        </w:rPr>
        <w:t>si</w:t>
      </w:r>
      <w:r>
        <w:rPr>
          <w:rFonts w:eastAsia="宋体"/>
          <w:color w:val="000000" w:themeColor="text1"/>
          <w14:textFill>
            <w14:solidFill>
              <w14:schemeClr w14:val="tx1"/>
            </w14:solidFill>
          </w14:textFill>
        </w:rPr>
        <w:t>——水质评价因子i的地表水质标准，mg/L。</w:t>
      </w:r>
    </w:p>
    <w:p>
      <w:pPr>
        <w:ind w:left="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rFonts w:eastAsia="宋体"/>
          <w:color w:val="000000" w:themeColor="text1"/>
          <w14:textFill>
            <w14:solidFill>
              <w14:schemeClr w14:val="tx1"/>
            </w14:solidFill>
          </w14:textFill>
        </w:rPr>
        <w:t>pH标准指数：</w:t>
      </w:r>
    </w:p>
    <w:p>
      <w:pPr>
        <w:ind w:firstLine="48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w:t>
      </w:r>
      <w:r>
        <w:rPr>
          <w:rFonts w:eastAsia="宋体"/>
          <w:color w:val="000000" w:themeColor="text1"/>
          <w:vertAlign w:val="subscript"/>
          <w14:textFill>
            <w14:solidFill>
              <w14:schemeClr w14:val="tx1"/>
            </w14:solidFill>
          </w14:textFill>
        </w:rPr>
        <w:t>pH,j</w:t>
      </w:r>
      <w:r>
        <w:rPr>
          <w:rFonts w:eastAsia="宋体"/>
          <w:color w:val="000000" w:themeColor="text1"/>
          <w14:textFill>
            <w14:solidFill>
              <w14:schemeClr w14:val="tx1"/>
            </w14:solidFill>
          </w14:textFill>
        </w:rPr>
        <w:t>=(7.0－pH</w:t>
      </w:r>
      <w:r>
        <w:rPr>
          <w:rFonts w:eastAsia="宋体"/>
          <w:color w:val="000000" w:themeColor="text1"/>
          <w:vertAlign w:val="subscript"/>
          <w14:textFill>
            <w14:solidFill>
              <w14:schemeClr w14:val="tx1"/>
            </w14:solidFill>
          </w14:textFill>
        </w:rPr>
        <w:t>j</w:t>
      </w:r>
      <w:r>
        <w:rPr>
          <w:rFonts w:eastAsia="宋体"/>
          <w:color w:val="000000" w:themeColor="text1"/>
          <w14:textFill>
            <w14:solidFill>
              <w14:schemeClr w14:val="tx1"/>
            </w14:solidFill>
          </w14:textFill>
        </w:rPr>
        <w:t>)/(7.0－pH</w:t>
      </w:r>
      <w:r>
        <w:rPr>
          <w:rFonts w:eastAsia="宋体"/>
          <w:color w:val="000000" w:themeColor="text1"/>
          <w:vertAlign w:val="subscript"/>
          <w14:textFill>
            <w14:solidFill>
              <w14:schemeClr w14:val="tx1"/>
            </w14:solidFill>
          </w14:textFill>
        </w:rPr>
        <w:t>sd</w:t>
      </w:r>
      <w:r>
        <w:rPr>
          <w:rFonts w:eastAsia="宋体"/>
          <w:color w:val="000000" w:themeColor="text1"/>
          <w14:textFill>
            <w14:solidFill>
              <w14:schemeClr w14:val="tx1"/>
            </w14:solidFill>
          </w14:textFill>
        </w:rPr>
        <w:t>)            pH</w:t>
      </w:r>
      <w:r>
        <w:rPr>
          <w:rFonts w:eastAsia="宋体"/>
          <w:color w:val="000000" w:themeColor="text1"/>
          <w:vertAlign w:val="subscript"/>
          <w14:textFill>
            <w14:solidFill>
              <w14:schemeClr w14:val="tx1"/>
            </w14:solidFill>
          </w14:textFill>
        </w:rPr>
        <w:t>j</w:t>
      </w:r>
      <w:r>
        <w:rPr>
          <w:rFonts w:eastAsia="宋体"/>
          <w:color w:val="000000" w:themeColor="text1"/>
          <w14:textFill>
            <w14:solidFill>
              <w14:schemeClr w14:val="tx1"/>
            </w14:solidFill>
          </w14:textFill>
        </w:rPr>
        <w:t>≤7.0</w:t>
      </w:r>
    </w:p>
    <w:p>
      <w:pPr>
        <w:ind w:firstLine="48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w:t>
      </w:r>
      <w:r>
        <w:rPr>
          <w:rFonts w:eastAsia="宋体"/>
          <w:color w:val="000000" w:themeColor="text1"/>
          <w:vertAlign w:val="subscript"/>
          <w14:textFill>
            <w14:solidFill>
              <w14:schemeClr w14:val="tx1"/>
            </w14:solidFill>
          </w14:textFill>
        </w:rPr>
        <w:t>pH,j</w:t>
      </w:r>
      <w:r>
        <w:rPr>
          <w:rFonts w:eastAsia="宋体"/>
          <w:color w:val="000000" w:themeColor="text1"/>
          <w14:textFill>
            <w14:solidFill>
              <w14:schemeClr w14:val="tx1"/>
            </w14:solidFill>
          </w14:textFill>
        </w:rPr>
        <w:t>=(pH</w:t>
      </w:r>
      <w:r>
        <w:rPr>
          <w:rFonts w:eastAsia="宋体"/>
          <w:color w:val="000000" w:themeColor="text1"/>
          <w:vertAlign w:val="subscript"/>
          <w14:textFill>
            <w14:solidFill>
              <w14:schemeClr w14:val="tx1"/>
            </w14:solidFill>
          </w14:textFill>
        </w:rPr>
        <w:t>j</w:t>
      </w:r>
      <w:r>
        <w:rPr>
          <w:rFonts w:eastAsia="宋体"/>
          <w:color w:val="000000" w:themeColor="text1"/>
          <w14:textFill>
            <w14:solidFill>
              <w14:schemeClr w14:val="tx1"/>
            </w14:solidFill>
          </w14:textFill>
        </w:rPr>
        <w:t>－7.0)/(pH</w:t>
      </w:r>
      <w:r>
        <w:rPr>
          <w:rFonts w:eastAsia="宋体"/>
          <w:color w:val="000000" w:themeColor="text1"/>
          <w:vertAlign w:val="subscript"/>
          <w14:textFill>
            <w14:solidFill>
              <w14:schemeClr w14:val="tx1"/>
            </w14:solidFill>
          </w14:textFill>
        </w:rPr>
        <w:t>su</w:t>
      </w:r>
      <w:r>
        <w:rPr>
          <w:rFonts w:eastAsia="宋体"/>
          <w:color w:val="000000" w:themeColor="text1"/>
          <w14:textFill>
            <w14:solidFill>
              <w14:schemeClr w14:val="tx1"/>
            </w14:solidFill>
          </w14:textFill>
        </w:rPr>
        <w:t>－7.0)            pH</w:t>
      </w:r>
      <w:r>
        <w:rPr>
          <w:rFonts w:eastAsia="宋体"/>
          <w:color w:val="000000" w:themeColor="text1"/>
          <w:vertAlign w:val="subscript"/>
          <w14:textFill>
            <w14:solidFill>
              <w14:schemeClr w14:val="tx1"/>
            </w14:solidFill>
          </w14:textFill>
        </w:rPr>
        <w:t>j</w:t>
      </w:r>
      <w:r>
        <w:rPr>
          <w:rFonts w:eastAsia="宋体"/>
          <w:color w:val="000000" w:themeColor="text1"/>
          <w14:textFill>
            <w14:solidFill>
              <w14:schemeClr w14:val="tx1"/>
            </w14:solidFill>
          </w14:textFill>
        </w:rPr>
        <w:t>＞7.0</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式中：S</w:t>
      </w:r>
      <w:r>
        <w:rPr>
          <w:rFonts w:eastAsia="宋体"/>
          <w:color w:val="000000" w:themeColor="text1"/>
          <w:vertAlign w:val="subscript"/>
          <w14:textFill>
            <w14:solidFill>
              <w14:schemeClr w14:val="tx1"/>
            </w14:solidFill>
          </w14:textFill>
        </w:rPr>
        <w:t>pH,j</w:t>
      </w:r>
      <w:r>
        <w:rPr>
          <w:rFonts w:eastAsia="宋体"/>
          <w:color w:val="000000" w:themeColor="text1"/>
          <w14:textFill>
            <w14:solidFill>
              <w14:schemeClr w14:val="tx1"/>
            </w14:solidFill>
          </w14:textFill>
        </w:rPr>
        <w:t>——pH值的标准指数；</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w:t>
      </w:r>
      <w:r>
        <w:rPr>
          <w:rFonts w:eastAsia="宋体"/>
          <w:color w:val="000000" w:themeColor="text1"/>
          <w:vertAlign w:val="subscript"/>
          <w14:textFill>
            <w14:solidFill>
              <w14:schemeClr w14:val="tx1"/>
            </w14:solidFill>
          </w14:textFill>
        </w:rPr>
        <w:t>j</w:t>
      </w:r>
      <w:r>
        <w:rPr>
          <w:rFonts w:eastAsia="宋体"/>
          <w:color w:val="000000" w:themeColor="text1"/>
          <w14:textFill>
            <w14:solidFill>
              <w14:schemeClr w14:val="tx1"/>
            </w14:solidFill>
          </w14:textFill>
        </w:rPr>
        <w:t>——pH实测值；</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w:t>
      </w:r>
      <w:r>
        <w:rPr>
          <w:rFonts w:eastAsia="宋体"/>
          <w:color w:val="000000" w:themeColor="text1"/>
          <w:vertAlign w:val="subscript"/>
          <w14:textFill>
            <w14:solidFill>
              <w14:schemeClr w14:val="tx1"/>
            </w14:solidFill>
          </w14:textFill>
        </w:rPr>
        <w:t>sd</w:t>
      </w:r>
      <w:r>
        <w:rPr>
          <w:rFonts w:eastAsia="宋体"/>
          <w:color w:val="000000" w:themeColor="text1"/>
          <w14:textFill>
            <w14:solidFill>
              <w14:schemeClr w14:val="tx1"/>
            </w14:solidFill>
          </w14:textFill>
        </w:rPr>
        <w:t>——地表水质标准中规定的pH下限；</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pH</w:t>
      </w:r>
      <w:r>
        <w:rPr>
          <w:rFonts w:eastAsia="宋体"/>
          <w:color w:val="000000" w:themeColor="text1"/>
          <w:vertAlign w:val="subscript"/>
          <w14:textFill>
            <w14:solidFill>
              <w14:schemeClr w14:val="tx1"/>
            </w14:solidFill>
          </w14:textFill>
        </w:rPr>
        <w:t>su</w:t>
      </w:r>
      <w:r>
        <w:rPr>
          <w:rFonts w:eastAsia="宋体"/>
          <w:color w:val="000000" w:themeColor="text1"/>
          <w14:textFill>
            <w14:solidFill>
              <w14:schemeClr w14:val="tx1"/>
            </w14:solidFill>
          </w14:textFill>
        </w:rPr>
        <w:t>——地表水质标准中规定的pH上限。</w:t>
      </w:r>
    </w:p>
    <w:p>
      <w:pPr>
        <w:ind w:left="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评价结果</w:t>
      </w:r>
    </w:p>
    <w:p>
      <w:pPr>
        <w:tabs>
          <w:tab w:val="left" w:pos="9000"/>
        </w:tabs>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地表水环境质量现状监测及评价结果，详见表3.4</w:t>
      </w:r>
      <w:r>
        <w:rPr>
          <w:rFonts w:hint="eastAsia" w:eastAsia="宋体"/>
          <w:bCs/>
          <w:color w:val="000000" w:themeColor="text1"/>
          <w14:textFill>
            <w14:solidFill>
              <w14:schemeClr w14:val="tx1"/>
            </w14:solidFill>
          </w14:textFill>
        </w:rPr>
        <w:t>-</w:t>
      </w:r>
      <w:r>
        <w:rPr>
          <w:rFonts w:eastAsia="宋体"/>
          <w:bCs/>
          <w:color w:val="000000" w:themeColor="text1"/>
          <w14:textFill>
            <w14:solidFill>
              <w14:schemeClr w14:val="tx1"/>
            </w14:solidFill>
          </w14:textFill>
        </w:rPr>
        <w:t>4。</w:t>
      </w:r>
    </w:p>
    <w:p>
      <w:pPr>
        <w:spacing w:line="240" w:lineRule="auto"/>
        <w:jc w:val="center"/>
        <w:rPr>
          <w:rFonts w:eastAsia="宋体"/>
          <w:b/>
          <w:bCs/>
          <w:color w:val="000000" w:themeColor="text1"/>
          <w:kern w:val="0"/>
          <w:szCs w:val="24"/>
          <w14:textFill>
            <w14:solidFill>
              <w14:schemeClr w14:val="tx1"/>
            </w14:solidFill>
          </w14:textFill>
        </w:rPr>
      </w:pPr>
      <w:bookmarkStart w:id="144" w:name="_Toc3179"/>
      <w:r>
        <w:rPr>
          <w:rFonts w:eastAsia="宋体"/>
          <w:b/>
          <w:bCs/>
          <w:color w:val="000000" w:themeColor="text1"/>
          <w:kern w:val="0"/>
          <w:szCs w:val="24"/>
          <w14:textFill>
            <w14:solidFill>
              <w14:schemeClr w14:val="tx1"/>
            </w14:solidFill>
          </w14:textFill>
        </w:rPr>
        <w:t>表3.4-4  地表水现状监测及评价结果一览表  单位：mg/L</w:t>
      </w:r>
      <w:bookmarkEnd w:id="144"/>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66"/>
        <w:gridCol w:w="960"/>
        <w:gridCol w:w="1636"/>
        <w:gridCol w:w="1065"/>
        <w:gridCol w:w="1065"/>
        <w:gridCol w:w="1275"/>
        <w:gridCol w:w="712"/>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51" w:type="pct"/>
            <w:gridSpan w:val="2"/>
            <w:tcBorders>
              <w:top w:val="single" w:color="auto" w:sz="12" w:space="0"/>
              <w:left w:val="nil"/>
              <w:bottom w:val="single" w:color="auto" w:sz="4" w:space="0"/>
              <w:right w:val="single" w:color="auto" w:sz="4" w:space="0"/>
              <w:tl2br w:val="single" w:color="auto" w:sz="6" w:space="0"/>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 xml:space="preserve">         监测因子</w:t>
            </w:r>
          </w:p>
          <w:p>
            <w:pPr>
              <w:autoSpaceDE w:val="0"/>
              <w:autoSpaceDN w:val="0"/>
              <w:adjustRightInd w:val="0"/>
              <w:spacing w:line="240" w:lineRule="auto"/>
              <w:jc w:val="left"/>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监测断面</w:t>
            </w:r>
          </w:p>
        </w:tc>
        <w:tc>
          <w:tcPr>
            <w:tcW w:w="955" w:type="pct"/>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pH（无量纲）</w:t>
            </w:r>
          </w:p>
        </w:tc>
        <w:tc>
          <w:tcPr>
            <w:tcW w:w="590" w:type="pct"/>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lang w:val="en-GB"/>
                <w14:textFill>
                  <w14:solidFill>
                    <w14:schemeClr w14:val="tx1"/>
                  </w14:solidFill>
                </w14:textFill>
              </w:rPr>
              <w:t>COD</w:t>
            </w:r>
          </w:p>
        </w:tc>
        <w:tc>
          <w:tcPr>
            <w:tcW w:w="590" w:type="pct"/>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BOD</w:t>
            </w:r>
            <w:r>
              <w:rPr>
                <w:rFonts w:eastAsia="宋体"/>
                <w:b/>
                <w:bCs/>
                <w:color w:val="000000" w:themeColor="text1"/>
                <w:sz w:val="21"/>
                <w:szCs w:val="21"/>
                <w:vertAlign w:val="subscript"/>
                <w14:textFill>
                  <w14:solidFill>
                    <w14:schemeClr w14:val="tx1"/>
                  </w14:solidFill>
                </w14:textFill>
              </w:rPr>
              <w:t>5</w:t>
            </w:r>
          </w:p>
        </w:tc>
        <w:tc>
          <w:tcPr>
            <w:tcW w:w="706" w:type="pct"/>
            <w:tcBorders>
              <w:top w:val="single" w:color="auto" w:sz="12"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NH</w:t>
            </w:r>
            <w:r>
              <w:rPr>
                <w:rFonts w:eastAsia="宋体"/>
                <w:b/>
                <w:bCs/>
                <w:color w:val="000000" w:themeColor="text1"/>
                <w:sz w:val="21"/>
                <w:szCs w:val="21"/>
                <w:vertAlign w:val="subscript"/>
                <w14:textFill>
                  <w14:solidFill>
                    <w14:schemeClr w14:val="tx1"/>
                  </w14:solidFill>
                </w14:textFill>
              </w:rPr>
              <w:t>3</w:t>
            </w:r>
            <w:r>
              <w:rPr>
                <w:rFonts w:eastAsia="宋体"/>
                <w:b/>
                <w:bCs/>
                <w:color w:val="000000" w:themeColor="text1"/>
                <w:sz w:val="21"/>
                <w:szCs w:val="21"/>
                <w14:textFill>
                  <w14:solidFill>
                    <w14:schemeClr w14:val="tx1"/>
                  </w14:solidFill>
                </w14:textFill>
              </w:rPr>
              <w:t>-N</w:t>
            </w:r>
          </w:p>
        </w:tc>
        <w:tc>
          <w:tcPr>
            <w:tcW w:w="394" w:type="pct"/>
            <w:tcBorders>
              <w:top w:val="single" w:color="auto" w:sz="12"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石油类</w:t>
            </w:r>
          </w:p>
        </w:tc>
        <w:tc>
          <w:tcPr>
            <w:tcW w:w="313" w:type="pct"/>
            <w:tcBorders>
              <w:top w:val="single" w:color="auto" w:sz="12"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T</w:t>
            </w:r>
            <w:r>
              <w:rPr>
                <w:rFonts w:eastAsia="宋体"/>
                <w:b/>
                <w:bCs/>
                <w:color w:val="000000" w:themeColor="text1"/>
                <w:sz w:val="21"/>
                <w:szCs w:val="2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restart"/>
            <w:tcBorders>
              <w:top w:val="single" w:color="auto" w:sz="4" w:space="0"/>
              <w:left w:val="nil"/>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W3-苦水河双桥工业园区污水处理厂排放口上游500m处</w:t>
            </w: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监测结果</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7.3~7.4</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13~14</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1.4~1.5</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0.415~0.444</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0.01L</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continue"/>
            <w:tcBorders>
              <w:top w:val="single" w:color="auto" w:sz="4" w:space="0"/>
              <w:left w:val="nil"/>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标准值</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30</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6</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1.5</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Cs/>
                <w:color w:val="000000" w:themeColor="text1"/>
                <w:kern w:val="28"/>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≤0.5</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Cs/>
                <w:color w:val="000000" w:themeColor="text1"/>
                <w:kern w:val="28"/>
                <w:sz w:val="21"/>
                <w:szCs w:val="21"/>
                <w14:textFill>
                  <w14:solidFill>
                    <w14:schemeClr w14:val="tx1"/>
                  </w14:solidFill>
                </w14:textFill>
              </w:rPr>
            </w:pPr>
            <w:r>
              <w:rPr>
                <w:rFonts w:hint="eastAsia" w:eastAsia="宋体"/>
                <w:bCs/>
                <w:color w:val="000000" w:themeColor="text1"/>
                <w:kern w:val="28"/>
                <w:sz w:val="21"/>
                <w:szCs w:val="21"/>
                <w14:textFill>
                  <w14:solidFill>
                    <w14:schemeClr w14:val="tx1"/>
                  </w14:solidFill>
                </w14:textFill>
              </w:rPr>
              <w:t>0</w:t>
            </w:r>
            <w:r>
              <w:rPr>
                <w:rFonts w:eastAsia="宋体"/>
                <w:bCs/>
                <w:color w:val="000000" w:themeColor="text1"/>
                <w:kern w:val="28"/>
                <w:sz w:val="2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continue"/>
            <w:tcBorders>
              <w:top w:val="single" w:color="auto" w:sz="4" w:space="0"/>
              <w:left w:val="nil"/>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Sij值</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0.65~0.7</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0.43~0.47</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0.23~0.25</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0.28~0.30</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.53~0.57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restart"/>
            <w:tcBorders>
              <w:top w:val="single" w:color="auto" w:sz="4" w:space="0"/>
              <w:left w:val="nil"/>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W4苦水河双桥工业园区污水处理厂排放口下游2000m处</w:t>
            </w: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监测结果</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7.2~7.6</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11~12</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1.4~1.5</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0.366~0.389</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0.01L</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.11~0.13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continue"/>
            <w:tcBorders>
              <w:left w:val="nil"/>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标准值</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30</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6</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1.5</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bCs/>
                <w:color w:val="000000" w:themeColor="text1"/>
                <w:kern w:val="28"/>
                <w:sz w:val="21"/>
                <w:szCs w:val="21"/>
                <w14:textFill>
                  <w14:solidFill>
                    <w14:schemeClr w14:val="tx1"/>
                  </w14:solidFill>
                </w14:textFill>
              </w:rPr>
              <w:t>≤0.5</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bCs/>
                <w:color w:val="000000" w:themeColor="text1"/>
                <w:kern w:val="28"/>
                <w:sz w:val="21"/>
                <w:szCs w:val="21"/>
                <w14:textFill>
                  <w14:solidFill>
                    <w14:schemeClr w14:val="tx1"/>
                  </w14:solidFill>
                </w14:textFill>
              </w:rPr>
            </w:pPr>
            <w:r>
              <w:rPr>
                <w:rFonts w:hint="eastAsia" w:eastAsia="宋体"/>
                <w:bCs/>
                <w:color w:val="000000" w:themeColor="text1"/>
                <w:kern w:val="28"/>
                <w:sz w:val="21"/>
                <w:szCs w:val="21"/>
                <w14:textFill>
                  <w14:solidFill>
                    <w14:schemeClr w14:val="tx1"/>
                  </w14:solidFill>
                </w14:textFill>
              </w:rPr>
              <w:t>0</w:t>
            </w:r>
            <w:r>
              <w:rPr>
                <w:rFonts w:eastAsia="宋体"/>
                <w:bCs/>
                <w:color w:val="000000" w:themeColor="text1"/>
                <w:kern w:val="28"/>
                <w:sz w:val="2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3" w:type="pct"/>
            <w:vMerge w:val="continue"/>
            <w:tcBorders>
              <w:left w:val="nil"/>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Sij值</w:t>
            </w:r>
          </w:p>
        </w:tc>
        <w:tc>
          <w:tcPr>
            <w:tcW w:w="95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0.6~0.8</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0.37~0.4</w:t>
            </w:r>
          </w:p>
        </w:tc>
        <w:tc>
          <w:tcPr>
            <w:tcW w:w="59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0.23~0.25</w:t>
            </w:r>
          </w:p>
        </w:tc>
        <w:tc>
          <w:tcPr>
            <w:tcW w:w="706"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0.24~0.26</w:t>
            </w:r>
          </w:p>
        </w:tc>
        <w:tc>
          <w:tcPr>
            <w:tcW w:w="394"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13" w:type="pct"/>
            <w:tcBorders>
              <w:top w:val="single" w:color="auto" w:sz="4" w:space="0"/>
              <w:left w:val="single" w:color="auto" w:sz="4" w:space="0"/>
              <w:bottom w:val="single" w:color="auto" w:sz="4" w:space="0"/>
              <w:right w:val="nil"/>
            </w:tcBorders>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.37~0.43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000" w:type="pct"/>
            <w:gridSpan w:val="8"/>
            <w:tcBorders>
              <w:left w:val="nil"/>
              <w:bottom w:val="single" w:color="auto" w:sz="12" w:space="0"/>
              <w:right w:val="single" w:color="auto" w:sz="4" w:space="0"/>
            </w:tcBorders>
            <w:vAlign w:val="center"/>
          </w:tcPr>
          <w:p>
            <w:pPr>
              <w:autoSpaceDE w:val="0"/>
              <w:autoSpaceDN w:val="0"/>
              <w:adjustRightInd w:val="0"/>
              <w:spacing w:line="240" w:lineRule="auto"/>
              <w:jc w:val="left"/>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注：带“L”的数据表示未检出，结果为该项目的方法检出限。</w:t>
            </w:r>
          </w:p>
        </w:tc>
      </w:tr>
    </w:tbl>
    <w:p>
      <w:pPr>
        <w:pStyle w:val="35"/>
      </w:pPr>
      <w:bookmarkStart w:id="145" w:name="_Toc13366"/>
      <w:r>
        <w:t>从上表中可以看出，引用监测断面中各监测因子中pH、氨氮、化学需氧量、五日生化需氧量、石油类</w:t>
      </w:r>
      <w:r>
        <w:rPr>
          <w:rFonts w:hint="eastAsia"/>
        </w:rPr>
        <w:t>、T</w:t>
      </w:r>
      <w:r>
        <w:t>P均满足《地表水环境质量标准》(GB3838-2002)Ⅳ类水域标准。</w:t>
      </w:r>
      <w:bookmarkEnd w:id="145"/>
    </w:p>
    <w:p>
      <w:pPr>
        <w:keepNext/>
        <w:keepLines/>
        <w:adjustRightInd w:val="0"/>
        <w:outlineLvl w:val="2"/>
        <w:rPr>
          <w:rFonts w:eastAsia="宋体"/>
          <w:b/>
          <w:bCs/>
          <w:color w:val="000000" w:themeColor="text1"/>
          <w:szCs w:val="32"/>
          <w14:textFill>
            <w14:solidFill>
              <w14:schemeClr w14:val="tx1"/>
            </w14:solidFill>
          </w14:textFill>
        </w:rPr>
      </w:pPr>
      <w:bookmarkStart w:id="146" w:name="_Toc2154"/>
      <w:bookmarkStart w:id="147" w:name="_Toc490235552"/>
      <w:bookmarkStart w:id="148" w:name="_Toc489281052"/>
      <w:r>
        <w:rPr>
          <w:rFonts w:eastAsia="宋体"/>
          <w:b/>
          <w:bCs/>
          <w:color w:val="000000" w:themeColor="text1"/>
          <w:szCs w:val="32"/>
          <w14:textFill>
            <w14:solidFill>
              <w14:schemeClr w14:val="tx1"/>
            </w14:solidFill>
          </w14:textFill>
        </w:rPr>
        <w:t>3.4.3地下水环境质量</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为了解区域地下水水环境质量现状，本次评价引用重庆渝久环保产业有限公司对“大足高新区邮亭组团规划环境影响评价现状监测”监测报告（渝久（监）字[2-23]第HP45号）中地下水监测数据</w:t>
      </w:r>
      <w:r>
        <w:rPr>
          <w:rFonts w:hint="eastAsia" w:eastAsia="宋体"/>
          <w:bCs/>
          <w:color w:val="000000" w:themeColor="text1"/>
          <w:szCs w:val="32"/>
          <w14:textFill>
            <w14:solidFill>
              <w14:schemeClr w14:val="tx1"/>
            </w14:solidFill>
          </w14:textFill>
        </w:rPr>
        <w:t>；同时引用《重庆瀚渝再生资源有限公司危险废物资源化利用改扩建项目环境影响报告书》中三个监测井的地下水水位数据。</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（1）监测点位</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地下水监测点位基本情况见表3.4-5。</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表3.4-5  地下水监测点位基本情况表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99"/>
        <w:gridCol w:w="850"/>
        <w:gridCol w:w="851"/>
        <w:gridCol w:w="3118"/>
        <w:gridCol w:w="709"/>
        <w:gridCol w:w="1134"/>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编号</w:t>
            </w:r>
          </w:p>
        </w:tc>
        <w:tc>
          <w:tcPr>
            <w:tcW w:w="899"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经度</w:t>
            </w:r>
          </w:p>
        </w:tc>
        <w:tc>
          <w:tcPr>
            <w:tcW w:w="850"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纬度</w:t>
            </w:r>
          </w:p>
        </w:tc>
        <w:tc>
          <w:tcPr>
            <w:tcW w:w="851"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水位（m）</w:t>
            </w:r>
          </w:p>
        </w:tc>
        <w:tc>
          <w:tcPr>
            <w:tcW w:w="3118"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监测项目</w:t>
            </w:r>
          </w:p>
        </w:tc>
        <w:tc>
          <w:tcPr>
            <w:tcW w:w="709"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监测时间与频率</w:t>
            </w:r>
          </w:p>
        </w:tc>
        <w:tc>
          <w:tcPr>
            <w:tcW w:w="1134" w:type="dxa"/>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点位位置</w:t>
            </w:r>
          </w:p>
        </w:tc>
        <w:tc>
          <w:tcPr>
            <w:tcW w:w="946" w:type="dxa"/>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F1</w:t>
            </w:r>
          </w:p>
        </w:tc>
        <w:tc>
          <w:tcPr>
            <w:tcW w:w="89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105.751404°</w:t>
            </w:r>
          </w:p>
        </w:tc>
        <w:tc>
          <w:tcPr>
            <w:tcW w:w="85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29.435073°</w:t>
            </w:r>
          </w:p>
        </w:tc>
        <w:tc>
          <w:tcPr>
            <w:tcW w:w="851"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379</w:t>
            </w:r>
          </w:p>
        </w:tc>
        <w:tc>
          <w:tcPr>
            <w:tcW w:w="3118" w:type="dxa"/>
            <w:vMerge w:val="restart"/>
            <w:vAlign w:val="center"/>
          </w:tcPr>
          <w:p>
            <w:pPr>
              <w:adjustRightInd w:val="0"/>
              <w:snapToGrid w:val="0"/>
              <w:spacing w:line="240" w:lineRule="auto"/>
              <w:jc w:val="left"/>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pH、总硬度、溶解性总固体、硫酸盐、氯化物、铁、锰、挥发性酚类、阴离子表面活性剂、耗氧量、氨氮、硫化物、总大肠菌群、菌落总数、亚硝酸盐、硝酸盐、氰化物、氟化物、汞、砷、镉、铬（六价）、铅、甲苯、二甲苯、石油类</w:t>
            </w:r>
          </w:p>
        </w:tc>
        <w:tc>
          <w:tcPr>
            <w:tcW w:w="70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2023年7月18日，监测1天，每天采样1次</w:t>
            </w:r>
          </w:p>
        </w:tc>
        <w:tc>
          <w:tcPr>
            <w:tcW w:w="1134"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2号地块东侧</w:t>
            </w:r>
            <w:r>
              <w:rPr>
                <w:rFonts w:hint="eastAsia" w:eastAsia="宋体"/>
                <w:bCs/>
                <w:color w:val="000000" w:themeColor="text1"/>
                <w:sz w:val="21"/>
                <w:szCs w:val="21"/>
                <w14:textFill>
                  <w14:solidFill>
                    <w14:schemeClr w14:val="tx1"/>
                  </w14:solidFill>
                </w14:textFill>
              </w:rPr>
              <w:t>（厂区下游）</w:t>
            </w:r>
          </w:p>
        </w:tc>
        <w:tc>
          <w:tcPr>
            <w:tcW w:w="946" w:type="dxa"/>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渝久（监）字[2-23]第HP45号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F3</w:t>
            </w:r>
          </w:p>
        </w:tc>
        <w:tc>
          <w:tcPr>
            <w:tcW w:w="89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105.733586°</w:t>
            </w:r>
          </w:p>
        </w:tc>
        <w:tc>
          <w:tcPr>
            <w:tcW w:w="85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29.433930°</w:t>
            </w:r>
          </w:p>
        </w:tc>
        <w:tc>
          <w:tcPr>
            <w:tcW w:w="851"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389</w:t>
            </w:r>
          </w:p>
        </w:tc>
        <w:tc>
          <w:tcPr>
            <w:tcW w:w="3118" w:type="dxa"/>
            <w:vMerge w:val="continue"/>
            <w:vAlign w:val="center"/>
          </w:tcPr>
          <w:p>
            <w:pPr>
              <w:adjustRightInd w:val="0"/>
              <w:snapToGrid w:val="0"/>
              <w:spacing w:line="240" w:lineRule="auto"/>
              <w:jc w:val="left"/>
              <w:rPr>
                <w:rFonts w:eastAsia="宋体"/>
                <w:color w:val="000000" w:themeColor="text1"/>
                <w:sz w:val="21"/>
                <w:szCs w:val="21"/>
                <w14:textFill>
                  <w14:solidFill>
                    <w14:schemeClr w14:val="tx1"/>
                  </w14:solidFill>
                </w14:textFill>
              </w:rPr>
            </w:pPr>
          </w:p>
        </w:tc>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34"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2号地块</w:t>
            </w:r>
            <w:r>
              <w:rPr>
                <w:rFonts w:hint="eastAsia" w:eastAsia="宋体"/>
                <w:bCs/>
                <w:color w:val="000000" w:themeColor="text1"/>
                <w:sz w:val="21"/>
                <w:szCs w:val="21"/>
                <w14:textFill>
                  <w14:solidFill>
                    <w14:schemeClr w14:val="tx1"/>
                  </w14:solidFill>
                </w14:textFill>
              </w:rPr>
              <w:t>西</w:t>
            </w:r>
            <w:r>
              <w:rPr>
                <w:rFonts w:eastAsia="宋体"/>
                <w:bCs/>
                <w:color w:val="000000" w:themeColor="text1"/>
                <w:sz w:val="21"/>
                <w:szCs w:val="21"/>
                <w14:textFill>
                  <w14:solidFill>
                    <w14:schemeClr w14:val="tx1"/>
                  </w14:solidFill>
                </w14:textFill>
              </w:rPr>
              <w:t>侧</w:t>
            </w:r>
            <w:r>
              <w:rPr>
                <w:rFonts w:hint="eastAsia" w:eastAsia="宋体"/>
                <w:bCs/>
                <w:color w:val="000000" w:themeColor="text1"/>
                <w:sz w:val="21"/>
                <w:szCs w:val="21"/>
                <w14:textFill>
                  <w14:solidFill>
                    <w14:schemeClr w14:val="tx1"/>
                  </w14:solidFill>
                </w14:textFill>
              </w:rPr>
              <w:t>（厂区上游）</w:t>
            </w:r>
          </w:p>
        </w:tc>
        <w:tc>
          <w:tcPr>
            <w:tcW w:w="946"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1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F2</w:t>
            </w:r>
          </w:p>
        </w:tc>
        <w:tc>
          <w:tcPr>
            <w:tcW w:w="89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105.750619°</w:t>
            </w:r>
          </w:p>
        </w:tc>
        <w:tc>
          <w:tcPr>
            <w:tcW w:w="850"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29.456434°</w:t>
            </w:r>
          </w:p>
        </w:tc>
        <w:tc>
          <w:tcPr>
            <w:tcW w:w="85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401</w:t>
            </w:r>
          </w:p>
        </w:tc>
        <w:tc>
          <w:tcPr>
            <w:tcW w:w="3118" w:type="dxa"/>
            <w:vMerge w:val="continue"/>
            <w:vAlign w:val="center"/>
          </w:tcPr>
          <w:p>
            <w:pPr>
              <w:adjustRightInd w:val="0"/>
              <w:snapToGrid w:val="0"/>
              <w:spacing w:line="240" w:lineRule="auto"/>
              <w:jc w:val="left"/>
              <w:rPr>
                <w:rFonts w:eastAsia="宋体"/>
                <w:color w:val="000000" w:themeColor="text1"/>
                <w:sz w:val="21"/>
                <w:szCs w:val="21"/>
                <w14:textFill>
                  <w14:solidFill>
                    <w14:schemeClr w14:val="tx1"/>
                  </w14:solidFill>
                </w14:textFill>
              </w:rPr>
            </w:pPr>
          </w:p>
        </w:tc>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34" w:type="dxa"/>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2号地块西北侧</w:t>
            </w:r>
            <w:r>
              <w:rPr>
                <w:rFonts w:hint="eastAsia" w:eastAsia="宋体"/>
                <w:bCs/>
                <w:color w:val="000000" w:themeColor="text1"/>
                <w:sz w:val="21"/>
                <w:szCs w:val="21"/>
                <w14:textFill>
                  <w14:solidFill>
                    <w14:schemeClr w14:val="tx1"/>
                  </w14:solidFill>
                </w14:textFill>
              </w:rPr>
              <w:t>南侧（厂区测有）</w:t>
            </w:r>
          </w:p>
        </w:tc>
        <w:tc>
          <w:tcPr>
            <w:tcW w:w="946"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9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0"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3118" w:type="dxa"/>
            <w:vAlign w:val="center"/>
          </w:tcPr>
          <w:p>
            <w:pPr>
              <w:adjustRightInd w:val="0"/>
              <w:snapToGrid w:val="0"/>
              <w:spacing w:line="240" w:lineRule="auto"/>
              <w:jc w:val="left"/>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K</w:t>
            </w:r>
            <w:r>
              <w:rPr>
                <w:rFonts w:eastAsia="宋体"/>
                <w:color w:val="000000" w:themeColor="text1"/>
                <w:sz w:val="21"/>
                <w:szCs w:val="21"/>
                <w:vertAlign w:val="superscript"/>
                <w14:textFill>
                  <w14:solidFill>
                    <w14:schemeClr w14:val="tx1"/>
                  </w14:solidFill>
                </w14:textFill>
              </w:rPr>
              <w:t>+</w:t>
            </w:r>
            <w:r>
              <w:rPr>
                <w:rFonts w:eastAsia="宋体"/>
                <w:color w:val="000000" w:themeColor="text1"/>
                <w:sz w:val="21"/>
                <w:szCs w:val="21"/>
                <w14:textFill>
                  <w14:solidFill>
                    <w14:schemeClr w14:val="tx1"/>
                  </w14:solidFill>
                </w14:textFill>
              </w:rPr>
              <w:t>、Na</w:t>
            </w:r>
            <w:r>
              <w:rPr>
                <w:rFonts w:eastAsia="宋体"/>
                <w:color w:val="000000" w:themeColor="text1"/>
                <w:sz w:val="21"/>
                <w:szCs w:val="21"/>
                <w:vertAlign w:val="superscript"/>
                <w14:textFill>
                  <w14:solidFill>
                    <w14:schemeClr w14:val="tx1"/>
                  </w14:solidFill>
                </w14:textFill>
              </w:rPr>
              <w:t>+</w:t>
            </w:r>
            <w:r>
              <w:rPr>
                <w:rFonts w:eastAsia="宋体"/>
                <w:color w:val="000000" w:themeColor="text1"/>
                <w:sz w:val="21"/>
                <w:szCs w:val="21"/>
                <w14:textFill>
                  <w14:solidFill>
                    <w14:schemeClr w14:val="tx1"/>
                  </w14:solidFill>
                </w14:textFill>
              </w:rPr>
              <w:t>、Ca</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、Mg</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、CO</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vertAlign w:val="superscript"/>
                <w14:textFill>
                  <w14:solidFill>
                    <w14:schemeClr w14:val="tx1"/>
                  </w14:solidFill>
                </w14:textFill>
              </w:rPr>
              <w:t>2-</w:t>
            </w:r>
            <w:r>
              <w:rPr>
                <w:rFonts w:eastAsia="宋体"/>
                <w:color w:val="000000" w:themeColor="text1"/>
                <w:sz w:val="21"/>
                <w:szCs w:val="21"/>
                <w14:textFill>
                  <w14:solidFill>
                    <w14:schemeClr w14:val="tx1"/>
                  </w14:solidFill>
                </w14:textFill>
              </w:rPr>
              <w:t>、HCO</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vertAlign w:val="superscript"/>
                <w14:textFill>
                  <w14:solidFill>
                    <w14:schemeClr w14:val="tx1"/>
                  </w14:solidFill>
                </w14:textFill>
              </w:rPr>
              <w:t>-</w:t>
            </w:r>
            <w:r>
              <w:rPr>
                <w:rFonts w:eastAsia="宋体"/>
                <w:color w:val="000000" w:themeColor="text1"/>
                <w:sz w:val="21"/>
                <w:szCs w:val="21"/>
                <w14:textFill>
                  <w14:solidFill>
                    <w14:schemeClr w14:val="tx1"/>
                  </w14:solidFill>
                </w14:textFill>
              </w:rPr>
              <w:t>、Cl</w:t>
            </w:r>
            <w:r>
              <w:rPr>
                <w:rFonts w:eastAsia="宋体"/>
                <w:color w:val="000000" w:themeColor="text1"/>
                <w:sz w:val="21"/>
                <w:szCs w:val="21"/>
                <w:vertAlign w:val="superscript"/>
                <w14:textFill>
                  <w14:solidFill>
                    <w14:schemeClr w14:val="tx1"/>
                  </w14:solidFill>
                </w14:textFill>
              </w:rPr>
              <w:t>-</w:t>
            </w:r>
            <w:r>
              <w:rPr>
                <w:rFonts w:eastAsia="宋体"/>
                <w:color w:val="000000" w:themeColor="text1"/>
                <w:sz w:val="21"/>
                <w:szCs w:val="21"/>
                <w14:textFill>
                  <w14:solidFill>
                    <w14:schemeClr w14:val="tx1"/>
                  </w14:solidFill>
                </w14:textFill>
              </w:rPr>
              <w:t>、SO</w:t>
            </w:r>
            <w:r>
              <w:rPr>
                <w:rFonts w:eastAsia="宋体"/>
                <w:color w:val="000000" w:themeColor="text1"/>
                <w:sz w:val="21"/>
                <w:szCs w:val="21"/>
                <w:vertAlign w:val="subscript"/>
                <w14:textFill>
                  <w14:solidFill>
                    <w14:schemeClr w14:val="tx1"/>
                  </w14:solidFill>
                </w14:textFill>
              </w:rPr>
              <w:t>4</w:t>
            </w:r>
            <w:r>
              <w:rPr>
                <w:rFonts w:eastAsia="宋体"/>
                <w:color w:val="000000" w:themeColor="text1"/>
                <w:sz w:val="21"/>
                <w:szCs w:val="21"/>
                <w:vertAlign w:val="superscript"/>
                <w14:textFill>
                  <w14:solidFill>
                    <w14:schemeClr w14:val="tx1"/>
                  </w14:solidFill>
                </w14:textFill>
              </w:rPr>
              <w:t>2-</w:t>
            </w:r>
          </w:p>
        </w:tc>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34"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c>
          <w:tcPr>
            <w:tcW w:w="946"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F</w:t>
            </w:r>
            <w:r>
              <w:rPr>
                <w:rFonts w:eastAsia="宋体"/>
                <w:color w:val="000000" w:themeColor="text1"/>
                <w:sz w:val="21"/>
                <w:szCs w:val="21"/>
                <w14:textFill>
                  <w14:solidFill>
                    <w14:schemeClr w14:val="tx1"/>
                  </w14:solidFill>
                </w14:textFill>
              </w:rPr>
              <w:t>4</w:t>
            </w:r>
          </w:p>
        </w:tc>
        <w:tc>
          <w:tcPr>
            <w:tcW w:w="899"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105°44′15″</w:t>
            </w:r>
          </w:p>
        </w:tc>
        <w:tc>
          <w:tcPr>
            <w:tcW w:w="850"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29°27′4.8″</w:t>
            </w:r>
          </w:p>
        </w:tc>
        <w:tc>
          <w:tcPr>
            <w:tcW w:w="851"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94</w:t>
            </w:r>
          </w:p>
        </w:tc>
        <w:tc>
          <w:tcPr>
            <w:tcW w:w="3118" w:type="dxa"/>
            <w:vAlign w:val="center"/>
          </w:tcPr>
          <w:p>
            <w:pPr>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7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134" w:type="dxa"/>
            <w:vAlign w:val="center"/>
          </w:tcPr>
          <w:p>
            <w:pPr>
              <w:pStyle w:val="7"/>
              <w:spacing w:line="240" w:lineRule="exact"/>
              <w:ind w:firstLine="0"/>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瀚渝厂区东南角</w:t>
            </w:r>
            <w:r>
              <w:rPr>
                <w:rFonts w:hint="eastAsia" w:eastAsia="宋体"/>
                <w:color w:val="000000" w:themeColor="text1"/>
                <w:sz w:val="18"/>
                <w:szCs w:val="18"/>
                <w14:textFill>
                  <w14:solidFill>
                    <w14:schemeClr w14:val="tx1"/>
                  </w14:solidFill>
                </w14:textFill>
              </w:rPr>
              <w:t>监测井</w:t>
            </w:r>
          </w:p>
        </w:tc>
        <w:tc>
          <w:tcPr>
            <w:tcW w:w="946" w:type="dxa"/>
            <w:vMerge w:val="restar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《重庆瀚渝再生资源有限公司危险废物资源化利用改扩建项目环境影响报告书》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F</w:t>
            </w:r>
            <w:r>
              <w:rPr>
                <w:rFonts w:eastAsia="宋体"/>
                <w:color w:val="000000" w:themeColor="text1"/>
                <w:sz w:val="21"/>
                <w:szCs w:val="21"/>
                <w14:textFill>
                  <w14:solidFill>
                    <w14:schemeClr w14:val="tx1"/>
                  </w14:solidFill>
                </w14:textFill>
              </w:rPr>
              <w:t>5</w:t>
            </w:r>
          </w:p>
        </w:tc>
        <w:tc>
          <w:tcPr>
            <w:tcW w:w="899"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105°43′58″</w:t>
            </w:r>
          </w:p>
        </w:tc>
        <w:tc>
          <w:tcPr>
            <w:tcW w:w="850"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29°28′31″</w:t>
            </w:r>
          </w:p>
        </w:tc>
        <w:tc>
          <w:tcPr>
            <w:tcW w:w="851"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95</w:t>
            </w:r>
          </w:p>
        </w:tc>
        <w:tc>
          <w:tcPr>
            <w:tcW w:w="3118" w:type="dxa"/>
            <w:vAlign w:val="center"/>
          </w:tcPr>
          <w:p>
            <w:pPr>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7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134" w:type="dxa"/>
            <w:vAlign w:val="center"/>
          </w:tcPr>
          <w:p>
            <w:pPr>
              <w:pStyle w:val="7"/>
              <w:spacing w:line="240" w:lineRule="exact"/>
              <w:ind w:firstLine="0"/>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赵家坝</w:t>
            </w:r>
            <w:r>
              <w:rPr>
                <w:rFonts w:hint="eastAsia" w:eastAsia="宋体"/>
                <w:color w:val="000000" w:themeColor="text1"/>
                <w:sz w:val="18"/>
                <w:szCs w:val="18"/>
                <w14:textFill>
                  <w14:solidFill>
                    <w14:schemeClr w14:val="tx1"/>
                  </w14:solidFill>
                </w14:textFill>
              </w:rPr>
              <w:t>监测井</w:t>
            </w:r>
          </w:p>
        </w:tc>
        <w:tc>
          <w:tcPr>
            <w:tcW w:w="946"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F</w:t>
            </w:r>
            <w:r>
              <w:rPr>
                <w:rFonts w:eastAsia="宋体"/>
                <w:color w:val="000000" w:themeColor="text1"/>
                <w:sz w:val="21"/>
                <w:szCs w:val="21"/>
                <w14:textFill>
                  <w14:solidFill>
                    <w14:schemeClr w14:val="tx1"/>
                  </w14:solidFill>
                </w14:textFill>
              </w:rPr>
              <w:t>6</w:t>
            </w:r>
          </w:p>
        </w:tc>
        <w:tc>
          <w:tcPr>
            <w:tcW w:w="899"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105°44′20″</w:t>
            </w:r>
          </w:p>
        </w:tc>
        <w:tc>
          <w:tcPr>
            <w:tcW w:w="850" w:type="dxa"/>
            <w:vAlign w:val="center"/>
          </w:tcPr>
          <w:p>
            <w:pPr>
              <w:pStyle w:val="2707"/>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29°26′34″</w:t>
            </w:r>
          </w:p>
        </w:tc>
        <w:tc>
          <w:tcPr>
            <w:tcW w:w="851"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91</w:t>
            </w:r>
          </w:p>
        </w:tc>
        <w:tc>
          <w:tcPr>
            <w:tcW w:w="3118" w:type="dxa"/>
            <w:vAlign w:val="center"/>
          </w:tcPr>
          <w:p>
            <w:pPr>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7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134" w:type="dxa"/>
            <w:vAlign w:val="center"/>
          </w:tcPr>
          <w:p>
            <w:pPr>
              <w:pStyle w:val="7"/>
              <w:spacing w:line="240" w:lineRule="exact"/>
              <w:ind w:firstLine="0"/>
              <w:jc w:val="center"/>
              <w:rPr>
                <w:rFonts w:eastAsia="宋体"/>
                <w:color w:val="000000" w:themeColor="text1"/>
                <w:sz w:val="18"/>
                <w:szCs w:val="18"/>
                <w14:textFill>
                  <w14:solidFill>
                    <w14:schemeClr w14:val="tx1"/>
                  </w14:solidFill>
                </w14:textFill>
              </w:rPr>
            </w:pPr>
            <w:r>
              <w:rPr>
                <w:rFonts w:eastAsia="宋体"/>
                <w:color w:val="000000" w:themeColor="text1"/>
                <w:sz w:val="18"/>
                <w:szCs w:val="18"/>
                <w14:textFill>
                  <w14:solidFill>
                    <w14:schemeClr w14:val="tx1"/>
                  </w14:solidFill>
                </w14:textFill>
              </w:rPr>
              <w:t>大邮路</w:t>
            </w:r>
            <w:r>
              <w:rPr>
                <w:rFonts w:hint="eastAsia" w:eastAsia="宋体"/>
                <w:color w:val="000000" w:themeColor="text1"/>
                <w:sz w:val="18"/>
                <w:szCs w:val="18"/>
                <w14:textFill>
                  <w14:solidFill>
                    <w14:schemeClr w14:val="tx1"/>
                  </w14:solidFill>
                </w14:textFill>
              </w:rPr>
              <w:t>监测井</w:t>
            </w:r>
          </w:p>
        </w:tc>
        <w:tc>
          <w:tcPr>
            <w:tcW w:w="946" w:type="dxa"/>
            <w:vMerge w:val="continue"/>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p>
        </w:tc>
      </w:tr>
    </w:tbl>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（2）评价标准</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《地下水质量标准》(GB/T 14848-2017)Ⅲ类标准。</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（3）评价方法</w:t>
      </w:r>
    </w:p>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采用标准指数法对水质进行现状评价，标准指数&gt;1，表明该水质因子已超标，标准指数越大，超标越严重。</w:t>
      </w:r>
    </w:p>
    <w:p>
      <w:pPr>
        <w:snapToGrid w:val="0"/>
        <w:ind w:firstLine="48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对评价标准为定值的水质因子，其标准指数计算公式：</w:t>
      </w:r>
    </w:p>
    <w:p>
      <w:pPr>
        <w:jc w:val="center"/>
        <w:rPr>
          <w:rFonts w:eastAsia="宋体"/>
          <w:color w:val="000000" w:themeColor="text1"/>
          <w:kern w:val="0"/>
          <w:vertAlign w:val="subscript"/>
          <w14:textFill>
            <w14:solidFill>
              <w14:schemeClr w14:val="tx1"/>
            </w14:solidFill>
          </w14:textFill>
        </w:rPr>
      </w:pPr>
      <w:r>
        <w:rPr>
          <w:rFonts w:eastAsia="宋体"/>
          <w:color w:val="000000" w:themeColor="text1"/>
          <w:kern w:val="0"/>
          <w14:textFill>
            <w14:solidFill>
              <w14:schemeClr w14:val="tx1"/>
            </w14:solidFill>
          </w14:textFill>
        </w:rPr>
        <w:t>P</w:t>
      </w:r>
      <w:r>
        <w:rPr>
          <w:rFonts w:eastAsia="宋体"/>
          <w:color w:val="000000" w:themeColor="text1"/>
          <w:kern w:val="0"/>
          <w:vertAlign w:val="subscript"/>
          <w14:textFill>
            <w14:solidFill>
              <w14:schemeClr w14:val="tx1"/>
            </w14:solidFill>
          </w14:textFill>
        </w:rPr>
        <w:t>i</w:t>
      </w:r>
      <w:r>
        <w:rPr>
          <w:rFonts w:eastAsia="宋体"/>
          <w:color w:val="000000" w:themeColor="text1"/>
          <w:kern w:val="0"/>
          <w14:textFill>
            <w14:solidFill>
              <w14:schemeClr w14:val="tx1"/>
            </w14:solidFill>
          </w14:textFill>
        </w:rPr>
        <w:t>=C</w:t>
      </w:r>
      <w:r>
        <w:rPr>
          <w:rFonts w:eastAsia="宋体"/>
          <w:color w:val="000000" w:themeColor="text1"/>
          <w:kern w:val="0"/>
          <w:vertAlign w:val="subscript"/>
          <w14:textFill>
            <w14:solidFill>
              <w14:schemeClr w14:val="tx1"/>
            </w14:solidFill>
          </w14:textFill>
        </w:rPr>
        <w:t>i</w:t>
      </w:r>
      <w:r>
        <w:rPr>
          <w:rFonts w:eastAsia="宋体"/>
          <w:color w:val="000000" w:themeColor="text1"/>
          <w:kern w:val="0"/>
          <w14:textFill>
            <w14:solidFill>
              <w14:schemeClr w14:val="tx1"/>
            </w14:solidFill>
          </w14:textFill>
        </w:rPr>
        <w:t>/C</w:t>
      </w:r>
      <w:r>
        <w:rPr>
          <w:rFonts w:eastAsia="宋体"/>
          <w:color w:val="000000" w:themeColor="text1"/>
          <w:kern w:val="0"/>
          <w:vertAlign w:val="subscript"/>
          <w14:textFill>
            <w14:solidFill>
              <w14:schemeClr w14:val="tx1"/>
            </w14:solidFill>
          </w14:textFill>
        </w:rPr>
        <w:t>si</w:t>
      </w:r>
    </w:p>
    <w:p>
      <w:pPr>
        <w:snapToGrid w:val="0"/>
        <w:ind w:firstLine="48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式中，P</w:t>
      </w:r>
      <w:r>
        <w:rPr>
          <w:rFonts w:eastAsia="宋体"/>
          <w:color w:val="000000" w:themeColor="text1"/>
          <w:kern w:val="0"/>
          <w:vertAlign w:val="subscript"/>
          <w14:textFill>
            <w14:solidFill>
              <w14:schemeClr w14:val="tx1"/>
            </w14:solidFill>
          </w14:textFill>
        </w:rPr>
        <w:t>i</w:t>
      </w:r>
      <w:r>
        <w:rPr>
          <w:rFonts w:eastAsia="宋体"/>
          <w:color w:val="000000" w:themeColor="text1"/>
          <w:kern w:val="0"/>
          <w14:textFill>
            <w14:solidFill>
              <w14:schemeClr w14:val="tx1"/>
            </w14:solidFill>
          </w14:textFill>
        </w:rPr>
        <w:t xml:space="preserve">——第i个水质因子的标准指数，无量纲； </w:t>
      </w:r>
    </w:p>
    <w:p>
      <w:pPr>
        <w:snapToGrid w:val="0"/>
        <w:ind w:firstLine="1200" w:firstLineChars="5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w:t>
      </w:r>
      <w:r>
        <w:rPr>
          <w:rFonts w:eastAsia="宋体"/>
          <w:color w:val="000000" w:themeColor="text1"/>
          <w:kern w:val="0"/>
          <w:vertAlign w:val="subscript"/>
          <w14:textFill>
            <w14:solidFill>
              <w14:schemeClr w14:val="tx1"/>
            </w14:solidFill>
          </w14:textFill>
        </w:rPr>
        <w:t>i</w:t>
      </w:r>
      <w:r>
        <w:rPr>
          <w:rFonts w:eastAsia="宋体"/>
          <w:color w:val="000000" w:themeColor="text1"/>
          <w14:textFill>
            <w14:solidFill>
              <w14:schemeClr w14:val="tx1"/>
            </w14:solidFill>
          </w14:textFill>
        </w:rPr>
        <w:t>——</w:t>
      </w:r>
      <w:r>
        <w:rPr>
          <w:rFonts w:eastAsia="宋体"/>
          <w:color w:val="000000" w:themeColor="text1"/>
          <w:kern w:val="0"/>
          <w14:textFill>
            <w14:solidFill>
              <w14:schemeClr w14:val="tx1"/>
            </w14:solidFill>
          </w14:textFill>
        </w:rPr>
        <w:t>第i个水质因子的监测浓度值，mg/L；</w:t>
      </w:r>
    </w:p>
    <w:p>
      <w:pPr>
        <w:snapToGrid w:val="0"/>
        <w:ind w:firstLine="1200" w:firstLineChars="5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C</w:t>
      </w:r>
      <w:r>
        <w:rPr>
          <w:rFonts w:eastAsia="宋体"/>
          <w:color w:val="000000" w:themeColor="text1"/>
          <w:kern w:val="0"/>
          <w:vertAlign w:val="subscript"/>
          <w14:textFill>
            <w14:solidFill>
              <w14:schemeClr w14:val="tx1"/>
            </w14:solidFill>
          </w14:textFill>
        </w:rPr>
        <w:t>si</w:t>
      </w:r>
      <w:r>
        <w:rPr>
          <w:rFonts w:eastAsia="宋体"/>
          <w:color w:val="000000" w:themeColor="text1"/>
          <w:kern w:val="0"/>
          <w14:textFill>
            <w14:solidFill>
              <w14:schemeClr w14:val="tx1"/>
            </w14:solidFill>
          </w14:textFill>
        </w:rPr>
        <w:t>——第i个水质因子的标准浓度值，mg/L。</w:t>
      </w:r>
    </w:p>
    <w:p>
      <w:pPr>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对于评价标准为区间值的水质因子（如pH），其标准指数计算方法见下：</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2064385" cy="1005205"/>
            <wp:effectExtent l="0" t="0" r="0" b="444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39"/>
                    <a:stretch>
                      <a:fillRect/>
                    </a:stretch>
                  </pic:blipFill>
                  <pic:spPr>
                    <a:xfrm>
                      <a:off x="0" y="0"/>
                      <a:ext cx="2095671" cy="1020334"/>
                    </a:xfrm>
                    <a:prstGeom prst="rect">
                      <a:avLst/>
                    </a:prstGeom>
                  </pic:spPr>
                </pic:pic>
              </a:graphicData>
            </a:graphic>
          </wp:inline>
        </w:drawing>
      </w:r>
    </w:p>
    <w:p>
      <w:pPr>
        <w:snapToGrid w:val="0"/>
        <w:ind w:firstLine="720" w:firstLineChars="3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式中，P</w:t>
      </w:r>
      <w:r>
        <w:rPr>
          <w:rFonts w:eastAsia="宋体"/>
          <w:color w:val="000000" w:themeColor="text1"/>
          <w:kern w:val="0"/>
          <w:vertAlign w:val="subscript"/>
          <w14:textFill>
            <w14:solidFill>
              <w14:schemeClr w14:val="tx1"/>
            </w14:solidFill>
          </w14:textFill>
        </w:rPr>
        <w:t>pH</w:t>
      </w:r>
      <w:r>
        <w:rPr>
          <w:rFonts w:eastAsia="宋体"/>
          <w:color w:val="000000" w:themeColor="text1"/>
          <w:kern w:val="0"/>
          <w14:textFill>
            <w14:solidFill>
              <w14:schemeClr w14:val="tx1"/>
            </w14:solidFill>
          </w14:textFill>
        </w:rPr>
        <w:t>——pH的标准指数，无量纲；</w:t>
      </w:r>
    </w:p>
    <w:p>
      <w:pPr>
        <w:snapToGrid w:val="0"/>
        <w:ind w:firstLine="1440" w:firstLineChars="6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pH——pH监测值；</w:t>
      </w:r>
    </w:p>
    <w:p>
      <w:pPr>
        <w:snapToGrid w:val="0"/>
        <w:ind w:firstLine="1440" w:firstLineChars="6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pH</w:t>
      </w:r>
      <w:r>
        <w:rPr>
          <w:rFonts w:eastAsia="宋体"/>
          <w:color w:val="000000" w:themeColor="text1"/>
          <w:kern w:val="0"/>
          <w:vertAlign w:val="subscript"/>
          <w14:textFill>
            <w14:solidFill>
              <w14:schemeClr w14:val="tx1"/>
            </w14:solidFill>
          </w14:textFill>
        </w:rPr>
        <w:t>su</w:t>
      </w:r>
      <w:r>
        <w:rPr>
          <w:rFonts w:eastAsia="宋体"/>
          <w:color w:val="000000" w:themeColor="text1"/>
          <w14:textFill>
            <w14:solidFill>
              <w14:schemeClr w14:val="tx1"/>
            </w14:solidFill>
          </w14:textFill>
        </w:rPr>
        <w:t>——</w:t>
      </w:r>
      <w:r>
        <w:rPr>
          <w:rFonts w:eastAsia="宋体"/>
          <w:color w:val="000000" w:themeColor="text1"/>
          <w:kern w:val="0"/>
          <w14:textFill>
            <w14:solidFill>
              <w14:schemeClr w14:val="tx1"/>
            </w14:solidFill>
          </w14:textFill>
        </w:rPr>
        <w:t>标准中pH的上限值；</w:t>
      </w:r>
    </w:p>
    <w:p>
      <w:pPr>
        <w:snapToGrid w:val="0"/>
        <w:ind w:firstLine="1440" w:firstLineChars="60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pHsd——标准中pH的下限值。</w:t>
      </w:r>
    </w:p>
    <w:p>
      <w:pPr>
        <w:snapToGrid w:val="0"/>
        <w:ind w:firstLine="480"/>
        <w:rPr>
          <w:rFonts w:eastAsia="宋体"/>
          <w:color w:val="000000" w:themeColor="text1"/>
          <w:kern w:val="0"/>
          <w14:textFill>
            <w14:solidFill>
              <w14:schemeClr w14:val="tx1"/>
            </w14:solidFill>
          </w14:textFill>
        </w:rPr>
      </w:pPr>
      <w:r>
        <w:rPr>
          <w:rFonts w:eastAsia="宋体"/>
          <w:bCs/>
          <w:color w:val="000000" w:themeColor="text1"/>
          <w:szCs w:val="32"/>
          <w14:textFill>
            <w14:solidFill>
              <w14:schemeClr w14:val="tx1"/>
            </w14:solidFill>
          </w14:textFill>
        </w:rPr>
        <w:t>（4）</w:t>
      </w:r>
      <w:r>
        <w:rPr>
          <w:rFonts w:eastAsia="宋体"/>
          <w:color w:val="000000" w:themeColor="text1"/>
          <w:kern w:val="0"/>
          <w14:textFill>
            <w14:solidFill>
              <w14:schemeClr w14:val="tx1"/>
            </w14:solidFill>
          </w14:textFill>
        </w:rPr>
        <w:t>监测结果及现状评价</w:t>
      </w:r>
    </w:p>
    <w:p>
      <w:pPr>
        <w:snapToGrid w:val="0"/>
        <w:ind w:firstLine="480"/>
        <w:rPr>
          <w:rFonts w:eastAsia="宋体"/>
          <w:color w:val="000000" w:themeColor="text1"/>
          <w:kern w:val="0"/>
          <w14:textFill>
            <w14:solidFill>
              <w14:schemeClr w14:val="tx1"/>
            </w14:solidFill>
          </w14:textFill>
        </w:rPr>
      </w:pPr>
      <w:r>
        <w:rPr>
          <w:rFonts w:eastAsia="宋体"/>
          <w:color w:val="000000" w:themeColor="text1"/>
          <w:kern w:val="0"/>
          <w14:textFill>
            <w14:solidFill>
              <w14:schemeClr w14:val="tx1"/>
            </w14:solidFill>
          </w14:textFill>
        </w:rPr>
        <w:t>地下水现状监测及评价结果见表3.4-6~3.4-7。</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表3.4-6  地下水八大离子现状监测及评价结果  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872"/>
        <w:gridCol w:w="871"/>
        <w:gridCol w:w="1018"/>
        <w:gridCol w:w="871"/>
        <w:gridCol w:w="1017"/>
        <w:gridCol w:w="1018"/>
        <w:gridCol w:w="871"/>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tcBorders>
              <w:top w:val="single" w:color="auto" w:sz="12" w:space="0"/>
              <w:left w:val="nil"/>
              <w:tl2br w:val="single" w:color="auto" w:sz="4"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 xml:space="preserve">      监测因子</w:t>
            </w:r>
          </w:p>
          <w:p>
            <w:pPr>
              <w:adjustRightInd w:val="0"/>
              <w:snapToGrid w:val="0"/>
              <w:spacing w:line="240" w:lineRule="auto"/>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监测点位</w:t>
            </w:r>
          </w:p>
        </w:tc>
        <w:tc>
          <w:tcPr>
            <w:tcW w:w="472"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K</w:t>
            </w:r>
            <w:r>
              <w:rPr>
                <w:rFonts w:eastAsia="宋体"/>
                <w:snapToGrid w:val="0"/>
                <w:color w:val="000000" w:themeColor="text1"/>
                <w:sz w:val="21"/>
                <w:szCs w:val="21"/>
                <w:vertAlign w:val="superscript"/>
                <w14:textFill>
                  <w14:solidFill>
                    <w14:schemeClr w14:val="tx1"/>
                  </w14:solidFill>
                </w14:textFill>
              </w:rPr>
              <w:t>+</w:t>
            </w:r>
          </w:p>
        </w:tc>
        <w:tc>
          <w:tcPr>
            <w:tcW w:w="471"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Na</w:t>
            </w:r>
            <w:r>
              <w:rPr>
                <w:rFonts w:eastAsia="宋体"/>
                <w:snapToGrid w:val="0"/>
                <w:color w:val="000000" w:themeColor="text1"/>
                <w:sz w:val="21"/>
                <w:szCs w:val="21"/>
                <w:vertAlign w:val="superscript"/>
                <w14:textFill>
                  <w14:solidFill>
                    <w14:schemeClr w14:val="tx1"/>
                  </w14:solidFill>
                </w14:textFill>
              </w:rPr>
              <w:t>+</w:t>
            </w:r>
          </w:p>
        </w:tc>
        <w:tc>
          <w:tcPr>
            <w:tcW w:w="551"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Ca</w:t>
            </w:r>
            <w:r>
              <w:rPr>
                <w:rFonts w:eastAsia="宋体"/>
                <w:snapToGrid w:val="0"/>
                <w:color w:val="000000" w:themeColor="text1"/>
                <w:sz w:val="21"/>
                <w:szCs w:val="21"/>
                <w:vertAlign w:val="superscript"/>
                <w14:textFill>
                  <w14:solidFill>
                    <w14:schemeClr w14:val="tx1"/>
                  </w14:solidFill>
                </w14:textFill>
              </w:rPr>
              <w:t>2+</w:t>
            </w:r>
          </w:p>
        </w:tc>
        <w:tc>
          <w:tcPr>
            <w:tcW w:w="471"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w:t>
            </w:r>
            <w:r>
              <w:rPr>
                <w:rFonts w:eastAsia="宋体"/>
                <w:snapToGrid w:val="0"/>
                <w:color w:val="000000" w:themeColor="text1"/>
                <w:sz w:val="21"/>
                <w:szCs w:val="21"/>
                <w:vertAlign w:val="superscript"/>
                <w14:textFill>
                  <w14:solidFill>
                    <w14:schemeClr w14:val="tx1"/>
                  </w14:solidFill>
                </w14:textFill>
              </w:rPr>
              <w:t>2+</w:t>
            </w:r>
          </w:p>
        </w:tc>
        <w:tc>
          <w:tcPr>
            <w:tcW w:w="550"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Cl</w:t>
            </w:r>
            <w:r>
              <w:rPr>
                <w:rFonts w:eastAsia="宋体"/>
                <w:snapToGrid w:val="0"/>
                <w:color w:val="000000" w:themeColor="text1"/>
                <w:sz w:val="21"/>
                <w:szCs w:val="21"/>
                <w:vertAlign w:val="superscript"/>
                <w14:textFill>
                  <w14:solidFill>
                    <w14:schemeClr w14:val="tx1"/>
                  </w14:solidFill>
                </w14:textFill>
              </w:rPr>
              <w:t>-</w:t>
            </w:r>
          </w:p>
        </w:tc>
        <w:tc>
          <w:tcPr>
            <w:tcW w:w="551"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SO</w:t>
            </w:r>
            <w:r>
              <w:rPr>
                <w:rFonts w:eastAsia="宋体"/>
                <w:snapToGrid w:val="0"/>
                <w:color w:val="000000" w:themeColor="text1"/>
                <w:sz w:val="21"/>
                <w:szCs w:val="21"/>
                <w:vertAlign w:val="subscript"/>
                <w14:textFill>
                  <w14:solidFill>
                    <w14:schemeClr w14:val="tx1"/>
                  </w14:solidFill>
                </w14:textFill>
              </w:rPr>
              <w:t>4</w:t>
            </w:r>
            <w:r>
              <w:rPr>
                <w:rFonts w:eastAsia="宋体"/>
                <w:snapToGrid w:val="0"/>
                <w:color w:val="000000" w:themeColor="text1"/>
                <w:sz w:val="21"/>
                <w:szCs w:val="21"/>
                <w:vertAlign w:val="superscript"/>
                <w14:textFill>
                  <w14:solidFill>
                    <w14:schemeClr w14:val="tx1"/>
                  </w14:solidFill>
                </w14:textFill>
              </w:rPr>
              <w:t>2-</w:t>
            </w:r>
          </w:p>
        </w:tc>
        <w:tc>
          <w:tcPr>
            <w:tcW w:w="471" w:type="pct"/>
            <w:tcBorders>
              <w:top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HCO</w:t>
            </w:r>
            <w:r>
              <w:rPr>
                <w:rFonts w:eastAsia="宋体"/>
                <w:snapToGrid w:val="0"/>
                <w:color w:val="000000" w:themeColor="text1"/>
                <w:sz w:val="21"/>
                <w:szCs w:val="21"/>
                <w:vertAlign w:val="subscript"/>
                <w14:textFill>
                  <w14:solidFill>
                    <w14:schemeClr w14:val="tx1"/>
                  </w14:solidFill>
                </w14:textFill>
              </w:rPr>
              <w:t>3</w:t>
            </w:r>
            <w:r>
              <w:rPr>
                <w:rFonts w:eastAsia="宋体"/>
                <w:snapToGrid w:val="0"/>
                <w:color w:val="000000" w:themeColor="text1"/>
                <w:sz w:val="21"/>
                <w:szCs w:val="21"/>
                <w:vertAlign w:val="superscript"/>
                <w14:textFill>
                  <w14:solidFill>
                    <w14:schemeClr w14:val="tx1"/>
                  </w14:solidFill>
                </w14:textFill>
              </w:rPr>
              <w:t>-</w:t>
            </w:r>
          </w:p>
        </w:tc>
        <w:tc>
          <w:tcPr>
            <w:tcW w:w="522" w:type="pct"/>
            <w:tcBorders>
              <w:top w:val="single" w:color="auto" w:sz="12" w:space="0"/>
              <w:right w:val="nil"/>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CO</w:t>
            </w:r>
            <w:r>
              <w:rPr>
                <w:rFonts w:eastAsia="宋体"/>
                <w:snapToGrid w:val="0"/>
                <w:color w:val="000000" w:themeColor="text1"/>
                <w:sz w:val="21"/>
                <w:szCs w:val="21"/>
                <w:vertAlign w:val="subscript"/>
                <w14:textFill>
                  <w14:solidFill>
                    <w14:schemeClr w14:val="tx1"/>
                  </w14:solidFill>
                </w14:textFill>
              </w:rPr>
              <w:t>3</w:t>
            </w:r>
            <w:r>
              <w:rPr>
                <w:rFonts w:eastAsia="宋体"/>
                <w:snapToGrid w:val="0"/>
                <w:color w:val="000000" w:themeColor="text1"/>
                <w:sz w:val="2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pct"/>
            <w:tcBorders>
              <w:left w:val="nil"/>
              <w:bottom w:val="single" w:color="auto" w:sz="12" w:space="0"/>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F2</w:t>
            </w:r>
          </w:p>
        </w:tc>
        <w:tc>
          <w:tcPr>
            <w:tcW w:w="472"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1.68</w:t>
            </w:r>
          </w:p>
        </w:tc>
        <w:tc>
          <w:tcPr>
            <w:tcW w:w="471"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41.6</w:t>
            </w:r>
          </w:p>
        </w:tc>
        <w:tc>
          <w:tcPr>
            <w:tcW w:w="551"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105</w:t>
            </w:r>
          </w:p>
        </w:tc>
        <w:tc>
          <w:tcPr>
            <w:tcW w:w="471"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20.4</w:t>
            </w:r>
          </w:p>
        </w:tc>
        <w:tc>
          <w:tcPr>
            <w:tcW w:w="550"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68.9</w:t>
            </w:r>
          </w:p>
        </w:tc>
        <w:tc>
          <w:tcPr>
            <w:tcW w:w="551"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83.7</w:t>
            </w:r>
          </w:p>
        </w:tc>
        <w:tc>
          <w:tcPr>
            <w:tcW w:w="471" w:type="pct"/>
            <w:tcBorders>
              <w:bottom w:val="single" w:color="auto" w:sz="12" w:space="0"/>
            </w:tcBorders>
            <w:shd w:val="clear" w:color="auto" w:fill="auto"/>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w:t>
            </w:r>
          </w:p>
        </w:tc>
        <w:tc>
          <w:tcPr>
            <w:tcW w:w="522" w:type="pct"/>
            <w:tcBorders>
              <w:bottom w:val="single" w:color="auto" w:sz="12" w:space="0"/>
              <w:right w:val="nil"/>
            </w:tcBorders>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1.94L</w:t>
            </w:r>
          </w:p>
        </w:tc>
      </w:tr>
    </w:tbl>
    <w:p>
      <w:pPr>
        <w:ind w:firstLine="480"/>
        <w:rPr>
          <w:rStyle w:val="406"/>
          <w:color w:val="000000" w:themeColor="text1"/>
          <w14:textFill>
            <w14:solidFill>
              <w14:schemeClr w14:val="tx1"/>
            </w14:solidFill>
          </w14:textFill>
        </w:rPr>
      </w:pPr>
      <w:r>
        <w:rPr>
          <w:rStyle w:val="406"/>
          <w:color w:val="000000" w:themeColor="text1"/>
          <w14:textFill>
            <w14:solidFill>
              <w14:schemeClr w14:val="tx1"/>
            </w14:solidFill>
          </w14:textFill>
        </w:rPr>
        <w:t>根据八大离子监测结果，依据舒卡列夫分类，地下水类型为重碳酸盐-钙型。</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表3.4-7  地下水现状监测及评价结果</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000"/>
        <w:gridCol w:w="1129"/>
        <w:gridCol w:w="904"/>
        <w:gridCol w:w="1401"/>
        <w:gridCol w:w="813"/>
        <w:gridCol w:w="1261"/>
        <w:gridCol w:w="972"/>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restart"/>
            <w:shd w:val="clear" w:color="auto" w:fill="auto"/>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项目</w:t>
            </w:r>
          </w:p>
        </w:tc>
        <w:tc>
          <w:tcPr>
            <w:tcW w:w="541" w:type="pct"/>
            <w:vMerge w:val="restar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单位</w:t>
            </w:r>
          </w:p>
        </w:tc>
        <w:tc>
          <w:tcPr>
            <w:tcW w:w="1100" w:type="pct"/>
            <w:gridSpan w:val="2"/>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F1</w:t>
            </w:r>
          </w:p>
        </w:tc>
        <w:tc>
          <w:tcPr>
            <w:tcW w:w="1198" w:type="pct"/>
            <w:gridSpan w:val="2"/>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F3</w:t>
            </w:r>
          </w:p>
        </w:tc>
        <w:tc>
          <w:tcPr>
            <w:tcW w:w="1208" w:type="pct"/>
            <w:gridSpan w:val="2"/>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F2</w:t>
            </w:r>
          </w:p>
        </w:tc>
        <w:tc>
          <w:tcPr>
            <w:tcW w:w="474" w:type="pct"/>
            <w:vMerge w:val="restar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snapToGrid w:val="0"/>
                <w:color w:val="000000" w:themeColor="text1"/>
                <w:sz w:val="21"/>
                <w:szCs w:val="21"/>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Merge w:val="continue"/>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p>
        </w:tc>
        <w:tc>
          <w:tcPr>
            <w:tcW w:w="541" w:type="pct"/>
            <w:vMerge w:val="continue"/>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p>
        </w:tc>
        <w:tc>
          <w:tcPr>
            <w:tcW w:w="611"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监测值</w:t>
            </w:r>
          </w:p>
        </w:tc>
        <w:tc>
          <w:tcPr>
            <w:tcW w:w="489"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Pi值</w:t>
            </w:r>
          </w:p>
        </w:tc>
        <w:tc>
          <w:tcPr>
            <w:tcW w:w="758"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监测值</w:t>
            </w:r>
          </w:p>
        </w:tc>
        <w:tc>
          <w:tcPr>
            <w:tcW w:w="440"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Pi值</w:t>
            </w:r>
          </w:p>
        </w:tc>
        <w:tc>
          <w:tcPr>
            <w:tcW w:w="682"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监测值</w:t>
            </w:r>
          </w:p>
        </w:tc>
        <w:tc>
          <w:tcPr>
            <w:tcW w:w="526" w:type="pct"/>
            <w:vAlign w:val="center"/>
          </w:tcPr>
          <w:p>
            <w:pPr>
              <w:adjustRightInd w:val="0"/>
              <w:snapToGrid w:val="0"/>
              <w:spacing w:line="240" w:lineRule="auto"/>
              <w:jc w:val="center"/>
              <w:rPr>
                <w:rFonts w:eastAsia="宋体"/>
                <w:b/>
                <w:snapToGrid w:val="0"/>
                <w:color w:val="000000" w:themeColor="text1"/>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Pi值</w:t>
            </w:r>
          </w:p>
        </w:tc>
        <w:tc>
          <w:tcPr>
            <w:tcW w:w="474" w:type="pct"/>
            <w:vMerge w:val="continue"/>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pH</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无量纲</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7.5</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0.33</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7.4</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0.27</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7.7</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0.47</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总硬度</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167</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0.37</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152</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0.34</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333</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0.74</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溶解性总固体</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254</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0.254</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270</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0.27</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482</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0.482</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硫酸盐</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29.5</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0.118</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20.5</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0.082</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87.0</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0.348</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氯化物</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19.4</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0.078</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28.5</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0.114</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71.0</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0.284</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铁</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8.63</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0.029</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21</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0.07</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10.3</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0.034</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锰</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0.65</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0.0065</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0.24</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0.0024</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6.17</w:t>
            </w:r>
            <w:r>
              <w:rPr>
                <w:rFonts w:eastAsia="宋体"/>
                <w:color w:val="000000" w:themeColor="text1"/>
                <w:sz w:val="21"/>
                <w:szCs w:val="21"/>
                <w14:textFill>
                  <w14:solidFill>
                    <w14:schemeClr w14:val="tx1"/>
                  </w14:solidFill>
                </w14:textFill>
              </w:rPr>
              <w:t>×10</w:t>
            </w:r>
            <w:r>
              <w:rPr>
                <w:rFonts w:eastAsia="宋体"/>
                <w:color w:val="000000" w:themeColor="text1"/>
                <w:sz w:val="21"/>
                <w:szCs w:val="21"/>
                <w:vertAlign w:val="superscript"/>
                <w14:textFill>
                  <w14:solidFill>
                    <w14:schemeClr w14:val="tx1"/>
                  </w14:solidFill>
                </w14:textFill>
              </w:rPr>
              <w:t>-3</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0.0617</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挥发性酚类</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0.0012</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0.6</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0.0013</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0.65</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0.0016</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bCs/>
                <w:snapToGrid w:val="0"/>
                <w:color w:val="000000" w:themeColor="text1"/>
                <w:sz w:val="21"/>
                <w:szCs w:val="21"/>
                <w14:textFill>
                  <w14:solidFill>
                    <w14:schemeClr w14:val="tx1"/>
                  </w14:solidFill>
                </w14:textFill>
              </w:rPr>
              <w:t>0.8</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阴离子表面活性剂</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0.05L</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0.05L</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0.05L</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耗氧量</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0.53</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0.53</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氨氮</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0.242</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0.484</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0.209</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0.418</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0.285</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0.57</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硫化物</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0.003L</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0.003L</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0.003L</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总大肠菌群</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MPN/</w:t>
            </w:r>
          </w:p>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100mL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未检出</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未检出</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未检出</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b/>
                <w:bCs/>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菌落总数</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CFU/mL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95</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0.95</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88</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0.88</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91</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0.91</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亚硝酸盐</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0.068</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0.068</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0.076</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0.076</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0.018</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0.018</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硝酸盐</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4.61</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0.23</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1.16</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0.058</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13.8</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0.69</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氰化物</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0.002L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0.002L</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0.002L</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氟化物</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0.098</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0.098</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0.193</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0.193</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0.116</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0.116</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汞</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2.3×10</w:t>
            </w:r>
            <w:r>
              <w:rPr>
                <w:rFonts w:eastAsia="宋体"/>
                <w:color w:val="000000" w:themeColor="text1"/>
                <w:sz w:val="21"/>
                <w:szCs w:val="21"/>
                <w:vertAlign w:val="superscript"/>
                <w14:textFill>
                  <w14:solidFill>
                    <w14:schemeClr w14:val="tx1"/>
                  </w14:solidFill>
                </w14:textFill>
              </w:rPr>
              <w:t>-4</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0.23</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1.2×10</w:t>
            </w:r>
            <w:r>
              <w:rPr>
                <w:rFonts w:eastAsia="宋体"/>
                <w:color w:val="000000" w:themeColor="text1"/>
                <w:sz w:val="21"/>
                <w:szCs w:val="21"/>
                <w:vertAlign w:val="superscript"/>
                <w14:textFill>
                  <w14:solidFill>
                    <w14:schemeClr w14:val="tx1"/>
                  </w14:solidFill>
                </w14:textFill>
              </w:rPr>
              <w:t>-4</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0.12</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2.6×10</w:t>
            </w:r>
            <w:r>
              <w:rPr>
                <w:rFonts w:eastAsia="宋体"/>
                <w:color w:val="000000" w:themeColor="text1"/>
                <w:sz w:val="21"/>
                <w:szCs w:val="21"/>
                <w:vertAlign w:val="superscript"/>
                <w14:textFill>
                  <w14:solidFill>
                    <w14:schemeClr w14:val="tx1"/>
                  </w14:solidFill>
                </w14:textFill>
              </w:rPr>
              <w:t>-4</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0.26</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砷</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3×10</w:t>
            </w:r>
            <w:r>
              <w:rPr>
                <w:rFonts w:eastAsia="宋体"/>
                <w:snapToGrid w:val="0"/>
                <w:color w:val="000000" w:themeColor="text1"/>
                <w:sz w:val="21"/>
                <w:szCs w:val="21"/>
                <w:vertAlign w:val="superscript"/>
                <w14:textFill>
                  <w14:solidFill>
                    <w14:schemeClr w14:val="tx1"/>
                  </w14:solidFill>
                </w14:textFill>
              </w:rPr>
              <w:t>-4</w:t>
            </w:r>
            <w:r>
              <w:rPr>
                <w:rFonts w:eastAsia="宋体"/>
                <w:snapToGrid w:val="0"/>
                <w:color w:val="000000" w:themeColor="text1"/>
                <w:sz w:val="21"/>
                <w:szCs w:val="21"/>
                <w14:textFill>
                  <w14:solidFill>
                    <w14:schemeClr w14:val="tx1"/>
                  </w14:solidFill>
                </w14:textFill>
              </w:rPr>
              <w:t>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3×10</w:t>
            </w:r>
            <w:r>
              <w:rPr>
                <w:rFonts w:eastAsia="宋体"/>
                <w:snapToGrid w:val="0"/>
                <w:color w:val="000000" w:themeColor="text1"/>
                <w:sz w:val="21"/>
                <w:szCs w:val="21"/>
                <w:vertAlign w:val="superscript"/>
                <w14:textFill>
                  <w14:solidFill>
                    <w14:schemeClr w14:val="tx1"/>
                  </w14:solidFill>
                </w14:textFill>
              </w:rPr>
              <w:t>-4</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0.03</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7×10</w:t>
            </w:r>
            <w:r>
              <w:rPr>
                <w:rFonts w:eastAsia="宋体"/>
                <w:snapToGrid w:val="0"/>
                <w:color w:val="000000" w:themeColor="text1"/>
                <w:sz w:val="21"/>
                <w:szCs w:val="21"/>
                <w:vertAlign w:val="superscript"/>
                <w14:textFill>
                  <w14:solidFill>
                    <w14:schemeClr w14:val="tx1"/>
                  </w14:solidFill>
                </w14:textFill>
              </w:rPr>
              <w:t>-4</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0.07</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镉</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6×10</w:t>
            </w:r>
            <w:r>
              <w:rPr>
                <w:rFonts w:eastAsia="宋体"/>
                <w:color w:val="000000" w:themeColor="text1"/>
                <w:sz w:val="21"/>
                <w:szCs w:val="21"/>
                <w:vertAlign w:val="superscript"/>
                <w14:textFill>
                  <w14:solidFill>
                    <w14:schemeClr w14:val="tx1"/>
                  </w14:solidFill>
                </w14:textFill>
              </w:rPr>
              <w:t>-5</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0.012</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1.45×10</w:t>
            </w:r>
            <w:r>
              <w:rPr>
                <w:rFonts w:eastAsia="宋体"/>
                <w:color w:val="000000" w:themeColor="text1"/>
                <w:sz w:val="21"/>
                <w:szCs w:val="21"/>
                <w:vertAlign w:val="superscript"/>
                <w14:textFill>
                  <w14:solidFill>
                    <w14:schemeClr w14:val="tx1"/>
                  </w14:solidFill>
                </w14:textFill>
              </w:rPr>
              <w:t>-3</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0.29</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7×10</w:t>
            </w:r>
            <w:r>
              <w:rPr>
                <w:rFonts w:eastAsia="宋体"/>
                <w:color w:val="000000" w:themeColor="text1"/>
                <w:sz w:val="21"/>
                <w:szCs w:val="21"/>
                <w:vertAlign w:val="superscript"/>
                <w14:textFill>
                  <w14:solidFill>
                    <w14:schemeClr w14:val="tx1"/>
                  </w14:solidFill>
                </w14:textFill>
              </w:rPr>
              <w:t>-5</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0.014</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铬（六价）</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0.004L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0.004L</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0.004L</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铅</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2.05×10</w:t>
            </w:r>
            <w:r>
              <w:rPr>
                <w:rFonts w:eastAsia="宋体"/>
                <w:color w:val="000000" w:themeColor="text1"/>
                <w:sz w:val="21"/>
                <w:szCs w:val="21"/>
                <w:vertAlign w:val="superscript"/>
                <w14:textFill>
                  <w14:solidFill>
                    <w14:schemeClr w14:val="tx1"/>
                  </w14:solidFill>
                </w14:textFill>
              </w:rPr>
              <w:t>-3</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0.205</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1.01×10</w:t>
            </w:r>
            <w:r>
              <w:rPr>
                <w:rFonts w:eastAsia="宋体"/>
                <w:color w:val="000000" w:themeColor="text1"/>
                <w:sz w:val="21"/>
                <w:szCs w:val="21"/>
                <w:vertAlign w:val="superscript"/>
                <w14:textFill>
                  <w14:solidFill>
                    <w14:schemeClr w14:val="tx1"/>
                  </w14:solidFill>
                </w14:textFill>
              </w:rPr>
              <w:t>-3</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0.101</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9×10</w:t>
            </w:r>
            <w:r>
              <w:rPr>
                <w:rFonts w:eastAsia="宋体"/>
                <w:color w:val="000000" w:themeColor="text1"/>
                <w:sz w:val="21"/>
                <w:szCs w:val="21"/>
                <w:vertAlign w:val="superscript"/>
                <w14:textFill>
                  <w14:solidFill>
                    <w14:schemeClr w14:val="tx1"/>
                  </w14:solidFill>
                </w14:textFill>
              </w:rPr>
              <w:t>-5</w:t>
            </w:r>
            <w:r>
              <w:rPr>
                <w:rFonts w:eastAsia="宋体"/>
                <w:color w:val="000000" w:themeColor="text1"/>
                <w:sz w:val="21"/>
                <w:szCs w:val="21"/>
                <w14:textFill>
                  <w14:solidFill>
                    <w14:schemeClr w14:val="tx1"/>
                  </w14:solidFill>
                </w14:textFill>
              </w:rPr>
              <w:t>L</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甲苯</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间，对二甲苯</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2.2×10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2.2×10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2.2×10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474" w:type="pct"/>
            <w:vMerge w:val="restar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邻二甲苯</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89"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758"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440"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682"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1.4×10</w:t>
            </w:r>
            <w:r>
              <w:rPr>
                <w:rFonts w:eastAsia="宋体"/>
                <w:snapToGrid w:val="0"/>
                <w:color w:val="000000" w:themeColor="text1"/>
                <w:sz w:val="21"/>
                <w:szCs w:val="21"/>
                <w:vertAlign w:val="superscript"/>
                <w14:textFill>
                  <w14:solidFill>
                    <w14:schemeClr w14:val="tx1"/>
                  </w14:solidFill>
                </w14:textFill>
              </w:rPr>
              <w:t>-3</w:t>
            </w:r>
            <w:r>
              <w:rPr>
                <w:rFonts w:eastAsia="宋体"/>
                <w:snapToGrid w:val="0"/>
                <w:color w:val="000000" w:themeColor="text1"/>
                <w:sz w:val="21"/>
                <w:szCs w:val="21"/>
                <w14:textFill>
                  <w14:solidFill>
                    <w14:schemeClr w14:val="tx1"/>
                  </w14:solidFill>
                </w14:textFill>
              </w:rPr>
              <w:t>L</w:t>
            </w:r>
          </w:p>
        </w:tc>
        <w:tc>
          <w:tcPr>
            <w:tcW w:w="526"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c>
          <w:tcPr>
            <w:tcW w:w="474" w:type="pct"/>
            <w:vMerge w:val="continue"/>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shd w:val="clear" w:color="auto" w:fill="auto"/>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石油类</w:t>
            </w:r>
          </w:p>
        </w:tc>
        <w:tc>
          <w:tcPr>
            <w:tcW w:w="541"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mg/L</w:t>
            </w:r>
          </w:p>
        </w:tc>
        <w:tc>
          <w:tcPr>
            <w:tcW w:w="611"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0.01L</w:t>
            </w:r>
          </w:p>
        </w:tc>
        <w:tc>
          <w:tcPr>
            <w:tcW w:w="48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75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0.01L</w:t>
            </w:r>
          </w:p>
        </w:tc>
        <w:tc>
          <w:tcPr>
            <w:tcW w:w="44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68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0.01L</w:t>
            </w:r>
          </w:p>
        </w:tc>
        <w:tc>
          <w:tcPr>
            <w:tcW w:w="52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474" w:type="pct"/>
            <w:vAlign w:val="center"/>
          </w:tcPr>
          <w:p>
            <w:pPr>
              <w:adjustRightInd w:val="0"/>
              <w:snapToGrid w:val="0"/>
              <w:spacing w:line="240" w:lineRule="auto"/>
              <w:jc w:val="center"/>
              <w:rPr>
                <w:rFonts w:eastAsia="宋体"/>
                <w:snapToGrid w:val="0"/>
                <w:color w:val="000000" w:themeColor="text1"/>
                <w:sz w:val="21"/>
                <w:szCs w:val="21"/>
                <w14:textFill>
                  <w14:solidFill>
                    <w14:schemeClr w14:val="tx1"/>
                  </w14:solidFill>
                </w14:textFill>
              </w:rPr>
            </w:pPr>
            <w:r>
              <w:rPr>
                <w:rFonts w:eastAsia="宋体"/>
                <w:snapToGrid w:val="0"/>
                <w:color w:val="000000" w:themeColor="text1"/>
                <w:sz w:val="21"/>
                <w:szCs w:val="21"/>
                <w14:textFill>
                  <w14:solidFill>
                    <w14:schemeClr w14:val="tx1"/>
                  </w14:solidFill>
                </w14:textFill>
              </w:rPr>
              <w:t>/</w:t>
            </w:r>
          </w:p>
        </w:tc>
      </w:tr>
    </w:tbl>
    <w:p>
      <w:pPr>
        <w:ind w:firstLine="48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由上表可知，各监测点位监测因子均满足《地下水质量标准》（GB/T 14848-2017）中的Ⅲ类水质标准要求。</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3.4.4声环境质量</w:t>
      </w:r>
      <w:bookmarkEnd w:id="146"/>
      <w:bookmarkEnd w:id="147"/>
      <w:bookmarkEnd w:id="148"/>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为了解项目周边区域声环境质量现状，本项目委托重庆泰华环境监测有限公司于2023年12月18日~2023年12月</w:t>
      </w: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9日对项目所在地声环境质量现状进行了监测。</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（1）监测点位</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设置3个声环境监测点，ZS1位于1号地块北侧-天红路旁，ZS2位于1号地块西侧，ZS3位于2号地块西侧-驿新大道旁。</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（2）监测项目：等效连续A声级。</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（3）监测频次和时间：2023年12月18日~2023年12月</w:t>
      </w: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9日，连续2天，昼、夜间各1次。</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（4）执行标准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N1、N3执行《声环境质量标准》（GB 3096-2008）4a类区标准，N2执行《声环境质量标准》（GB 3096-2008）3类区标准。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（5）评价结果</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声环境质量现状监测及评价结果见下表。</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bookmarkStart w:id="149" w:name="_Toc22576"/>
      <w:r>
        <w:rPr>
          <w:rFonts w:ascii="Times New Roman" w:hAnsi="Times New Roman" w:eastAsia="宋体"/>
          <w:b/>
          <w:color w:val="000000" w:themeColor="text1"/>
          <w:szCs w:val="24"/>
          <w14:textFill>
            <w14:solidFill>
              <w14:schemeClr w14:val="tx1"/>
            </w14:solidFill>
          </w14:textFill>
        </w:rPr>
        <w:t>表3.4-8  声环境质量现状监测及评价结果  单位：dB（A）</w:t>
      </w:r>
      <w:bookmarkEnd w:id="149"/>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62"/>
        <w:gridCol w:w="1286"/>
        <w:gridCol w:w="1277"/>
        <w:gridCol w:w="1076"/>
        <w:gridCol w:w="854"/>
        <w:gridCol w:w="808"/>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restart"/>
            <w:vAlign w:val="center"/>
          </w:tcPr>
          <w:p>
            <w:pPr>
              <w:pStyle w:val="35"/>
              <w:spacing w:line="240" w:lineRule="auto"/>
              <w:ind w:firstLine="0" w:firstLineChars="0"/>
              <w:jc w:val="center"/>
              <w:rPr>
                <w:b/>
                <w:sz w:val="21"/>
                <w:szCs w:val="21"/>
              </w:rPr>
            </w:pPr>
            <w:r>
              <w:rPr>
                <w:b/>
                <w:sz w:val="21"/>
                <w:szCs w:val="21"/>
              </w:rPr>
              <w:t>监测</w:t>
            </w:r>
            <w:bookmarkStart w:id="150" w:name="_Toc32462"/>
            <w:r>
              <w:rPr>
                <w:b/>
                <w:sz w:val="21"/>
                <w:szCs w:val="21"/>
              </w:rPr>
              <w:t>时间</w:t>
            </w:r>
            <w:bookmarkEnd w:id="150"/>
          </w:p>
        </w:tc>
        <w:tc>
          <w:tcPr>
            <w:tcW w:w="899" w:type="pct"/>
            <w:vMerge w:val="restart"/>
            <w:vAlign w:val="center"/>
          </w:tcPr>
          <w:p>
            <w:pPr>
              <w:pStyle w:val="35"/>
              <w:spacing w:line="240" w:lineRule="auto"/>
              <w:ind w:firstLine="0" w:firstLineChars="0"/>
              <w:jc w:val="center"/>
              <w:rPr>
                <w:b/>
                <w:sz w:val="21"/>
                <w:szCs w:val="21"/>
              </w:rPr>
            </w:pPr>
            <w:r>
              <w:rPr>
                <w:b/>
                <w:sz w:val="21"/>
                <w:szCs w:val="21"/>
              </w:rPr>
              <w:t>监测点位</w:t>
            </w:r>
          </w:p>
        </w:tc>
        <w:tc>
          <w:tcPr>
            <w:tcW w:w="1387" w:type="pct"/>
            <w:gridSpan w:val="2"/>
            <w:vAlign w:val="center"/>
          </w:tcPr>
          <w:p>
            <w:pPr>
              <w:pStyle w:val="35"/>
              <w:spacing w:line="240" w:lineRule="auto"/>
              <w:ind w:firstLine="0" w:firstLineChars="0"/>
              <w:jc w:val="center"/>
              <w:rPr>
                <w:b/>
                <w:sz w:val="21"/>
                <w:szCs w:val="21"/>
              </w:rPr>
            </w:pPr>
            <w:bookmarkStart w:id="151" w:name="_Toc4827"/>
            <w:r>
              <w:rPr>
                <w:b/>
                <w:sz w:val="21"/>
                <w:szCs w:val="21"/>
              </w:rPr>
              <w:t>监测值</w:t>
            </w:r>
          </w:p>
          <w:bookmarkEnd w:id="151"/>
        </w:tc>
        <w:tc>
          <w:tcPr>
            <w:tcW w:w="1044" w:type="pct"/>
            <w:gridSpan w:val="2"/>
            <w:vAlign w:val="center"/>
          </w:tcPr>
          <w:p>
            <w:pPr>
              <w:pStyle w:val="35"/>
              <w:spacing w:line="240" w:lineRule="auto"/>
              <w:ind w:firstLine="0" w:firstLineChars="0"/>
              <w:jc w:val="center"/>
              <w:rPr>
                <w:b/>
                <w:sz w:val="21"/>
                <w:szCs w:val="21"/>
              </w:rPr>
            </w:pPr>
            <w:bookmarkStart w:id="152" w:name="_Toc3086"/>
            <w:r>
              <w:rPr>
                <w:b/>
                <w:sz w:val="21"/>
                <w:szCs w:val="21"/>
              </w:rPr>
              <w:t>标准值</w:t>
            </w:r>
          </w:p>
          <w:bookmarkEnd w:id="152"/>
        </w:tc>
        <w:tc>
          <w:tcPr>
            <w:tcW w:w="1028" w:type="pct"/>
            <w:gridSpan w:val="2"/>
            <w:vAlign w:val="center"/>
          </w:tcPr>
          <w:p>
            <w:pPr>
              <w:pStyle w:val="35"/>
              <w:spacing w:line="240" w:lineRule="auto"/>
              <w:ind w:firstLine="0" w:firstLineChars="0"/>
              <w:jc w:val="center"/>
              <w:rPr>
                <w:b/>
                <w:sz w:val="21"/>
                <w:szCs w:val="21"/>
              </w:rPr>
            </w:pPr>
            <w:r>
              <w:rPr>
                <w:b/>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vAlign w:val="center"/>
          </w:tcPr>
          <w:p>
            <w:pPr>
              <w:pStyle w:val="35"/>
              <w:spacing w:line="240" w:lineRule="auto"/>
              <w:ind w:firstLine="0" w:firstLineChars="0"/>
              <w:jc w:val="center"/>
              <w:rPr>
                <w:b/>
                <w:sz w:val="21"/>
                <w:szCs w:val="21"/>
              </w:rPr>
            </w:pPr>
          </w:p>
        </w:tc>
        <w:tc>
          <w:tcPr>
            <w:tcW w:w="899" w:type="pct"/>
            <w:vMerge w:val="continue"/>
            <w:vAlign w:val="center"/>
          </w:tcPr>
          <w:p>
            <w:pPr>
              <w:pStyle w:val="35"/>
              <w:spacing w:line="240" w:lineRule="auto"/>
              <w:ind w:firstLine="0" w:firstLineChars="0"/>
              <w:jc w:val="center"/>
              <w:rPr>
                <w:b/>
                <w:sz w:val="21"/>
                <w:szCs w:val="21"/>
              </w:rPr>
            </w:pPr>
          </w:p>
        </w:tc>
        <w:tc>
          <w:tcPr>
            <w:tcW w:w="696" w:type="pct"/>
            <w:vAlign w:val="center"/>
          </w:tcPr>
          <w:p>
            <w:pPr>
              <w:pStyle w:val="35"/>
              <w:spacing w:line="240" w:lineRule="auto"/>
              <w:ind w:firstLine="0" w:firstLineChars="0"/>
              <w:jc w:val="center"/>
              <w:rPr>
                <w:b/>
                <w:sz w:val="21"/>
                <w:szCs w:val="21"/>
              </w:rPr>
            </w:pPr>
            <w:r>
              <w:rPr>
                <w:b/>
                <w:sz w:val="21"/>
                <w:szCs w:val="21"/>
              </w:rPr>
              <w:t>昼间</w:t>
            </w:r>
          </w:p>
        </w:tc>
        <w:tc>
          <w:tcPr>
            <w:tcW w:w="691" w:type="pct"/>
            <w:vAlign w:val="center"/>
          </w:tcPr>
          <w:p>
            <w:pPr>
              <w:pStyle w:val="35"/>
              <w:spacing w:line="240" w:lineRule="auto"/>
              <w:ind w:firstLine="0" w:firstLineChars="0"/>
              <w:jc w:val="center"/>
              <w:rPr>
                <w:b/>
                <w:sz w:val="21"/>
                <w:szCs w:val="21"/>
              </w:rPr>
            </w:pPr>
            <w:r>
              <w:rPr>
                <w:b/>
                <w:sz w:val="21"/>
                <w:szCs w:val="21"/>
              </w:rPr>
              <w:t>夜间</w:t>
            </w:r>
          </w:p>
        </w:tc>
        <w:tc>
          <w:tcPr>
            <w:tcW w:w="582" w:type="pct"/>
            <w:vAlign w:val="center"/>
          </w:tcPr>
          <w:p>
            <w:pPr>
              <w:pStyle w:val="35"/>
              <w:spacing w:line="240" w:lineRule="auto"/>
              <w:ind w:firstLine="0" w:firstLineChars="0"/>
              <w:jc w:val="center"/>
              <w:rPr>
                <w:b/>
                <w:sz w:val="21"/>
                <w:szCs w:val="21"/>
              </w:rPr>
            </w:pPr>
            <w:r>
              <w:rPr>
                <w:b/>
                <w:sz w:val="21"/>
                <w:szCs w:val="21"/>
              </w:rPr>
              <w:t>昼间</w:t>
            </w:r>
          </w:p>
        </w:tc>
        <w:tc>
          <w:tcPr>
            <w:tcW w:w="461" w:type="pct"/>
            <w:vAlign w:val="center"/>
          </w:tcPr>
          <w:p>
            <w:pPr>
              <w:pStyle w:val="35"/>
              <w:spacing w:line="240" w:lineRule="auto"/>
              <w:ind w:firstLine="0" w:firstLineChars="0"/>
              <w:jc w:val="center"/>
              <w:rPr>
                <w:b/>
                <w:sz w:val="21"/>
                <w:szCs w:val="21"/>
              </w:rPr>
            </w:pPr>
            <w:r>
              <w:rPr>
                <w:b/>
                <w:sz w:val="21"/>
                <w:szCs w:val="21"/>
              </w:rPr>
              <w:t>夜间</w:t>
            </w:r>
          </w:p>
        </w:tc>
        <w:tc>
          <w:tcPr>
            <w:tcW w:w="437" w:type="pct"/>
            <w:vAlign w:val="center"/>
          </w:tcPr>
          <w:p>
            <w:pPr>
              <w:pStyle w:val="35"/>
              <w:spacing w:line="240" w:lineRule="auto"/>
              <w:ind w:firstLine="0" w:firstLineChars="0"/>
              <w:jc w:val="center"/>
              <w:rPr>
                <w:b/>
                <w:sz w:val="21"/>
                <w:szCs w:val="21"/>
              </w:rPr>
            </w:pPr>
            <w:r>
              <w:rPr>
                <w:b/>
                <w:sz w:val="21"/>
                <w:szCs w:val="21"/>
              </w:rPr>
              <w:t>昼间</w:t>
            </w:r>
          </w:p>
        </w:tc>
        <w:tc>
          <w:tcPr>
            <w:tcW w:w="591" w:type="pct"/>
            <w:vAlign w:val="center"/>
          </w:tcPr>
          <w:p>
            <w:pPr>
              <w:pStyle w:val="35"/>
              <w:spacing w:line="240" w:lineRule="auto"/>
              <w:ind w:firstLine="0" w:firstLineChars="0"/>
              <w:jc w:val="center"/>
              <w:rPr>
                <w:b/>
                <w:sz w:val="21"/>
                <w:szCs w:val="21"/>
              </w:rPr>
            </w:pPr>
            <w:r>
              <w:rPr>
                <w:b/>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restart"/>
            <w:vAlign w:val="center"/>
          </w:tcPr>
          <w:p>
            <w:pPr>
              <w:pStyle w:val="35"/>
              <w:spacing w:line="240" w:lineRule="auto"/>
              <w:ind w:firstLine="0" w:firstLineChars="0"/>
              <w:jc w:val="center"/>
              <w:rPr>
                <w:sz w:val="21"/>
                <w:szCs w:val="21"/>
              </w:rPr>
            </w:pPr>
            <w:bookmarkStart w:id="153" w:name="_Toc7288"/>
            <w:r>
              <w:rPr>
                <w:sz w:val="21"/>
                <w:szCs w:val="21"/>
              </w:rPr>
              <w:t>2023.12.</w:t>
            </w:r>
            <w:bookmarkEnd w:id="153"/>
            <w:r>
              <w:rPr>
                <w:sz w:val="21"/>
                <w:szCs w:val="21"/>
              </w:rPr>
              <w:t>18</w:t>
            </w:r>
          </w:p>
        </w:tc>
        <w:tc>
          <w:tcPr>
            <w:tcW w:w="899" w:type="pct"/>
            <w:vAlign w:val="center"/>
          </w:tcPr>
          <w:p>
            <w:pPr>
              <w:pStyle w:val="35"/>
              <w:spacing w:line="240" w:lineRule="auto"/>
              <w:ind w:firstLine="0" w:firstLineChars="0"/>
              <w:jc w:val="center"/>
              <w:rPr>
                <w:sz w:val="21"/>
                <w:szCs w:val="21"/>
              </w:rPr>
            </w:pPr>
            <w:r>
              <w:rPr>
                <w:rFonts w:hint="eastAsia"/>
                <w:sz w:val="21"/>
                <w:szCs w:val="21"/>
              </w:rPr>
              <w:t>Z</w:t>
            </w:r>
            <w:r>
              <w:rPr>
                <w:sz w:val="21"/>
                <w:szCs w:val="21"/>
              </w:rPr>
              <w:t>S1</w:t>
            </w:r>
          </w:p>
        </w:tc>
        <w:tc>
          <w:tcPr>
            <w:tcW w:w="696" w:type="pct"/>
            <w:vAlign w:val="center"/>
          </w:tcPr>
          <w:p>
            <w:pPr>
              <w:pStyle w:val="35"/>
              <w:spacing w:line="240" w:lineRule="auto"/>
              <w:ind w:firstLine="0" w:firstLineChars="0"/>
              <w:jc w:val="center"/>
              <w:rPr>
                <w:sz w:val="21"/>
                <w:szCs w:val="21"/>
              </w:rPr>
            </w:pPr>
            <w:r>
              <w:rPr>
                <w:rFonts w:hint="eastAsia"/>
                <w:sz w:val="21"/>
                <w:szCs w:val="21"/>
              </w:rPr>
              <w:t>6</w:t>
            </w:r>
            <w:r>
              <w:rPr>
                <w:sz w:val="21"/>
                <w:szCs w:val="21"/>
              </w:rPr>
              <w:t>1</w:t>
            </w:r>
          </w:p>
        </w:tc>
        <w:tc>
          <w:tcPr>
            <w:tcW w:w="691" w:type="pct"/>
            <w:vAlign w:val="center"/>
          </w:tcPr>
          <w:p>
            <w:pPr>
              <w:pStyle w:val="35"/>
              <w:spacing w:line="240" w:lineRule="auto"/>
              <w:ind w:firstLine="0" w:firstLineChars="0"/>
              <w:jc w:val="center"/>
              <w:rPr>
                <w:sz w:val="21"/>
                <w:szCs w:val="21"/>
              </w:rPr>
            </w:pPr>
            <w:r>
              <w:rPr>
                <w:rFonts w:hint="eastAsia"/>
                <w:sz w:val="21"/>
                <w:szCs w:val="21"/>
              </w:rPr>
              <w:t>5</w:t>
            </w:r>
            <w:r>
              <w:rPr>
                <w:sz w:val="21"/>
                <w:szCs w:val="21"/>
              </w:rPr>
              <w:t>0</w:t>
            </w:r>
          </w:p>
        </w:tc>
        <w:tc>
          <w:tcPr>
            <w:tcW w:w="582" w:type="pct"/>
            <w:vAlign w:val="center"/>
          </w:tcPr>
          <w:p>
            <w:pPr>
              <w:pStyle w:val="35"/>
              <w:spacing w:line="240" w:lineRule="auto"/>
              <w:ind w:firstLine="0" w:firstLineChars="0"/>
              <w:jc w:val="center"/>
              <w:rPr>
                <w:sz w:val="21"/>
                <w:szCs w:val="21"/>
              </w:rPr>
            </w:pPr>
            <w:r>
              <w:rPr>
                <w:sz w:val="21"/>
                <w:szCs w:val="21"/>
              </w:rPr>
              <w:t>70</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vAlign w:val="center"/>
          </w:tcPr>
          <w:p>
            <w:pPr>
              <w:pStyle w:val="35"/>
              <w:spacing w:line="240" w:lineRule="auto"/>
              <w:ind w:firstLine="0" w:firstLineChars="0"/>
              <w:jc w:val="center"/>
              <w:rPr>
                <w:sz w:val="21"/>
                <w:szCs w:val="21"/>
              </w:rPr>
            </w:pPr>
          </w:p>
        </w:tc>
        <w:tc>
          <w:tcPr>
            <w:tcW w:w="899"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Z</w:t>
            </w:r>
            <w:r>
              <w:rPr>
                <w:rFonts w:eastAsia="宋体"/>
                <w:color w:val="000000" w:themeColor="text1"/>
                <w:kern w:val="0"/>
                <w:sz w:val="21"/>
                <w:szCs w:val="21"/>
                <w14:textFill>
                  <w14:solidFill>
                    <w14:schemeClr w14:val="tx1"/>
                  </w14:solidFill>
                </w14:textFill>
              </w:rPr>
              <w:t>S2</w:t>
            </w:r>
          </w:p>
        </w:tc>
        <w:tc>
          <w:tcPr>
            <w:tcW w:w="696" w:type="pct"/>
            <w:vAlign w:val="center"/>
          </w:tcPr>
          <w:p>
            <w:pPr>
              <w:pStyle w:val="35"/>
              <w:spacing w:line="240" w:lineRule="auto"/>
              <w:ind w:firstLine="0" w:firstLineChars="0"/>
              <w:jc w:val="center"/>
              <w:rPr>
                <w:sz w:val="21"/>
                <w:szCs w:val="21"/>
              </w:rPr>
            </w:pPr>
            <w:r>
              <w:rPr>
                <w:rFonts w:hint="eastAsia"/>
                <w:sz w:val="21"/>
                <w:szCs w:val="21"/>
              </w:rPr>
              <w:t>5</w:t>
            </w:r>
            <w:r>
              <w:rPr>
                <w:sz w:val="21"/>
                <w:szCs w:val="21"/>
              </w:rPr>
              <w:t>3</w:t>
            </w:r>
          </w:p>
        </w:tc>
        <w:tc>
          <w:tcPr>
            <w:tcW w:w="691" w:type="pct"/>
            <w:vAlign w:val="center"/>
          </w:tcPr>
          <w:p>
            <w:pPr>
              <w:pStyle w:val="35"/>
              <w:spacing w:line="240" w:lineRule="auto"/>
              <w:ind w:firstLine="0" w:firstLineChars="0"/>
              <w:jc w:val="center"/>
              <w:rPr>
                <w:sz w:val="21"/>
                <w:szCs w:val="21"/>
              </w:rPr>
            </w:pPr>
            <w:r>
              <w:rPr>
                <w:rFonts w:hint="eastAsia"/>
                <w:sz w:val="21"/>
                <w:szCs w:val="21"/>
              </w:rPr>
              <w:t>4</w:t>
            </w:r>
            <w:r>
              <w:rPr>
                <w:sz w:val="21"/>
                <w:szCs w:val="21"/>
              </w:rPr>
              <w:t>2</w:t>
            </w:r>
          </w:p>
        </w:tc>
        <w:tc>
          <w:tcPr>
            <w:tcW w:w="582"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vAlign w:val="center"/>
          </w:tcPr>
          <w:p>
            <w:pPr>
              <w:pStyle w:val="35"/>
              <w:spacing w:line="240" w:lineRule="auto"/>
              <w:ind w:firstLine="0" w:firstLineChars="0"/>
              <w:jc w:val="center"/>
              <w:rPr>
                <w:sz w:val="21"/>
                <w:szCs w:val="21"/>
              </w:rPr>
            </w:pPr>
          </w:p>
        </w:tc>
        <w:tc>
          <w:tcPr>
            <w:tcW w:w="899"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Z</w:t>
            </w:r>
            <w:r>
              <w:rPr>
                <w:rFonts w:eastAsia="宋体"/>
                <w:color w:val="000000" w:themeColor="text1"/>
                <w:kern w:val="0"/>
                <w:sz w:val="21"/>
                <w:szCs w:val="21"/>
                <w14:textFill>
                  <w14:solidFill>
                    <w14:schemeClr w14:val="tx1"/>
                  </w14:solidFill>
                </w14:textFill>
              </w:rPr>
              <w:t>S3</w:t>
            </w:r>
          </w:p>
        </w:tc>
        <w:tc>
          <w:tcPr>
            <w:tcW w:w="696" w:type="pct"/>
            <w:vAlign w:val="center"/>
          </w:tcPr>
          <w:p>
            <w:pPr>
              <w:pStyle w:val="35"/>
              <w:spacing w:line="240" w:lineRule="auto"/>
              <w:ind w:firstLine="0" w:firstLineChars="0"/>
              <w:jc w:val="center"/>
              <w:rPr>
                <w:sz w:val="21"/>
                <w:szCs w:val="21"/>
              </w:rPr>
            </w:pPr>
            <w:r>
              <w:rPr>
                <w:rFonts w:hint="eastAsia"/>
                <w:sz w:val="21"/>
                <w:szCs w:val="21"/>
              </w:rPr>
              <w:t>6</w:t>
            </w:r>
            <w:r>
              <w:rPr>
                <w:sz w:val="21"/>
                <w:szCs w:val="21"/>
              </w:rPr>
              <w:t>2</w:t>
            </w:r>
          </w:p>
        </w:tc>
        <w:tc>
          <w:tcPr>
            <w:tcW w:w="691" w:type="pct"/>
            <w:vAlign w:val="center"/>
          </w:tcPr>
          <w:p>
            <w:pPr>
              <w:pStyle w:val="35"/>
              <w:spacing w:line="240" w:lineRule="auto"/>
              <w:ind w:firstLine="0" w:firstLineChars="0"/>
              <w:jc w:val="center"/>
              <w:rPr>
                <w:sz w:val="21"/>
                <w:szCs w:val="21"/>
              </w:rPr>
            </w:pPr>
            <w:r>
              <w:rPr>
                <w:rFonts w:hint="eastAsia"/>
                <w:sz w:val="21"/>
                <w:szCs w:val="21"/>
              </w:rPr>
              <w:t>4</w:t>
            </w:r>
            <w:r>
              <w:rPr>
                <w:sz w:val="21"/>
                <w:szCs w:val="21"/>
              </w:rPr>
              <w:t>8</w:t>
            </w:r>
          </w:p>
        </w:tc>
        <w:tc>
          <w:tcPr>
            <w:tcW w:w="582"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restart"/>
            <w:vAlign w:val="center"/>
          </w:tcPr>
          <w:p>
            <w:pPr>
              <w:pStyle w:val="35"/>
              <w:spacing w:line="240" w:lineRule="auto"/>
              <w:ind w:firstLine="0" w:firstLineChars="0"/>
              <w:jc w:val="center"/>
              <w:rPr>
                <w:sz w:val="21"/>
                <w:szCs w:val="21"/>
              </w:rPr>
            </w:pPr>
            <w:bookmarkStart w:id="154" w:name="_Toc10382"/>
            <w:r>
              <w:rPr>
                <w:sz w:val="21"/>
                <w:szCs w:val="21"/>
              </w:rPr>
              <w:t>2023.12.</w:t>
            </w:r>
            <w:bookmarkEnd w:id="154"/>
            <w:r>
              <w:rPr>
                <w:sz w:val="21"/>
                <w:szCs w:val="21"/>
              </w:rPr>
              <w:t>19</w:t>
            </w:r>
          </w:p>
        </w:tc>
        <w:tc>
          <w:tcPr>
            <w:tcW w:w="899" w:type="pct"/>
            <w:vAlign w:val="center"/>
          </w:tcPr>
          <w:p>
            <w:pPr>
              <w:pStyle w:val="35"/>
              <w:spacing w:line="240" w:lineRule="auto"/>
              <w:ind w:firstLine="0" w:firstLineChars="0"/>
              <w:jc w:val="center"/>
              <w:rPr>
                <w:sz w:val="21"/>
                <w:szCs w:val="21"/>
              </w:rPr>
            </w:pPr>
            <w:r>
              <w:rPr>
                <w:rFonts w:hint="eastAsia"/>
                <w:sz w:val="21"/>
                <w:szCs w:val="21"/>
              </w:rPr>
              <w:t>Z</w:t>
            </w:r>
            <w:r>
              <w:rPr>
                <w:sz w:val="21"/>
                <w:szCs w:val="21"/>
              </w:rPr>
              <w:t>S1</w:t>
            </w:r>
          </w:p>
        </w:tc>
        <w:tc>
          <w:tcPr>
            <w:tcW w:w="696" w:type="pct"/>
            <w:vAlign w:val="center"/>
          </w:tcPr>
          <w:p>
            <w:pPr>
              <w:pStyle w:val="35"/>
              <w:spacing w:line="240" w:lineRule="auto"/>
              <w:ind w:firstLine="0" w:firstLineChars="0"/>
              <w:jc w:val="center"/>
              <w:rPr>
                <w:sz w:val="21"/>
                <w:szCs w:val="21"/>
              </w:rPr>
            </w:pPr>
            <w:r>
              <w:rPr>
                <w:rFonts w:hint="eastAsia"/>
                <w:sz w:val="21"/>
                <w:szCs w:val="21"/>
              </w:rPr>
              <w:t>6</w:t>
            </w:r>
            <w:r>
              <w:rPr>
                <w:sz w:val="21"/>
                <w:szCs w:val="21"/>
              </w:rPr>
              <w:t>1</w:t>
            </w:r>
          </w:p>
        </w:tc>
        <w:tc>
          <w:tcPr>
            <w:tcW w:w="691" w:type="pct"/>
            <w:vAlign w:val="center"/>
          </w:tcPr>
          <w:p>
            <w:pPr>
              <w:pStyle w:val="35"/>
              <w:spacing w:line="240" w:lineRule="auto"/>
              <w:ind w:firstLine="0" w:firstLineChars="0"/>
              <w:jc w:val="center"/>
              <w:rPr>
                <w:sz w:val="21"/>
                <w:szCs w:val="21"/>
              </w:rPr>
            </w:pPr>
            <w:r>
              <w:rPr>
                <w:rFonts w:hint="eastAsia"/>
                <w:sz w:val="21"/>
                <w:szCs w:val="21"/>
              </w:rPr>
              <w:t>4</w:t>
            </w:r>
            <w:r>
              <w:rPr>
                <w:sz w:val="21"/>
                <w:szCs w:val="21"/>
              </w:rPr>
              <w:t>9</w:t>
            </w:r>
          </w:p>
        </w:tc>
        <w:tc>
          <w:tcPr>
            <w:tcW w:w="582" w:type="pct"/>
            <w:vAlign w:val="center"/>
          </w:tcPr>
          <w:p>
            <w:pPr>
              <w:pStyle w:val="35"/>
              <w:spacing w:line="240" w:lineRule="auto"/>
              <w:ind w:firstLine="0" w:firstLineChars="0"/>
              <w:jc w:val="center"/>
              <w:rPr>
                <w:sz w:val="21"/>
                <w:szCs w:val="21"/>
              </w:rPr>
            </w:pPr>
            <w:r>
              <w:rPr>
                <w:sz w:val="21"/>
                <w:szCs w:val="21"/>
              </w:rPr>
              <w:t>70</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vAlign w:val="center"/>
          </w:tcPr>
          <w:p>
            <w:pPr>
              <w:pStyle w:val="35"/>
              <w:spacing w:line="240" w:lineRule="auto"/>
              <w:ind w:firstLine="0" w:firstLineChars="0"/>
              <w:jc w:val="center"/>
              <w:rPr>
                <w:sz w:val="21"/>
                <w:szCs w:val="21"/>
              </w:rPr>
            </w:pPr>
          </w:p>
        </w:tc>
        <w:tc>
          <w:tcPr>
            <w:tcW w:w="899"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Z</w:t>
            </w:r>
            <w:r>
              <w:rPr>
                <w:rFonts w:eastAsia="宋体"/>
                <w:color w:val="000000" w:themeColor="text1"/>
                <w:kern w:val="0"/>
                <w:sz w:val="21"/>
                <w:szCs w:val="21"/>
                <w14:textFill>
                  <w14:solidFill>
                    <w14:schemeClr w14:val="tx1"/>
                  </w14:solidFill>
                </w14:textFill>
              </w:rPr>
              <w:t>S2</w:t>
            </w:r>
          </w:p>
        </w:tc>
        <w:tc>
          <w:tcPr>
            <w:tcW w:w="696" w:type="pct"/>
            <w:vAlign w:val="center"/>
          </w:tcPr>
          <w:p>
            <w:pPr>
              <w:pStyle w:val="35"/>
              <w:spacing w:line="240" w:lineRule="auto"/>
              <w:ind w:firstLine="0" w:firstLineChars="0"/>
              <w:jc w:val="center"/>
              <w:rPr>
                <w:sz w:val="21"/>
                <w:szCs w:val="21"/>
              </w:rPr>
            </w:pPr>
            <w:r>
              <w:rPr>
                <w:rFonts w:hint="eastAsia"/>
                <w:sz w:val="21"/>
                <w:szCs w:val="21"/>
              </w:rPr>
              <w:t>5</w:t>
            </w:r>
            <w:r>
              <w:rPr>
                <w:sz w:val="21"/>
                <w:szCs w:val="21"/>
              </w:rPr>
              <w:t>4</w:t>
            </w:r>
          </w:p>
        </w:tc>
        <w:tc>
          <w:tcPr>
            <w:tcW w:w="691" w:type="pct"/>
            <w:vAlign w:val="center"/>
          </w:tcPr>
          <w:p>
            <w:pPr>
              <w:pStyle w:val="35"/>
              <w:spacing w:line="240" w:lineRule="auto"/>
              <w:ind w:firstLine="0" w:firstLineChars="0"/>
              <w:jc w:val="center"/>
              <w:rPr>
                <w:sz w:val="21"/>
                <w:szCs w:val="21"/>
              </w:rPr>
            </w:pPr>
            <w:r>
              <w:rPr>
                <w:rFonts w:hint="eastAsia"/>
                <w:sz w:val="21"/>
                <w:szCs w:val="21"/>
              </w:rPr>
              <w:t>4</w:t>
            </w:r>
            <w:r>
              <w:rPr>
                <w:sz w:val="21"/>
                <w:szCs w:val="21"/>
              </w:rPr>
              <w:t>3</w:t>
            </w:r>
          </w:p>
        </w:tc>
        <w:tc>
          <w:tcPr>
            <w:tcW w:w="582"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65</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Merge w:val="continue"/>
            <w:vAlign w:val="center"/>
          </w:tcPr>
          <w:p>
            <w:pPr>
              <w:pStyle w:val="35"/>
              <w:spacing w:line="240" w:lineRule="auto"/>
              <w:ind w:firstLine="0" w:firstLineChars="0"/>
              <w:jc w:val="center"/>
              <w:rPr>
                <w:sz w:val="21"/>
                <w:szCs w:val="21"/>
              </w:rPr>
            </w:pPr>
          </w:p>
        </w:tc>
        <w:tc>
          <w:tcPr>
            <w:tcW w:w="899"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Z</w:t>
            </w:r>
            <w:r>
              <w:rPr>
                <w:rFonts w:eastAsia="宋体"/>
                <w:color w:val="000000" w:themeColor="text1"/>
                <w:kern w:val="0"/>
                <w:sz w:val="21"/>
                <w:szCs w:val="21"/>
                <w14:textFill>
                  <w14:solidFill>
                    <w14:schemeClr w14:val="tx1"/>
                  </w14:solidFill>
                </w14:textFill>
              </w:rPr>
              <w:t>S3</w:t>
            </w:r>
          </w:p>
        </w:tc>
        <w:tc>
          <w:tcPr>
            <w:tcW w:w="696" w:type="pct"/>
            <w:vAlign w:val="center"/>
          </w:tcPr>
          <w:p>
            <w:pPr>
              <w:pStyle w:val="35"/>
              <w:spacing w:line="240" w:lineRule="auto"/>
              <w:ind w:firstLine="0" w:firstLineChars="0"/>
              <w:jc w:val="center"/>
              <w:rPr>
                <w:sz w:val="21"/>
                <w:szCs w:val="21"/>
              </w:rPr>
            </w:pPr>
            <w:r>
              <w:rPr>
                <w:rFonts w:hint="eastAsia"/>
                <w:sz w:val="21"/>
                <w:szCs w:val="21"/>
              </w:rPr>
              <w:t>6</w:t>
            </w:r>
            <w:r>
              <w:rPr>
                <w:sz w:val="21"/>
                <w:szCs w:val="21"/>
              </w:rPr>
              <w:t>2</w:t>
            </w:r>
          </w:p>
        </w:tc>
        <w:tc>
          <w:tcPr>
            <w:tcW w:w="691" w:type="pct"/>
            <w:vAlign w:val="center"/>
          </w:tcPr>
          <w:p>
            <w:pPr>
              <w:pStyle w:val="35"/>
              <w:spacing w:line="240" w:lineRule="auto"/>
              <w:ind w:firstLine="0" w:firstLineChars="0"/>
              <w:jc w:val="center"/>
              <w:rPr>
                <w:sz w:val="21"/>
                <w:szCs w:val="21"/>
              </w:rPr>
            </w:pPr>
            <w:r>
              <w:rPr>
                <w:rFonts w:hint="eastAsia"/>
                <w:sz w:val="21"/>
                <w:szCs w:val="21"/>
              </w:rPr>
              <w:t>4</w:t>
            </w:r>
            <w:r>
              <w:rPr>
                <w:sz w:val="21"/>
                <w:szCs w:val="21"/>
              </w:rPr>
              <w:t>9</w:t>
            </w:r>
          </w:p>
        </w:tc>
        <w:tc>
          <w:tcPr>
            <w:tcW w:w="582"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70</w:t>
            </w:r>
          </w:p>
        </w:tc>
        <w:tc>
          <w:tcPr>
            <w:tcW w:w="461" w:type="pct"/>
            <w:vAlign w:val="center"/>
          </w:tcPr>
          <w:p>
            <w:pPr>
              <w:pStyle w:val="35"/>
              <w:spacing w:line="240" w:lineRule="auto"/>
              <w:ind w:firstLine="0" w:firstLineChars="0"/>
              <w:jc w:val="center"/>
              <w:rPr>
                <w:sz w:val="21"/>
                <w:szCs w:val="21"/>
              </w:rPr>
            </w:pPr>
            <w:r>
              <w:rPr>
                <w:sz w:val="21"/>
                <w:szCs w:val="21"/>
              </w:rPr>
              <w:t>55</w:t>
            </w:r>
          </w:p>
        </w:tc>
        <w:tc>
          <w:tcPr>
            <w:tcW w:w="437" w:type="pct"/>
            <w:vAlign w:val="center"/>
          </w:tcPr>
          <w:p>
            <w:pPr>
              <w:pStyle w:val="35"/>
              <w:spacing w:line="240" w:lineRule="auto"/>
              <w:ind w:firstLine="0" w:firstLineChars="0"/>
              <w:jc w:val="center"/>
              <w:rPr>
                <w:sz w:val="21"/>
                <w:szCs w:val="21"/>
              </w:rPr>
            </w:pPr>
            <w:r>
              <w:rPr>
                <w:sz w:val="21"/>
                <w:szCs w:val="21"/>
              </w:rPr>
              <w:t>达标</w:t>
            </w:r>
          </w:p>
        </w:tc>
        <w:tc>
          <w:tcPr>
            <w:tcW w:w="591"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由上表可知，本项目周边昼、夜间声环境质量现状均满足《声环境质量标准》（GB3096-2008）</w:t>
      </w:r>
      <w:r>
        <w:rPr>
          <w:rFonts w:hint="eastAsia" w:eastAsia="宋体"/>
          <w:color w:val="000000" w:themeColor="text1"/>
          <w14:textFill>
            <w14:solidFill>
              <w14:schemeClr w14:val="tx1"/>
            </w14:solidFill>
          </w14:textFill>
        </w:rPr>
        <w:t>3类、4a类</w:t>
      </w:r>
      <w:r>
        <w:rPr>
          <w:rFonts w:eastAsia="宋体"/>
          <w:color w:val="000000" w:themeColor="text1"/>
          <w14:textFill>
            <w14:solidFill>
              <w14:schemeClr w14:val="tx1"/>
            </w14:solidFill>
          </w14:textFill>
        </w:rPr>
        <w:t>标准要求。</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3.4.5土壤环境质量</w:t>
      </w:r>
    </w:p>
    <w:p>
      <w:pPr>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为了解项目区土壤环境质量现状，本项目委</w:t>
      </w:r>
      <w:r>
        <w:rPr>
          <w:rFonts w:eastAsia="宋体"/>
          <w:color w:val="000000" w:themeColor="text1"/>
          <w:szCs w:val="24"/>
          <w14:textFill>
            <w14:solidFill>
              <w14:schemeClr w14:val="tx1"/>
            </w14:solidFill>
          </w14:textFill>
        </w:rPr>
        <w:t>托重庆泰华环境监测有限公司于2023年12月19日对项目所在地土壤环境质量现状进行了监测。</w:t>
      </w:r>
      <w:r>
        <w:rPr>
          <w:rFonts w:hint="eastAsia" w:eastAsia="宋体"/>
          <w:color w:val="000000" w:themeColor="text1"/>
          <w:szCs w:val="24"/>
          <w14:textFill>
            <w14:solidFill>
              <w14:schemeClr w14:val="tx1"/>
            </w14:solidFill>
          </w14:textFill>
        </w:rPr>
        <w:t>土壤理化性质引用“渝西（大足）工业废物利用与处置中心项目”环境影响评价现状监测报告（新检字[2021]第HJ195-1-1号）中T</w:t>
      </w:r>
      <w:r>
        <w:rPr>
          <w:rFonts w:eastAsia="宋体"/>
          <w:color w:val="000000" w:themeColor="text1"/>
          <w:szCs w:val="24"/>
          <w14:textFill>
            <w14:solidFill>
              <w14:schemeClr w14:val="tx1"/>
            </w14:solidFill>
          </w14:textFill>
        </w:rPr>
        <w:t>20</w:t>
      </w:r>
      <w:r>
        <w:rPr>
          <w:rFonts w:hint="eastAsia" w:eastAsia="宋体"/>
          <w:color w:val="000000" w:themeColor="text1"/>
          <w:szCs w:val="24"/>
          <w14:textFill>
            <w14:solidFill>
              <w14:schemeClr w14:val="tx1"/>
            </w14:solidFill>
          </w14:textFill>
        </w:rPr>
        <w:t>点位，该监测点与本项目2号地块均位于邮亭组团内，土地现状均未开发，均未受污染，土壤理化性质类似。</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（1）监测点位</w:t>
      </w:r>
      <w:r>
        <w:rPr>
          <w:rFonts w:hint="eastAsia" w:eastAsia="宋体"/>
          <w:color w:val="000000" w:themeColor="text1"/>
          <w:szCs w:val="24"/>
          <w14:textFill>
            <w14:solidFill>
              <w14:schemeClr w14:val="tx1"/>
            </w14:solidFill>
          </w14:textFill>
        </w:rPr>
        <w:t>及监测因子</w:t>
      </w:r>
    </w:p>
    <w:p>
      <w:pPr>
        <w:ind w:firstLine="480"/>
        <w:rPr>
          <w:rFonts w:eastAsia="宋体"/>
          <w:bCs/>
          <w:color w:val="000000" w:themeColor="text1"/>
          <w14:textFill>
            <w14:solidFill>
              <w14:schemeClr w14:val="tx1"/>
            </w14:solidFill>
          </w14:textFill>
        </w:rPr>
      </w:pPr>
      <w:r>
        <w:rPr>
          <w:rFonts w:eastAsia="宋体"/>
          <w:bCs/>
          <w:color w:val="000000" w:themeColor="text1"/>
          <w14:textFill>
            <w14:solidFill>
              <w14:schemeClr w14:val="tx1"/>
            </w14:solidFill>
          </w14:textFill>
        </w:rPr>
        <w:t>共设置6个土壤监测点，其中2号地块占地范围内3个柱状样点（在0~0.5m、0.5~1.5m、1.5~3m分别取样）、1个表层样点（在0~0.2m取样）；占地范围外2个表层样点（在0~0.2m取样）。</w:t>
      </w:r>
      <w:r>
        <w:rPr>
          <w:rFonts w:hint="eastAsia" w:eastAsia="宋体"/>
          <w:bCs/>
          <w:color w:val="000000" w:themeColor="text1"/>
          <w14:textFill>
            <w14:solidFill>
              <w14:schemeClr w14:val="tx1"/>
            </w14:solidFill>
          </w14:textFill>
        </w:rPr>
        <w:t>监测点位及监测因子见表3</w:t>
      </w:r>
      <w:r>
        <w:rPr>
          <w:rFonts w:eastAsia="宋体"/>
          <w:bCs/>
          <w:color w:val="000000" w:themeColor="text1"/>
          <w14:textFill>
            <w14:solidFill>
              <w14:schemeClr w14:val="tx1"/>
            </w14:solidFill>
          </w14:textFill>
        </w:rPr>
        <w:t>.4-9</w:t>
      </w:r>
      <w:r>
        <w:rPr>
          <w:rFonts w:hint="eastAsia" w:eastAsia="宋体"/>
          <w:bCs/>
          <w:color w:val="000000" w:themeColor="text1"/>
          <w14:textFill>
            <w14:solidFill>
              <w14:schemeClr w14:val="tx1"/>
            </w14:solidFill>
          </w14:textFill>
        </w:rPr>
        <w:t>。</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3.4-9  </w:t>
      </w:r>
      <w:r>
        <w:rPr>
          <w:rFonts w:hint="eastAsia" w:eastAsia="宋体"/>
          <w:b/>
          <w:bCs/>
          <w:color w:val="000000" w:themeColor="text1"/>
          <w:szCs w:val="24"/>
          <w14:textFill>
            <w14:solidFill>
              <w14:schemeClr w14:val="tx1"/>
            </w14:solidFill>
          </w14:textFill>
        </w:rPr>
        <w:t>监测点位及监测因子一览表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007"/>
        <w:gridCol w:w="4645"/>
        <w:gridCol w:w="1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编号</w:t>
            </w:r>
          </w:p>
        </w:tc>
        <w:tc>
          <w:tcPr>
            <w:tcW w:w="1086"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监测点名称</w:t>
            </w:r>
          </w:p>
        </w:tc>
        <w:tc>
          <w:tcPr>
            <w:tcW w:w="2513"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w:t>
            </w:r>
            <w:r>
              <w:rPr>
                <w:rFonts w:hint="eastAsia" w:eastAsia="宋体"/>
                <w:b/>
                <w:color w:val="000000" w:themeColor="text1"/>
                <w:sz w:val="21"/>
                <w:szCs w:val="21"/>
                <w14:textFill>
                  <w14:solidFill>
                    <w14:schemeClr w14:val="tx1"/>
                  </w14:solidFill>
                </w14:textFill>
              </w:rPr>
              <w:t>因子</w:t>
            </w:r>
          </w:p>
        </w:tc>
        <w:tc>
          <w:tcPr>
            <w:tcW w:w="995"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样品类型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TR1</w:t>
            </w:r>
          </w:p>
        </w:tc>
        <w:tc>
          <w:tcPr>
            <w:tcW w:w="108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2号地块内西侧</w:t>
            </w:r>
          </w:p>
        </w:tc>
        <w:tc>
          <w:tcPr>
            <w:tcW w:w="2513" w:type="pct"/>
            <w:vMerge w:val="restart"/>
            <w:vAlign w:val="center"/>
          </w:tcPr>
          <w:p>
            <w:pPr>
              <w:spacing w:line="240" w:lineRule="auto"/>
              <w:jc w:val="left"/>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重金属和无机物：镉、汞、铬（六价）、砷、铅、铜、镍</w:t>
            </w:r>
          </w:p>
          <w:p>
            <w:pPr>
              <w:spacing w:line="240" w:lineRule="auto"/>
              <w:jc w:val="left"/>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挥发性有机物：四氯化碳、氯甲烷、</w:t>
            </w:r>
            <w:r>
              <w:rPr>
                <w:rFonts w:eastAsia="宋体"/>
                <w:color w:val="000000" w:themeColor="text1"/>
                <w:sz w:val="21"/>
                <w:szCs w:val="21"/>
                <w14:textFill>
                  <w14:solidFill>
                    <w14:schemeClr w14:val="tx1"/>
                  </w14:solidFill>
                </w14:textFill>
              </w:rPr>
              <w:t>1,1-</w:t>
            </w:r>
            <w:r>
              <w:rPr>
                <w:rFonts w:hint="eastAsia" w:eastAsia="宋体"/>
                <w:color w:val="000000" w:themeColor="text1"/>
                <w:sz w:val="21"/>
                <w:szCs w:val="21"/>
                <w14:textFill>
                  <w14:solidFill>
                    <w14:schemeClr w14:val="tx1"/>
                  </w14:solidFill>
                </w14:textFill>
              </w:rPr>
              <w:t>二氯乙烷、</w:t>
            </w:r>
            <w:r>
              <w:rPr>
                <w:rFonts w:eastAsia="宋体"/>
                <w:color w:val="000000" w:themeColor="text1"/>
                <w:sz w:val="21"/>
                <w:szCs w:val="21"/>
                <w14:textFill>
                  <w14:solidFill>
                    <w14:schemeClr w14:val="tx1"/>
                  </w14:solidFill>
                </w14:textFill>
              </w:rPr>
              <w:t>1,2-</w:t>
            </w:r>
            <w:r>
              <w:rPr>
                <w:rFonts w:hint="eastAsia" w:eastAsia="宋体"/>
                <w:color w:val="000000" w:themeColor="text1"/>
                <w:sz w:val="21"/>
                <w:szCs w:val="21"/>
                <w14:textFill>
                  <w14:solidFill>
                    <w14:schemeClr w14:val="tx1"/>
                  </w14:solidFill>
                </w14:textFill>
              </w:rPr>
              <w:t>二氯乙烷、</w:t>
            </w:r>
            <w:r>
              <w:rPr>
                <w:rFonts w:eastAsia="宋体"/>
                <w:color w:val="000000" w:themeColor="text1"/>
                <w:sz w:val="21"/>
                <w:szCs w:val="21"/>
                <w14:textFill>
                  <w14:solidFill>
                    <w14:schemeClr w14:val="tx1"/>
                  </w14:solidFill>
                </w14:textFill>
              </w:rPr>
              <w:t>1,1-</w:t>
            </w:r>
            <w:r>
              <w:rPr>
                <w:rFonts w:hint="eastAsia" w:eastAsia="宋体"/>
                <w:color w:val="000000" w:themeColor="text1"/>
                <w:sz w:val="21"/>
                <w:szCs w:val="21"/>
                <w14:textFill>
                  <w14:solidFill>
                    <w14:schemeClr w14:val="tx1"/>
                  </w14:solidFill>
                </w14:textFill>
              </w:rPr>
              <w:t>二氯乙烯、顺</w:t>
            </w:r>
            <w:r>
              <w:rPr>
                <w:rFonts w:eastAsia="宋体"/>
                <w:color w:val="000000" w:themeColor="text1"/>
                <w:sz w:val="21"/>
                <w:szCs w:val="21"/>
                <w14:textFill>
                  <w14:solidFill>
                    <w14:schemeClr w14:val="tx1"/>
                  </w14:solidFill>
                </w14:textFill>
              </w:rPr>
              <w:t>-1,2-</w:t>
            </w:r>
            <w:r>
              <w:rPr>
                <w:rFonts w:hint="eastAsia" w:eastAsia="宋体"/>
                <w:color w:val="000000" w:themeColor="text1"/>
                <w:sz w:val="21"/>
                <w:szCs w:val="21"/>
                <w14:textFill>
                  <w14:solidFill>
                    <w14:schemeClr w14:val="tx1"/>
                  </w14:solidFill>
                </w14:textFill>
              </w:rPr>
              <w:t>二氯乙烯、反</w:t>
            </w:r>
            <w:r>
              <w:rPr>
                <w:rFonts w:eastAsia="宋体"/>
                <w:color w:val="000000" w:themeColor="text1"/>
                <w:sz w:val="21"/>
                <w:szCs w:val="21"/>
                <w14:textFill>
                  <w14:solidFill>
                    <w14:schemeClr w14:val="tx1"/>
                  </w14:solidFill>
                </w14:textFill>
              </w:rPr>
              <w:t>-1,2-</w:t>
            </w:r>
            <w:r>
              <w:rPr>
                <w:rFonts w:hint="eastAsia" w:eastAsia="宋体"/>
                <w:color w:val="000000" w:themeColor="text1"/>
                <w:sz w:val="21"/>
                <w:szCs w:val="21"/>
                <w14:textFill>
                  <w14:solidFill>
                    <w14:schemeClr w14:val="tx1"/>
                  </w14:solidFill>
                </w14:textFill>
              </w:rPr>
              <w:t>二氯乙烯、二氯甲烷、</w:t>
            </w:r>
            <w:r>
              <w:rPr>
                <w:rFonts w:eastAsia="宋体"/>
                <w:color w:val="000000" w:themeColor="text1"/>
                <w:sz w:val="21"/>
                <w:szCs w:val="21"/>
                <w14:textFill>
                  <w14:solidFill>
                    <w14:schemeClr w14:val="tx1"/>
                  </w14:solidFill>
                </w14:textFill>
              </w:rPr>
              <w:t>1,2-</w:t>
            </w:r>
            <w:r>
              <w:rPr>
                <w:rFonts w:hint="eastAsia" w:eastAsia="宋体"/>
                <w:color w:val="000000" w:themeColor="text1"/>
                <w:sz w:val="21"/>
                <w:szCs w:val="21"/>
                <w14:textFill>
                  <w14:solidFill>
                    <w14:schemeClr w14:val="tx1"/>
                  </w14:solidFill>
                </w14:textFill>
              </w:rPr>
              <w:t>二氯丙烷、</w:t>
            </w:r>
            <w:r>
              <w:rPr>
                <w:rFonts w:eastAsia="宋体"/>
                <w:color w:val="000000" w:themeColor="text1"/>
                <w:sz w:val="21"/>
                <w:szCs w:val="21"/>
                <w14:textFill>
                  <w14:solidFill>
                    <w14:schemeClr w14:val="tx1"/>
                  </w14:solidFill>
                </w14:textFill>
              </w:rPr>
              <w:t>1,1,1,2-</w:t>
            </w:r>
            <w:r>
              <w:rPr>
                <w:rFonts w:hint="eastAsia" w:eastAsia="宋体"/>
                <w:color w:val="000000" w:themeColor="text1"/>
                <w:sz w:val="21"/>
                <w:szCs w:val="21"/>
                <w14:textFill>
                  <w14:solidFill>
                    <w14:schemeClr w14:val="tx1"/>
                  </w14:solidFill>
                </w14:textFill>
              </w:rPr>
              <w:t>四氯乙烷、</w:t>
            </w:r>
            <w:r>
              <w:rPr>
                <w:rFonts w:eastAsia="宋体"/>
                <w:color w:val="000000" w:themeColor="text1"/>
                <w:sz w:val="21"/>
                <w:szCs w:val="21"/>
                <w14:textFill>
                  <w14:solidFill>
                    <w14:schemeClr w14:val="tx1"/>
                  </w14:solidFill>
                </w14:textFill>
              </w:rPr>
              <w:t>1,1,2,2-</w:t>
            </w:r>
            <w:r>
              <w:rPr>
                <w:rFonts w:hint="eastAsia" w:eastAsia="宋体"/>
                <w:color w:val="000000" w:themeColor="text1"/>
                <w:sz w:val="21"/>
                <w:szCs w:val="21"/>
                <w14:textFill>
                  <w14:solidFill>
                    <w14:schemeClr w14:val="tx1"/>
                  </w14:solidFill>
                </w14:textFill>
              </w:rPr>
              <w:t>四氯乙烷、四氯乙烯、</w:t>
            </w:r>
            <w:r>
              <w:rPr>
                <w:rFonts w:eastAsia="宋体"/>
                <w:color w:val="000000" w:themeColor="text1"/>
                <w:sz w:val="21"/>
                <w:szCs w:val="21"/>
                <w14:textFill>
                  <w14:solidFill>
                    <w14:schemeClr w14:val="tx1"/>
                  </w14:solidFill>
                </w14:textFill>
              </w:rPr>
              <w:t>1,1,1,-</w:t>
            </w:r>
            <w:r>
              <w:rPr>
                <w:rFonts w:hint="eastAsia" w:eastAsia="宋体"/>
                <w:color w:val="000000" w:themeColor="text1"/>
                <w:sz w:val="21"/>
                <w:szCs w:val="21"/>
                <w14:textFill>
                  <w14:solidFill>
                    <w14:schemeClr w14:val="tx1"/>
                  </w14:solidFill>
                </w14:textFill>
              </w:rPr>
              <w:t>三氯乙烷、</w:t>
            </w:r>
            <w:r>
              <w:rPr>
                <w:rFonts w:eastAsia="宋体"/>
                <w:color w:val="000000" w:themeColor="text1"/>
                <w:sz w:val="21"/>
                <w:szCs w:val="21"/>
                <w14:textFill>
                  <w14:solidFill>
                    <w14:schemeClr w14:val="tx1"/>
                  </w14:solidFill>
                </w14:textFill>
              </w:rPr>
              <w:t>1,1,2-</w:t>
            </w:r>
            <w:r>
              <w:rPr>
                <w:rFonts w:hint="eastAsia" w:eastAsia="宋体"/>
                <w:color w:val="000000" w:themeColor="text1"/>
                <w:sz w:val="21"/>
                <w:szCs w:val="21"/>
                <w14:textFill>
                  <w14:solidFill>
                    <w14:schemeClr w14:val="tx1"/>
                  </w14:solidFill>
                </w14:textFill>
              </w:rPr>
              <w:t>三氯乙烷、三氯乙烯、</w:t>
            </w:r>
            <w:r>
              <w:rPr>
                <w:rFonts w:eastAsia="宋体"/>
                <w:color w:val="000000" w:themeColor="text1"/>
                <w:sz w:val="21"/>
                <w:szCs w:val="21"/>
                <w14:textFill>
                  <w14:solidFill>
                    <w14:schemeClr w14:val="tx1"/>
                  </w14:solidFill>
                </w14:textFill>
              </w:rPr>
              <w:t>1,2,3-</w:t>
            </w:r>
            <w:r>
              <w:rPr>
                <w:rFonts w:hint="eastAsia" w:eastAsia="宋体"/>
                <w:color w:val="000000" w:themeColor="text1"/>
                <w:sz w:val="21"/>
                <w:szCs w:val="21"/>
                <w14:textFill>
                  <w14:solidFill>
                    <w14:schemeClr w14:val="tx1"/>
                  </w14:solidFill>
                </w14:textFill>
              </w:rPr>
              <w:t>三氯丙烷、氯乙烯、苯、氯苯、</w:t>
            </w:r>
            <w:r>
              <w:rPr>
                <w:rFonts w:eastAsia="宋体"/>
                <w:color w:val="000000" w:themeColor="text1"/>
                <w:sz w:val="21"/>
                <w:szCs w:val="21"/>
                <w14:textFill>
                  <w14:solidFill>
                    <w14:schemeClr w14:val="tx1"/>
                  </w14:solidFill>
                </w14:textFill>
              </w:rPr>
              <w:t>1,2-</w:t>
            </w:r>
            <w:r>
              <w:rPr>
                <w:rFonts w:hint="eastAsia" w:eastAsia="宋体"/>
                <w:color w:val="000000" w:themeColor="text1"/>
                <w:sz w:val="21"/>
                <w:szCs w:val="21"/>
                <w14:textFill>
                  <w14:solidFill>
                    <w14:schemeClr w14:val="tx1"/>
                  </w14:solidFill>
                </w14:textFill>
              </w:rPr>
              <w:t>二氯苯、</w:t>
            </w:r>
            <w:r>
              <w:rPr>
                <w:rFonts w:eastAsia="宋体"/>
                <w:color w:val="000000" w:themeColor="text1"/>
                <w:sz w:val="21"/>
                <w:szCs w:val="21"/>
                <w14:textFill>
                  <w14:solidFill>
                    <w14:schemeClr w14:val="tx1"/>
                  </w14:solidFill>
                </w14:textFill>
              </w:rPr>
              <w:t>1,4-</w:t>
            </w:r>
            <w:r>
              <w:rPr>
                <w:rFonts w:hint="eastAsia" w:eastAsia="宋体"/>
                <w:color w:val="000000" w:themeColor="text1"/>
                <w:sz w:val="21"/>
                <w:szCs w:val="21"/>
                <w14:textFill>
                  <w14:solidFill>
                    <w14:schemeClr w14:val="tx1"/>
                  </w14:solidFill>
                </w14:textFill>
              </w:rPr>
              <w:t>二氯苯、乙苯、苯乙烯、甲苯、间二甲苯</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对二甲苯、邻二甲苯</w:t>
            </w:r>
          </w:p>
          <w:p>
            <w:pPr>
              <w:spacing w:line="240" w:lineRule="auto"/>
              <w:jc w:val="left"/>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半挥发性有机物：硝基苯、苯胺、</w:t>
            </w:r>
            <w:r>
              <w:rPr>
                <w:rFonts w:eastAsia="宋体"/>
                <w:color w:val="000000" w:themeColor="text1"/>
                <w:sz w:val="21"/>
                <w:szCs w:val="21"/>
                <w14:textFill>
                  <w14:solidFill>
                    <w14:schemeClr w14:val="tx1"/>
                  </w14:solidFill>
                </w14:textFill>
              </w:rPr>
              <w:t>2-</w:t>
            </w:r>
            <w:r>
              <w:rPr>
                <w:rFonts w:hint="eastAsia" w:eastAsia="宋体"/>
                <w:color w:val="000000" w:themeColor="text1"/>
                <w:sz w:val="21"/>
                <w:szCs w:val="21"/>
                <w14:textFill>
                  <w14:solidFill>
                    <w14:schemeClr w14:val="tx1"/>
                  </w14:solidFill>
                </w14:textFill>
              </w:rPr>
              <w:t>氯酚、萘、苯并</w:t>
            </w:r>
            <w:r>
              <w:rPr>
                <w:rFonts w:eastAsia="宋体"/>
                <w:color w:val="000000" w:themeColor="text1"/>
                <w:sz w:val="21"/>
                <w:szCs w:val="21"/>
                <w14:textFill>
                  <w14:solidFill>
                    <w14:schemeClr w14:val="tx1"/>
                  </w14:solidFill>
                </w14:textFill>
              </w:rPr>
              <w:t>[a]</w:t>
            </w:r>
            <w:r>
              <w:rPr>
                <w:rFonts w:hint="eastAsia" w:eastAsia="宋体"/>
                <w:color w:val="000000" w:themeColor="text1"/>
                <w:sz w:val="21"/>
                <w:szCs w:val="21"/>
                <w14:textFill>
                  <w14:solidFill>
                    <w14:schemeClr w14:val="tx1"/>
                  </w14:solidFill>
                </w14:textFill>
              </w:rPr>
              <w:t>蒽、苯并</w:t>
            </w:r>
            <w:r>
              <w:rPr>
                <w:rFonts w:eastAsia="宋体"/>
                <w:color w:val="000000" w:themeColor="text1"/>
                <w:sz w:val="21"/>
                <w:szCs w:val="21"/>
                <w14:textFill>
                  <w14:solidFill>
                    <w14:schemeClr w14:val="tx1"/>
                  </w14:solidFill>
                </w14:textFill>
              </w:rPr>
              <w:t>[a]</w:t>
            </w:r>
            <w:r>
              <w:rPr>
                <w:rFonts w:hint="eastAsia" w:eastAsia="宋体"/>
                <w:color w:val="000000" w:themeColor="text1"/>
                <w:sz w:val="21"/>
                <w:szCs w:val="21"/>
                <w14:textFill>
                  <w14:solidFill>
                    <w14:schemeClr w14:val="tx1"/>
                  </w14:solidFill>
                </w14:textFill>
              </w:rPr>
              <w:t>芘、苯并</w:t>
            </w:r>
            <w:r>
              <w:rPr>
                <w:rFonts w:eastAsia="宋体"/>
                <w:color w:val="000000" w:themeColor="text1"/>
                <w:sz w:val="21"/>
                <w:szCs w:val="21"/>
                <w14:textFill>
                  <w14:solidFill>
                    <w14:schemeClr w14:val="tx1"/>
                  </w14:solidFill>
                </w14:textFill>
              </w:rPr>
              <w:t>[b]</w:t>
            </w:r>
            <w:r>
              <w:rPr>
                <w:rFonts w:hint="eastAsia" w:eastAsia="宋体"/>
                <w:color w:val="000000" w:themeColor="text1"/>
                <w:sz w:val="21"/>
                <w:szCs w:val="21"/>
                <w14:textFill>
                  <w14:solidFill>
                    <w14:schemeClr w14:val="tx1"/>
                  </w14:solidFill>
                </w14:textFill>
              </w:rPr>
              <w:t>荧蒽、苯并</w:t>
            </w:r>
            <w:r>
              <w:rPr>
                <w:rFonts w:eastAsia="宋体"/>
                <w:color w:val="000000" w:themeColor="text1"/>
                <w:sz w:val="21"/>
                <w:szCs w:val="21"/>
                <w14:textFill>
                  <w14:solidFill>
                    <w14:schemeClr w14:val="tx1"/>
                  </w14:solidFill>
                </w14:textFill>
              </w:rPr>
              <w:t>[k]</w:t>
            </w:r>
            <w:r>
              <w:rPr>
                <w:rFonts w:hint="eastAsia" w:eastAsia="宋体"/>
                <w:color w:val="000000" w:themeColor="text1"/>
                <w:sz w:val="21"/>
                <w:szCs w:val="21"/>
                <w14:textFill>
                  <w14:solidFill>
                    <w14:schemeClr w14:val="tx1"/>
                  </w14:solidFill>
                </w14:textFill>
              </w:rPr>
              <w:t>荧蒽、䓛、二苯并[a,h]蒽、茚并[1,2,3-c,d]芘</w:t>
            </w:r>
          </w:p>
          <w:p>
            <w:pPr>
              <w:spacing w:line="240" w:lineRule="auto"/>
              <w:jc w:val="left"/>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石油烃类：石油烃（C</w:t>
            </w:r>
            <w:r>
              <w:rPr>
                <w:rFonts w:eastAsia="宋体"/>
                <w:color w:val="000000" w:themeColor="text1"/>
                <w:sz w:val="21"/>
                <w:szCs w:val="21"/>
                <w:vertAlign w:val="subscript"/>
                <w14:textFill>
                  <w14:solidFill>
                    <w14:schemeClr w14:val="tx1"/>
                  </w14:solidFill>
                </w14:textFill>
              </w:rPr>
              <w:t>10</w:t>
            </w: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40</w:t>
            </w:r>
            <w:r>
              <w:rPr>
                <w:rFonts w:hint="eastAsia" w:eastAsia="宋体"/>
                <w:color w:val="000000" w:themeColor="text1"/>
                <w:sz w:val="21"/>
                <w:szCs w:val="21"/>
                <w14:textFill>
                  <w14:solidFill>
                    <w14:schemeClr w14:val="tx1"/>
                  </w14:solidFill>
                </w14:textFill>
              </w:rPr>
              <w:t>）</w:t>
            </w:r>
          </w:p>
        </w:tc>
        <w:tc>
          <w:tcPr>
            <w:tcW w:w="99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表层样（0</w:t>
            </w:r>
            <w:r>
              <w:rPr>
                <w:rFonts w:eastAsia="宋体"/>
                <w:color w:val="000000" w:themeColor="text1"/>
                <w:sz w:val="21"/>
                <w:szCs w:val="21"/>
                <w14:textFill>
                  <w14:solidFill>
                    <w14:schemeClr w14:val="tx1"/>
                  </w14:solidFill>
                </w14:textFill>
              </w:rPr>
              <w:t>~0.2</w:t>
            </w:r>
            <w:r>
              <w:rPr>
                <w:rFonts w:hint="eastAsia" w:eastAsia="宋体"/>
                <w:color w:val="000000" w:themeColor="text1"/>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TR4</w:t>
            </w:r>
          </w:p>
        </w:tc>
        <w:tc>
          <w:tcPr>
            <w:tcW w:w="1086"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2号地块内西侧</w:t>
            </w:r>
          </w:p>
        </w:tc>
        <w:tc>
          <w:tcPr>
            <w:tcW w:w="2513"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99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柱状样（</w:t>
            </w:r>
            <w:r>
              <w:rPr>
                <w:rFonts w:hint="eastAsia" w:eastAsia="宋体"/>
                <w:bCs/>
                <w:color w:val="000000" w:themeColor="text1"/>
                <w:sz w:val="21"/>
                <w:szCs w:val="21"/>
                <w14:textFill>
                  <w14:solidFill>
                    <w14:schemeClr w14:val="tx1"/>
                  </w14:solidFill>
                </w14:textFill>
              </w:rPr>
              <w:t>在0</w:t>
            </w:r>
            <w:r>
              <w:rPr>
                <w:rFonts w:eastAsia="宋体"/>
                <w:bCs/>
                <w:color w:val="000000" w:themeColor="text1"/>
                <w:sz w:val="21"/>
                <w:szCs w:val="21"/>
                <w14:textFill>
                  <w14:solidFill>
                    <w14:schemeClr w14:val="tx1"/>
                  </w14:solidFill>
                </w14:textFill>
              </w:rPr>
              <w:t>~0.5</w:t>
            </w:r>
            <w:r>
              <w:rPr>
                <w:rFonts w:hint="eastAsia" w:eastAsia="宋体"/>
                <w:bCs/>
                <w:color w:val="000000" w:themeColor="text1"/>
                <w:sz w:val="21"/>
                <w:szCs w:val="21"/>
                <w14:textFill>
                  <w14:solidFill>
                    <w14:schemeClr w14:val="tx1"/>
                  </w14:solidFill>
                </w14:textFill>
              </w:rPr>
              <w:t>m、0</w:t>
            </w:r>
            <w:r>
              <w:rPr>
                <w:rFonts w:eastAsia="宋体"/>
                <w:bCs/>
                <w:color w:val="000000" w:themeColor="text1"/>
                <w:sz w:val="21"/>
                <w:szCs w:val="21"/>
                <w14:textFill>
                  <w14:solidFill>
                    <w14:schemeClr w14:val="tx1"/>
                  </w14:solidFill>
                </w14:textFill>
              </w:rPr>
              <w:t>.5~1.5</w:t>
            </w:r>
            <w:r>
              <w:rPr>
                <w:rFonts w:hint="eastAsia" w:eastAsia="宋体"/>
                <w:bCs/>
                <w:color w:val="000000" w:themeColor="text1"/>
                <w:sz w:val="21"/>
                <w:szCs w:val="21"/>
                <w14:textFill>
                  <w14:solidFill>
                    <w14:schemeClr w14:val="tx1"/>
                  </w14:solidFill>
                </w14:textFill>
              </w:rPr>
              <w:t>m、1</w:t>
            </w:r>
            <w:r>
              <w:rPr>
                <w:rFonts w:eastAsia="宋体"/>
                <w:bCs/>
                <w:color w:val="000000" w:themeColor="text1"/>
                <w:sz w:val="21"/>
                <w:szCs w:val="21"/>
                <w14:textFill>
                  <w14:solidFill>
                    <w14:schemeClr w14:val="tx1"/>
                  </w14:solidFill>
                </w14:textFill>
              </w:rPr>
              <w:t>.5~3</w:t>
            </w:r>
            <w:r>
              <w:rPr>
                <w:rFonts w:hint="eastAsia" w:eastAsia="宋体"/>
                <w:bCs/>
                <w:color w:val="000000" w:themeColor="text1"/>
                <w:sz w:val="21"/>
                <w:szCs w:val="21"/>
                <w14:textFill>
                  <w14:solidFill>
                    <w14:schemeClr w14:val="tx1"/>
                  </w14:solidFill>
                </w14:textFill>
              </w:rPr>
              <w:t>m分别取样</w:t>
            </w: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TR5</w:t>
            </w:r>
          </w:p>
        </w:tc>
        <w:tc>
          <w:tcPr>
            <w:tcW w:w="108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513"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99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TR6</w:t>
            </w:r>
          </w:p>
        </w:tc>
        <w:tc>
          <w:tcPr>
            <w:tcW w:w="1086"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2513"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99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TR2</w:t>
            </w:r>
          </w:p>
        </w:tc>
        <w:tc>
          <w:tcPr>
            <w:tcW w:w="108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2号地块外西侧-驿新大道旁花坛</w:t>
            </w:r>
          </w:p>
        </w:tc>
        <w:tc>
          <w:tcPr>
            <w:tcW w:w="2513"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99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表层样（0</w:t>
            </w:r>
            <w:r>
              <w:rPr>
                <w:rFonts w:eastAsia="宋体"/>
                <w:color w:val="000000" w:themeColor="text1"/>
                <w:sz w:val="21"/>
                <w:szCs w:val="21"/>
                <w14:textFill>
                  <w14:solidFill>
                    <w14:schemeClr w14:val="tx1"/>
                  </w14:solidFill>
                </w14:textFill>
              </w:rPr>
              <w:t>~0.2</w:t>
            </w:r>
            <w:r>
              <w:rPr>
                <w:rFonts w:hint="eastAsia" w:eastAsia="宋体"/>
                <w:color w:val="000000" w:themeColor="text1"/>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TR3</w:t>
            </w:r>
          </w:p>
        </w:tc>
        <w:tc>
          <w:tcPr>
            <w:tcW w:w="108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2号地块外南侧-路边花坛</w:t>
            </w:r>
          </w:p>
        </w:tc>
        <w:tc>
          <w:tcPr>
            <w:tcW w:w="2513" w:type="pct"/>
            <w:vMerge w:val="continue"/>
            <w:vAlign w:val="center"/>
          </w:tcPr>
          <w:p>
            <w:pPr>
              <w:spacing w:line="240" w:lineRule="auto"/>
              <w:jc w:val="left"/>
              <w:rPr>
                <w:rFonts w:eastAsia="宋体"/>
                <w:color w:val="000000" w:themeColor="text1"/>
                <w:sz w:val="21"/>
                <w:szCs w:val="21"/>
                <w14:textFill>
                  <w14:solidFill>
                    <w14:schemeClr w14:val="tx1"/>
                  </w14:solidFill>
                </w14:textFill>
              </w:rPr>
            </w:pPr>
          </w:p>
        </w:tc>
        <w:tc>
          <w:tcPr>
            <w:tcW w:w="99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表层样（0</w:t>
            </w:r>
            <w:r>
              <w:rPr>
                <w:rFonts w:eastAsia="宋体"/>
                <w:color w:val="000000" w:themeColor="text1"/>
                <w:sz w:val="21"/>
                <w:szCs w:val="21"/>
                <w14:textFill>
                  <w14:solidFill>
                    <w14:schemeClr w14:val="tx1"/>
                  </w14:solidFill>
                </w14:textFill>
              </w:rPr>
              <w:t>~0.2</w:t>
            </w:r>
            <w:r>
              <w:rPr>
                <w:rFonts w:hint="eastAsia" w:eastAsia="宋体"/>
                <w:color w:val="000000" w:themeColor="text1"/>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T</w:t>
            </w:r>
            <w:r>
              <w:rPr>
                <w:rFonts w:eastAsia="宋体"/>
                <w:color w:val="000000" w:themeColor="text1"/>
                <w:sz w:val="21"/>
                <w:szCs w:val="21"/>
                <w14:textFill>
                  <w14:solidFill>
                    <w14:schemeClr w14:val="tx1"/>
                  </w14:solidFill>
                </w14:textFill>
              </w:rPr>
              <w:t>20</w:t>
            </w:r>
          </w:p>
        </w:tc>
        <w:tc>
          <w:tcPr>
            <w:tcW w:w="108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园区东侧</w:t>
            </w:r>
          </w:p>
        </w:tc>
        <w:tc>
          <w:tcPr>
            <w:tcW w:w="2513" w:type="pct"/>
            <w:vAlign w:val="center"/>
          </w:tcPr>
          <w:p>
            <w:pPr>
              <w:spacing w:line="240" w:lineRule="auto"/>
              <w:jc w:val="left"/>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H</w:t>
            </w:r>
            <w:r>
              <w:rPr>
                <w:rFonts w:hint="eastAsia" w:eastAsia="宋体"/>
                <w:color w:val="000000" w:themeColor="text1"/>
                <w:sz w:val="21"/>
                <w:szCs w:val="21"/>
                <w14:textFill>
                  <w14:solidFill>
                    <w14:schemeClr w14:val="tx1"/>
                  </w14:solidFill>
                </w14:textFill>
              </w:rPr>
              <w:t>、阳离子交换量、氧化还原电位、饱和导水率、土壤容重、孔隙度</w:t>
            </w:r>
          </w:p>
        </w:tc>
        <w:tc>
          <w:tcPr>
            <w:tcW w:w="99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表层样（0</w:t>
            </w:r>
            <w:r>
              <w:rPr>
                <w:rFonts w:eastAsia="宋体"/>
                <w:color w:val="000000" w:themeColor="text1"/>
                <w:sz w:val="21"/>
                <w:szCs w:val="21"/>
                <w14:textFill>
                  <w14:solidFill>
                    <w14:schemeClr w14:val="tx1"/>
                  </w14:solidFill>
                </w14:textFill>
              </w:rPr>
              <w:t>~0.2</w:t>
            </w:r>
            <w:r>
              <w:rPr>
                <w:rFonts w:hint="eastAsia" w:eastAsia="宋体"/>
                <w:color w:val="000000" w:themeColor="text1"/>
                <w:sz w:val="21"/>
                <w:szCs w:val="21"/>
                <w14:textFill>
                  <w14:solidFill>
                    <w14:schemeClr w14:val="tx1"/>
                  </w14:solidFill>
                </w14:textFill>
              </w:rPr>
              <w:t>m）</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（3）监测时间及监测频次</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2023年12月5日，监测1天，采样1次。</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（4）评价标准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执行《土壤环境质量 建设用地土壤污染风险管控标准（试行）》（GB 36600-2018）中第二类用地筛选值。</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（4）评价方法</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采用环境质量指数法。土壤中某污染物的单一指数计算式为：</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Ii=Ci/Si</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式中：Ii—为土壤中i污染物的污染指数；</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Ci—为土壤中i污染物的实测含量，mg/kg；</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Si—为土壤中i污染物的环境质量标准</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背景值</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，mg/kg。</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（5）监测结果</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表3.4</w:t>
      </w:r>
      <w:r>
        <w:rPr>
          <w:rFonts w:hint="eastAsia" w:ascii="Times New Roman" w:hAnsi="Times New Roman" w:eastAsia="宋体"/>
          <w:b/>
          <w:color w:val="000000" w:themeColor="text1"/>
          <w:szCs w:val="24"/>
          <w14:textFill>
            <w14:solidFill>
              <w14:schemeClr w14:val="tx1"/>
            </w14:solidFill>
          </w14:textFill>
        </w:rPr>
        <w:t>-</w:t>
      </w:r>
      <w:r>
        <w:rPr>
          <w:rFonts w:ascii="Times New Roman" w:hAnsi="Times New Roman" w:eastAsia="宋体"/>
          <w:b/>
          <w:color w:val="000000" w:themeColor="text1"/>
          <w:szCs w:val="24"/>
          <w14:textFill>
            <w14:solidFill>
              <w14:schemeClr w14:val="tx1"/>
            </w14:solidFill>
          </w14:textFill>
        </w:rPr>
        <w:t xml:space="preserve">10  </w:t>
      </w:r>
      <w:r>
        <w:rPr>
          <w:rFonts w:hint="eastAsia" w:ascii="Times New Roman" w:hAnsi="Times New Roman" w:eastAsia="宋体"/>
          <w:b/>
          <w:color w:val="000000" w:themeColor="text1"/>
          <w:szCs w:val="24"/>
          <w14:textFill>
            <w14:solidFill>
              <w14:schemeClr w14:val="tx1"/>
            </w14:solidFill>
          </w14:textFill>
        </w:rPr>
        <w:t>土壤理化性质一览表</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855"/>
        <w:gridCol w:w="1786"/>
        <w:gridCol w:w="1320"/>
        <w:gridCol w:w="1322"/>
        <w:gridCol w:w="1322"/>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35"/>
              <w:spacing w:line="240" w:lineRule="auto"/>
              <w:ind w:firstLine="0" w:firstLineChars="0"/>
              <w:jc w:val="center"/>
              <w:rPr>
                <w:rFonts w:cs="Calibri"/>
                <w:b/>
                <w:sz w:val="21"/>
                <w:szCs w:val="21"/>
              </w:rPr>
            </w:pPr>
            <w:r>
              <w:rPr>
                <w:rFonts w:hint="eastAsia" w:cs="Calibri"/>
                <w:b/>
                <w:sz w:val="21"/>
                <w:szCs w:val="21"/>
              </w:rPr>
              <w:t>监测点</w:t>
            </w:r>
          </w:p>
        </w:tc>
        <w:tc>
          <w:tcPr>
            <w:tcW w:w="463" w:type="pct"/>
            <w:vAlign w:val="center"/>
          </w:tcPr>
          <w:p>
            <w:pPr>
              <w:pStyle w:val="35"/>
              <w:spacing w:line="240" w:lineRule="auto"/>
              <w:ind w:firstLine="0" w:firstLineChars="0"/>
              <w:jc w:val="center"/>
              <w:rPr>
                <w:rFonts w:cs="Calibri"/>
                <w:b/>
                <w:sz w:val="21"/>
                <w:szCs w:val="21"/>
              </w:rPr>
            </w:pPr>
            <w:r>
              <w:rPr>
                <w:rFonts w:hint="eastAsia" w:cs="Calibri"/>
                <w:b/>
                <w:sz w:val="21"/>
                <w:szCs w:val="21"/>
              </w:rPr>
              <w:t>p</w:t>
            </w:r>
            <w:r>
              <w:rPr>
                <w:rFonts w:cs="Calibri"/>
                <w:b/>
                <w:sz w:val="21"/>
                <w:szCs w:val="21"/>
              </w:rPr>
              <w:t>H</w:t>
            </w:r>
          </w:p>
        </w:tc>
        <w:tc>
          <w:tcPr>
            <w:tcW w:w="966" w:type="pct"/>
            <w:vAlign w:val="center"/>
          </w:tcPr>
          <w:p>
            <w:pPr>
              <w:pStyle w:val="35"/>
              <w:spacing w:line="240" w:lineRule="auto"/>
              <w:ind w:firstLine="0" w:firstLineChars="0"/>
              <w:jc w:val="center"/>
              <w:rPr>
                <w:rFonts w:cs="Calibri"/>
                <w:b/>
                <w:sz w:val="21"/>
                <w:szCs w:val="21"/>
              </w:rPr>
            </w:pPr>
            <w:r>
              <w:rPr>
                <w:rFonts w:hint="eastAsia" w:cs="Calibri"/>
                <w:b/>
                <w:sz w:val="21"/>
                <w:szCs w:val="21"/>
              </w:rPr>
              <w:t>阳离子交换量/</w:t>
            </w:r>
            <w:r>
              <w:rPr>
                <w:rFonts w:cs="Calibri"/>
                <w:b/>
                <w:sz w:val="21"/>
                <w:szCs w:val="21"/>
              </w:rPr>
              <w:t>C</w:t>
            </w:r>
            <w:r>
              <w:rPr>
                <w:rFonts w:hint="eastAsia" w:cs="Calibri"/>
                <w:b/>
                <w:sz w:val="21"/>
                <w:szCs w:val="21"/>
              </w:rPr>
              <w:t>mol</w:t>
            </w:r>
            <w:r>
              <w:rPr>
                <w:rFonts w:cs="Calibri"/>
                <w:b/>
                <w:sz w:val="21"/>
                <w:szCs w:val="21"/>
                <w:vertAlign w:val="superscript"/>
              </w:rPr>
              <w:t>+</w:t>
            </w:r>
            <w:r>
              <w:rPr>
                <w:rFonts w:cs="Calibri"/>
                <w:b/>
                <w:sz w:val="21"/>
                <w:szCs w:val="21"/>
              </w:rPr>
              <w:t>/</w:t>
            </w:r>
            <w:r>
              <w:rPr>
                <w:rFonts w:hint="eastAsia" w:cs="Calibri"/>
                <w:b/>
                <w:sz w:val="21"/>
                <w:szCs w:val="21"/>
              </w:rPr>
              <w:t>kg</w:t>
            </w:r>
          </w:p>
        </w:tc>
        <w:tc>
          <w:tcPr>
            <w:tcW w:w="714" w:type="pct"/>
            <w:vAlign w:val="center"/>
          </w:tcPr>
          <w:p>
            <w:pPr>
              <w:pStyle w:val="35"/>
              <w:spacing w:line="240" w:lineRule="auto"/>
              <w:ind w:firstLine="0" w:firstLineChars="0"/>
              <w:jc w:val="center"/>
              <w:rPr>
                <w:rFonts w:cs="Calibri"/>
                <w:b/>
                <w:sz w:val="21"/>
                <w:szCs w:val="21"/>
              </w:rPr>
            </w:pPr>
            <w:r>
              <w:rPr>
                <w:rFonts w:hint="eastAsia" w:cs="Calibri"/>
                <w:b/>
                <w:sz w:val="21"/>
                <w:szCs w:val="21"/>
              </w:rPr>
              <w:t>氧化还原电位/m</w:t>
            </w:r>
            <w:r>
              <w:rPr>
                <w:rFonts w:cs="Calibri"/>
                <w:b/>
                <w:sz w:val="21"/>
                <w:szCs w:val="21"/>
              </w:rPr>
              <w:t>V</w:t>
            </w:r>
          </w:p>
        </w:tc>
        <w:tc>
          <w:tcPr>
            <w:tcW w:w="715" w:type="pct"/>
            <w:vAlign w:val="center"/>
          </w:tcPr>
          <w:p>
            <w:pPr>
              <w:pStyle w:val="35"/>
              <w:spacing w:line="240" w:lineRule="auto"/>
              <w:ind w:firstLine="0" w:firstLineChars="0"/>
              <w:jc w:val="center"/>
              <w:rPr>
                <w:rFonts w:cs="Calibri"/>
                <w:b/>
                <w:sz w:val="21"/>
                <w:szCs w:val="21"/>
              </w:rPr>
            </w:pPr>
            <w:r>
              <w:rPr>
                <w:rFonts w:hint="eastAsia" w:cs="Calibri"/>
                <w:b/>
                <w:sz w:val="21"/>
                <w:szCs w:val="21"/>
              </w:rPr>
              <w:t>饱和导水率/cm</w:t>
            </w:r>
            <w:r>
              <w:rPr>
                <w:rFonts w:cs="Calibri"/>
                <w:b/>
                <w:sz w:val="21"/>
                <w:szCs w:val="21"/>
              </w:rPr>
              <w:t>/</w:t>
            </w:r>
            <w:r>
              <w:rPr>
                <w:rFonts w:hint="eastAsia" w:cs="Calibri"/>
                <w:b/>
                <w:sz w:val="21"/>
                <w:szCs w:val="21"/>
              </w:rPr>
              <w:t>s</w:t>
            </w:r>
          </w:p>
        </w:tc>
        <w:tc>
          <w:tcPr>
            <w:tcW w:w="715" w:type="pct"/>
            <w:vAlign w:val="center"/>
          </w:tcPr>
          <w:p>
            <w:pPr>
              <w:pStyle w:val="35"/>
              <w:spacing w:line="240" w:lineRule="auto"/>
              <w:ind w:firstLine="0" w:firstLineChars="0"/>
              <w:jc w:val="center"/>
              <w:rPr>
                <w:rFonts w:cs="Calibri"/>
                <w:b/>
                <w:sz w:val="21"/>
                <w:szCs w:val="21"/>
              </w:rPr>
            </w:pPr>
            <w:r>
              <w:rPr>
                <w:rFonts w:hint="eastAsia" w:cs="Calibri"/>
                <w:b/>
                <w:sz w:val="21"/>
                <w:szCs w:val="21"/>
              </w:rPr>
              <w:t>土壤容重/kg</w:t>
            </w:r>
            <w:r>
              <w:rPr>
                <w:rFonts w:cs="Calibri"/>
                <w:b/>
                <w:sz w:val="21"/>
                <w:szCs w:val="21"/>
              </w:rPr>
              <w:t>/</w:t>
            </w:r>
            <w:r>
              <w:rPr>
                <w:rFonts w:hint="eastAsia" w:cs="Calibri"/>
                <w:b/>
                <w:sz w:val="21"/>
                <w:szCs w:val="21"/>
              </w:rPr>
              <w:t>m</w:t>
            </w:r>
            <w:r>
              <w:rPr>
                <w:rFonts w:cs="Calibri"/>
                <w:b/>
                <w:sz w:val="21"/>
                <w:szCs w:val="21"/>
                <w:vertAlign w:val="superscript"/>
              </w:rPr>
              <w:t>3</w:t>
            </w:r>
          </w:p>
        </w:tc>
        <w:tc>
          <w:tcPr>
            <w:tcW w:w="714" w:type="pct"/>
            <w:vAlign w:val="center"/>
          </w:tcPr>
          <w:p>
            <w:pPr>
              <w:pStyle w:val="35"/>
              <w:spacing w:line="240" w:lineRule="auto"/>
              <w:ind w:firstLine="0" w:firstLineChars="0"/>
              <w:jc w:val="center"/>
              <w:rPr>
                <w:rFonts w:cs="Calibri"/>
                <w:b/>
                <w:sz w:val="21"/>
                <w:szCs w:val="21"/>
              </w:rPr>
            </w:pPr>
            <w:r>
              <w:rPr>
                <w:rFonts w:hint="eastAsia" w:cs="Calibri"/>
                <w:b/>
                <w:sz w:val="21"/>
                <w:szCs w:val="21"/>
              </w:rPr>
              <w:t>孔隙度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35"/>
              <w:spacing w:line="240" w:lineRule="auto"/>
              <w:ind w:firstLine="0" w:firstLineChars="0"/>
              <w:jc w:val="center"/>
              <w:rPr>
                <w:rFonts w:cs="Calibri"/>
                <w:sz w:val="21"/>
                <w:szCs w:val="21"/>
              </w:rPr>
            </w:pPr>
            <w:r>
              <w:rPr>
                <w:rFonts w:hint="eastAsia" w:cs="Calibri"/>
                <w:sz w:val="21"/>
                <w:szCs w:val="21"/>
              </w:rPr>
              <w:t>T</w:t>
            </w:r>
            <w:r>
              <w:rPr>
                <w:rFonts w:cs="Calibri"/>
                <w:sz w:val="21"/>
                <w:szCs w:val="21"/>
              </w:rPr>
              <w:t>20</w:t>
            </w:r>
          </w:p>
        </w:tc>
        <w:tc>
          <w:tcPr>
            <w:tcW w:w="463" w:type="pct"/>
            <w:vAlign w:val="center"/>
          </w:tcPr>
          <w:p>
            <w:pPr>
              <w:pStyle w:val="35"/>
              <w:spacing w:line="240" w:lineRule="auto"/>
              <w:ind w:firstLine="0" w:firstLineChars="0"/>
              <w:jc w:val="center"/>
              <w:rPr>
                <w:rFonts w:cs="Calibri"/>
                <w:sz w:val="21"/>
                <w:szCs w:val="21"/>
              </w:rPr>
            </w:pPr>
            <w:r>
              <w:rPr>
                <w:rFonts w:hint="eastAsia" w:cs="Calibri"/>
                <w:sz w:val="21"/>
                <w:szCs w:val="21"/>
              </w:rPr>
              <w:t>8</w:t>
            </w:r>
            <w:r>
              <w:rPr>
                <w:rFonts w:cs="Calibri"/>
                <w:sz w:val="21"/>
                <w:szCs w:val="21"/>
              </w:rPr>
              <w:t>.05</w:t>
            </w:r>
          </w:p>
        </w:tc>
        <w:tc>
          <w:tcPr>
            <w:tcW w:w="966" w:type="pct"/>
            <w:vAlign w:val="center"/>
          </w:tcPr>
          <w:p>
            <w:pPr>
              <w:pStyle w:val="35"/>
              <w:spacing w:line="240" w:lineRule="auto"/>
              <w:ind w:firstLine="0" w:firstLineChars="0"/>
              <w:jc w:val="center"/>
              <w:rPr>
                <w:rFonts w:cs="Calibri"/>
                <w:sz w:val="21"/>
                <w:szCs w:val="21"/>
              </w:rPr>
            </w:pPr>
            <w:r>
              <w:rPr>
                <w:rFonts w:hint="eastAsia" w:cs="Calibri"/>
                <w:sz w:val="21"/>
                <w:szCs w:val="21"/>
              </w:rPr>
              <w:t>4</w:t>
            </w:r>
            <w:r>
              <w:rPr>
                <w:rFonts w:cs="Calibri"/>
                <w:sz w:val="21"/>
                <w:szCs w:val="21"/>
              </w:rPr>
              <w:t>.8</w:t>
            </w:r>
          </w:p>
        </w:tc>
        <w:tc>
          <w:tcPr>
            <w:tcW w:w="714" w:type="pct"/>
            <w:vAlign w:val="center"/>
          </w:tcPr>
          <w:p>
            <w:pPr>
              <w:pStyle w:val="35"/>
              <w:spacing w:line="240" w:lineRule="auto"/>
              <w:ind w:firstLine="0" w:firstLineChars="0"/>
              <w:jc w:val="center"/>
              <w:rPr>
                <w:rFonts w:cs="Calibri"/>
                <w:sz w:val="21"/>
                <w:szCs w:val="21"/>
              </w:rPr>
            </w:pPr>
            <w:r>
              <w:rPr>
                <w:rFonts w:hint="eastAsia" w:cs="Calibri"/>
                <w:sz w:val="21"/>
                <w:szCs w:val="21"/>
              </w:rPr>
              <w:t>6</w:t>
            </w:r>
            <w:r>
              <w:rPr>
                <w:rFonts w:cs="Calibri"/>
                <w:sz w:val="21"/>
                <w:szCs w:val="21"/>
              </w:rPr>
              <w:t>74</w:t>
            </w:r>
          </w:p>
        </w:tc>
        <w:tc>
          <w:tcPr>
            <w:tcW w:w="715" w:type="pct"/>
            <w:vAlign w:val="center"/>
          </w:tcPr>
          <w:p>
            <w:pPr>
              <w:pStyle w:val="35"/>
              <w:spacing w:line="240" w:lineRule="auto"/>
              <w:ind w:firstLine="0" w:firstLineChars="0"/>
              <w:jc w:val="center"/>
              <w:rPr>
                <w:rFonts w:cs="Calibri"/>
                <w:sz w:val="21"/>
                <w:szCs w:val="21"/>
              </w:rPr>
            </w:pPr>
            <w:r>
              <w:rPr>
                <w:rFonts w:hint="eastAsia" w:cs="Calibri"/>
                <w:sz w:val="21"/>
                <w:szCs w:val="21"/>
              </w:rPr>
              <w:t>0</w:t>
            </w:r>
            <w:r>
              <w:rPr>
                <w:rFonts w:cs="Calibri"/>
                <w:sz w:val="21"/>
                <w:szCs w:val="21"/>
              </w:rPr>
              <w:t>.0051</w:t>
            </w:r>
          </w:p>
        </w:tc>
        <w:tc>
          <w:tcPr>
            <w:tcW w:w="715" w:type="pct"/>
            <w:vAlign w:val="center"/>
          </w:tcPr>
          <w:p>
            <w:pPr>
              <w:pStyle w:val="35"/>
              <w:spacing w:line="240" w:lineRule="auto"/>
              <w:ind w:firstLine="0" w:firstLineChars="0"/>
              <w:jc w:val="center"/>
              <w:rPr>
                <w:rFonts w:cs="Calibri"/>
                <w:sz w:val="21"/>
                <w:szCs w:val="21"/>
              </w:rPr>
            </w:pPr>
            <w:r>
              <w:rPr>
                <w:rFonts w:hint="eastAsia" w:cs="Calibri"/>
                <w:sz w:val="21"/>
                <w:szCs w:val="21"/>
              </w:rPr>
              <w:t>1</w:t>
            </w:r>
            <w:r>
              <w:rPr>
                <w:rFonts w:cs="Calibri"/>
                <w:sz w:val="21"/>
                <w:szCs w:val="21"/>
              </w:rPr>
              <w:t>.61</w:t>
            </w:r>
          </w:p>
        </w:tc>
        <w:tc>
          <w:tcPr>
            <w:tcW w:w="714" w:type="pct"/>
            <w:vAlign w:val="center"/>
          </w:tcPr>
          <w:p>
            <w:pPr>
              <w:pStyle w:val="35"/>
              <w:spacing w:line="240" w:lineRule="auto"/>
              <w:ind w:firstLine="0" w:firstLineChars="0"/>
              <w:jc w:val="center"/>
              <w:rPr>
                <w:rFonts w:cs="Calibri"/>
                <w:sz w:val="21"/>
                <w:szCs w:val="21"/>
              </w:rPr>
            </w:pPr>
            <w:r>
              <w:rPr>
                <w:rFonts w:hint="eastAsia" w:cs="Calibri"/>
                <w:sz w:val="21"/>
                <w:szCs w:val="21"/>
              </w:rPr>
              <w:t>6</w:t>
            </w:r>
            <w:r>
              <w:rPr>
                <w:rFonts w:cs="Calibri"/>
                <w:sz w:val="21"/>
                <w:szCs w:val="21"/>
              </w:rPr>
              <w:t>6.5</w:t>
            </w:r>
          </w:p>
        </w:tc>
      </w:tr>
    </w:tbl>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表3.</w:t>
      </w:r>
      <w:r>
        <w:rPr>
          <w:rFonts w:ascii="Times New Roman" w:hAnsi="Times New Roman" w:eastAsia="宋体"/>
          <w:b/>
          <w:color w:val="000000" w:themeColor="text1"/>
          <w:szCs w:val="24"/>
          <w14:textFill>
            <w14:solidFill>
              <w14:schemeClr w14:val="tx1"/>
            </w14:solidFill>
          </w14:textFill>
        </w:rPr>
        <w:t xml:space="preserve">4-11  土壤质量现状监测结果一览表  单位：mg/kg </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111"/>
        <w:gridCol w:w="1560"/>
        <w:gridCol w:w="1275"/>
        <w:gridCol w:w="1139"/>
        <w:gridCol w:w="1218"/>
        <w:gridCol w:w="1238"/>
        <w:gridCol w:w="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Merge w:val="restar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序号</w:t>
            </w:r>
          </w:p>
        </w:tc>
        <w:tc>
          <w:tcPr>
            <w:tcW w:w="1142" w:type="pct"/>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污染物项目</w:t>
            </w:r>
          </w:p>
        </w:tc>
        <w:tc>
          <w:tcPr>
            <w:tcW w:w="2150" w:type="pct"/>
            <w:gridSpan w:val="3"/>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监测值</w:t>
            </w:r>
          </w:p>
        </w:tc>
        <w:tc>
          <w:tcPr>
            <w:tcW w:w="659" w:type="pct"/>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第二类用地筛选值</w:t>
            </w:r>
          </w:p>
        </w:tc>
        <w:tc>
          <w:tcPr>
            <w:tcW w:w="677" w:type="pct"/>
            <w:gridSpan w:val="2"/>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Sij值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14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84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TR1</w:t>
            </w:r>
          </w:p>
        </w:tc>
        <w:tc>
          <w:tcPr>
            <w:tcW w:w="690"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TR2</w:t>
            </w:r>
          </w:p>
        </w:tc>
        <w:tc>
          <w:tcPr>
            <w:tcW w:w="616"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TR3</w:t>
            </w:r>
          </w:p>
        </w:tc>
        <w:tc>
          <w:tcPr>
            <w:tcW w:w="6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677" w:type="pct"/>
            <w:gridSpan w:val="2"/>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砷</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.08</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.27</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.16</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镉</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.17</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.28</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.40</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铜</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2</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3</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7</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18000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铅</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8</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汞</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.036</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.065</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.124</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镍</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8</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六价铬</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5.7</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四氯化碳</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氯仿</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0.9</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1,1-二氯乙烷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顺-1,2-二氯乙烯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反-1,2-二氯乙烯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二氯甲烷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616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1,1,1,2-四氯乙烷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1,1,2,2-四氯乙烷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四氯乙烯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1,1,1-三氯乙烷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1,1,2-三氯乙烷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三氯乙烯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1,2,3-三氯丙烷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1,4-二氯苯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乙苯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间二甲苯+对二甲苯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邻二甲苯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640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氯甲烷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20" w:hRule="atLeast"/>
        </w:trPr>
        <w:tc>
          <w:tcPr>
            <w:tcW w:w="4993" w:type="pct"/>
            <w:gridSpan w:val="7"/>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硝基苯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苯胺</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2-氯酚</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2256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    苯并（a）蒽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苯并（a）芘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苯并（b）荧蒽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苯并（k）荧蒽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151</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䓛</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 苯并（a,h）蒽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茚并</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1,2,3-c,d）芘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石油烃（C</w:t>
            </w:r>
            <w:r>
              <w:rPr>
                <w:rFonts w:eastAsia="宋体"/>
                <w:color w:val="000000" w:themeColor="text1"/>
                <w:sz w:val="21"/>
                <w:szCs w:val="21"/>
                <w:vertAlign w:val="subscript"/>
                <w14:textFill>
                  <w14:solidFill>
                    <w14:schemeClr w14:val="tx1"/>
                  </w14:solidFill>
                </w14:textFill>
              </w:rPr>
              <w:t>10</w:t>
            </w: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40</w:t>
            </w:r>
            <w:r>
              <w:rPr>
                <w:rFonts w:eastAsia="宋体"/>
                <w:color w:val="000000" w:themeColor="text1"/>
                <w:sz w:val="21"/>
                <w:szCs w:val="21"/>
                <w14:textFill>
                  <w14:solidFill>
                    <w14:schemeClr w14:val="tx1"/>
                  </w14:solidFill>
                </w14:textFill>
              </w:rPr>
              <w:t>）</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w:t>
            </w:r>
            <w:r>
              <w:rPr>
                <w:rFonts w:eastAsia="宋体"/>
                <w:color w:val="000000" w:themeColor="text1"/>
                <w:sz w:val="21"/>
                <w:szCs w:val="21"/>
                <w14:textFill>
                  <w14:solidFill>
                    <w14:schemeClr w14:val="tx1"/>
                  </w14:solidFill>
                </w14:textFill>
              </w:rPr>
              <w:t>7</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2</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7</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Merge w:val="restart"/>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序号</w:t>
            </w:r>
          </w:p>
        </w:tc>
        <w:tc>
          <w:tcPr>
            <w:tcW w:w="1142" w:type="pct"/>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污染物项目</w:t>
            </w:r>
          </w:p>
        </w:tc>
        <w:tc>
          <w:tcPr>
            <w:tcW w:w="2150" w:type="pct"/>
            <w:gridSpan w:val="3"/>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监测值</w:t>
            </w:r>
          </w:p>
        </w:tc>
        <w:tc>
          <w:tcPr>
            <w:tcW w:w="659" w:type="pct"/>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第二类用地筛选值</w:t>
            </w:r>
          </w:p>
        </w:tc>
        <w:tc>
          <w:tcPr>
            <w:tcW w:w="677" w:type="pct"/>
            <w:gridSpan w:val="2"/>
            <w:vMerge w:val="restar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Sij值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142"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844"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TR4</w:t>
            </w:r>
          </w:p>
        </w:tc>
        <w:tc>
          <w:tcPr>
            <w:tcW w:w="690"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TR5</w:t>
            </w:r>
          </w:p>
        </w:tc>
        <w:tc>
          <w:tcPr>
            <w:tcW w:w="616" w:type="pct"/>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TR6</w:t>
            </w:r>
          </w:p>
        </w:tc>
        <w:tc>
          <w:tcPr>
            <w:tcW w:w="659"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677" w:type="pct"/>
            <w:gridSpan w:val="2"/>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砷</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.72</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.59</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.21</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镉</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.39</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.22</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铜</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1</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3</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18000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铅</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7</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3</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汞</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.046</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.030</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.018</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镍</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4</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2</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六价铬</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5.7</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8"/>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四氯化碳</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氯仿</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0.9</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1,1-二氯乙烷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顺-1,2-二氯乙烯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反-1,2-二氯乙烯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二氯甲烷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616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1,1,1,2-四氯乙烷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1,1,2,2-四氯乙烷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四氯乙烯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1,1,1-三氯乙烷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1,1,2-三氯乙烷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三氯乙烯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1,2,3-三氯丙烷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0.43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1,2-二氯苯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1,4-二氯苯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乙苯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苯乙烯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间二甲苯+对二甲苯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邻二甲苯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640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氯甲烷</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20" w:hRule="atLeast"/>
        </w:trPr>
        <w:tc>
          <w:tcPr>
            <w:tcW w:w="4993" w:type="pct"/>
            <w:gridSpan w:val="7"/>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硝基苯</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苯胺</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2-氯酚</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2256</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苯并（a）蒽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42</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苯并（a）芘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43</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苯并（b）荧蒽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44</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苯并（k）荧蒽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151</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䓛</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1293</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46</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 苯并（a,h）蒽</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47</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茚并</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1,2,3-c,d）芘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萘</w:t>
            </w:r>
          </w:p>
        </w:tc>
        <w:tc>
          <w:tcPr>
            <w:tcW w:w="844"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90"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16" w:type="pct"/>
          </w:tcPr>
          <w:p>
            <w:pPr>
              <w:spacing w:line="240" w:lineRule="auto"/>
              <w:jc w:val="center"/>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D</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49</w:t>
            </w:r>
          </w:p>
        </w:tc>
        <w:tc>
          <w:tcPr>
            <w:tcW w:w="114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石油烃（C</w:t>
            </w:r>
            <w:r>
              <w:rPr>
                <w:rFonts w:eastAsia="宋体"/>
                <w:color w:val="000000" w:themeColor="text1"/>
                <w:sz w:val="21"/>
                <w:szCs w:val="21"/>
                <w:vertAlign w:val="subscript"/>
                <w14:textFill>
                  <w14:solidFill>
                    <w14:schemeClr w14:val="tx1"/>
                  </w14:solidFill>
                </w14:textFill>
              </w:rPr>
              <w:t>10</w:t>
            </w: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40</w:t>
            </w:r>
            <w:r>
              <w:rPr>
                <w:rFonts w:eastAsia="宋体"/>
                <w:color w:val="000000" w:themeColor="text1"/>
                <w:sz w:val="21"/>
                <w:szCs w:val="21"/>
                <w14:textFill>
                  <w14:solidFill>
                    <w14:schemeClr w14:val="tx1"/>
                  </w14:solidFill>
                </w14:textFill>
              </w:rPr>
              <w:t>）</w:t>
            </w:r>
          </w:p>
        </w:tc>
        <w:tc>
          <w:tcPr>
            <w:tcW w:w="84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5</w:t>
            </w:r>
          </w:p>
        </w:tc>
        <w:tc>
          <w:tcPr>
            <w:tcW w:w="69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p>
        </w:tc>
        <w:tc>
          <w:tcPr>
            <w:tcW w:w="61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p>
        </w:tc>
        <w:tc>
          <w:tcPr>
            <w:tcW w:w="65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4500</w:t>
            </w:r>
          </w:p>
        </w:tc>
        <w:tc>
          <w:tcPr>
            <w:tcW w:w="677" w:type="pct"/>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r>
    </w:tbl>
    <w:p>
      <w:pPr>
        <w:ind w:firstLine="48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注：N</w:t>
      </w:r>
      <w:r>
        <w:rPr>
          <w:rFonts w:eastAsia="宋体"/>
          <w:color w:val="000000" w:themeColor="text1"/>
          <w:sz w:val="21"/>
          <w:szCs w:val="21"/>
          <w14:textFill>
            <w14:solidFill>
              <w14:schemeClr w14:val="tx1"/>
            </w14:solidFill>
          </w14:textFill>
        </w:rPr>
        <w:t>D</w:t>
      </w:r>
      <w:r>
        <w:rPr>
          <w:rFonts w:hint="eastAsia" w:eastAsia="宋体"/>
          <w:color w:val="000000" w:themeColor="text1"/>
          <w:sz w:val="21"/>
          <w:szCs w:val="21"/>
          <w14:textFill>
            <w14:solidFill>
              <w14:schemeClr w14:val="tx1"/>
            </w14:solidFill>
          </w14:textFill>
        </w:rPr>
        <w:t>表示未检出。</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根据上述结果，项目各监测点的监测因子均能满足《土壤环境质量 建设用地土壤污染风险管控标准（试行）》（GB 36600-2018）中第二类用地筛选值。</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3.4.6生态现状</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本项目1号地块在现有标准厂房内进行，2号地块在园区工业用地内进行，项目周边无自然保护区，无国家重点保护的珍稀或濒危动植物，无市、区级文物保护单位。</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本项目所在区域目前属于典型的城市生态系统，是人及周边人工环境组成的生态系统，具有生态系统的一般自然属性，还具有社会经济活动的社会属性。</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3.4.7小结</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项目所在的大足区PM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、SO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、NO</w:t>
      </w:r>
      <w:r>
        <w:rPr>
          <w:rFonts w:eastAsia="宋体"/>
          <w:color w:val="000000" w:themeColor="text1"/>
          <w:szCs w:val="24"/>
          <w:vertAlign w:val="subscript"/>
          <w14:textFill>
            <w14:solidFill>
              <w14:schemeClr w14:val="tx1"/>
            </w14:solidFill>
          </w14:textFill>
        </w:rPr>
        <w:t>2</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、O</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和CO满足《环境空气质量标准》（GB 3095-2012）中的二级标准限值，该区域为达标区。引用监测中非甲烷总烃满足《环境空气质量 非甲烷总烃限值》（DB 13/1577-2012）中二级标准要求；甲苯、二甲苯满足《环境影响评价技术导则 大气环境》（HJ 2.2-2018）中附录D浓度限值要求。苦水河监测断面满足《地表水环境质量标准》（GB 3838—2002）IV类水域水质标准要求，项目所在区水质状况良好。声环境质量现状能够满足《声环境质量标准》（GB 3096-2008）3类区、4a类区标准。地下水环境质量现状检测指标均满足《地下水质量标准》（GB/T 14848-2017）Ⅲ类标准的要求。土壤环境质量现状监测点满足《土壤环境质量 建设用地土壤污染风险管控标准（试行）》（GB 36600-2018）中第二类用地筛选值。区域生态环境现状为城市生态系统，周边无自然保护区等。</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综上所述，环境质量现状不会对项目的建设构成环境制约因素。</w:t>
      </w:r>
    </w:p>
    <w:p>
      <w:pPr>
        <w:ind w:firstLine="480"/>
        <w:rPr>
          <w:rFonts w:eastAsia="宋体"/>
          <w:color w:val="000000" w:themeColor="text1"/>
          <w14:textFill>
            <w14:solidFill>
              <w14:schemeClr w14:val="tx1"/>
            </w14:solidFill>
          </w14:textFill>
        </w:rPr>
        <w:sectPr>
          <w:headerReference r:id="rId13" w:type="default"/>
          <w:pgSz w:w="11906" w:h="16838"/>
          <w:pgMar w:top="1276" w:right="1440" w:bottom="1276" w:left="1440" w:header="720" w:footer="720" w:gutter="0"/>
          <w:cols w:space="720" w:num="1"/>
          <w:docGrid w:linePitch="326" w:charSpace="0"/>
        </w:sectPr>
      </w:pPr>
    </w:p>
    <w:p>
      <w:pPr>
        <w:pStyle w:val="181"/>
        <w:rPr>
          <w:rFonts w:eastAsia="宋体"/>
          <w:color w:val="000000" w:themeColor="text1"/>
          <w14:textFill>
            <w14:solidFill>
              <w14:schemeClr w14:val="tx1"/>
            </w14:solidFill>
          </w14:textFill>
        </w:rPr>
      </w:pPr>
      <w:bookmarkStart w:id="155" w:name="_Toc155271420"/>
      <w:r>
        <w:rPr>
          <w:rFonts w:eastAsia="宋体"/>
          <w:color w:val="000000" w:themeColor="text1"/>
          <w14:textFill>
            <w14:solidFill>
              <w14:schemeClr w14:val="tx1"/>
            </w14:solidFill>
          </w14:textFill>
        </w:rPr>
        <w:t>4环境影响预测与评价</w:t>
      </w:r>
      <w:bookmarkEnd w:id="155"/>
    </w:p>
    <w:p>
      <w:pPr>
        <w:pStyle w:val="179"/>
        <w:rPr>
          <w:rFonts w:eastAsia="宋体"/>
          <w:color w:val="000000" w:themeColor="text1"/>
          <w14:textFill>
            <w14:solidFill>
              <w14:schemeClr w14:val="tx1"/>
            </w14:solidFill>
          </w14:textFill>
        </w:rPr>
      </w:pPr>
      <w:bookmarkStart w:id="156" w:name="_Toc155271421"/>
      <w:bookmarkStart w:id="157" w:name="_Toc10877"/>
      <w:bookmarkStart w:id="158" w:name="_Toc489281061"/>
      <w:bookmarkStart w:id="159" w:name="_Toc490235561"/>
      <w:r>
        <w:rPr>
          <w:rFonts w:eastAsia="宋体"/>
          <w:color w:val="000000" w:themeColor="text1"/>
          <w14:textFill>
            <w14:solidFill>
              <w14:schemeClr w14:val="tx1"/>
            </w14:solidFill>
          </w14:textFill>
        </w:rPr>
        <w:t>4.1施工期环境影响预测与评价</w:t>
      </w:r>
      <w:bookmarkEnd w:id="156"/>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4.1.1施工期环境空气影响分析</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施工期废气主要为扬尘、机械燃油废气和装修废气。建设单位应采取如下控制措施：</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（1）施工扬尘环境影响分析</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施工期各施工工序产生的扬尘属无组织排放，其产生量与施工范围、方式方法、空气干湿度、气象等诸多因素有关，是一个复杂较难定量的问题。本项目采用类比方法对环境空气影响进行分析。</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根据国内多家监测机构对施工扬尘所做的实测资料，统计结果如下表。</w:t>
      </w:r>
    </w:p>
    <w:p>
      <w:pPr>
        <w:tabs>
          <w:tab w:val="left" w:pos="911"/>
        </w:tabs>
        <w:spacing w:line="240" w:lineRule="auto"/>
        <w:jc w:val="center"/>
        <w:rPr>
          <w:rFonts w:eastAsia="宋体"/>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表4.1-1  施工现场大气中颗粒物浓度变化表</w:t>
      </w:r>
    </w:p>
    <w:tbl>
      <w:tblPr>
        <w:tblStyle w:val="89"/>
        <w:tblW w:w="5000" w:type="pct"/>
        <w:tblInd w:w="0" w:type="dxa"/>
        <w:tblLayout w:type="autofit"/>
        <w:tblCellMar>
          <w:top w:w="0" w:type="dxa"/>
          <w:left w:w="0" w:type="dxa"/>
          <w:bottom w:w="0" w:type="dxa"/>
          <w:right w:w="0" w:type="dxa"/>
        </w:tblCellMar>
      </w:tblPr>
      <w:tblGrid>
        <w:gridCol w:w="926"/>
        <w:gridCol w:w="1144"/>
        <w:gridCol w:w="849"/>
        <w:gridCol w:w="710"/>
        <w:gridCol w:w="851"/>
        <w:gridCol w:w="708"/>
        <w:gridCol w:w="851"/>
        <w:gridCol w:w="851"/>
        <w:gridCol w:w="1416"/>
      </w:tblGrid>
      <w:tr>
        <w:trPr>
          <w:trHeight w:val="360" w:hRule="exact"/>
        </w:trPr>
        <w:tc>
          <w:tcPr>
            <w:tcW w:w="1247" w:type="pct"/>
            <w:gridSpan w:val="2"/>
            <w:tcBorders>
              <w:top w:val="single" w:color="000000" w:sz="12" w:space="0"/>
              <w:left w:val="nil"/>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bCs/>
                <w:color w:val="000000" w:themeColor="text1"/>
                <w:sz w:val="21"/>
                <w:szCs w:val="21"/>
                <w:lang w:eastAsia="en-US"/>
                <w14:textFill>
                  <w14:solidFill>
                    <w14:schemeClr w14:val="tx1"/>
                  </w14:solidFill>
                </w14:textFill>
              </w:rPr>
              <w:t>距工地距离</w:t>
            </w:r>
            <w:r>
              <w:rPr>
                <w:rFonts w:hint="eastAsia"/>
                <w:b/>
                <w:bCs/>
                <w:color w:val="000000" w:themeColor="text1"/>
                <w:sz w:val="21"/>
                <w:szCs w:val="21"/>
                <w14:textFill>
                  <w14:solidFill>
                    <w14:schemeClr w14:val="tx1"/>
                  </w14:solidFill>
                </w14:textFill>
              </w:rPr>
              <w:t>（</w:t>
            </w:r>
            <w:r>
              <w:rPr>
                <w:b/>
                <w:bCs/>
                <w:color w:val="000000" w:themeColor="text1"/>
                <w:sz w:val="21"/>
                <w:szCs w:val="21"/>
                <w:lang w:eastAsia="en-US"/>
                <w14:textFill>
                  <w14:solidFill>
                    <w14:schemeClr w14:val="tx1"/>
                  </w14:solidFill>
                </w14:textFill>
              </w:rPr>
              <w:t>m</w:t>
            </w:r>
            <w:r>
              <w:rPr>
                <w:rFonts w:hint="eastAsia"/>
                <w:b/>
                <w:bCs/>
                <w:color w:val="000000" w:themeColor="text1"/>
                <w:sz w:val="21"/>
                <w:szCs w:val="21"/>
                <w:lang w:eastAsia="zh-CN"/>
                <w14:textFill>
                  <w14:solidFill>
                    <w14:schemeClr w14:val="tx1"/>
                  </w14:solidFill>
                </w14:textFill>
              </w:rPr>
              <w:t>）</w:t>
            </w:r>
          </w:p>
        </w:tc>
        <w:tc>
          <w:tcPr>
            <w:tcW w:w="511"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10</w:t>
            </w:r>
          </w:p>
        </w:tc>
        <w:tc>
          <w:tcPr>
            <w:tcW w:w="427"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20</w:t>
            </w:r>
          </w:p>
        </w:tc>
        <w:tc>
          <w:tcPr>
            <w:tcW w:w="512"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30</w:t>
            </w:r>
          </w:p>
        </w:tc>
        <w:tc>
          <w:tcPr>
            <w:tcW w:w="426"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40</w:t>
            </w:r>
          </w:p>
        </w:tc>
        <w:tc>
          <w:tcPr>
            <w:tcW w:w="512"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50</w:t>
            </w:r>
          </w:p>
        </w:tc>
        <w:tc>
          <w:tcPr>
            <w:tcW w:w="512" w:type="pct"/>
            <w:tcBorders>
              <w:top w:val="single" w:color="000000" w:sz="12"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color w:val="000000" w:themeColor="text1"/>
                <w:sz w:val="21"/>
                <w:lang w:eastAsia="en-US"/>
                <w14:textFill>
                  <w14:solidFill>
                    <w14:schemeClr w14:val="tx1"/>
                  </w14:solidFill>
                </w14:textFill>
              </w:rPr>
              <w:t>100</w:t>
            </w:r>
          </w:p>
        </w:tc>
        <w:tc>
          <w:tcPr>
            <w:tcW w:w="852" w:type="pct"/>
            <w:tcBorders>
              <w:top w:val="single" w:color="000000" w:sz="12" w:space="0"/>
              <w:left w:val="single" w:color="000000" w:sz="4" w:space="0"/>
              <w:bottom w:val="single" w:color="000000" w:sz="4" w:space="0"/>
              <w:right w:val="nil"/>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b/>
                <w:bCs/>
                <w:color w:val="000000" w:themeColor="text1"/>
                <w:sz w:val="21"/>
                <w:szCs w:val="21"/>
                <w:lang w:eastAsia="en-US"/>
                <w14:textFill>
                  <w14:solidFill>
                    <w14:schemeClr w14:val="tx1"/>
                  </w14:solidFill>
                </w14:textFill>
              </w:rPr>
              <w:t>备注</w:t>
            </w:r>
          </w:p>
        </w:tc>
      </w:tr>
      <w:tr>
        <w:tblPrEx>
          <w:tblCellMar>
            <w:top w:w="0" w:type="dxa"/>
            <w:left w:w="0" w:type="dxa"/>
            <w:bottom w:w="0" w:type="dxa"/>
            <w:right w:w="0" w:type="dxa"/>
          </w:tblCellMar>
        </w:tblPrEx>
        <w:trPr>
          <w:trHeight w:val="350" w:hRule="exact"/>
        </w:trPr>
        <w:tc>
          <w:tcPr>
            <w:tcW w:w="558" w:type="pct"/>
            <w:vMerge w:val="restart"/>
            <w:tcBorders>
              <w:top w:val="single" w:color="000000" w:sz="4" w:space="0"/>
              <w:left w:val="nil"/>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szCs w:val="21"/>
                <w:lang w:eastAsia="en-US"/>
                <w14:textFill>
                  <w14:solidFill>
                    <w14:schemeClr w14:val="tx1"/>
                  </w14:solidFill>
                </w14:textFill>
              </w:rPr>
              <w:t>浓度</w:t>
            </w:r>
          </w:p>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(mg/m</w:t>
            </w:r>
            <w:r>
              <w:rPr>
                <w:color w:val="000000" w:themeColor="text1"/>
                <w:position w:val="7"/>
                <w:sz w:val="14"/>
                <w:lang w:eastAsia="en-US"/>
                <w14:textFill>
                  <w14:solidFill>
                    <w14:schemeClr w14:val="tx1"/>
                  </w14:solidFill>
                </w14:textFill>
              </w:rPr>
              <w:t>3</w:t>
            </w:r>
            <w:r>
              <w:rPr>
                <w:color w:val="000000" w:themeColor="text1"/>
                <w:sz w:val="21"/>
                <w:lang w:eastAsia="en-US"/>
                <w14:textFill>
                  <w14:solidFill>
                    <w14:schemeClr w14:val="tx1"/>
                  </w14:solidFill>
                </w14:textFill>
              </w:rPr>
              <w:t>)</w:t>
            </w:r>
          </w:p>
        </w:tc>
        <w:tc>
          <w:tcPr>
            <w:tcW w:w="689"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szCs w:val="21"/>
                <w:lang w:eastAsia="en-US"/>
                <w14:textFill>
                  <w14:solidFill>
                    <w14:schemeClr w14:val="tx1"/>
                  </w14:solidFill>
                </w14:textFill>
              </w:rPr>
              <w:t>场地未洒水</w:t>
            </w:r>
          </w:p>
        </w:tc>
        <w:tc>
          <w:tcPr>
            <w:tcW w:w="511"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1.75</w:t>
            </w:r>
          </w:p>
        </w:tc>
        <w:tc>
          <w:tcPr>
            <w:tcW w:w="427"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l.30</w:t>
            </w:r>
          </w:p>
        </w:tc>
        <w:tc>
          <w:tcPr>
            <w:tcW w:w="512"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0.78</w:t>
            </w:r>
          </w:p>
        </w:tc>
        <w:tc>
          <w:tcPr>
            <w:tcW w:w="426"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0.365</w:t>
            </w:r>
          </w:p>
        </w:tc>
        <w:tc>
          <w:tcPr>
            <w:tcW w:w="512"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0.345</w:t>
            </w:r>
          </w:p>
        </w:tc>
        <w:tc>
          <w:tcPr>
            <w:tcW w:w="512" w:type="pct"/>
            <w:tcBorders>
              <w:top w:val="single" w:color="000000" w:sz="4" w:space="0"/>
              <w:left w:val="single" w:color="000000" w:sz="4" w:space="0"/>
              <w:bottom w:val="single" w:color="000000" w:sz="4"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0.330</w:t>
            </w:r>
          </w:p>
        </w:tc>
        <w:tc>
          <w:tcPr>
            <w:tcW w:w="852" w:type="pct"/>
            <w:vMerge w:val="restart"/>
            <w:tcBorders>
              <w:top w:val="single" w:color="000000" w:sz="4" w:space="0"/>
              <w:left w:val="single" w:color="000000" w:sz="4" w:space="0"/>
              <w:right w:val="nil"/>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szCs w:val="21"/>
                <w:lang w:eastAsia="en-US"/>
                <w14:textFill>
                  <w14:solidFill>
                    <w14:schemeClr w14:val="tx1"/>
                  </w14:solidFill>
                </w14:textFill>
              </w:rPr>
              <w:t>测量平均风</w:t>
            </w:r>
          </w:p>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2.5m/s</w:t>
            </w:r>
          </w:p>
        </w:tc>
      </w:tr>
      <w:tr>
        <w:tblPrEx>
          <w:tblCellMar>
            <w:top w:w="0" w:type="dxa"/>
            <w:left w:w="0" w:type="dxa"/>
            <w:bottom w:w="0" w:type="dxa"/>
            <w:right w:w="0" w:type="dxa"/>
          </w:tblCellMar>
        </w:tblPrEx>
        <w:trPr>
          <w:trHeight w:val="360" w:hRule="exact"/>
        </w:trPr>
        <w:tc>
          <w:tcPr>
            <w:tcW w:w="558" w:type="pct"/>
            <w:vMerge w:val="continue"/>
            <w:tcBorders>
              <w:left w:val="nil"/>
              <w:bottom w:val="single" w:color="000000" w:sz="12" w:space="0"/>
              <w:right w:val="single" w:color="000000" w:sz="4" w:space="0"/>
            </w:tcBorders>
            <w:shd w:val="clear" w:color="auto" w:fill="auto"/>
          </w:tcPr>
          <w:p>
            <w:pPr>
              <w:spacing w:line="240" w:lineRule="auto"/>
              <w:jc w:val="center"/>
              <w:rPr>
                <w:rFonts w:eastAsia="宋体"/>
                <w:color w:val="000000" w:themeColor="text1"/>
                <w:kern w:val="0"/>
                <w:lang w:eastAsia="en-US"/>
                <w14:textFill>
                  <w14:solidFill>
                    <w14:schemeClr w14:val="tx1"/>
                  </w14:solidFill>
                </w14:textFill>
              </w:rPr>
            </w:pPr>
          </w:p>
        </w:tc>
        <w:tc>
          <w:tcPr>
            <w:tcW w:w="689"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szCs w:val="21"/>
                <w:lang w:eastAsia="en-US"/>
                <w14:textFill>
                  <w14:solidFill>
                    <w14:schemeClr w14:val="tx1"/>
                  </w14:solidFill>
                </w14:textFill>
              </w:rPr>
              <w:t>场地洒水</w:t>
            </w:r>
          </w:p>
        </w:tc>
        <w:tc>
          <w:tcPr>
            <w:tcW w:w="511"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0.437</w:t>
            </w:r>
          </w:p>
        </w:tc>
        <w:tc>
          <w:tcPr>
            <w:tcW w:w="427"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0.350</w:t>
            </w:r>
          </w:p>
        </w:tc>
        <w:tc>
          <w:tcPr>
            <w:tcW w:w="512"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0.310</w:t>
            </w:r>
          </w:p>
        </w:tc>
        <w:tc>
          <w:tcPr>
            <w:tcW w:w="426"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0.265</w:t>
            </w:r>
          </w:p>
        </w:tc>
        <w:tc>
          <w:tcPr>
            <w:tcW w:w="512"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0.250</w:t>
            </w:r>
          </w:p>
        </w:tc>
        <w:tc>
          <w:tcPr>
            <w:tcW w:w="512" w:type="pct"/>
            <w:tcBorders>
              <w:top w:val="single" w:color="000000" w:sz="4" w:space="0"/>
              <w:left w:val="single" w:color="000000" w:sz="4" w:space="0"/>
              <w:bottom w:val="single" w:color="000000" w:sz="12" w:space="0"/>
              <w:right w:val="single" w:color="000000" w:sz="4" w:space="0"/>
            </w:tcBorders>
            <w:shd w:val="clear" w:color="auto" w:fill="auto"/>
          </w:tcPr>
          <w:p>
            <w:pPr>
              <w:pStyle w:val="228"/>
              <w:spacing w:line="240" w:lineRule="auto"/>
              <w:jc w:val="center"/>
              <w:rPr>
                <w:color w:val="000000" w:themeColor="text1"/>
                <w:sz w:val="21"/>
                <w:szCs w:val="21"/>
                <w:lang w:eastAsia="en-US"/>
                <w14:textFill>
                  <w14:solidFill>
                    <w14:schemeClr w14:val="tx1"/>
                  </w14:solidFill>
                </w14:textFill>
              </w:rPr>
            </w:pPr>
            <w:r>
              <w:rPr>
                <w:color w:val="000000" w:themeColor="text1"/>
                <w:sz w:val="21"/>
                <w:lang w:eastAsia="en-US"/>
                <w14:textFill>
                  <w14:solidFill>
                    <w14:schemeClr w14:val="tx1"/>
                  </w14:solidFill>
                </w14:textFill>
              </w:rPr>
              <w:t>0.238</w:t>
            </w:r>
          </w:p>
        </w:tc>
        <w:tc>
          <w:tcPr>
            <w:tcW w:w="852" w:type="pct"/>
            <w:vMerge w:val="continue"/>
            <w:tcBorders>
              <w:left w:val="single" w:color="000000" w:sz="4" w:space="0"/>
              <w:bottom w:val="single" w:color="000000" w:sz="12" w:space="0"/>
              <w:right w:val="nil"/>
            </w:tcBorders>
            <w:shd w:val="clear" w:color="auto" w:fill="auto"/>
          </w:tcPr>
          <w:p>
            <w:pPr>
              <w:spacing w:line="240" w:lineRule="auto"/>
              <w:jc w:val="center"/>
              <w:rPr>
                <w:rFonts w:eastAsia="宋体"/>
                <w:color w:val="000000" w:themeColor="text1"/>
                <w:kern w:val="0"/>
                <w:lang w:eastAsia="en-US"/>
                <w14:textFill>
                  <w14:solidFill>
                    <w14:schemeClr w14:val="tx1"/>
                  </w14:solidFill>
                </w14:textFill>
              </w:rPr>
            </w:pPr>
          </w:p>
        </w:tc>
      </w:tr>
    </w:tbl>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由上表可知，在场地未洒水时施工扬尘影响范围可达施工场地外100m；但通过场地洒水降尘后，施工扬尘影响范围将缩小至施工场地外40m。</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述内容可知，通过对施工道路及场地采取洒水抑尘；保持车辆出入口路面清洁、湿润；施工车辆采取加盖篷布等措施后，项目施工期扬尘对周边环境的影响可大大降低。同时，施工扬尘产生的影响只限于施工期，随施工期的结束而停止，不会产生累积的污染影响。</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综上，通过采取必要的措施后，施工扬尘的影响将大大地降低，同时其对环境的影响也将随施工的结束而消失。</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（2）施工机具燃油废气影响分析</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通过加强施工现场运输车辆的保养以及加强施工车辆现场管理后，机械燃油废气对环境影响较小。施工结束后，影响也将消失。</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（3）装修废气</w:t>
      </w:r>
    </w:p>
    <w:p>
      <w:pPr>
        <w:ind w:firstLine="480"/>
        <w:rPr>
          <w:rFonts w:eastAsia="宋体"/>
          <w:color w:val="000000" w:themeColor="text1"/>
          <w:kern w:val="0"/>
          <w:lang w:bidi="ar"/>
          <w14:textFill>
            <w14:solidFill>
              <w14:schemeClr w14:val="tx1"/>
            </w14:solidFill>
          </w14:textFill>
        </w:rPr>
      </w:pPr>
      <w:r>
        <w:rPr>
          <w:rFonts w:eastAsia="宋体"/>
          <w:color w:val="000000" w:themeColor="text1"/>
          <w:kern w:val="0"/>
          <w:lang w:bidi="ar"/>
          <w14:textFill>
            <w14:solidFill>
              <w14:schemeClr w14:val="tx1"/>
            </w14:solidFill>
          </w14:textFill>
        </w:rPr>
        <w:t>装修废气主要产生于室内室外装修阶段的油漆喷涂，油漆废气排放属于无组织，且其过程持续时间较长，是一个缓慢挥发的过程。装修期间应尽量选择环保材料，加强室内通风换气，装修工作完成后，应进行通风换气一定时间后方可投入使用。</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4.1.2施工期地表水环境影响分析</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施工期的废水主要包括施工废水和生活污水。</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（1）施工废水</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施工过程产生的施工废水主要是机械和车辆冲洗废水，主要污染物为SS、石油类。施工废水经隔油、沉淀池处理后循环使用，不外排，对周围水环境影响较小。</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（2）生活污水</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生活污水主要污染物为COD、BOD</w:t>
      </w:r>
      <w:r>
        <w:rPr>
          <w:rFonts w:eastAsia="宋体"/>
          <w:color w:val="000000" w:themeColor="text1"/>
          <w:vertAlign w:val="subscript"/>
          <w14:textFill>
            <w14:solidFill>
              <w14:schemeClr w14:val="tx1"/>
            </w14:solidFill>
          </w14:textFill>
        </w:rPr>
        <w:t>5</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-N、SS等。项目施工期的生活污水依托厂区周边现有污水处理设施处理后排入园区污水管网。</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因此，通过加强对施工过程废水的综合管理，施工期产生的废水不会对地表水环境产生明显的不利影响</w:t>
      </w:r>
      <w:r>
        <w:rPr>
          <w:rFonts w:eastAsia="宋体"/>
          <w:color w:val="000000" w:themeColor="text1"/>
          <w:kern w:val="0"/>
          <w:lang w:bidi="ar"/>
          <w14:textFill>
            <w14:solidFill>
              <w14:schemeClr w14:val="tx1"/>
            </w14:solidFill>
          </w14:textFill>
        </w:rPr>
        <w:t>。</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4.1.3施工期声环境影响分析</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施工期噪声源主要来自装载机、空压机、振捣棒等施工机具作业时产生的噪声，噪声值在75~105dB（A）之间。</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评价采用噪声距离衰减模式，预测主要机械在不同距离的噪声值。</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模式为：</w:t>
      </w:r>
    </w:p>
    <w:p>
      <w:pPr>
        <w:suppressAutoHyphens/>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LA（r）=LA（r</w:t>
      </w:r>
      <w:r>
        <w:rPr>
          <w:rFonts w:eastAsia="宋体"/>
          <w:color w:val="000000" w:themeColor="text1"/>
          <w:vertAlign w:val="subscript"/>
          <w14:textFill>
            <w14:solidFill>
              <w14:schemeClr w14:val="tx1"/>
            </w14:solidFill>
          </w14:textFill>
        </w:rPr>
        <w:t>0</w:t>
      </w:r>
      <w:r>
        <w:rPr>
          <w:rFonts w:eastAsia="宋体"/>
          <w:color w:val="000000" w:themeColor="text1"/>
          <w14:textFill>
            <w14:solidFill>
              <w14:schemeClr w14:val="tx1"/>
            </w14:solidFill>
          </w14:textFill>
        </w:rPr>
        <w:t>）-20lg(r/r</w:t>
      </w:r>
      <w:r>
        <w:rPr>
          <w:rFonts w:eastAsia="宋体"/>
          <w:color w:val="000000" w:themeColor="text1"/>
          <w:vertAlign w:val="subscript"/>
          <w14:textFill>
            <w14:solidFill>
              <w14:schemeClr w14:val="tx1"/>
            </w14:solidFill>
          </w14:textFill>
        </w:rPr>
        <w:t>0)</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式中：LA(r)——受声点r的声级dB（A）；</w:t>
      </w:r>
    </w:p>
    <w:p>
      <w:pPr>
        <w:suppressAutoHyphens/>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LA(r</w:t>
      </w:r>
      <w:r>
        <w:rPr>
          <w:rFonts w:eastAsia="宋体"/>
          <w:color w:val="000000" w:themeColor="text1"/>
          <w:vertAlign w:val="subscript"/>
          <w14:textFill>
            <w14:solidFill>
              <w14:schemeClr w14:val="tx1"/>
            </w14:solidFill>
          </w14:textFill>
        </w:rPr>
        <w:t>0</w:t>
      </w:r>
      <w:r>
        <w:rPr>
          <w:rFonts w:eastAsia="宋体"/>
          <w:color w:val="000000" w:themeColor="text1"/>
          <w14:textFill>
            <w14:solidFill>
              <w14:schemeClr w14:val="tx1"/>
            </w14:solidFill>
          </w14:textFill>
        </w:rPr>
        <w:t>)——受声点r</w:t>
      </w:r>
      <w:r>
        <w:rPr>
          <w:rFonts w:eastAsia="宋体"/>
          <w:color w:val="000000" w:themeColor="text1"/>
          <w:vertAlign w:val="subscript"/>
          <w14:textFill>
            <w14:solidFill>
              <w14:schemeClr w14:val="tx1"/>
            </w14:solidFill>
          </w14:textFill>
        </w:rPr>
        <w:t>0</w:t>
      </w:r>
      <w:r>
        <w:rPr>
          <w:rFonts w:eastAsia="宋体"/>
          <w:color w:val="000000" w:themeColor="text1"/>
          <w14:textFill>
            <w14:solidFill>
              <w14:schemeClr w14:val="tx1"/>
            </w14:solidFill>
          </w14:textFill>
        </w:rPr>
        <w:t>的测试声级dB（A）；</w:t>
      </w:r>
    </w:p>
    <w:p>
      <w:pPr>
        <w:suppressAutoHyphens/>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r</w:t>
      </w:r>
      <w:r>
        <w:rPr>
          <w:rFonts w:eastAsia="宋体"/>
          <w:color w:val="000000" w:themeColor="text1"/>
          <w:vertAlign w:val="subscript"/>
          <w14:textFill>
            <w14:solidFill>
              <w14:schemeClr w14:val="tx1"/>
            </w14:solidFill>
          </w14:textFill>
        </w:rPr>
        <w:t>0</w:t>
      </w:r>
      <w:r>
        <w:rPr>
          <w:rFonts w:eastAsia="宋体"/>
          <w:color w:val="000000" w:themeColor="text1"/>
          <w14:textFill>
            <w14:solidFill>
              <w14:schemeClr w14:val="tx1"/>
            </w14:solidFill>
          </w14:textFill>
        </w:rPr>
        <w:t>、r——距声源r</w:t>
      </w:r>
      <w:r>
        <w:rPr>
          <w:rFonts w:eastAsia="宋体"/>
          <w:color w:val="000000" w:themeColor="text1"/>
          <w:vertAlign w:val="subscript"/>
          <w14:textFill>
            <w14:solidFill>
              <w14:schemeClr w14:val="tx1"/>
            </w14:solidFill>
          </w14:textFill>
        </w:rPr>
        <w:t>0</w:t>
      </w:r>
      <w:r>
        <w:rPr>
          <w:rFonts w:eastAsia="宋体"/>
          <w:color w:val="000000" w:themeColor="text1"/>
          <w14:textFill>
            <w14:solidFill>
              <w14:schemeClr w14:val="tx1"/>
            </w14:solidFill>
          </w14:textFill>
        </w:rPr>
        <w:t>、r受声点的距离（m）。</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根据噪声衰减模式，各施工机具声源在不同距离处的噪声影响值（未考虑吸声、隔声等效果）参见表4.1-2。</w:t>
      </w:r>
    </w:p>
    <w:p>
      <w:pPr>
        <w:tabs>
          <w:tab w:val="left" w:pos="911"/>
        </w:tab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表4.1-2  主要施工机械噪声影响预测  单位：dB（A）</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985"/>
        <w:gridCol w:w="914"/>
        <w:gridCol w:w="917"/>
        <w:gridCol w:w="917"/>
        <w:gridCol w:w="1016"/>
        <w:gridCol w:w="919"/>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0" w:type="pct"/>
            <w:vMerge w:val="restart"/>
            <w:tcBorders>
              <w:top w:val="single" w:color="auto" w:sz="12" w:space="0"/>
              <w:left w:val="nil"/>
              <w:tl2br w:val="single" w:color="auto" w:sz="4"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 xml:space="preserve">     距离（m）</w:t>
            </w:r>
          </w:p>
          <w:p>
            <w:pPr>
              <w:spacing w:line="240" w:lineRule="auto"/>
              <w:jc w:val="left"/>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施工设备</w:t>
            </w:r>
          </w:p>
        </w:tc>
        <w:tc>
          <w:tcPr>
            <w:tcW w:w="578"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10</w:t>
            </w:r>
          </w:p>
        </w:tc>
        <w:tc>
          <w:tcPr>
            <w:tcW w:w="536"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20</w:t>
            </w:r>
          </w:p>
        </w:tc>
        <w:tc>
          <w:tcPr>
            <w:tcW w:w="538"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30</w:t>
            </w:r>
          </w:p>
        </w:tc>
        <w:tc>
          <w:tcPr>
            <w:tcW w:w="538"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50</w:t>
            </w:r>
          </w:p>
        </w:tc>
        <w:tc>
          <w:tcPr>
            <w:tcW w:w="596"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70</w:t>
            </w:r>
          </w:p>
        </w:tc>
        <w:tc>
          <w:tcPr>
            <w:tcW w:w="539" w:type="pct"/>
            <w:vMerge w:val="restart"/>
            <w:tcBorders>
              <w:top w:val="single" w:color="auto" w:sz="12" w:space="0"/>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100</w:t>
            </w:r>
          </w:p>
        </w:tc>
        <w:tc>
          <w:tcPr>
            <w:tcW w:w="535" w:type="pct"/>
            <w:vMerge w:val="restart"/>
            <w:tcBorders>
              <w:top w:val="single" w:color="auto" w:sz="12" w:space="0"/>
              <w:right w:val="nil"/>
            </w:tcBorders>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0" w:type="pct"/>
            <w:vMerge w:val="continue"/>
            <w:tcBorders>
              <w:left w:val="nil"/>
              <w:tl2br w:val="single" w:color="auto" w:sz="4" w:space="0"/>
            </w:tcBorders>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78"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36"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38"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38"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96"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39" w:type="pct"/>
            <w:vMerge w:val="continue"/>
            <w:vAlign w:val="center"/>
          </w:tcPr>
          <w:p>
            <w:pPr>
              <w:spacing w:line="240" w:lineRule="auto"/>
              <w:jc w:val="center"/>
              <w:rPr>
                <w:rFonts w:eastAsia="宋体"/>
                <w:b/>
                <w:color w:val="000000" w:themeColor="text1"/>
                <w:sz w:val="21"/>
                <w:szCs w:val="21"/>
                <w14:textFill>
                  <w14:solidFill>
                    <w14:schemeClr w14:val="tx1"/>
                  </w14:solidFill>
                </w14:textFill>
              </w:rPr>
            </w:pPr>
          </w:p>
        </w:tc>
        <w:tc>
          <w:tcPr>
            <w:tcW w:w="535" w:type="pct"/>
            <w:vMerge w:val="continue"/>
            <w:tcBorders>
              <w:right w:val="nil"/>
            </w:tcBorders>
            <w:vAlign w:val="center"/>
          </w:tcPr>
          <w:p>
            <w:pPr>
              <w:spacing w:line="240" w:lineRule="auto"/>
              <w:jc w:val="center"/>
              <w:rPr>
                <w:rFonts w:eastAsia="宋体"/>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0" w:type="pct"/>
            <w:tcBorders>
              <w:lef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空压机</w:t>
            </w:r>
          </w:p>
        </w:tc>
        <w:tc>
          <w:tcPr>
            <w:tcW w:w="57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79.0</w:t>
            </w:r>
          </w:p>
        </w:tc>
        <w:tc>
          <w:tcPr>
            <w:tcW w:w="53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73.0</w:t>
            </w:r>
          </w:p>
        </w:tc>
        <w:tc>
          <w:tcPr>
            <w:tcW w:w="5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69.4</w:t>
            </w:r>
          </w:p>
        </w:tc>
        <w:tc>
          <w:tcPr>
            <w:tcW w:w="5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65.0</w:t>
            </w:r>
          </w:p>
        </w:tc>
        <w:tc>
          <w:tcPr>
            <w:tcW w:w="5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w:t>
            </w:r>
          </w:p>
        </w:tc>
        <w:tc>
          <w:tcPr>
            <w:tcW w:w="53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59.0</w:t>
            </w:r>
          </w:p>
        </w:tc>
        <w:tc>
          <w:tcPr>
            <w:tcW w:w="535" w:type="pct"/>
            <w:tcBorders>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0" w:type="pct"/>
            <w:tcBorders>
              <w:lef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装载机</w:t>
            </w:r>
          </w:p>
        </w:tc>
        <w:tc>
          <w:tcPr>
            <w:tcW w:w="57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79.0</w:t>
            </w:r>
          </w:p>
        </w:tc>
        <w:tc>
          <w:tcPr>
            <w:tcW w:w="53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73.0</w:t>
            </w:r>
          </w:p>
        </w:tc>
        <w:tc>
          <w:tcPr>
            <w:tcW w:w="5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69.4</w:t>
            </w:r>
          </w:p>
        </w:tc>
        <w:tc>
          <w:tcPr>
            <w:tcW w:w="538"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65.0</w:t>
            </w:r>
          </w:p>
        </w:tc>
        <w:tc>
          <w:tcPr>
            <w:tcW w:w="5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w:t>
            </w:r>
          </w:p>
        </w:tc>
        <w:tc>
          <w:tcPr>
            <w:tcW w:w="53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59.0</w:t>
            </w:r>
          </w:p>
        </w:tc>
        <w:tc>
          <w:tcPr>
            <w:tcW w:w="535" w:type="pct"/>
            <w:tcBorders>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0" w:type="pct"/>
            <w:tcBorders>
              <w:left w:val="nil"/>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振捣棒</w:t>
            </w:r>
          </w:p>
        </w:tc>
        <w:tc>
          <w:tcPr>
            <w:tcW w:w="578"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68.0</w:t>
            </w:r>
          </w:p>
        </w:tc>
        <w:tc>
          <w:tcPr>
            <w:tcW w:w="536"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62.0</w:t>
            </w:r>
          </w:p>
        </w:tc>
        <w:tc>
          <w:tcPr>
            <w:tcW w:w="538"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58.5</w:t>
            </w:r>
          </w:p>
        </w:tc>
        <w:tc>
          <w:tcPr>
            <w:tcW w:w="538"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54.0</w:t>
            </w:r>
          </w:p>
        </w:tc>
        <w:tc>
          <w:tcPr>
            <w:tcW w:w="596"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51.1</w:t>
            </w:r>
          </w:p>
        </w:tc>
        <w:tc>
          <w:tcPr>
            <w:tcW w:w="539"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48.0</w:t>
            </w:r>
          </w:p>
        </w:tc>
        <w:tc>
          <w:tcPr>
            <w:tcW w:w="535" w:type="pct"/>
            <w:tcBorders>
              <w:bottom w:val="single" w:color="auto" w:sz="12" w:space="0"/>
              <w:right w:val="nil"/>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44.5</w:t>
            </w:r>
          </w:p>
        </w:tc>
      </w:tr>
    </w:tbl>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表4.1-2中数据可知，施工机具与场界距离昼间小于30m、夜间小于150m时，施工机具噪声在场界处容易超过《建筑施工场界环境噪声排放标准》（GB12523-2011）限值。考虑到施工场地噪声分布的不均匀性（施工场地噪声峰值的出现），其可能影响的范围昼间可能达100m以外，夜间更远。</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评要求高噪声的作业点尽量置于地块偏东区域，有效利用施工场地的距离衰减，减小对声环境保护目标的影响；因夜间施工噪声影响范围较大，严禁午间（12：00至14：00）、夜间（22：00至次日6：00）施工，若工艺要求夜间必须进行连续作业的强噪声施工，应征得当地相应主管部门的同意，在取得夜间施工许可证后方可进行，同时应及时向附近居民公告。施工方采取一切有效的降噪措施后，大大减小了对周围住户的影响。</w:t>
      </w:r>
    </w:p>
    <w:p>
      <w:pPr>
        <w:adjustRightInd w:val="0"/>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施工期噪声经过治理后，在保证实现施工场界噪声满足《建筑施工场界环境噪声排放标准》（GB 12523-2011）中噪声限值要求的前提下，可使施工噪声对区域的声环境质量影响降至可接受程度。</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4.1.4施工期固体废物环境影响分析</w:t>
      </w:r>
    </w:p>
    <w:p>
      <w:pPr>
        <w:adjustRightInd w:val="0"/>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施工高峰期产生的生活垃圾约10kg/d。施工人员每日产生的生活垃圾经袋装收集，交由环卫部门处理。</w:t>
      </w:r>
    </w:p>
    <w:p>
      <w:pPr>
        <w:adjustRightInd w:val="0"/>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产生的建筑垃圾约519t。施工产生的建筑垃圾首先应考虑废料的回收利用，对钢筋、钢板、木材等下角料可分类回收，交送物资回收公司；不可利用固废与弃渣一起，运送至市政部门指定渣场。不得随意倾倒、填埋，亦不造成二次污染。</w:t>
      </w:r>
    </w:p>
    <w:p>
      <w:pPr>
        <w:adjustRightInd w:val="0"/>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施工期各类固体废物均得到了妥善的处置，不会对环境造成二次污染。</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4.1.5生态保护</w:t>
      </w:r>
    </w:p>
    <w:p>
      <w:pPr>
        <w:adjustRightInd w:val="0"/>
        <w:snapToGrid w:val="0"/>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本项目1号地块在现有标准厂房内进行，2号地块在园区工业用地内进行，不会对周围植被造成破坏。建设单位应合理安排施工期，施工结束后，及时对场地进行硬化，防止雨水冲刷增加水土流失量。</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4.1.6结论</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通过采取上述合理的措施后，施工过程基本不会对周边环境造成不良影响，且上述污染随着施工期的结束而消失，对周围环境影响可接受。</w:t>
      </w:r>
    </w:p>
    <w:p>
      <w:pPr>
        <w:pStyle w:val="179"/>
        <w:rPr>
          <w:rFonts w:eastAsia="宋体"/>
          <w:color w:val="000000" w:themeColor="text1"/>
          <w14:textFill>
            <w14:solidFill>
              <w14:schemeClr w14:val="tx1"/>
            </w14:solidFill>
          </w14:textFill>
        </w:rPr>
      </w:pPr>
      <w:bookmarkStart w:id="160" w:name="_Toc155271422"/>
      <w:r>
        <w:rPr>
          <w:rFonts w:eastAsia="宋体"/>
          <w:color w:val="000000" w:themeColor="text1"/>
          <w14:textFill>
            <w14:solidFill>
              <w14:schemeClr w14:val="tx1"/>
            </w14:solidFill>
          </w14:textFill>
        </w:rPr>
        <w:t>4.2运营期大气环境影响预测与评价</w:t>
      </w:r>
      <w:bookmarkEnd w:id="160"/>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4.2.1大气污染源</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本项目1号地块切割下料</w:t>
      </w:r>
      <w:r>
        <w:rPr>
          <w:rFonts w:hint="eastAsia" w:eastAsia="宋体"/>
          <w:color w:val="000000" w:themeColor="text1"/>
          <w14:textFill>
            <w14:solidFill>
              <w14:schemeClr w14:val="tx1"/>
            </w14:solidFill>
          </w14:textFill>
        </w:rPr>
        <w:t>粉尘经滤筒除尘器处理后，通过1根2</w:t>
      </w:r>
      <w:r>
        <w:rPr>
          <w:rFonts w:eastAsia="宋体"/>
          <w:color w:val="000000" w:themeColor="text1"/>
          <w14:textFill>
            <w14:solidFill>
              <w14:schemeClr w14:val="tx1"/>
            </w14:solidFill>
          </w14:textFill>
        </w:rPr>
        <w:t>0</w:t>
      </w:r>
      <w:r>
        <w:rPr>
          <w:rFonts w:hint="eastAsia" w:eastAsia="宋体"/>
          <w:color w:val="000000" w:themeColor="text1"/>
          <w14:textFill>
            <w14:solidFill>
              <w14:schemeClr w14:val="tx1"/>
            </w14:solidFill>
          </w14:textFill>
        </w:rPr>
        <w:t>m高排气筒（D</w:t>
      </w:r>
      <w:r>
        <w:rPr>
          <w:rFonts w:eastAsia="宋体"/>
          <w:color w:val="000000" w:themeColor="text1"/>
          <w14:textFill>
            <w14:solidFill>
              <w14:schemeClr w14:val="tx1"/>
            </w14:solidFill>
          </w14:textFill>
        </w:rPr>
        <w:t>A001</w:t>
      </w:r>
      <w:r>
        <w:rPr>
          <w:rFonts w:hint="eastAsia" w:eastAsia="宋体"/>
          <w:color w:val="000000" w:themeColor="text1"/>
          <w14:textFill>
            <w14:solidFill>
              <w14:schemeClr w14:val="tx1"/>
            </w14:solidFill>
          </w14:textFill>
        </w:rPr>
        <w:t>）排放；焊接烟尘通过移动式焊烟净化器处理后无组织排放。2号地块喷砂车间的喷砂粉尘经布袋除尘器处理后，通过1根1</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m高排气筒（D</w:t>
      </w:r>
      <w:r>
        <w:rPr>
          <w:rFonts w:eastAsia="宋体"/>
          <w:color w:val="000000" w:themeColor="text1"/>
          <w14:textFill>
            <w14:solidFill>
              <w14:schemeClr w14:val="tx1"/>
            </w14:solidFill>
          </w14:textFill>
        </w:rPr>
        <w:t>A002</w:t>
      </w:r>
      <w:r>
        <w:rPr>
          <w:rFonts w:hint="eastAsia" w:eastAsia="宋体"/>
          <w:color w:val="000000" w:themeColor="text1"/>
          <w14:textFill>
            <w14:solidFill>
              <w14:schemeClr w14:val="tx1"/>
            </w14:solidFill>
          </w14:textFill>
        </w:rPr>
        <w:t>）排放；涂装废气经气旋喷淋+干式过滤+活性炭吸附浓缩+催化燃烧处理后，通过1根1</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m高排气筒（D</w:t>
      </w:r>
      <w:r>
        <w:rPr>
          <w:rFonts w:eastAsia="宋体"/>
          <w:color w:val="000000" w:themeColor="text1"/>
          <w14:textFill>
            <w14:solidFill>
              <w14:schemeClr w14:val="tx1"/>
            </w14:solidFill>
          </w14:textFill>
        </w:rPr>
        <w:t>A003</w:t>
      </w:r>
      <w:r>
        <w:rPr>
          <w:rFonts w:hint="eastAsia" w:eastAsia="宋体"/>
          <w:color w:val="000000" w:themeColor="text1"/>
          <w14:textFill>
            <w14:solidFill>
              <w14:schemeClr w14:val="tx1"/>
            </w14:solidFill>
          </w14:textFill>
        </w:rPr>
        <w:t>）排放。项目污染物主要为颗粒物、</w:t>
      </w:r>
      <w:r>
        <w:rPr>
          <w:rFonts w:eastAsia="宋体"/>
          <w:color w:val="000000" w:themeColor="text1"/>
          <w14:textFill>
            <w14:solidFill>
              <w14:schemeClr w14:val="tx1"/>
            </w14:solidFill>
          </w14:textFill>
        </w:rPr>
        <w:t>甲苯、二甲苯、非甲烷总烃。</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根据《环境影响评价技术导则 大气环境》（HJ 2.2-2018），选取有环境质量标准的评价因子进行预测，本次选取预测因子为甲苯、二甲苯、非甲烷总烃和颗粒物。</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4.2.2</w:t>
      </w:r>
      <w:r>
        <w:rPr>
          <w:rFonts w:hint="eastAsia" w:eastAsia="宋体"/>
          <w:b/>
          <w:bCs/>
          <w:color w:val="000000" w:themeColor="text1"/>
          <w:szCs w:val="32"/>
          <w14:textFill>
            <w14:solidFill>
              <w14:schemeClr w14:val="tx1"/>
            </w14:solidFill>
          </w14:textFill>
        </w:rPr>
        <w:t>预测和评价内容</w:t>
      </w:r>
    </w:p>
    <w:p>
      <w:pPr>
        <w:suppressAutoHyphens/>
        <w:ind w:firstLine="482"/>
        <w:rPr>
          <w:rFonts w:eastAsia="宋体"/>
          <w:b/>
          <w:bCs/>
          <w:color w:val="000000" w:themeColor="text1"/>
          <w14:textFill>
            <w14:solidFill>
              <w14:schemeClr w14:val="tx1"/>
            </w14:solidFill>
          </w14:textFill>
        </w:rPr>
      </w:pPr>
      <w:r>
        <w:rPr>
          <w:rFonts w:eastAsia="宋体"/>
          <w:b/>
          <w:bCs/>
          <w:color w:val="000000" w:themeColor="text1"/>
          <w:szCs w:val="24"/>
          <w14:textFill>
            <w14:solidFill>
              <w14:schemeClr w14:val="tx1"/>
            </w14:solidFill>
          </w14:textFill>
        </w:rPr>
        <w:t>（1）评价基准年</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根据《环境影响评价技术导则 大气环境》（HJ2.2-2018）规定，依据评价所需环境空气质量现状、气象资料等数据的可获得性、数据质量、代表性等因素，选取2022年为评价基准年。</w:t>
      </w:r>
    </w:p>
    <w:p>
      <w:pPr>
        <w:suppressAutoHyphens/>
        <w:ind w:firstLine="482"/>
        <w:rPr>
          <w:rFonts w:eastAsia="宋体"/>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（2）预测模式及预测点位</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①预测模式</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根据《环境影响评价技术导则 大气环境》（HJ2.2-2018）的规定，本次大气环境影响预测，采用导则推荐的AERMOD模式进行模拟计算，AERMOD模式适用于评价范围小于等于50km的一级、二级评价项目。</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②预测范围</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项目排放污染物的最远影响距离（D10%）为200m，结合项目厂址位置及</w:t>
      </w:r>
      <w:r>
        <w:rPr>
          <w:rFonts w:hint="eastAsia" w:eastAsia="宋体"/>
          <w:color w:val="000000" w:themeColor="text1"/>
          <w:szCs w:val="24"/>
          <w14:textFill>
            <w14:solidFill>
              <w14:schemeClr w14:val="tx1"/>
            </w14:solidFill>
          </w14:textFill>
        </w:rPr>
        <w:t>环境保护目标</w:t>
      </w:r>
      <w:r>
        <w:rPr>
          <w:rFonts w:eastAsia="宋体"/>
          <w:color w:val="000000" w:themeColor="text1"/>
          <w:szCs w:val="24"/>
          <w14:textFill>
            <w14:solidFill>
              <w14:schemeClr w14:val="tx1"/>
            </w14:solidFill>
          </w14:textFill>
        </w:rPr>
        <w:t>分布，确定项目大气环境影响评价范围</w:t>
      </w:r>
      <w:r>
        <w:rPr>
          <w:rFonts w:hint="eastAsia" w:eastAsia="宋体"/>
          <w:color w:val="000000" w:themeColor="text1"/>
          <w:szCs w:val="24"/>
          <w14:textFill>
            <w14:solidFill>
              <w14:schemeClr w14:val="tx1"/>
            </w14:solidFill>
          </w14:textFill>
        </w:rPr>
        <w:t>包括：</w:t>
      </w:r>
      <w:r>
        <w:rPr>
          <w:rFonts w:eastAsia="宋体"/>
          <w:color w:val="000000" w:themeColor="text1"/>
          <w:szCs w:val="24"/>
          <w14:textFill>
            <w14:solidFill>
              <w14:schemeClr w14:val="tx1"/>
            </w14:solidFill>
          </w14:textFill>
        </w:rPr>
        <w:t>以</w:t>
      </w:r>
      <w:r>
        <w:rPr>
          <w:rFonts w:hint="eastAsia" w:eastAsia="宋体"/>
          <w:color w:val="000000" w:themeColor="text1"/>
          <w:szCs w:val="24"/>
          <w14:textFill>
            <w14:solidFill>
              <w14:schemeClr w14:val="tx1"/>
            </w14:solidFill>
          </w14:textFill>
        </w:rPr>
        <w:t>2号地块</w:t>
      </w:r>
      <w:r>
        <w:rPr>
          <w:rFonts w:eastAsia="宋体"/>
          <w:color w:val="000000" w:themeColor="text1"/>
          <w:szCs w:val="24"/>
          <w14:textFill>
            <w14:solidFill>
              <w14:schemeClr w14:val="tx1"/>
            </w14:solidFill>
          </w14:textFill>
        </w:rPr>
        <w:t>厂址为中心，</w:t>
      </w:r>
      <w:r>
        <w:rPr>
          <w:rFonts w:hint="eastAsia" w:eastAsia="宋体"/>
          <w:color w:val="000000" w:themeColor="text1"/>
          <w:szCs w:val="24"/>
          <w14:textFill>
            <w14:solidFill>
              <w14:schemeClr w14:val="tx1"/>
            </w14:solidFill>
          </w14:textFill>
        </w:rPr>
        <w:t>边长</w:t>
      </w:r>
      <w:r>
        <w:rPr>
          <w:rFonts w:eastAsia="宋体"/>
          <w:color w:val="000000" w:themeColor="text1"/>
          <w:szCs w:val="24"/>
          <w14:textFill>
            <w14:solidFill>
              <w14:schemeClr w14:val="tx1"/>
            </w14:solidFill>
          </w14:textFill>
        </w:rPr>
        <w:t>5km的矩形区域</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以1</w:t>
      </w:r>
      <w:r>
        <w:rPr>
          <w:rFonts w:hint="eastAsia" w:eastAsia="宋体"/>
          <w:color w:val="000000" w:themeColor="text1"/>
          <w:szCs w:val="24"/>
          <w14:textFill>
            <w14:solidFill>
              <w14:schemeClr w14:val="tx1"/>
            </w14:solidFill>
          </w14:textFill>
        </w:rPr>
        <w:t>号地块</w:t>
      </w:r>
      <w:r>
        <w:rPr>
          <w:rFonts w:eastAsia="宋体"/>
          <w:color w:val="000000" w:themeColor="text1"/>
          <w:szCs w:val="24"/>
          <w14:textFill>
            <w14:solidFill>
              <w14:schemeClr w14:val="tx1"/>
            </w14:solidFill>
          </w14:textFill>
        </w:rPr>
        <w:t>厂址为中心，</w:t>
      </w:r>
      <w:r>
        <w:rPr>
          <w:rFonts w:hint="eastAsia" w:eastAsia="宋体"/>
          <w:color w:val="000000" w:themeColor="text1"/>
          <w:szCs w:val="24"/>
          <w14:textFill>
            <w14:solidFill>
              <w14:schemeClr w14:val="tx1"/>
            </w14:solidFill>
          </w14:textFill>
        </w:rPr>
        <w:t>边长</w:t>
      </w:r>
      <w:r>
        <w:rPr>
          <w:rFonts w:eastAsia="宋体"/>
          <w:color w:val="000000" w:themeColor="text1"/>
          <w:szCs w:val="24"/>
          <w14:textFill>
            <w14:solidFill>
              <w14:schemeClr w14:val="tx1"/>
            </w14:solidFill>
          </w14:textFill>
        </w:rPr>
        <w:t>5km的矩形区域。</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③预测点位</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项目以</w:t>
      </w:r>
      <w:r>
        <w:rPr>
          <w:rFonts w:hint="eastAsia" w:eastAsia="宋体"/>
          <w:color w:val="000000" w:themeColor="text1"/>
          <w:szCs w:val="24"/>
          <w14:textFill>
            <w14:solidFill>
              <w14:schemeClr w14:val="tx1"/>
            </w14:solidFill>
          </w14:textFill>
        </w:rPr>
        <w:t>2号地块</w:t>
      </w:r>
      <w:r>
        <w:rPr>
          <w:rFonts w:eastAsia="宋体"/>
          <w:color w:val="000000" w:themeColor="text1"/>
          <w:szCs w:val="24"/>
          <w14:textFill>
            <w14:solidFill>
              <w14:schemeClr w14:val="tx1"/>
            </w14:solidFill>
          </w14:textFill>
        </w:rPr>
        <w:t>厂址中心（E105.74733°、N29.43651°）为中心区域（0，0）。考虑环境敏感点、污染气象条件、地形等特征，项目计算点包括评价范围内16个环境保护目标和整个评价区域。采用全球坐标定义标准生产地形高层数据的DEM文件，通过插值法获得敏感目标及网格坐标高程，</w:t>
      </w:r>
      <w:r>
        <w:rPr>
          <w:rFonts w:hint="eastAsia" w:eastAsia="宋体"/>
          <w:color w:val="000000" w:themeColor="text1"/>
          <w:szCs w:val="24"/>
          <w14:textFill>
            <w14:solidFill>
              <w14:schemeClr w14:val="tx1"/>
            </w14:solidFill>
          </w14:textFill>
        </w:rPr>
        <w:t>环境保护</w:t>
      </w:r>
      <w:r>
        <w:rPr>
          <w:rFonts w:eastAsia="宋体"/>
          <w:color w:val="000000" w:themeColor="text1"/>
          <w:szCs w:val="24"/>
          <w14:textFill>
            <w14:solidFill>
              <w14:schemeClr w14:val="tx1"/>
            </w14:solidFill>
          </w14:textFill>
        </w:rPr>
        <w:t>目标坐标详见表4.2-1。</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  各大气预测点坐标参数表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84"/>
        <w:gridCol w:w="1659"/>
        <w:gridCol w:w="1659"/>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Pr>
          <w:p>
            <w:pPr>
              <w:suppressAutoHyphens/>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2184" w:type="dxa"/>
          </w:tcPr>
          <w:p>
            <w:pPr>
              <w:suppressAutoHyphens/>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评价点</w:t>
            </w:r>
          </w:p>
        </w:tc>
        <w:tc>
          <w:tcPr>
            <w:tcW w:w="1659" w:type="dxa"/>
          </w:tcPr>
          <w:p>
            <w:pPr>
              <w:suppressAutoHyphens/>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X（m）</w:t>
            </w:r>
          </w:p>
        </w:tc>
        <w:tc>
          <w:tcPr>
            <w:tcW w:w="1659" w:type="dxa"/>
          </w:tcPr>
          <w:p>
            <w:pPr>
              <w:suppressAutoHyphens/>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Y（m）</w:t>
            </w:r>
          </w:p>
        </w:tc>
        <w:tc>
          <w:tcPr>
            <w:tcW w:w="1660" w:type="dxa"/>
          </w:tcPr>
          <w:p>
            <w:pPr>
              <w:suppressAutoHyphens/>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Z（m）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东胜村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414</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大足国家粮库</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-720</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-84</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邮亭镇</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-728</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-705</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邮亭中学</w:t>
            </w:r>
            <w:r>
              <w:rPr>
                <w:rFonts w:hint="eastAsia" w:eastAsia="宋体"/>
                <w:color w:val="000000" w:themeColor="text1"/>
                <w:sz w:val="21"/>
                <w:szCs w:val="21"/>
                <w14:textFill>
                  <w14:solidFill>
                    <w14:schemeClr w14:val="tx1"/>
                  </w14:solidFill>
                </w14:textFill>
              </w:rPr>
              <w:t>新校区</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-1222</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-903</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409.32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邮亭中学</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659</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72</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402.28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大足区春晖学校</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839</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-637</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434.44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八百春村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-2270</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334</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大足南站</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-501</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-1335</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402.26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石股岭</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-1087</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-2163</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驿新苑小区</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160</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537</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东风村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736</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-146</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396.62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曹家院子</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554</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2450</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384.07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红林村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395</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2035</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天福村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204</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3213</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陈家新院子</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-2394</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2873</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bottom"/>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2184"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碧绿村</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1468</w:t>
            </w:r>
          </w:p>
        </w:tc>
        <w:tc>
          <w:tcPr>
            <w:tcW w:w="1659"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2579</w:t>
            </w:r>
          </w:p>
        </w:tc>
        <w:tc>
          <w:tcPr>
            <w:tcW w:w="1660" w:type="dxa"/>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397.56</w:t>
            </w:r>
          </w:p>
        </w:tc>
      </w:tr>
    </w:tbl>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（3）</w:t>
      </w:r>
      <w:r>
        <w:rPr>
          <w:rFonts w:hint="eastAsia" w:eastAsia="宋体"/>
          <w:b/>
          <w:bCs/>
          <w:color w:val="000000" w:themeColor="text1"/>
          <w:szCs w:val="24"/>
          <w14:textFill>
            <w14:solidFill>
              <w14:schemeClr w14:val="tx1"/>
            </w14:solidFill>
          </w14:textFill>
        </w:rPr>
        <w:t>预测情形</w:t>
      </w:r>
    </w:p>
    <w:p>
      <w:pPr>
        <w:ind w:firstLine="480"/>
        <w:rPr>
          <w:rFonts w:ascii="宋体" w:hAnsi="宋体" w:eastAsia="宋体"/>
          <w:color w:val="000000" w:themeColor="text1"/>
          <w:shd w:val="clear" w:color="auto" w:fill="FFFFFF"/>
          <w14:textFill>
            <w14:solidFill>
              <w14:schemeClr w14:val="tx1"/>
            </w14:solidFill>
          </w14:textFill>
        </w:rPr>
      </w:pPr>
      <w:r>
        <w:rPr>
          <w:rFonts w:ascii="宋体" w:hAnsi="宋体" w:eastAsia="宋体"/>
          <w:color w:val="000000" w:themeColor="text1"/>
          <w14:textFill>
            <w14:solidFill>
              <w14:schemeClr w14:val="tx1"/>
            </w14:solidFill>
          </w14:textFill>
        </w:rPr>
        <w:t>根据各评价因子环境质量标准限值要求，制定</w:t>
      </w:r>
      <w:r>
        <w:rPr>
          <w:rFonts w:hint="eastAsia" w:ascii="宋体" w:hAnsi="宋体" w:eastAsia="宋体"/>
          <w:color w:val="000000" w:themeColor="text1"/>
          <w14:textFill>
            <w14:solidFill>
              <w14:schemeClr w14:val="tx1"/>
            </w14:solidFill>
          </w14:textFill>
        </w:rPr>
        <w:t>本项目</w:t>
      </w:r>
      <w:r>
        <w:rPr>
          <w:rFonts w:ascii="宋体" w:hAnsi="宋体" w:eastAsia="宋体"/>
          <w:color w:val="000000" w:themeColor="text1"/>
          <w14:textFill>
            <w14:solidFill>
              <w14:schemeClr w14:val="tx1"/>
            </w14:solidFill>
          </w14:textFill>
        </w:rPr>
        <w:t>预测方案及内容见下表。</w:t>
      </w:r>
    </w:p>
    <w:p>
      <w:pPr>
        <w:pStyle w:val="4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2  预测内容表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033"/>
        <w:gridCol w:w="1535"/>
        <w:gridCol w:w="746"/>
        <w:gridCol w:w="1183"/>
        <w:gridCol w:w="991"/>
        <w:gridCol w:w="2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评价对象</w:t>
            </w:r>
          </w:p>
        </w:tc>
        <w:tc>
          <w:tcPr>
            <w:tcW w:w="1007" w:type="dxa"/>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污染源</w:t>
            </w:r>
          </w:p>
        </w:tc>
        <w:tc>
          <w:tcPr>
            <w:tcW w:w="1496" w:type="dxa"/>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因子</w:t>
            </w:r>
          </w:p>
        </w:tc>
        <w:tc>
          <w:tcPr>
            <w:tcW w:w="727" w:type="dxa"/>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排放形式</w:t>
            </w:r>
          </w:p>
        </w:tc>
        <w:tc>
          <w:tcPr>
            <w:tcW w:w="2119" w:type="dxa"/>
            <w:gridSpan w:val="2"/>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预测内容</w:t>
            </w:r>
          </w:p>
        </w:tc>
        <w:tc>
          <w:tcPr>
            <w:tcW w:w="2274" w:type="dxa"/>
            <w:vAlign w:val="center"/>
          </w:tcPr>
          <w:p>
            <w:pPr>
              <w:pStyle w:val="294"/>
              <w:ind w:firstLine="0"/>
              <w:outlineLvl w:val="9"/>
              <w:rPr>
                <w:b/>
                <w:color w:val="000000" w:themeColor="text1"/>
                <w:sz w:val="21"/>
                <w:szCs w:val="21"/>
                <w:shd w:val="clear" w:color="auto" w:fill="FFFFFF"/>
                <w14:textFill>
                  <w14:solidFill>
                    <w14:schemeClr w14:val="tx1"/>
                  </w14:solidFill>
                </w14:textFill>
              </w:rPr>
            </w:pPr>
            <w:r>
              <w:rPr>
                <w:b/>
                <w:color w:val="000000" w:themeColor="text1"/>
                <w:sz w:val="21"/>
                <w:szCs w:val="21"/>
                <w:shd w:val="clear" w:color="auto" w:fill="FFFFFF"/>
                <w14:textFill>
                  <w14:solidFill>
                    <w14:schemeClr w14:val="tx1"/>
                  </w14:solidFill>
                </w14:textFill>
              </w:rPr>
              <w:t>评价内容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达标区评价项目</w:t>
            </w:r>
          </w:p>
        </w:tc>
        <w:tc>
          <w:tcPr>
            <w:tcW w:w="100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新增污染源</w:t>
            </w: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非甲烷总烃</w:t>
            </w:r>
          </w:p>
        </w:tc>
        <w:tc>
          <w:tcPr>
            <w:tcW w:w="72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正常排放</w:t>
            </w: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最大浓度占标率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甲苯</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二甲苯</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2.5</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restart"/>
            <w:vAlign w:val="center"/>
          </w:tcPr>
          <w:p>
            <w:pPr>
              <w:pStyle w:val="294"/>
              <w:ind w:firstLine="0"/>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短期浓度、长期浓度</w:t>
            </w:r>
          </w:p>
        </w:tc>
        <w:tc>
          <w:tcPr>
            <w:tcW w:w="966" w:type="dxa"/>
            <w:vMerge w:val="restart"/>
            <w:vAlign w:val="center"/>
          </w:tcPr>
          <w:p>
            <w:pPr>
              <w:pStyle w:val="294"/>
              <w:ind w:firstLine="0"/>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小时、日均、年均</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10</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新增污染源-区域削减污染源+其他在建拟建污染源</w:t>
            </w: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非甲烷总烃</w:t>
            </w:r>
          </w:p>
        </w:tc>
        <w:tc>
          <w:tcPr>
            <w:tcW w:w="72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正常排放</w:t>
            </w: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14:textFill>
                  <w14:solidFill>
                    <w14:schemeClr w14:val="tx1"/>
                  </w14:solidFill>
                </w14:textFill>
              </w:rPr>
              <w:t>短期浓度的达标情况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甲苯</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短期浓度的达标情况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二甲苯</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14:textFill>
                  <w14:solidFill>
                    <w14:schemeClr w14:val="tx1"/>
                  </w14:solidFill>
                </w14:textFill>
              </w:rPr>
              <w:t>短期浓度的达标情况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2.5</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短期浓度、长期浓度</w:t>
            </w:r>
          </w:p>
        </w:tc>
        <w:tc>
          <w:tcPr>
            <w:tcW w:w="966"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小时、日均、年均</w:t>
            </w:r>
          </w:p>
        </w:tc>
        <w:tc>
          <w:tcPr>
            <w:tcW w:w="2274" w:type="dxa"/>
            <w:vMerge w:val="restart"/>
            <w:vAlign w:val="center"/>
          </w:tcPr>
          <w:p>
            <w:pPr>
              <w:pStyle w:val="294"/>
              <w:ind w:firstLine="0"/>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叠加环境质量现状浓度后的保证率日平均、年平均质量浓度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10</w:t>
            </w:r>
          </w:p>
        </w:tc>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新增污染源</w:t>
            </w: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非甲烷总烃</w:t>
            </w:r>
          </w:p>
        </w:tc>
        <w:tc>
          <w:tcPr>
            <w:tcW w:w="72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非正常排放</w:t>
            </w:r>
          </w:p>
        </w:tc>
        <w:tc>
          <w:tcPr>
            <w:tcW w:w="1153"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1h平均质量浓度</w:t>
            </w:r>
          </w:p>
        </w:tc>
        <w:tc>
          <w:tcPr>
            <w:tcW w:w="966"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最大浓度占标率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甲苯</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二甲苯</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P</w:t>
            </w:r>
            <w:r>
              <w:rPr>
                <w:color w:val="000000" w:themeColor="text1"/>
                <w:sz w:val="21"/>
                <w:szCs w:val="21"/>
                <w:shd w:val="clear" w:color="auto" w:fill="FFFFFF"/>
                <w14:textFill>
                  <w14:solidFill>
                    <w14:schemeClr w14:val="tx1"/>
                  </w14:solidFill>
                </w14:textFill>
              </w:rPr>
              <w:t>M</w:t>
            </w:r>
            <w:r>
              <w:rPr>
                <w:color w:val="000000" w:themeColor="text1"/>
                <w:sz w:val="21"/>
                <w:szCs w:val="21"/>
                <w:shd w:val="clear" w:color="auto" w:fill="FFFFFF"/>
                <w:vertAlign w:val="subscript"/>
                <w14:textFill>
                  <w14:solidFill>
                    <w14:schemeClr w14:val="tx1"/>
                  </w14:solidFill>
                </w14:textFill>
              </w:rPr>
              <w:t>2.5</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10</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大气环境防护距离</w:t>
            </w:r>
          </w:p>
        </w:tc>
        <w:tc>
          <w:tcPr>
            <w:tcW w:w="100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新增污染源</w:t>
            </w: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非甲烷总烃</w:t>
            </w:r>
          </w:p>
        </w:tc>
        <w:tc>
          <w:tcPr>
            <w:tcW w:w="727"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正常排放</w:t>
            </w:r>
          </w:p>
        </w:tc>
        <w:tc>
          <w:tcPr>
            <w:tcW w:w="1153"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短期浓度</w:t>
            </w: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Merge w:val="restart"/>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大气环境防护距离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甲苯</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小时</w:t>
            </w: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二甲苯</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2.5</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小时</w:t>
            </w: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00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49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PM</w:t>
            </w:r>
            <w:r>
              <w:rPr>
                <w:color w:val="000000" w:themeColor="text1"/>
                <w:sz w:val="21"/>
                <w:szCs w:val="21"/>
                <w:shd w:val="clear" w:color="auto" w:fill="FFFFFF"/>
                <w:vertAlign w:val="subscript"/>
                <w14:textFill>
                  <w14:solidFill>
                    <w14:schemeClr w14:val="tx1"/>
                  </w14:solidFill>
                </w14:textFill>
              </w:rPr>
              <w:t>10</w:t>
            </w:r>
          </w:p>
        </w:tc>
        <w:tc>
          <w:tcPr>
            <w:tcW w:w="727"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1153"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c>
          <w:tcPr>
            <w:tcW w:w="966" w:type="dxa"/>
            <w:vAlign w:val="center"/>
          </w:tcPr>
          <w:p>
            <w:pPr>
              <w:pStyle w:val="294"/>
              <w:ind w:firstLine="0"/>
              <w:outlineLvl w:val="9"/>
              <w:rPr>
                <w:color w:val="000000" w:themeColor="text1"/>
                <w:sz w:val="21"/>
                <w:szCs w:val="21"/>
                <w:shd w:val="clear" w:color="auto" w:fill="FFFFFF"/>
                <w14:textFill>
                  <w14:solidFill>
                    <w14:schemeClr w14:val="tx1"/>
                  </w14:solidFill>
                </w14:textFill>
              </w:rPr>
            </w:pPr>
            <w:r>
              <w:rPr>
                <w:color w:val="000000" w:themeColor="text1"/>
                <w:sz w:val="21"/>
                <w:szCs w:val="21"/>
                <w:shd w:val="clear" w:color="auto" w:fill="FFFFFF"/>
                <w14:textFill>
                  <w14:solidFill>
                    <w14:schemeClr w14:val="tx1"/>
                  </w14:solidFill>
                </w14:textFill>
              </w:rPr>
              <w:t>小时</w:t>
            </w:r>
          </w:p>
        </w:tc>
        <w:tc>
          <w:tcPr>
            <w:tcW w:w="2274" w:type="dxa"/>
            <w:vMerge w:val="continue"/>
            <w:vAlign w:val="center"/>
          </w:tcPr>
          <w:p>
            <w:pPr>
              <w:pStyle w:val="294"/>
              <w:ind w:firstLine="0"/>
              <w:outlineLvl w:val="9"/>
              <w:rPr>
                <w:color w:val="000000" w:themeColor="text1"/>
                <w:sz w:val="21"/>
                <w:szCs w:val="21"/>
                <w:shd w:val="clear" w:color="auto" w:fill="FFFFFF"/>
                <w14:textFill>
                  <w14:solidFill>
                    <w14:schemeClr w14:val="tx1"/>
                  </w14:solidFill>
                </w14:textFill>
              </w:rPr>
            </w:pPr>
          </w:p>
        </w:tc>
      </w:tr>
    </w:tbl>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①本项目</w:t>
      </w:r>
      <w:r>
        <w:rPr>
          <w:rFonts w:eastAsia="宋体"/>
          <w:color w:val="000000" w:themeColor="text1"/>
          <w:szCs w:val="24"/>
          <w14:textFill>
            <w14:solidFill>
              <w14:schemeClr w14:val="tx1"/>
            </w14:solidFill>
          </w14:textFill>
        </w:rPr>
        <w:t>正常工况浓度预测</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w:t>
      </w:r>
      <w:r>
        <w:rPr>
          <w:rFonts w:eastAsia="宋体"/>
          <w:color w:val="000000" w:themeColor="text1"/>
          <w:szCs w:val="24"/>
          <w14:textFill>
            <w14:solidFill>
              <w14:schemeClr w14:val="tx1"/>
            </w14:solidFill>
          </w14:textFill>
        </w:rPr>
        <w:t>建成后，全年（2022年）逐时气象条件下，环境空气保护目标以及预测网格点处的地面浓度和评价范围内的最大地面浓度。</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②本项目</w:t>
      </w:r>
      <w:r>
        <w:rPr>
          <w:rFonts w:eastAsia="宋体"/>
          <w:color w:val="000000" w:themeColor="text1"/>
          <w:szCs w:val="24"/>
          <w14:textFill>
            <w14:solidFill>
              <w14:schemeClr w14:val="tx1"/>
            </w14:solidFill>
          </w14:textFill>
        </w:rPr>
        <w:t>建成后环境空气质量预测与评价</w:t>
      </w:r>
    </w:p>
    <w:p>
      <w:pPr>
        <w:suppressAutoHyphens/>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预测叠加现状浓度值，并叠加预测范围内其他在建项目的环境影响后，环境空气保护目标和预测网格点各预测因子的不同时段平均质量浓度变化率。</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③本项目</w:t>
      </w:r>
      <w:r>
        <w:rPr>
          <w:rFonts w:eastAsia="宋体"/>
          <w:color w:val="000000" w:themeColor="text1"/>
          <w:szCs w:val="24"/>
          <w14:textFill>
            <w14:solidFill>
              <w14:schemeClr w14:val="tx1"/>
            </w14:solidFill>
          </w14:textFill>
        </w:rPr>
        <w:t>非正常工况浓度预测</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w:t>
      </w:r>
      <w:r>
        <w:rPr>
          <w:rFonts w:eastAsia="宋体"/>
          <w:color w:val="000000" w:themeColor="text1"/>
          <w:szCs w:val="24"/>
          <w14:textFill>
            <w14:solidFill>
              <w14:schemeClr w14:val="tx1"/>
            </w14:solidFill>
          </w14:textFill>
        </w:rPr>
        <w:t>建成后，非正常工况下，环境空气保护目标、网格点处的地面浓度和评价范围内的最大地面小时浓度。</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环境防护距离</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w:t>
      </w:r>
      <w:r>
        <w:rPr>
          <w:rFonts w:eastAsia="宋体"/>
          <w:color w:val="000000" w:themeColor="text1"/>
          <w:szCs w:val="24"/>
          <w14:textFill>
            <w14:solidFill>
              <w14:schemeClr w14:val="tx1"/>
            </w14:solidFill>
          </w14:textFill>
        </w:rPr>
        <w:t>建成后，全厂大气污染物排放源强作为环境防护距离计算的源强，预测评价范围内的最大地面小时浓度。</w:t>
      </w:r>
    </w:p>
    <w:p>
      <w:pPr>
        <w:suppressAutoHyphens/>
        <w:ind w:firstLine="482"/>
        <w:rPr>
          <w:rFonts w:eastAsia="宋体"/>
          <w:b/>
          <w:bCs/>
          <w:color w:val="000000" w:themeColor="text1"/>
          <w14:textFill>
            <w14:solidFill>
              <w14:schemeClr w14:val="tx1"/>
            </w14:solidFill>
          </w14:textFill>
        </w:rPr>
      </w:pPr>
      <w:r>
        <w:rPr>
          <w:rFonts w:hint="eastAsia" w:eastAsia="宋体"/>
          <w:b/>
          <w:color w:val="000000" w:themeColor="text1"/>
          <w:szCs w:val="24"/>
          <w14:textFill>
            <w14:solidFill>
              <w14:schemeClr w14:val="tx1"/>
            </w14:solidFill>
          </w14:textFill>
        </w:rPr>
        <w:t>（</w:t>
      </w:r>
      <w:r>
        <w:rPr>
          <w:rFonts w:eastAsia="宋体"/>
          <w:b/>
          <w:color w:val="000000" w:themeColor="text1"/>
          <w:szCs w:val="24"/>
          <w14:textFill>
            <w14:solidFill>
              <w14:schemeClr w14:val="tx1"/>
            </w14:solidFill>
          </w14:textFill>
        </w:rPr>
        <w:t>4</w:t>
      </w:r>
      <w:r>
        <w:rPr>
          <w:rFonts w:hint="eastAsia" w:eastAsia="宋体"/>
          <w:b/>
          <w:color w:val="000000" w:themeColor="text1"/>
          <w:szCs w:val="24"/>
          <w14:textFill>
            <w14:solidFill>
              <w14:schemeClr w14:val="tx1"/>
            </w14:solidFill>
          </w14:textFill>
        </w:rPr>
        <w:t>）</w:t>
      </w:r>
      <w:r>
        <w:rPr>
          <w:rFonts w:eastAsia="宋体"/>
          <w:b/>
          <w:bCs/>
          <w:color w:val="000000" w:themeColor="text1"/>
          <w14:textFill>
            <w14:solidFill>
              <w14:schemeClr w14:val="tx1"/>
            </w14:solidFill>
          </w14:textFill>
        </w:rPr>
        <w:t>预测源强</w:t>
      </w:r>
    </w:p>
    <w:p>
      <w:pPr>
        <w:suppressAutoHyphens/>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本项目污染源调查</w:t>
      </w: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根据工程分析，</w:t>
      </w:r>
      <w:r>
        <w:rPr>
          <w:rFonts w:hint="eastAsia" w:eastAsia="宋体"/>
          <w:color w:val="000000" w:themeColor="text1"/>
          <w14:textFill>
            <w14:solidFill>
              <w14:schemeClr w14:val="tx1"/>
            </w14:solidFill>
          </w14:textFill>
        </w:rPr>
        <w:t>本项目各污染源</w:t>
      </w:r>
      <w:r>
        <w:rPr>
          <w:rFonts w:eastAsia="宋体"/>
          <w:color w:val="000000" w:themeColor="text1"/>
          <w14:textFill>
            <w14:solidFill>
              <w14:schemeClr w14:val="tx1"/>
            </w14:solidFill>
          </w14:textFill>
        </w:rPr>
        <w:t>详见表4.2-3</w:t>
      </w:r>
      <w:r>
        <w:rPr>
          <w:rFonts w:hint="eastAsia" w:eastAsia="宋体"/>
          <w:color w:val="000000" w:themeColor="text1"/>
          <w14:textFill>
            <w14:solidFill>
              <w14:schemeClr w14:val="tx1"/>
            </w14:solidFill>
          </w14:textFill>
        </w:rPr>
        <w:t>和表4</w:t>
      </w:r>
      <w:r>
        <w:rPr>
          <w:rFonts w:eastAsia="宋体"/>
          <w:color w:val="000000" w:themeColor="text1"/>
          <w14:textFill>
            <w14:solidFill>
              <w14:schemeClr w14:val="tx1"/>
            </w14:solidFill>
          </w14:textFill>
        </w:rPr>
        <w:t>.2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3  项目</w:t>
      </w:r>
      <w:r>
        <w:rPr>
          <w:rFonts w:hint="eastAsia" w:eastAsia="宋体"/>
          <w:b/>
          <w:bCs/>
          <w:color w:val="000000" w:themeColor="text1"/>
          <w:szCs w:val="24"/>
          <w14:textFill>
            <w14:solidFill>
              <w14:schemeClr w14:val="tx1"/>
            </w14:solidFill>
          </w14:textFill>
        </w:rPr>
        <w:t>各污染源排放</w:t>
      </w:r>
      <w:r>
        <w:rPr>
          <w:rFonts w:eastAsia="宋体"/>
          <w:b/>
          <w:bCs/>
          <w:color w:val="000000" w:themeColor="text1"/>
          <w:szCs w:val="24"/>
          <w14:textFill>
            <w14:solidFill>
              <w14:schemeClr w14:val="tx1"/>
            </w14:solidFill>
          </w14:textFill>
        </w:rPr>
        <w:t>参数一览表</w:t>
      </w:r>
      <w:r>
        <w:rPr>
          <w:rFonts w:hint="eastAsia" w:eastAsia="宋体"/>
          <w:b/>
          <w:bCs/>
          <w:color w:val="000000" w:themeColor="text1"/>
          <w:szCs w:val="24"/>
          <w14:textFill>
            <w14:solidFill>
              <w14:schemeClr w14:val="tx1"/>
            </w14:solidFill>
          </w14:textFill>
        </w:rPr>
        <w:t>（正常工况）</w:t>
      </w:r>
    </w:p>
    <w:tbl>
      <w:tblPr>
        <w:tblStyle w:val="8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81"/>
        <w:gridCol w:w="1094"/>
        <w:gridCol w:w="966"/>
        <w:gridCol w:w="1145"/>
        <w:gridCol w:w="1079"/>
        <w:gridCol w:w="985"/>
        <w:gridCol w:w="885"/>
        <w:gridCol w:w="8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污染源</w:t>
            </w:r>
          </w:p>
        </w:tc>
        <w:tc>
          <w:tcPr>
            <w:tcW w:w="642"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w:t>
            </w:r>
          </w:p>
        </w:tc>
        <w:tc>
          <w:tcPr>
            <w:tcW w:w="567"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年排放时间/h</w:t>
            </w:r>
          </w:p>
        </w:tc>
        <w:tc>
          <w:tcPr>
            <w:tcW w:w="672"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源强</w:t>
            </w:r>
          </w:p>
        </w:tc>
        <w:tc>
          <w:tcPr>
            <w:tcW w:w="633" w:type="pct"/>
            <w:vMerge w:val="restar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设计排气量（m³/h）</w:t>
            </w:r>
          </w:p>
        </w:tc>
        <w:tc>
          <w:tcPr>
            <w:tcW w:w="1618" w:type="pct"/>
            <w:gridSpan w:val="3"/>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排放源参数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9"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42"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567"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72"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633" w:type="pct"/>
            <w:vMerge w:val="continue"/>
            <w:vAlign w:val="center"/>
          </w:tcPr>
          <w:p>
            <w:pPr>
              <w:pStyle w:val="447"/>
              <w:rPr>
                <w:rFonts w:ascii="Times New Roman" w:hAnsi="Times New Roman" w:cs="Times New Roman"/>
                <w:b/>
                <w:color w:val="000000" w:themeColor="text1"/>
                <w:szCs w:val="21"/>
                <w14:textFill>
                  <w14:solidFill>
                    <w14:schemeClr w14:val="tx1"/>
                  </w14:solidFill>
                </w14:textFill>
              </w:rPr>
            </w:pPr>
          </w:p>
        </w:tc>
        <w:tc>
          <w:tcPr>
            <w:tcW w:w="578"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内径（m）</w:t>
            </w:r>
          </w:p>
        </w:tc>
        <w:tc>
          <w:tcPr>
            <w:tcW w:w="519"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高度</w:t>
            </w:r>
            <w:r>
              <w:rPr>
                <w:rFonts w:hint="eastAsia" w:ascii="Times New Roman" w:hAnsi="Times New Roman" w:cs="Times New Roman"/>
                <w:b/>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m</w:t>
            </w:r>
            <w:r>
              <w:rPr>
                <w:rFonts w:hint="eastAsia" w:ascii="Times New Roman" w:hAnsi="Times New Roman" w:cs="Times New Roman"/>
                <w:b/>
                <w:color w:val="000000" w:themeColor="text1"/>
                <w:szCs w:val="21"/>
                <w:lang w:eastAsia="zh-CN"/>
                <w14:textFill>
                  <w14:solidFill>
                    <w14:schemeClr w14:val="tx1"/>
                  </w14:solidFill>
                </w14:textFill>
              </w:rPr>
              <w:t>）</w:t>
            </w:r>
          </w:p>
        </w:tc>
        <w:tc>
          <w:tcPr>
            <w:tcW w:w="521" w:type="pct"/>
            <w:vAlign w:val="center"/>
          </w:tcPr>
          <w:p>
            <w:pPr>
              <w:pStyle w:val="44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温度（℃）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DA001</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0.271</w:t>
            </w:r>
            <w:r>
              <w:rPr>
                <w:rFonts w:hint="eastAsia" w:ascii="Times New Roman" w:hAnsi="Times New Roman" w:cs="Times New Roman"/>
                <w:color w:val="000000" w:themeColor="text1"/>
                <w:szCs w:val="21"/>
                <w14:textFill>
                  <w14:solidFill>
                    <w14:schemeClr w14:val="tx1"/>
                  </w14:solidFill>
                </w14:textFill>
              </w:rPr>
              <w:t>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0.8</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.136</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DA002</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0.662</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.331</w:t>
            </w:r>
            <w:r>
              <w:rPr>
                <w:rFonts w:hint="eastAsia" w:ascii="Times New Roman" w:hAnsi="Times New Roman" w:cs="Times New Roman"/>
                <w:color w:val="000000" w:themeColor="text1"/>
                <w:szCs w:val="21"/>
                <w14:textFill>
                  <w14:solidFill>
                    <w14:schemeClr w14:val="tx1"/>
                  </w14:solidFill>
                </w14:textFill>
              </w:rPr>
              <w:t xml:space="preserve"> kg</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DA003</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567"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4800</w:t>
            </w: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70000</w:t>
            </w:r>
          </w:p>
        </w:tc>
        <w:tc>
          <w:tcPr>
            <w:tcW w:w="578"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51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521"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二甲苯</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.331</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.383</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h</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78"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1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521"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切割下料面源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.390</w:t>
            </w:r>
            <w:r>
              <w:rPr>
                <w:rFonts w:hint="eastAsia" w:ascii="Times New Roman" w:hAnsi="Times New Roman" w:cs="Times New Roman"/>
                <w:color w:val="000000" w:themeColor="text1"/>
                <w:szCs w:val="21"/>
                <w14:textFill>
                  <w14:solidFill>
                    <w14:schemeClr w14:val="tx1"/>
                  </w14:solidFill>
                </w14:textFill>
              </w:rPr>
              <w:t>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长×宽×高=210×50×14m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.695</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焊接面源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.312</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长×宽×高=103×269×14m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.606</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喷砂车间</w:t>
            </w:r>
            <w:r>
              <w:rPr>
                <w:rFonts w:ascii="Times New Roman" w:hAnsi="Times New Roman" w:cs="Times New Roman"/>
                <w:color w:val="000000" w:themeColor="text1"/>
                <w:szCs w:val="21"/>
                <w14:textFill>
                  <w14:solidFill>
                    <w14:schemeClr w14:val="tx1"/>
                  </w14:solidFill>
                </w14:textFill>
              </w:rPr>
              <w:t>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120</w:t>
            </w: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.384</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长×宽×高=20×18×7m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7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.642</w:t>
            </w:r>
            <w:r>
              <w:rPr>
                <w:rFonts w:hint="eastAsia" w:ascii="Times New Roman" w:hAnsi="Times New Roman" w:cs="Times New Roman"/>
                <w:color w:val="000000" w:themeColor="text1"/>
                <w:szCs w:val="21"/>
                <w14:textFill>
                  <w14:solidFill>
                    <w14:schemeClr w14:val="tx1"/>
                  </w14:solidFill>
                </w14:textFill>
              </w:rPr>
              <w:t xml:space="preserve"> t</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涂装面源</w:t>
            </w: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甲苯</w:t>
            </w:r>
          </w:p>
        </w:tc>
        <w:tc>
          <w:tcPr>
            <w:tcW w:w="567" w:type="pct"/>
            <w:vMerge w:val="restar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4800</w:t>
            </w: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.059</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618" w:type="pct"/>
            <w:gridSpan w:val="3"/>
            <w:vMerge w:val="restar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长×宽×高=6×26×7m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二甲苯</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.022</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非甲烷总烃</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.453</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10</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.583</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69"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642" w:type="pct"/>
            <w:vAlign w:val="center"/>
          </w:tcPr>
          <w:p>
            <w:pPr>
              <w:pStyle w:val="44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bscript"/>
                <w14:textFill>
                  <w14:solidFill>
                    <w14:schemeClr w14:val="tx1"/>
                  </w14:solidFill>
                </w14:textFill>
              </w:rPr>
              <w:t>2.5</w:t>
            </w:r>
          </w:p>
        </w:tc>
        <w:tc>
          <w:tcPr>
            <w:tcW w:w="567" w:type="pct"/>
            <w:vMerge w:val="continue"/>
            <w:vAlign w:val="center"/>
          </w:tcPr>
          <w:p>
            <w:pPr>
              <w:pStyle w:val="29"/>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.292</w:t>
            </w:r>
            <w:r>
              <w:rPr>
                <w:rFonts w:hint="eastAsia"/>
                <w:color w:val="000000" w:themeColor="text1"/>
                <w:szCs w:val="21"/>
                <w14:textFill>
                  <w14:solidFill>
                    <w14:schemeClr w14:val="tx1"/>
                  </w14:solidFill>
                </w14:textFill>
              </w:rPr>
              <w:t xml:space="preserve"> 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a</w:t>
            </w:r>
          </w:p>
        </w:tc>
        <w:tc>
          <w:tcPr>
            <w:tcW w:w="633" w:type="pct"/>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c>
          <w:tcPr>
            <w:tcW w:w="1618" w:type="pct"/>
            <w:gridSpan w:val="3"/>
            <w:vMerge w:val="continue"/>
            <w:vAlign w:val="center"/>
          </w:tcPr>
          <w:p>
            <w:pPr>
              <w:pStyle w:val="447"/>
              <w:rPr>
                <w:rFonts w:ascii="Times New Roman" w:hAnsi="Times New Roman" w:cs="Times New Roman"/>
                <w:color w:val="000000" w:themeColor="text1"/>
                <w:szCs w:val="21"/>
                <w14:textFill>
                  <w14:solidFill>
                    <w14:schemeClr w14:val="tx1"/>
                  </w14:solidFill>
                </w14:textFill>
              </w:rPr>
            </w:pPr>
          </w:p>
        </w:tc>
      </w:tr>
    </w:tbl>
    <w:p>
      <w:pPr>
        <w:suppressAutoHyphens/>
        <w:spacing w:line="240" w:lineRule="auto"/>
        <w:jc w:val="left"/>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注：参考《第二届火电行业环境保护研讨会纪要》（火电环境保护中心，2</w:t>
      </w:r>
      <w:r>
        <w:rPr>
          <w:rFonts w:eastAsia="宋体"/>
          <w:bCs/>
          <w:color w:val="000000" w:themeColor="text1"/>
          <w:sz w:val="21"/>
          <w:szCs w:val="21"/>
          <w14:textFill>
            <w14:solidFill>
              <w14:schemeClr w14:val="tx1"/>
            </w14:solidFill>
          </w14:textFill>
        </w:rPr>
        <w:t>023</w:t>
      </w:r>
      <w:r>
        <w:rPr>
          <w:rFonts w:hint="eastAsia" w:eastAsia="宋体"/>
          <w:bCs/>
          <w:color w:val="000000" w:themeColor="text1"/>
          <w:sz w:val="21"/>
          <w:szCs w:val="21"/>
          <w14:textFill>
            <w14:solidFill>
              <w14:schemeClr w14:val="tx1"/>
            </w14:solidFill>
          </w14:textFill>
        </w:rPr>
        <w:t>年1</w:t>
      </w:r>
      <w:r>
        <w:rPr>
          <w:rFonts w:eastAsia="宋体"/>
          <w:bCs/>
          <w:color w:val="000000" w:themeColor="text1"/>
          <w:sz w:val="21"/>
          <w:szCs w:val="21"/>
          <w14:textFill>
            <w14:solidFill>
              <w14:schemeClr w14:val="tx1"/>
            </w14:solidFill>
          </w14:textFill>
        </w:rPr>
        <w:t>2</w:t>
      </w:r>
      <w:r>
        <w:rPr>
          <w:rFonts w:hint="eastAsia" w:eastAsia="宋体"/>
          <w:bCs/>
          <w:color w:val="000000" w:themeColor="text1"/>
          <w:sz w:val="21"/>
          <w:szCs w:val="21"/>
          <w14:textFill>
            <w14:solidFill>
              <w14:schemeClr w14:val="tx1"/>
            </w14:solidFill>
          </w14:textFill>
        </w:rPr>
        <w:t>月2</w:t>
      </w:r>
      <w:r>
        <w:rPr>
          <w:rFonts w:eastAsia="宋体"/>
          <w:bCs/>
          <w:color w:val="000000" w:themeColor="text1"/>
          <w:sz w:val="21"/>
          <w:szCs w:val="21"/>
          <w14:textFill>
            <w14:solidFill>
              <w14:schemeClr w14:val="tx1"/>
            </w14:solidFill>
          </w14:textFill>
        </w:rPr>
        <w:t>5</w:t>
      </w:r>
      <w:r>
        <w:rPr>
          <w:rFonts w:hint="eastAsia" w:eastAsia="宋体"/>
          <w:bCs/>
          <w:color w:val="000000" w:themeColor="text1"/>
          <w:sz w:val="21"/>
          <w:szCs w:val="21"/>
          <w14:textFill>
            <w14:solidFill>
              <w14:schemeClr w14:val="tx1"/>
            </w14:solidFill>
          </w14:textFill>
        </w:rPr>
        <w:t>日发布），PM</w:t>
      </w:r>
      <w:r>
        <w:rPr>
          <w:rFonts w:hint="eastAsia" w:eastAsia="宋体"/>
          <w:bCs/>
          <w:color w:val="000000" w:themeColor="text1"/>
          <w:sz w:val="21"/>
          <w:szCs w:val="21"/>
          <w:vertAlign w:val="subscript"/>
          <w14:textFill>
            <w14:solidFill>
              <w14:schemeClr w14:val="tx1"/>
            </w14:solidFill>
          </w14:textFill>
        </w:rPr>
        <w:t>2.5</w:t>
      </w:r>
      <w:r>
        <w:rPr>
          <w:rFonts w:hint="eastAsia" w:eastAsia="宋体"/>
          <w:bCs/>
          <w:color w:val="000000" w:themeColor="text1"/>
          <w:sz w:val="21"/>
          <w:szCs w:val="21"/>
          <w14:textFill>
            <w14:solidFill>
              <w14:schemeClr w14:val="tx1"/>
            </w14:solidFill>
          </w14:textFill>
        </w:rPr>
        <w:t>按P</w:t>
      </w:r>
      <w:r>
        <w:rPr>
          <w:rFonts w:eastAsia="宋体"/>
          <w:bCs/>
          <w:color w:val="000000" w:themeColor="text1"/>
          <w:sz w:val="21"/>
          <w:szCs w:val="21"/>
          <w14:textFill>
            <w14:solidFill>
              <w14:schemeClr w14:val="tx1"/>
            </w14:solidFill>
          </w14:textFill>
        </w:rPr>
        <w:t>M</w:t>
      </w:r>
      <w:r>
        <w:rPr>
          <w:rFonts w:eastAsia="宋体"/>
          <w:bCs/>
          <w:color w:val="000000" w:themeColor="text1"/>
          <w:sz w:val="21"/>
          <w:szCs w:val="21"/>
          <w:vertAlign w:val="subscript"/>
          <w14:textFill>
            <w14:solidFill>
              <w14:schemeClr w14:val="tx1"/>
            </w14:solidFill>
          </w14:textFill>
        </w:rPr>
        <w:t>10</w:t>
      </w:r>
      <w:r>
        <w:rPr>
          <w:rFonts w:hint="eastAsia" w:eastAsia="宋体"/>
          <w:bCs/>
          <w:color w:val="000000" w:themeColor="text1"/>
          <w:sz w:val="21"/>
          <w:szCs w:val="21"/>
          <w14:textFill>
            <w14:solidFill>
              <w14:schemeClr w14:val="tx1"/>
            </w14:solidFill>
          </w14:textFill>
        </w:rPr>
        <w:t>总量的50%考虑，以下同。</w:t>
      </w:r>
    </w:p>
    <w:p>
      <w:pPr>
        <w:suppressAutoHyphens/>
        <w:spacing w:line="240" w:lineRule="auto"/>
        <w:jc w:val="center"/>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表4</w:t>
      </w:r>
      <w:r>
        <w:rPr>
          <w:rFonts w:eastAsia="宋体"/>
          <w:b/>
          <w:bCs/>
          <w:color w:val="000000" w:themeColor="text1"/>
          <w:szCs w:val="24"/>
          <w14:textFill>
            <w14:solidFill>
              <w14:schemeClr w14:val="tx1"/>
            </w14:solidFill>
          </w14:textFill>
        </w:rPr>
        <w:t>.2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 xml:space="preserve">4  </w:t>
      </w:r>
      <w:r>
        <w:rPr>
          <w:rFonts w:hint="eastAsia" w:eastAsia="宋体"/>
          <w:b/>
          <w:bCs/>
          <w:color w:val="000000" w:themeColor="text1"/>
          <w:szCs w:val="24"/>
          <w14:textFill>
            <w14:solidFill>
              <w14:schemeClr w14:val="tx1"/>
            </w14:solidFill>
          </w14:textFill>
        </w:rPr>
        <w:t>项目非正常工况有组织排放污染源一览表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02"/>
        <w:gridCol w:w="2180"/>
        <w:gridCol w:w="1744"/>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污染源</w:t>
            </w:r>
          </w:p>
        </w:tc>
        <w:tc>
          <w:tcPr>
            <w:tcW w:w="1116"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污染物名称</w:t>
            </w:r>
          </w:p>
        </w:tc>
        <w:tc>
          <w:tcPr>
            <w:tcW w:w="1279" w:type="pct"/>
            <w:vMerge w:val="restart"/>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非正常排放原因</w:t>
            </w:r>
          </w:p>
        </w:tc>
        <w:tc>
          <w:tcPr>
            <w:tcW w:w="2098" w:type="pct"/>
            <w:gridSpan w:val="2"/>
            <w:tcBorders>
              <w:top w:val="single" w:color="auto" w:sz="12" w:space="0"/>
            </w:tcBorders>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非正常排放状况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速率（kg/h）</w:t>
            </w:r>
          </w:p>
        </w:tc>
        <w:tc>
          <w:tcPr>
            <w:tcW w:w="1075"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频次及持续时间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DA001</w:t>
            </w: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10</w:t>
            </w:r>
          </w:p>
        </w:tc>
        <w:tc>
          <w:tcPr>
            <w:tcW w:w="1279"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废气处理效率降低，处理效率80%</w:t>
            </w: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.08</w:t>
            </w:r>
          </w:p>
        </w:tc>
        <w:tc>
          <w:tcPr>
            <w:tcW w:w="1075"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M</w:t>
            </w:r>
            <w:r>
              <w:rPr>
                <w:color w:val="000000" w:themeColor="text1"/>
                <w:szCs w:val="21"/>
                <w:vertAlign w:val="subscript"/>
                <w14:textFill>
                  <w14:solidFill>
                    <w14:schemeClr w14:val="tx1"/>
                  </w14:solidFill>
                </w14:textFill>
              </w:rPr>
              <w:t>2.5</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.54</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DA002</w:t>
            </w: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10</w:t>
            </w:r>
          </w:p>
        </w:tc>
        <w:tc>
          <w:tcPr>
            <w:tcW w:w="1279"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废气处理效率降低，处理效率80%</w:t>
            </w: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2.65</w:t>
            </w:r>
          </w:p>
        </w:tc>
        <w:tc>
          <w:tcPr>
            <w:tcW w:w="1075"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M</w:t>
            </w:r>
            <w:r>
              <w:rPr>
                <w:color w:val="000000" w:themeColor="text1"/>
                <w:szCs w:val="21"/>
                <w:vertAlign w:val="subscript"/>
                <w14:textFill>
                  <w14:solidFill>
                    <w14:schemeClr w14:val="tx1"/>
                  </w14:solidFill>
                </w14:textFill>
              </w:rPr>
              <w:t>2.5</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.325</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DA003</w:t>
            </w: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1279"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废气处理效率降低，处理效率50%</w:t>
            </w: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640</w:t>
            </w:r>
            <w:r>
              <w:rPr>
                <w:rFonts w:hint="eastAsia" w:eastAsia="宋体"/>
                <w:color w:val="000000" w:themeColor="text1"/>
                <w:sz w:val="21"/>
                <w:szCs w:val="21"/>
                <w14:textFill>
                  <w14:solidFill>
                    <w14:schemeClr w14:val="tx1"/>
                  </w14:solidFill>
                </w14:textFill>
              </w:rPr>
              <w:t xml:space="preserve"> </w:t>
            </w:r>
          </w:p>
        </w:tc>
        <w:tc>
          <w:tcPr>
            <w:tcW w:w="1075"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1次/a，1h/次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250</w:t>
            </w:r>
            <w:r>
              <w:rPr>
                <w:rFonts w:hint="eastAsia" w:eastAsia="宋体"/>
                <w:color w:val="000000" w:themeColor="text1"/>
                <w:sz w:val="21"/>
                <w:szCs w:val="21"/>
                <w14:textFill>
                  <w14:solidFill>
                    <w14:schemeClr w14:val="tx1"/>
                  </w14:solidFill>
                </w14:textFill>
              </w:rPr>
              <w:t xml:space="preserve"> </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4.443</w:t>
            </w:r>
            <w:r>
              <w:rPr>
                <w:rFonts w:hint="eastAsia" w:eastAsia="宋体"/>
                <w:color w:val="000000" w:themeColor="text1"/>
                <w:sz w:val="21"/>
                <w:szCs w:val="21"/>
                <w14:textFill>
                  <w14:solidFill>
                    <w14:schemeClr w14:val="tx1"/>
                  </w14:solidFill>
                </w14:textFill>
              </w:rPr>
              <w:t xml:space="preserve"> </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10</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.830</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116"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M</w:t>
            </w:r>
            <w:r>
              <w:rPr>
                <w:color w:val="000000" w:themeColor="text1"/>
                <w:szCs w:val="21"/>
                <w:vertAlign w:val="subscript"/>
                <w14:textFill>
                  <w14:solidFill>
                    <w14:schemeClr w14:val="tx1"/>
                  </w14:solidFill>
                </w14:textFill>
              </w:rPr>
              <w:t>2.5</w:t>
            </w:r>
          </w:p>
        </w:tc>
        <w:tc>
          <w:tcPr>
            <w:tcW w:w="1279"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023"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1.915</w:t>
            </w:r>
            <w:r>
              <w:rPr>
                <w:rFonts w:hint="eastAsia" w:eastAsia="宋体"/>
                <w:color w:val="000000" w:themeColor="text1"/>
                <w:sz w:val="21"/>
                <w:szCs w:val="21"/>
                <w14:textFill>
                  <w14:solidFill>
                    <w14:schemeClr w14:val="tx1"/>
                  </w14:solidFill>
                </w14:textFill>
              </w:rPr>
              <w:t xml:space="preserve"> </w:t>
            </w:r>
          </w:p>
        </w:tc>
        <w:tc>
          <w:tcPr>
            <w:tcW w:w="1075"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r>
    </w:tbl>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在建项目污染源调查</w:t>
      </w:r>
    </w:p>
    <w:p>
      <w:pPr>
        <w:suppressAutoHyphens/>
        <w:ind w:firstLine="480" w:firstLineChars="20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根据调查，项目大气评价范围内，区域在建项目污染源、替代污染源见表4</w:t>
      </w:r>
      <w:r>
        <w:rPr>
          <w:rFonts w:eastAsia="宋体"/>
          <w:color w:val="000000" w:themeColor="text1"/>
          <w:szCs w:val="24"/>
          <w14:textFill>
            <w14:solidFill>
              <w14:schemeClr w14:val="tx1"/>
            </w14:solidFill>
          </w14:textFill>
        </w:rPr>
        <w:t>.2</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5</w:t>
      </w:r>
      <w:r>
        <w:rPr>
          <w:rFonts w:hint="eastAsia" w:eastAsia="宋体"/>
          <w:color w:val="000000" w:themeColor="text1"/>
          <w:szCs w:val="24"/>
          <w14:textFill>
            <w14:solidFill>
              <w14:schemeClr w14:val="tx1"/>
            </w14:solidFill>
          </w14:textFill>
        </w:rPr>
        <w:t>~表4</w:t>
      </w:r>
      <w:r>
        <w:rPr>
          <w:rFonts w:eastAsia="宋体"/>
          <w:color w:val="000000" w:themeColor="text1"/>
          <w:szCs w:val="24"/>
          <w14:textFill>
            <w14:solidFill>
              <w14:schemeClr w14:val="tx1"/>
            </w14:solidFill>
          </w14:textFill>
        </w:rPr>
        <w:t>.2</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8</w:t>
      </w:r>
      <w:r>
        <w:rPr>
          <w:rFonts w:hint="eastAsia" w:eastAsia="宋体"/>
          <w:color w:val="000000" w:themeColor="text1"/>
          <w:szCs w:val="24"/>
          <w14:textFill>
            <w14:solidFill>
              <w14:schemeClr w14:val="tx1"/>
            </w14:solidFill>
          </w14:textFill>
        </w:rPr>
        <w:t>。</w:t>
      </w:r>
    </w:p>
    <w:p>
      <w:pPr>
        <w:suppressAutoHyphens/>
        <w:ind w:firstLine="480" w:firstLineChars="200"/>
        <w:rPr>
          <w:rFonts w:eastAsia="宋体"/>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 xml:space="preserve">5  </w:t>
      </w:r>
      <w:r>
        <w:rPr>
          <w:rFonts w:hint="eastAsia" w:eastAsia="宋体"/>
          <w:b/>
          <w:bCs/>
          <w:color w:val="000000" w:themeColor="text1"/>
          <w:szCs w:val="24"/>
          <w14:textFill>
            <w14:solidFill>
              <w14:schemeClr w14:val="tx1"/>
            </w14:solidFill>
          </w14:textFill>
        </w:rPr>
        <w:t>区域在建、拟建项目点源情况参数表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40" w:type="dxa"/>
          <w:bottom w:w="0" w:type="dxa"/>
          <w:right w:w="40" w:type="dxa"/>
        </w:tblCellMar>
      </w:tblPr>
      <w:tblGrid>
        <w:gridCol w:w="1749"/>
        <w:gridCol w:w="1039"/>
        <w:gridCol w:w="873"/>
        <w:gridCol w:w="766"/>
        <w:gridCol w:w="1474"/>
        <w:gridCol w:w="941"/>
        <w:gridCol w:w="1247"/>
        <w:gridCol w:w="997"/>
        <w:gridCol w:w="868"/>
        <w:gridCol w:w="983"/>
        <w:gridCol w:w="550"/>
        <w:gridCol w:w="418"/>
        <w:gridCol w:w="651"/>
        <w:gridCol w:w="901"/>
        <w:gridCol w:w="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tblHeader/>
          <w:jc w:val="center"/>
        </w:trPr>
        <w:tc>
          <w:tcPr>
            <w:tcW w:w="623"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在建、拟建项目</w:t>
            </w:r>
          </w:p>
        </w:tc>
        <w:tc>
          <w:tcPr>
            <w:tcW w:w="370"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污染源名称</w:t>
            </w:r>
          </w:p>
        </w:tc>
        <w:tc>
          <w:tcPr>
            <w:tcW w:w="583" w:type="pct"/>
            <w:gridSpan w:val="2"/>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排气筒底部中心坐标/m</w:t>
            </w:r>
          </w:p>
        </w:tc>
        <w:tc>
          <w:tcPr>
            <w:tcW w:w="525"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排气筒底部海拔高度/m</w:t>
            </w:r>
          </w:p>
        </w:tc>
        <w:tc>
          <w:tcPr>
            <w:tcW w:w="335"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w:t>
            </w:r>
            <w:r>
              <w:rPr>
                <w:rStyle w:val="451"/>
                <w:b/>
                <w:color w:val="000000" w:themeColor="text1"/>
                <w:sz w:val="21"/>
                <w:szCs w:val="21"/>
                <w14:textFill>
                  <w14:solidFill>
                    <w14:schemeClr w14:val="tx1"/>
                  </w14:solidFill>
                </w14:textFill>
              </w:rPr>
              <w:t>高度/m</w:t>
            </w:r>
          </w:p>
        </w:tc>
        <w:tc>
          <w:tcPr>
            <w:tcW w:w="444"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排气筒出口内径/m</w:t>
            </w:r>
          </w:p>
        </w:tc>
        <w:tc>
          <w:tcPr>
            <w:tcW w:w="355"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废气量m</w:t>
            </w:r>
            <w:r>
              <w:rPr>
                <w:rFonts w:ascii="Times New Roman" w:hAnsi="Times New Roman" w:eastAsia="宋体"/>
                <w:b/>
                <w:color w:val="000000" w:themeColor="text1"/>
                <w:szCs w:val="21"/>
                <w:vertAlign w:val="superscript"/>
                <w14:textFill>
                  <w14:solidFill>
                    <w14:schemeClr w14:val="tx1"/>
                  </w14:solidFill>
                </w14:textFill>
              </w:rPr>
              <w:t>3</w:t>
            </w:r>
            <w:r>
              <w:rPr>
                <w:rFonts w:ascii="Times New Roman" w:hAnsi="Times New Roman" w:eastAsia="宋体"/>
                <w:b/>
                <w:color w:val="000000" w:themeColor="text1"/>
                <w:szCs w:val="21"/>
                <w14:textFill>
                  <w14:solidFill>
                    <w14:schemeClr w14:val="tx1"/>
                  </w14:solidFill>
                </w14:textFill>
              </w:rPr>
              <w:t>/h</w:t>
            </w:r>
          </w:p>
        </w:tc>
        <w:tc>
          <w:tcPr>
            <w:tcW w:w="309"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烟气温度/℃</w:t>
            </w:r>
          </w:p>
        </w:tc>
        <w:tc>
          <w:tcPr>
            <w:tcW w:w="350"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年排放时间/h</w:t>
            </w:r>
          </w:p>
        </w:tc>
        <w:tc>
          <w:tcPr>
            <w:tcW w:w="1106" w:type="pct"/>
            <w:gridSpan w:val="5"/>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污染物排放速率（kg</w:t>
            </w:r>
            <w:r>
              <w:rPr>
                <w:rFonts w:ascii="Times New Roman" w:hAnsi="Times New Roman" w:eastAsia="宋体"/>
                <w:b/>
                <w:color w:val="000000" w:themeColor="text1"/>
                <w:szCs w:val="21"/>
                <w14:textFill>
                  <w14:solidFill>
                    <w14:schemeClr w14:val="tx1"/>
                  </w14:solidFill>
                </w14:textFill>
              </w:rPr>
              <w:t>/</w:t>
            </w:r>
            <w:r>
              <w:rPr>
                <w:rFonts w:hint="eastAsia" w:ascii="Times New Roman" w:hAnsi="Times New Roman" w:eastAsia="宋体"/>
                <w:b/>
                <w:color w:val="000000" w:themeColor="text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tblHeader/>
          <w:jc w:val="center"/>
        </w:trPr>
        <w:tc>
          <w:tcPr>
            <w:tcW w:w="623"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70"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11"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X</w:t>
            </w:r>
          </w:p>
        </w:tc>
        <w:tc>
          <w:tcPr>
            <w:tcW w:w="273"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Y</w:t>
            </w:r>
          </w:p>
        </w:tc>
        <w:tc>
          <w:tcPr>
            <w:tcW w:w="525"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35"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444"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55"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09"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50"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196"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P</w:t>
            </w:r>
            <w:r>
              <w:rPr>
                <w:rFonts w:ascii="Times New Roman" w:hAnsi="Times New Roman" w:eastAsia="宋体"/>
                <w:b/>
                <w:color w:val="000000" w:themeColor="text1"/>
                <w:szCs w:val="21"/>
                <w14:textFill>
                  <w14:solidFill>
                    <w14:schemeClr w14:val="tx1"/>
                  </w14:solidFill>
                </w14:textFill>
              </w:rPr>
              <w:t>M</w:t>
            </w:r>
            <w:r>
              <w:rPr>
                <w:rFonts w:ascii="Times New Roman" w:hAnsi="Times New Roman" w:eastAsia="宋体"/>
                <w:b/>
                <w:color w:val="000000" w:themeColor="text1"/>
                <w:szCs w:val="21"/>
                <w:vertAlign w:val="subscript"/>
                <w14:textFill>
                  <w14:solidFill>
                    <w14:schemeClr w14:val="tx1"/>
                  </w14:solidFill>
                </w14:textFill>
              </w:rPr>
              <w:t>10</w:t>
            </w:r>
          </w:p>
        </w:tc>
        <w:tc>
          <w:tcPr>
            <w:tcW w:w="149"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甲苯</w:t>
            </w:r>
          </w:p>
        </w:tc>
        <w:tc>
          <w:tcPr>
            <w:tcW w:w="232"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二甲苯</w:t>
            </w:r>
          </w:p>
        </w:tc>
        <w:tc>
          <w:tcPr>
            <w:tcW w:w="321"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非甲烷总烃</w:t>
            </w:r>
          </w:p>
        </w:tc>
        <w:tc>
          <w:tcPr>
            <w:tcW w:w="208"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P</w:t>
            </w:r>
            <w:r>
              <w:rPr>
                <w:rFonts w:ascii="Times New Roman" w:hAnsi="Times New Roman" w:eastAsia="宋体"/>
                <w:b/>
                <w:color w:val="000000" w:themeColor="text1"/>
                <w:szCs w:val="21"/>
                <w14:textFill>
                  <w14:solidFill>
                    <w14:schemeClr w14:val="tx1"/>
                  </w14:solidFill>
                </w14:textFill>
              </w:rPr>
              <w:t>M</w:t>
            </w:r>
            <w:r>
              <w:rPr>
                <w:rFonts w:ascii="Times New Roman" w:hAnsi="Times New Roman" w:eastAsia="宋体"/>
                <w:b/>
                <w:color w:val="000000" w:themeColor="text1"/>
                <w:szCs w:val="2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623" w:type="pct"/>
            <w:vMerge w:val="restar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重庆标杰车厢制造有限公司</w:t>
            </w:r>
          </w:p>
        </w:tc>
        <w:tc>
          <w:tcPr>
            <w:tcW w:w="370"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3#排气筒</w:t>
            </w:r>
          </w:p>
        </w:tc>
        <w:tc>
          <w:tcPr>
            <w:tcW w:w="311"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518</w:t>
            </w:r>
          </w:p>
        </w:tc>
        <w:tc>
          <w:tcPr>
            <w:tcW w:w="273"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8</w:t>
            </w:r>
            <w:r>
              <w:rPr>
                <w:rFonts w:ascii="Times New Roman" w:hAnsi="Times New Roman" w:eastAsia="宋体"/>
                <w:color w:val="000000" w:themeColor="text1"/>
                <w:szCs w:val="21"/>
                <w14:textFill>
                  <w14:solidFill>
                    <w14:schemeClr w14:val="tx1"/>
                  </w14:solidFill>
                </w14:textFill>
              </w:rPr>
              <w:t>3</w:t>
            </w:r>
          </w:p>
        </w:tc>
        <w:tc>
          <w:tcPr>
            <w:tcW w:w="52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98</w:t>
            </w:r>
          </w:p>
        </w:tc>
        <w:tc>
          <w:tcPr>
            <w:tcW w:w="33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444"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w:t>
            </w:r>
            <w:r>
              <w:rPr>
                <w:rFonts w:ascii="Times New Roman" w:hAnsi="Times New Roman" w:eastAsia="宋体"/>
                <w:color w:val="000000" w:themeColor="text1"/>
                <w:szCs w:val="21"/>
                <w14:textFill>
                  <w14:solidFill>
                    <w14:schemeClr w14:val="tx1"/>
                  </w14:solidFill>
                </w14:textFill>
              </w:rPr>
              <w:t>.16</w:t>
            </w:r>
          </w:p>
        </w:tc>
        <w:tc>
          <w:tcPr>
            <w:tcW w:w="35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000</w:t>
            </w:r>
          </w:p>
        </w:tc>
        <w:tc>
          <w:tcPr>
            <w:tcW w:w="30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50</w:t>
            </w:r>
          </w:p>
        </w:tc>
        <w:tc>
          <w:tcPr>
            <w:tcW w:w="35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640</w:t>
            </w:r>
          </w:p>
        </w:tc>
        <w:tc>
          <w:tcPr>
            <w:tcW w:w="19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.01</w:t>
            </w:r>
          </w:p>
        </w:tc>
        <w:tc>
          <w:tcPr>
            <w:tcW w:w="14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3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623"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370"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4#排气筒</w:t>
            </w:r>
          </w:p>
        </w:tc>
        <w:tc>
          <w:tcPr>
            <w:tcW w:w="311"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442</w:t>
            </w:r>
          </w:p>
        </w:tc>
        <w:tc>
          <w:tcPr>
            <w:tcW w:w="273"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9</w:t>
            </w:r>
            <w:r>
              <w:rPr>
                <w:rFonts w:ascii="Times New Roman" w:hAnsi="Times New Roman" w:eastAsia="宋体"/>
                <w:color w:val="000000" w:themeColor="text1"/>
                <w:szCs w:val="21"/>
                <w14:textFill>
                  <w14:solidFill>
                    <w14:schemeClr w14:val="tx1"/>
                  </w14:solidFill>
                </w14:textFill>
              </w:rPr>
              <w:t>8</w:t>
            </w:r>
          </w:p>
        </w:tc>
        <w:tc>
          <w:tcPr>
            <w:tcW w:w="52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399</w:t>
            </w:r>
          </w:p>
        </w:tc>
        <w:tc>
          <w:tcPr>
            <w:tcW w:w="33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444"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.4</w:t>
            </w:r>
          </w:p>
        </w:tc>
        <w:tc>
          <w:tcPr>
            <w:tcW w:w="35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00000</w:t>
            </w:r>
          </w:p>
        </w:tc>
        <w:tc>
          <w:tcPr>
            <w:tcW w:w="30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25</w:t>
            </w:r>
          </w:p>
        </w:tc>
        <w:tc>
          <w:tcPr>
            <w:tcW w:w="350"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640</w:t>
            </w:r>
          </w:p>
        </w:tc>
        <w:tc>
          <w:tcPr>
            <w:tcW w:w="196"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0.31</w:t>
            </w:r>
          </w:p>
        </w:tc>
        <w:tc>
          <w:tcPr>
            <w:tcW w:w="149"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23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.69</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623"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370"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6#排气筒</w:t>
            </w:r>
          </w:p>
        </w:tc>
        <w:tc>
          <w:tcPr>
            <w:tcW w:w="311"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403</w:t>
            </w:r>
          </w:p>
        </w:tc>
        <w:tc>
          <w:tcPr>
            <w:tcW w:w="273"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01</w:t>
            </w:r>
          </w:p>
        </w:tc>
        <w:tc>
          <w:tcPr>
            <w:tcW w:w="52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szCs w:val="21"/>
                <w14:textFill>
                  <w14:solidFill>
                    <w14:schemeClr w14:val="tx1"/>
                  </w14:solidFill>
                </w14:textFill>
              </w:rPr>
              <w:t>01</w:t>
            </w:r>
          </w:p>
        </w:tc>
        <w:tc>
          <w:tcPr>
            <w:tcW w:w="335"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444"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.4</w:t>
            </w:r>
          </w:p>
        </w:tc>
        <w:tc>
          <w:tcPr>
            <w:tcW w:w="35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00000</w:t>
            </w:r>
          </w:p>
        </w:tc>
        <w:tc>
          <w:tcPr>
            <w:tcW w:w="30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80</w:t>
            </w:r>
          </w:p>
        </w:tc>
        <w:tc>
          <w:tcPr>
            <w:tcW w:w="35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640</w:t>
            </w:r>
          </w:p>
        </w:tc>
        <w:tc>
          <w:tcPr>
            <w:tcW w:w="196"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.13</w:t>
            </w:r>
          </w:p>
        </w:tc>
        <w:tc>
          <w:tcPr>
            <w:tcW w:w="14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32"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0.10</w:t>
            </w:r>
          </w:p>
        </w:tc>
        <w:tc>
          <w:tcPr>
            <w:tcW w:w="32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.52</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623"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重庆莱钢建筑材料有限公司</w:t>
            </w:r>
          </w:p>
        </w:tc>
        <w:tc>
          <w:tcPr>
            <w:tcW w:w="370"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喷涂废气排气筒</w:t>
            </w:r>
          </w:p>
        </w:tc>
        <w:tc>
          <w:tcPr>
            <w:tcW w:w="311"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6</w:t>
            </w:r>
          </w:p>
        </w:tc>
        <w:tc>
          <w:tcPr>
            <w:tcW w:w="273"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9</w:t>
            </w:r>
            <w:r>
              <w:rPr>
                <w:rFonts w:ascii="Times New Roman" w:hAnsi="Times New Roman" w:eastAsia="宋体"/>
                <w:color w:val="000000" w:themeColor="text1"/>
                <w:szCs w:val="21"/>
                <w14:textFill>
                  <w14:solidFill>
                    <w14:schemeClr w14:val="tx1"/>
                  </w14:solidFill>
                </w14:textFill>
              </w:rPr>
              <w:t>80</w:t>
            </w:r>
          </w:p>
        </w:tc>
        <w:tc>
          <w:tcPr>
            <w:tcW w:w="52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szCs w:val="21"/>
                <w14:textFill>
                  <w14:solidFill>
                    <w14:schemeClr w14:val="tx1"/>
                  </w14:solidFill>
                </w14:textFill>
              </w:rPr>
              <w:t>01</w:t>
            </w:r>
          </w:p>
        </w:tc>
        <w:tc>
          <w:tcPr>
            <w:tcW w:w="33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w:t>
            </w:r>
          </w:p>
        </w:tc>
        <w:tc>
          <w:tcPr>
            <w:tcW w:w="444"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.4</w:t>
            </w:r>
          </w:p>
        </w:tc>
        <w:tc>
          <w:tcPr>
            <w:tcW w:w="355"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8</w:t>
            </w:r>
            <w:r>
              <w:rPr>
                <w:rFonts w:ascii="Times New Roman" w:hAnsi="Times New Roman" w:eastAsia="宋体"/>
                <w:color w:val="000000" w:themeColor="text1"/>
                <w:szCs w:val="21"/>
                <w14:textFill>
                  <w14:solidFill>
                    <w14:schemeClr w14:val="tx1"/>
                  </w14:solidFill>
                </w14:textFill>
              </w:rPr>
              <w:t>0000</w:t>
            </w:r>
          </w:p>
        </w:tc>
        <w:tc>
          <w:tcPr>
            <w:tcW w:w="30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w:t>
            </w:r>
            <w:r>
              <w:rPr>
                <w:rFonts w:ascii="Times New Roman" w:hAnsi="Times New Roman" w:eastAsia="宋体"/>
                <w:color w:val="000000" w:themeColor="text1"/>
                <w:szCs w:val="21"/>
                <w14:textFill>
                  <w14:solidFill>
                    <w14:schemeClr w14:val="tx1"/>
                  </w14:solidFill>
                </w14:textFill>
              </w:rPr>
              <w:t>5</w:t>
            </w:r>
          </w:p>
        </w:tc>
        <w:tc>
          <w:tcPr>
            <w:tcW w:w="3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400</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p>
        </w:tc>
        <w:tc>
          <w:tcPr>
            <w:tcW w:w="149"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32"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.224</w:t>
            </w:r>
          </w:p>
        </w:tc>
        <w:tc>
          <w:tcPr>
            <w:tcW w:w="321"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.770</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.146</w:t>
            </w:r>
          </w:p>
        </w:tc>
      </w:tr>
    </w:tbl>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 xml:space="preserve">6  </w:t>
      </w:r>
      <w:r>
        <w:rPr>
          <w:rFonts w:hint="eastAsia" w:eastAsia="宋体"/>
          <w:b/>
          <w:bCs/>
          <w:color w:val="000000" w:themeColor="text1"/>
          <w:szCs w:val="24"/>
          <w14:textFill>
            <w14:solidFill>
              <w14:schemeClr w14:val="tx1"/>
            </w14:solidFill>
          </w14:textFill>
        </w:rPr>
        <w:t>区域在建、拟建项目矩形面源情况参数表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825"/>
        <w:gridCol w:w="950"/>
        <w:gridCol w:w="924"/>
        <w:gridCol w:w="700"/>
        <w:gridCol w:w="734"/>
        <w:gridCol w:w="1233"/>
        <w:gridCol w:w="1327"/>
        <w:gridCol w:w="927"/>
        <w:gridCol w:w="927"/>
        <w:gridCol w:w="658"/>
        <w:gridCol w:w="791"/>
        <w:gridCol w:w="1290"/>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734"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在建、拟建项目</w:t>
            </w:r>
          </w:p>
        </w:tc>
        <w:tc>
          <w:tcPr>
            <w:tcW w:w="625" w:type="pct"/>
            <w:gridSpan w:val="2"/>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面源起点坐标/m</w:t>
            </w:r>
          </w:p>
        </w:tc>
        <w:tc>
          <w:tcPr>
            <w:tcW w:w="326"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面源海拔高度/m</w:t>
            </w:r>
          </w:p>
        </w:tc>
        <w:tc>
          <w:tcPr>
            <w:tcW w:w="247"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面源长度/m</w:t>
            </w:r>
          </w:p>
        </w:tc>
        <w:tc>
          <w:tcPr>
            <w:tcW w:w="259"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面源宽度/m</w:t>
            </w:r>
          </w:p>
        </w:tc>
        <w:tc>
          <w:tcPr>
            <w:tcW w:w="435"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与正北方向夹角/（°）</w:t>
            </w:r>
          </w:p>
        </w:tc>
        <w:tc>
          <w:tcPr>
            <w:tcW w:w="468" w:type="pct"/>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面源有效排放高度/m</w:t>
            </w:r>
          </w:p>
        </w:tc>
        <w:tc>
          <w:tcPr>
            <w:tcW w:w="327" w:type="pct"/>
            <w:vMerge w:val="restart"/>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年排放小时数//h</w:t>
            </w:r>
          </w:p>
        </w:tc>
        <w:tc>
          <w:tcPr>
            <w:tcW w:w="1578" w:type="pct"/>
            <w:gridSpan w:val="5"/>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污染物排放量</w:t>
            </w:r>
            <w:r>
              <w:rPr>
                <w:rFonts w:eastAsia="宋体"/>
                <w:b/>
                <w:color w:val="000000" w:themeColor="text1"/>
                <w:kern w:val="0"/>
                <w:sz w:val="21"/>
                <w:szCs w:val="21"/>
                <w14:textFill>
                  <w14:solidFill>
                    <w14:schemeClr w14:val="tx1"/>
                  </w14:solidFill>
                </w14:textFill>
              </w:rPr>
              <w:t>/(</w:t>
            </w:r>
            <w:r>
              <w:rPr>
                <w:rFonts w:hint="eastAsia" w:eastAsia="宋体"/>
                <w:b/>
                <w:color w:val="000000" w:themeColor="text1"/>
                <w:kern w:val="0"/>
                <w:sz w:val="21"/>
                <w:szCs w:val="21"/>
                <w14:textFill>
                  <w14:solidFill>
                    <w14:schemeClr w14:val="tx1"/>
                  </w14:solidFill>
                </w14:textFill>
              </w:rPr>
              <w:t>t</w:t>
            </w:r>
            <w:r>
              <w:rPr>
                <w:rFonts w:eastAsia="宋体"/>
                <w:b/>
                <w:color w:val="000000" w:themeColor="text1"/>
                <w:kern w:val="0"/>
                <w:sz w:val="21"/>
                <w:szCs w:val="21"/>
                <w14:textFill>
                  <w14:solidFill>
                    <w14:schemeClr w14:val="tx1"/>
                  </w14:solidFill>
                </w14:textFill>
              </w:rPr>
              <w:t>/</w:t>
            </w:r>
            <w:r>
              <w:rPr>
                <w:rFonts w:hint="eastAsia" w:eastAsia="宋体"/>
                <w:b/>
                <w:color w:val="000000" w:themeColor="text1"/>
                <w:kern w:val="0"/>
                <w:sz w:val="21"/>
                <w:szCs w:val="21"/>
                <w14:textFill>
                  <w14:solidFill>
                    <w14:schemeClr w14:val="tx1"/>
                  </w14:solidFill>
                </w14:textFill>
              </w:rPr>
              <w:t>a</w:t>
            </w:r>
            <w:r>
              <w:rPr>
                <w:rFonts w:eastAsia="宋体"/>
                <w:b/>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4"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291"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X</w:t>
            </w:r>
          </w:p>
        </w:tc>
        <w:tc>
          <w:tcPr>
            <w:tcW w:w="335"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Y</w:t>
            </w:r>
          </w:p>
        </w:tc>
        <w:tc>
          <w:tcPr>
            <w:tcW w:w="326"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247"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259"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435"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468" w:type="pct"/>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327" w:type="pct"/>
            <w:vMerge w:val="continue"/>
          </w:tcPr>
          <w:p>
            <w:pPr>
              <w:widowControl w:val="0"/>
              <w:adjustRightInd w:val="0"/>
              <w:snapToGrid w:val="0"/>
              <w:spacing w:line="240" w:lineRule="auto"/>
              <w:jc w:val="center"/>
              <w:textAlignment w:val="baseline"/>
              <w:rPr>
                <w:rFonts w:eastAsia="宋体"/>
                <w:b/>
                <w:color w:val="000000" w:themeColor="text1"/>
                <w:szCs w:val="21"/>
                <w14:textFill>
                  <w14:solidFill>
                    <w14:schemeClr w14:val="tx1"/>
                  </w14:solidFill>
                </w14:textFill>
              </w:rPr>
            </w:pPr>
          </w:p>
        </w:tc>
        <w:tc>
          <w:tcPr>
            <w:tcW w:w="327"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hint="eastAsia" w:eastAsia="宋体"/>
                <w:b/>
                <w:color w:val="000000" w:themeColor="text1"/>
                <w:szCs w:val="21"/>
                <w14:textFill>
                  <w14:solidFill>
                    <w14:schemeClr w14:val="tx1"/>
                  </w14:solidFill>
                </w14:textFill>
              </w:rPr>
              <w:t>P</w:t>
            </w:r>
            <w:r>
              <w:rPr>
                <w:rFonts w:eastAsia="宋体"/>
                <w:b/>
                <w:color w:val="000000" w:themeColor="text1"/>
                <w:szCs w:val="21"/>
                <w14:textFill>
                  <w14:solidFill>
                    <w14:schemeClr w14:val="tx1"/>
                  </w14:solidFill>
                </w14:textFill>
              </w:rPr>
              <w:t>M</w:t>
            </w:r>
            <w:r>
              <w:rPr>
                <w:rFonts w:eastAsia="宋体"/>
                <w:b/>
                <w:color w:val="000000" w:themeColor="text1"/>
                <w:szCs w:val="21"/>
                <w:vertAlign w:val="subscript"/>
                <w14:textFill>
                  <w14:solidFill>
                    <w14:schemeClr w14:val="tx1"/>
                  </w14:solidFill>
                </w14:textFill>
              </w:rPr>
              <w:t>10</w:t>
            </w:r>
          </w:p>
        </w:tc>
        <w:tc>
          <w:tcPr>
            <w:tcW w:w="232"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甲苯</w:t>
            </w:r>
          </w:p>
        </w:tc>
        <w:tc>
          <w:tcPr>
            <w:tcW w:w="279"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二甲苯</w:t>
            </w:r>
          </w:p>
        </w:tc>
        <w:tc>
          <w:tcPr>
            <w:tcW w:w="455"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非甲烷总烃</w:t>
            </w:r>
          </w:p>
        </w:tc>
        <w:tc>
          <w:tcPr>
            <w:tcW w:w="285" w:type="pc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hint="eastAsia" w:eastAsia="宋体"/>
                <w:b/>
                <w:color w:val="000000" w:themeColor="text1"/>
                <w:szCs w:val="21"/>
                <w14:textFill>
                  <w14:solidFill>
                    <w14:schemeClr w14:val="tx1"/>
                  </w14:solidFill>
                </w14:textFill>
              </w:rPr>
              <w:t>P</w:t>
            </w:r>
            <w:r>
              <w:rPr>
                <w:rFonts w:eastAsia="宋体"/>
                <w:b/>
                <w:color w:val="000000" w:themeColor="text1"/>
                <w:szCs w:val="21"/>
                <w14:textFill>
                  <w14:solidFill>
                    <w14:schemeClr w14:val="tx1"/>
                  </w14:solidFill>
                </w14:textFill>
              </w:rPr>
              <w:t>M</w:t>
            </w:r>
            <w:r>
              <w:rPr>
                <w:rFonts w:eastAsia="宋体"/>
                <w:b/>
                <w:color w:val="000000" w:themeColor="text1"/>
                <w:szCs w:val="2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4"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重庆标杰车厢制造有限公司</w:t>
            </w:r>
          </w:p>
        </w:tc>
        <w:tc>
          <w:tcPr>
            <w:tcW w:w="291"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446</w:t>
            </w:r>
          </w:p>
        </w:tc>
        <w:tc>
          <w:tcPr>
            <w:tcW w:w="33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14</w:t>
            </w:r>
          </w:p>
        </w:tc>
        <w:tc>
          <w:tcPr>
            <w:tcW w:w="326"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00</w:t>
            </w:r>
          </w:p>
        </w:tc>
        <w:tc>
          <w:tcPr>
            <w:tcW w:w="24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36.8</w:t>
            </w:r>
          </w:p>
        </w:tc>
        <w:tc>
          <w:tcPr>
            <w:tcW w:w="259"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w:t>
            </w:r>
            <w:r>
              <w:rPr>
                <w:rFonts w:eastAsia="宋体"/>
                <w:color w:val="000000" w:themeColor="text1"/>
                <w:kern w:val="0"/>
                <w:sz w:val="21"/>
                <w:szCs w:val="21"/>
                <w14:textFill>
                  <w14:solidFill>
                    <w14:schemeClr w14:val="tx1"/>
                  </w14:solidFill>
                </w14:textFill>
              </w:rPr>
              <w:t>2</w:t>
            </w:r>
          </w:p>
        </w:tc>
        <w:tc>
          <w:tcPr>
            <w:tcW w:w="43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w:t>
            </w:r>
            <w:r>
              <w:rPr>
                <w:rFonts w:eastAsia="宋体"/>
                <w:color w:val="000000" w:themeColor="text1"/>
                <w:kern w:val="0"/>
                <w:sz w:val="21"/>
                <w:szCs w:val="21"/>
                <w14:textFill>
                  <w14:solidFill>
                    <w14:schemeClr w14:val="tx1"/>
                  </w14:solidFill>
                </w14:textFill>
              </w:rPr>
              <w:t>58</w:t>
            </w:r>
          </w:p>
        </w:tc>
        <w:tc>
          <w:tcPr>
            <w:tcW w:w="468"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3</w:t>
            </w:r>
          </w:p>
        </w:tc>
        <w:tc>
          <w:tcPr>
            <w:tcW w:w="32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640</w:t>
            </w:r>
          </w:p>
        </w:tc>
        <w:tc>
          <w:tcPr>
            <w:tcW w:w="32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.42</w:t>
            </w:r>
          </w:p>
        </w:tc>
        <w:tc>
          <w:tcPr>
            <w:tcW w:w="232"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279"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.21</w:t>
            </w:r>
          </w:p>
        </w:tc>
        <w:tc>
          <w:tcPr>
            <w:tcW w:w="45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.01</w:t>
            </w:r>
          </w:p>
        </w:tc>
        <w:tc>
          <w:tcPr>
            <w:tcW w:w="28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34"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重庆莱钢建筑材料有限公司</w:t>
            </w:r>
          </w:p>
        </w:tc>
        <w:tc>
          <w:tcPr>
            <w:tcW w:w="291"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34</w:t>
            </w:r>
          </w:p>
        </w:tc>
        <w:tc>
          <w:tcPr>
            <w:tcW w:w="33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w:t>
            </w:r>
            <w:r>
              <w:rPr>
                <w:rFonts w:eastAsia="宋体"/>
                <w:color w:val="000000" w:themeColor="text1"/>
                <w:kern w:val="0"/>
                <w:sz w:val="21"/>
                <w:szCs w:val="21"/>
                <w14:textFill>
                  <w14:solidFill>
                    <w14:schemeClr w14:val="tx1"/>
                  </w14:solidFill>
                </w14:textFill>
              </w:rPr>
              <w:t>98</w:t>
            </w:r>
          </w:p>
        </w:tc>
        <w:tc>
          <w:tcPr>
            <w:tcW w:w="326"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00</w:t>
            </w:r>
          </w:p>
        </w:tc>
        <w:tc>
          <w:tcPr>
            <w:tcW w:w="24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73</w:t>
            </w:r>
          </w:p>
        </w:tc>
        <w:tc>
          <w:tcPr>
            <w:tcW w:w="259"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40</w:t>
            </w:r>
          </w:p>
        </w:tc>
        <w:tc>
          <w:tcPr>
            <w:tcW w:w="43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2</w:t>
            </w:r>
          </w:p>
        </w:tc>
        <w:tc>
          <w:tcPr>
            <w:tcW w:w="468"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p>
        </w:tc>
        <w:tc>
          <w:tcPr>
            <w:tcW w:w="32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400</w:t>
            </w:r>
          </w:p>
        </w:tc>
        <w:tc>
          <w:tcPr>
            <w:tcW w:w="327"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.751</w:t>
            </w:r>
          </w:p>
        </w:tc>
        <w:tc>
          <w:tcPr>
            <w:tcW w:w="232"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279"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.570</w:t>
            </w:r>
          </w:p>
        </w:tc>
        <w:tc>
          <w:tcPr>
            <w:tcW w:w="45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.010</w:t>
            </w:r>
          </w:p>
        </w:tc>
        <w:tc>
          <w:tcPr>
            <w:tcW w:w="285" w:type="pc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.876</w:t>
            </w:r>
          </w:p>
        </w:tc>
      </w:tr>
    </w:tbl>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7  区域</w:t>
      </w:r>
      <w:r>
        <w:rPr>
          <w:rFonts w:hint="eastAsia" w:eastAsia="宋体"/>
          <w:b/>
          <w:bCs/>
          <w:color w:val="000000" w:themeColor="text1"/>
          <w:szCs w:val="24"/>
          <w14:textFill>
            <w14:solidFill>
              <w14:schemeClr w14:val="tx1"/>
            </w14:solidFill>
          </w14:textFill>
        </w:rPr>
        <w:t>主要</w:t>
      </w:r>
      <w:r>
        <w:rPr>
          <w:rFonts w:eastAsia="宋体"/>
          <w:b/>
          <w:bCs/>
          <w:color w:val="000000" w:themeColor="text1"/>
          <w:szCs w:val="24"/>
          <w14:textFill>
            <w14:solidFill>
              <w14:schemeClr w14:val="tx1"/>
            </w14:solidFill>
          </w14:textFill>
        </w:rPr>
        <w:t>替代污染源情况表（</w:t>
      </w:r>
      <w:r>
        <w:rPr>
          <w:rFonts w:hint="eastAsia" w:eastAsia="宋体"/>
          <w:b/>
          <w:bCs/>
          <w:color w:val="000000" w:themeColor="text1"/>
          <w:szCs w:val="24"/>
          <w14:textFill>
            <w14:solidFill>
              <w14:schemeClr w14:val="tx1"/>
            </w14:solidFill>
          </w14:textFill>
        </w:rPr>
        <w:t>点源</w:t>
      </w:r>
      <w:r>
        <w:rPr>
          <w:rFonts w:eastAsia="宋体"/>
          <w:b/>
          <w:bCs/>
          <w:color w:val="000000" w:themeColor="text1"/>
          <w:szCs w:val="24"/>
          <w14:textFill>
            <w14:solidFill>
              <w14:schemeClr w14:val="tx1"/>
            </w14:solidFill>
          </w14:textFill>
        </w:rPr>
        <w:t>）</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40" w:type="dxa"/>
          <w:bottom w:w="0" w:type="dxa"/>
          <w:right w:w="40" w:type="dxa"/>
        </w:tblCellMar>
      </w:tblPr>
      <w:tblGrid>
        <w:gridCol w:w="1555"/>
        <w:gridCol w:w="1296"/>
        <w:gridCol w:w="791"/>
        <w:gridCol w:w="881"/>
        <w:gridCol w:w="1485"/>
        <w:gridCol w:w="943"/>
        <w:gridCol w:w="1209"/>
        <w:gridCol w:w="945"/>
        <w:gridCol w:w="864"/>
        <w:gridCol w:w="898"/>
        <w:gridCol w:w="658"/>
        <w:gridCol w:w="406"/>
        <w:gridCol w:w="553"/>
        <w:gridCol w:w="895"/>
        <w:gridCol w:w="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替代污染源</w:t>
            </w:r>
          </w:p>
        </w:tc>
        <w:tc>
          <w:tcPr>
            <w:tcW w:w="467"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污染源名称</w:t>
            </w:r>
          </w:p>
        </w:tc>
        <w:tc>
          <w:tcPr>
            <w:tcW w:w="606" w:type="pct"/>
            <w:gridSpan w:val="2"/>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排气筒底部中心坐标/m</w:t>
            </w:r>
          </w:p>
        </w:tc>
        <w:tc>
          <w:tcPr>
            <w:tcW w:w="534"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排气筒底部海拔高度/m</w:t>
            </w:r>
          </w:p>
        </w:tc>
        <w:tc>
          <w:tcPr>
            <w:tcW w:w="341"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w:t>
            </w:r>
            <w:r>
              <w:rPr>
                <w:rStyle w:val="451"/>
                <w:b/>
                <w:color w:val="000000" w:themeColor="text1"/>
                <w:sz w:val="21"/>
                <w:szCs w:val="21"/>
                <w14:textFill>
                  <w14:solidFill>
                    <w14:schemeClr w14:val="tx1"/>
                  </w14:solidFill>
                </w14:textFill>
              </w:rPr>
              <w:t>高度/m</w:t>
            </w:r>
          </w:p>
        </w:tc>
        <w:tc>
          <w:tcPr>
            <w:tcW w:w="436"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排气筒出口内径/m</w:t>
            </w:r>
          </w:p>
        </w:tc>
        <w:tc>
          <w:tcPr>
            <w:tcW w:w="342"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废气量m</w:t>
            </w:r>
            <w:r>
              <w:rPr>
                <w:rFonts w:ascii="Times New Roman" w:hAnsi="Times New Roman" w:eastAsia="宋体"/>
                <w:b/>
                <w:color w:val="000000" w:themeColor="text1"/>
                <w:szCs w:val="21"/>
                <w:vertAlign w:val="superscript"/>
                <w14:textFill>
                  <w14:solidFill>
                    <w14:schemeClr w14:val="tx1"/>
                  </w14:solidFill>
                </w14:textFill>
              </w:rPr>
              <w:t>3</w:t>
            </w:r>
            <w:r>
              <w:rPr>
                <w:rFonts w:ascii="Times New Roman" w:hAnsi="Times New Roman" w:eastAsia="宋体"/>
                <w:b/>
                <w:color w:val="000000" w:themeColor="text1"/>
                <w:szCs w:val="21"/>
                <w14:textFill>
                  <w14:solidFill>
                    <w14:schemeClr w14:val="tx1"/>
                  </w14:solidFill>
                </w14:textFill>
              </w:rPr>
              <w:t>/h</w:t>
            </w:r>
          </w:p>
        </w:tc>
        <w:tc>
          <w:tcPr>
            <w:tcW w:w="313"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烟气温度/℃</w:t>
            </w:r>
          </w:p>
        </w:tc>
        <w:tc>
          <w:tcPr>
            <w:tcW w:w="325" w:type="pct"/>
            <w:vMerge w:val="restar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年排放时间/h</w:t>
            </w:r>
          </w:p>
        </w:tc>
        <w:tc>
          <w:tcPr>
            <w:tcW w:w="1076" w:type="pct"/>
            <w:gridSpan w:val="5"/>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污染物排放速率（kg</w:t>
            </w:r>
            <w:r>
              <w:rPr>
                <w:rFonts w:ascii="Times New Roman" w:hAnsi="Times New Roman" w:eastAsia="宋体"/>
                <w:b/>
                <w:color w:val="000000" w:themeColor="text1"/>
                <w:szCs w:val="21"/>
                <w14:textFill>
                  <w14:solidFill>
                    <w14:schemeClr w14:val="tx1"/>
                  </w14:solidFill>
                </w14:textFill>
              </w:rPr>
              <w:t>/</w:t>
            </w:r>
            <w:r>
              <w:rPr>
                <w:rFonts w:hint="eastAsia" w:ascii="Times New Roman" w:hAnsi="Times New Roman" w:eastAsia="宋体"/>
                <w:b/>
                <w:color w:val="000000" w:themeColor="text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467"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287"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X</w:t>
            </w:r>
          </w:p>
        </w:tc>
        <w:tc>
          <w:tcPr>
            <w:tcW w:w="319"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Y</w:t>
            </w:r>
          </w:p>
        </w:tc>
        <w:tc>
          <w:tcPr>
            <w:tcW w:w="534"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41"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436"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42"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13"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325" w:type="pct"/>
            <w:vMerge w:val="continue"/>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p>
        </w:tc>
        <w:tc>
          <w:tcPr>
            <w:tcW w:w="198"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P</w:t>
            </w:r>
            <w:r>
              <w:rPr>
                <w:rFonts w:ascii="Times New Roman" w:hAnsi="Times New Roman" w:eastAsia="宋体"/>
                <w:b/>
                <w:color w:val="000000" w:themeColor="text1"/>
                <w:szCs w:val="21"/>
                <w14:textFill>
                  <w14:solidFill>
                    <w14:schemeClr w14:val="tx1"/>
                  </w14:solidFill>
                </w14:textFill>
              </w:rPr>
              <w:t>M</w:t>
            </w:r>
            <w:r>
              <w:rPr>
                <w:rFonts w:ascii="Times New Roman" w:hAnsi="Times New Roman" w:eastAsia="宋体"/>
                <w:b/>
                <w:color w:val="000000" w:themeColor="text1"/>
                <w:szCs w:val="21"/>
                <w:vertAlign w:val="subscript"/>
                <w14:textFill>
                  <w14:solidFill>
                    <w14:schemeClr w14:val="tx1"/>
                  </w14:solidFill>
                </w14:textFill>
              </w:rPr>
              <w:t>10</w:t>
            </w:r>
          </w:p>
        </w:tc>
        <w:tc>
          <w:tcPr>
            <w:tcW w:w="150"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甲苯</w:t>
            </w:r>
          </w:p>
        </w:tc>
        <w:tc>
          <w:tcPr>
            <w:tcW w:w="196"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二甲苯</w:t>
            </w:r>
          </w:p>
        </w:tc>
        <w:tc>
          <w:tcPr>
            <w:tcW w:w="324"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非甲烷总烃</w:t>
            </w:r>
          </w:p>
        </w:tc>
        <w:tc>
          <w:tcPr>
            <w:tcW w:w="208" w:type="pct"/>
            <w:vAlign w:val="center"/>
          </w:tcPr>
          <w:p>
            <w:pPr>
              <w:pStyle w:val="450"/>
              <w:adjustRightInd w:val="0"/>
              <w:snapToGrid w:val="0"/>
              <w:spacing w:line="240" w:lineRule="auto"/>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P</w:t>
            </w:r>
            <w:r>
              <w:rPr>
                <w:rFonts w:ascii="Times New Roman" w:hAnsi="Times New Roman" w:eastAsia="宋体"/>
                <w:b/>
                <w:color w:val="000000" w:themeColor="text1"/>
                <w:szCs w:val="21"/>
                <w14:textFill>
                  <w14:solidFill>
                    <w14:schemeClr w14:val="tx1"/>
                  </w14:solidFill>
                </w14:textFill>
              </w:rPr>
              <w:t>M</w:t>
            </w:r>
            <w:r>
              <w:rPr>
                <w:rFonts w:ascii="Times New Roman" w:hAnsi="Times New Roman" w:eastAsia="宋体"/>
                <w:b/>
                <w:color w:val="000000" w:themeColor="text1"/>
                <w:szCs w:val="2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restar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昶宝电子（重庆）科技有限公司</w:t>
            </w:r>
          </w:p>
        </w:tc>
        <w:tc>
          <w:tcPr>
            <w:tcW w:w="467"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5</w:t>
            </w:r>
            <w:r>
              <w:rPr>
                <w:rFonts w:ascii="Times New Roman" w:hAnsi="Times New Roman" w:eastAsia="宋体"/>
                <w:color w:val="000000" w:themeColor="text1"/>
                <w:szCs w:val="21"/>
                <w14:textFill>
                  <w14:solidFill>
                    <w14:schemeClr w14:val="tx1"/>
                  </w14:solidFill>
                </w14:textFill>
              </w:rPr>
              <w:t>15</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258</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w:t>
            </w:r>
            <w:r>
              <w:rPr>
                <w:color w:val="000000" w:themeColor="text1"/>
                <w:kern w:val="21"/>
                <w:sz w:val="21"/>
                <w:szCs w:val="21"/>
                <w14:textFill>
                  <w14:solidFill>
                    <w14:schemeClr w14:val="tx1"/>
                  </w14:solidFill>
                </w14:textFill>
              </w:rPr>
              <w:t>98</w:t>
            </w:r>
          </w:p>
        </w:tc>
        <w:tc>
          <w:tcPr>
            <w:tcW w:w="341"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24</w:t>
            </w:r>
          </w:p>
        </w:tc>
        <w:tc>
          <w:tcPr>
            <w:tcW w:w="436"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1.5</w:t>
            </w:r>
          </w:p>
        </w:tc>
        <w:tc>
          <w:tcPr>
            <w:tcW w:w="342"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52137</w:t>
            </w:r>
          </w:p>
        </w:tc>
        <w:tc>
          <w:tcPr>
            <w:tcW w:w="313" w:type="pct"/>
            <w:vAlign w:val="center"/>
          </w:tcPr>
          <w:p>
            <w:pPr>
              <w:pStyle w:val="45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32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000</w:t>
            </w:r>
          </w:p>
        </w:tc>
        <w:tc>
          <w:tcPr>
            <w:tcW w:w="198"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.506</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467"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szCs w:val="21"/>
                <w14:textFill>
                  <w14:solidFill>
                    <w14:schemeClr w14:val="tx1"/>
                  </w14:solidFill>
                </w14:textFill>
              </w:rPr>
              <w:t>99</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206</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38</w:t>
            </w:r>
            <w:r>
              <w:rPr>
                <w:color w:val="000000" w:themeColor="text1"/>
                <w:kern w:val="21"/>
                <w:sz w:val="21"/>
                <w:szCs w:val="21"/>
                <w14:textFill>
                  <w14:solidFill>
                    <w14:schemeClr w14:val="tx1"/>
                  </w14:solidFill>
                </w14:textFill>
              </w:rPr>
              <w:t>7</w:t>
            </w:r>
          </w:p>
        </w:tc>
        <w:tc>
          <w:tcPr>
            <w:tcW w:w="341"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24</w:t>
            </w:r>
          </w:p>
        </w:tc>
        <w:tc>
          <w:tcPr>
            <w:tcW w:w="436"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1.0</w:t>
            </w:r>
          </w:p>
        </w:tc>
        <w:tc>
          <w:tcPr>
            <w:tcW w:w="342"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46587</w:t>
            </w:r>
          </w:p>
        </w:tc>
        <w:tc>
          <w:tcPr>
            <w:tcW w:w="313"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25</w:t>
            </w:r>
          </w:p>
        </w:tc>
        <w:tc>
          <w:tcPr>
            <w:tcW w:w="325"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000</w:t>
            </w:r>
          </w:p>
        </w:tc>
        <w:tc>
          <w:tcPr>
            <w:tcW w:w="198"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.603</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.406</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467"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szCs w:val="21"/>
                <w14:textFill>
                  <w14:solidFill>
                    <w14:schemeClr w14:val="tx1"/>
                  </w14:solidFill>
                </w14:textFill>
              </w:rPr>
              <w:t>72</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167</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w:t>
            </w:r>
            <w:r>
              <w:rPr>
                <w:color w:val="000000" w:themeColor="text1"/>
                <w:kern w:val="21"/>
                <w:sz w:val="21"/>
                <w:szCs w:val="21"/>
                <w14:textFill>
                  <w14:solidFill>
                    <w14:schemeClr w14:val="tx1"/>
                  </w14:solidFill>
                </w14:textFill>
              </w:rPr>
              <w:t>87</w:t>
            </w:r>
          </w:p>
        </w:tc>
        <w:tc>
          <w:tcPr>
            <w:tcW w:w="341"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24</w:t>
            </w:r>
          </w:p>
        </w:tc>
        <w:tc>
          <w:tcPr>
            <w:tcW w:w="436"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1.0</w:t>
            </w:r>
          </w:p>
        </w:tc>
        <w:tc>
          <w:tcPr>
            <w:tcW w:w="342"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58537</w:t>
            </w:r>
          </w:p>
        </w:tc>
        <w:tc>
          <w:tcPr>
            <w:tcW w:w="313"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25</w:t>
            </w:r>
          </w:p>
        </w:tc>
        <w:tc>
          <w:tcPr>
            <w:tcW w:w="325"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w:t>
            </w:r>
            <w:r>
              <w:rPr>
                <w:rFonts w:eastAsia="宋体"/>
                <w:color w:val="000000" w:themeColor="text1"/>
                <w:kern w:val="0"/>
                <w:sz w:val="21"/>
                <w:szCs w:val="21"/>
                <w14:textFill>
                  <w14:solidFill>
                    <w14:schemeClr w14:val="tx1"/>
                  </w14:solidFill>
                </w14:textFill>
              </w:rPr>
              <w:t>000</w:t>
            </w:r>
          </w:p>
        </w:tc>
        <w:tc>
          <w:tcPr>
            <w:tcW w:w="198"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.836</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.471</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467"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r>
              <w:rPr>
                <w:rFonts w:hint="eastAsia"/>
                <w:color w:val="000000" w:themeColor="text1"/>
                <w:sz w:val="21"/>
                <w:szCs w:val="21"/>
                <w14:textFill>
                  <w14:solidFill>
                    <w14:schemeClr w14:val="tx1"/>
                  </w14:solidFill>
                </w14:textFill>
              </w:rPr>
              <w:t>#排气筒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4</w:t>
            </w:r>
            <w:r>
              <w:rPr>
                <w:rFonts w:ascii="Times New Roman" w:hAnsi="Times New Roman" w:eastAsia="宋体"/>
                <w:color w:val="000000" w:themeColor="text1"/>
                <w:szCs w:val="21"/>
                <w14:textFill>
                  <w14:solidFill>
                    <w14:schemeClr w14:val="tx1"/>
                  </w14:solidFill>
                </w14:textFill>
              </w:rPr>
              <w:t>27</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239</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w:t>
            </w:r>
            <w:r>
              <w:rPr>
                <w:color w:val="000000" w:themeColor="text1"/>
                <w:kern w:val="21"/>
                <w:sz w:val="21"/>
                <w:szCs w:val="21"/>
                <w14:textFill>
                  <w14:solidFill>
                    <w14:schemeClr w14:val="tx1"/>
                  </w14:solidFill>
                </w14:textFill>
              </w:rPr>
              <w:t>89</w:t>
            </w:r>
          </w:p>
        </w:tc>
        <w:tc>
          <w:tcPr>
            <w:tcW w:w="341"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24</w:t>
            </w:r>
          </w:p>
        </w:tc>
        <w:tc>
          <w:tcPr>
            <w:tcW w:w="436"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1.0</w:t>
            </w:r>
          </w:p>
        </w:tc>
        <w:tc>
          <w:tcPr>
            <w:tcW w:w="342"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56403</w:t>
            </w:r>
          </w:p>
        </w:tc>
        <w:tc>
          <w:tcPr>
            <w:tcW w:w="313"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25</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w:t>
            </w:r>
            <w:r>
              <w:rPr>
                <w:rFonts w:eastAsia="宋体"/>
                <w:color w:val="000000" w:themeColor="text1"/>
                <w:sz w:val="21"/>
                <w:szCs w:val="21"/>
                <w14:textFill>
                  <w14:solidFill>
                    <w14:schemeClr w14:val="tx1"/>
                  </w14:solidFill>
                </w14:textFill>
              </w:rPr>
              <w:t>000</w:t>
            </w:r>
          </w:p>
        </w:tc>
        <w:tc>
          <w:tcPr>
            <w:tcW w:w="1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.911</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.676</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restar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重庆标杰车厢制造有限公司</w:t>
            </w:r>
          </w:p>
        </w:tc>
        <w:tc>
          <w:tcPr>
            <w:tcW w:w="467" w:type="pct"/>
            <w:vAlign w:val="center"/>
          </w:tcPr>
          <w:p>
            <w:pPr>
              <w:pStyle w:val="2889"/>
              <w:rPr>
                <w:color w:val="auto"/>
                <w:kern w:val="0"/>
              </w:rPr>
            </w:pPr>
            <w:r>
              <w:rPr>
                <w:rFonts w:hint="eastAsia"/>
                <w:color w:val="auto"/>
                <w:kern w:val="0"/>
              </w:rPr>
              <w:t>P3-1</w:t>
            </w:r>
            <w:r>
              <w:rPr>
                <w:color w:val="auto"/>
                <w:kern w:val="0"/>
              </w:rPr>
              <w:t>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475</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32</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w:t>
            </w:r>
            <w:r>
              <w:rPr>
                <w:color w:val="000000" w:themeColor="text1"/>
                <w:kern w:val="21"/>
                <w:sz w:val="21"/>
                <w:szCs w:val="21"/>
                <w14:textFill>
                  <w14:solidFill>
                    <w14:schemeClr w14:val="tx1"/>
                  </w14:solidFill>
                </w14:textFill>
              </w:rPr>
              <w:t>99</w:t>
            </w:r>
          </w:p>
        </w:tc>
        <w:tc>
          <w:tcPr>
            <w:tcW w:w="341"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5</w:t>
            </w:r>
          </w:p>
        </w:tc>
        <w:tc>
          <w:tcPr>
            <w:tcW w:w="436"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.2</w:t>
            </w:r>
          </w:p>
        </w:tc>
        <w:tc>
          <w:tcPr>
            <w:tcW w:w="342"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4</w:t>
            </w:r>
            <w:r>
              <w:rPr>
                <w:color w:val="000000" w:themeColor="text1"/>
                <w:kern w:val="21"/>
                <w:sz w:val="21"/>
                <w:szCs w:val="21"/>
                <w14:textFill>
                  <w14:solidFill>
                    <w14:schemeClr w14:val="tx1"/>
                  </w14:solidFill>
                </w14:textFill>
              </w:rPr>
              <w:t>3500</w:t>
            </w:r>
          </w:p>
        </w:tc>
        <w:tc>
          <w:tcPr>
            <w:tcW w:w="313"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2</w:t>
            </w:r>
            <w:r>
              <w:rPr>
                <w:color w:val="000000" w:themeColor="text1"/>
                <w:kern w:val="21"/>
                <w:sz w:val="21"/>
                <w:szCs w:val="21"/>
                <w14:textFill>
                  <w14:solidFill>
                    <w14:schemeClr w14:val="tx1"/>
                  </w14:solidFill>
                </w14:textFill>
              </w:rPr>
              <w:t>5</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640</w:t>
            </w:r>
          </w:p>
        </w:tc>
        <w:tc>
          <w:tcPr>
            <w:tcW w:w="1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.17</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.203</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.066</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467" w:type="pct"/>
            <w:vAlign w:val="center"/>
          </w:tcPr>
          <w:p>
            <w:pPr>
              <w:pStyle w:val="2889"/>
              <w:rPr>
                <w:color w:val="auto"/>
                <w:kern w:val="0"/>
              </w:rPr>
            </w:pPr>
            <w:r>
              <w:rPr>
                <w:rFonts w:hint="eastAsia"/>
                <w:color w:val="auto"/>
                <w:kern w:val="0"/>
              </w:rPr>
              <w:t>P3-2</w:t>
            </w:r>
            <w:r>
              <w:rPr>
                <w:color w:val="auto"/>
                <w:kern w:val="0"/>
              </w:rPr>
              <w:t>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486</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40</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4</w:t>
            </w:r>
            <w:r>
              <w:rPr>
                <w:color w:val="000000" w:themeColor="text1"/>
                <w:kern w:val="21"/>
                <w:sz w:val="21"/>
                <w:szCs w:val="21"/>
                <w14:textFill>
                  <w14:solidFill>
                    <w14:schemeClr w14:val="tx1"/>
                  </w14:solidFill>
                </w14:textFill>
              </w:rPr>
              <w:t>00</w:t>
            </w:r>
          </w:p>
        </w:tc>
        <w:tc>
          <w:tcPr>
            <w:tcW w:w="341"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5</w:t>
            </w:r>
          </w:p>
        </w:tc>
        <w:tc>
          <w:tcPr>
            <w:tcW w:w="436"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.2</w:t>
            </w:r>
          </w:p>
        </w:tc>
        <w:tc>
          <w:tcPr>
            <w:tcW w:w="342"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3</w:t>
            </w:r>
            <w:r>
              <w:rPr>
                <w:color w:val="000000" w:themeColor="text1"/>
                <w:kern w:val="21"/>
                <w:sz w:val="21"/>
                <w:szCs w:val="21"/>
                <w14:textFill>
                  <w14:solidFill>
                    <w14:schemeClr w14:val="tx1"/>
                  </w14:solidFill>
                </w14:textFill>
              </w:rPr>
              <w:t>6000</w:t>
            </w:r>
          </w:p>
        </w:tc>
        <w:tc>
          <w:tcPr>
            <w:tcW w:w="313"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2</w:t>
            </w:r>
            <w:r>
              <w:rPr>
                <w:color w:val="000000" w:themeColor="text1"/>
                <w:kern w:val="21"/>
                <w:sz w:val="21"/>
                <w:szCs w:val="21"/>
                <w14:textFill>
                  <w14:solidFill>
                    <w14:schemeClr w14:val="tx1"/>
                  </w14:solidFill>
                </w14:textFill>
              </w:rPr>
              <w:t>5</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640</w:t>
            </w:r>
          </w:p>
        </w:tc>
        <w:tc>
          <w:tcPr>
            <w:tcW w:w="1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.053</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.09</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Merge w:val="continue"/>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467" w:type="pct"/>
            <w:vAlign w:val="center"/>
          </w:tcPr>
          <w:p>
            <w:pPr>
              <w:pStyle w:val="2889"/>
              <w:rPr>
                <w:color w:val="auto"/>
                <w:kern w:val="0"/>
              </w:rPr>
            </w:pPr>
            <w:r>
              <w:rPr>
                <w:rFonts w:hint="eastAsia"/>
                <w:color w:val="auto"/>
                <w:kern w:val="0"/>
              </w:rPr>
              <w:t>P4</w:t>
            </w:r>
            <w:r>
              <w:rPr>
                <w:color w:val="auto"/>
                <w:kern w:val="0"/>
              </w:rPr>
              <w:t>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464</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9</w:t>
            </w:r>
            <w:r>
              <w:rPr>
                <w:rFonts w:ascii="Times New Roman" w:hAnsi="Times New Roman" w:eastAsia="宋体"/>
                <w:color w:val="000000" w:themeColor="text1"/>
                <w:szCs w:val="21"/>
                <w14:textFill>
                  <w14:solidFill>
                    <w14:schemeClr w14:val="tx1"/>
                  </w14:solidFill>
                </w14:textFill>
              </w:rPr>
              <w:t>8</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4</w:t>
            </w:r>
            <w:r>
              <w:rPr>
                <w:color w:val="000000" w:themeColor="text1"/>
                <w:kern w:val="21"/>
                <w:sz w:val="21"/>
                <w:szCs w:val="21"/>
                <w14:textFill>
                  <w14:solidFill>
                    <w14:schemeClr w14:val="tx1"/>
                  </w14:solidFill>
                </w14:textFill>
              </w:rPr>
              <w:t>01</w:t>
            </w:r>
          </w:p>
        </w:tc>
        <w:tc>
          <w:tcPr>
            <w:tcW w:w="341"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5</w:t>
            </w:r>
          </w:p>
        </w:tc>
        <w:tc>
          <w:tcPr>
            <w:tcW w:w="436"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0</w:t>
            </w:r>
            <w:r>
              <w:rPr>
                <w:color w:val="000000" w:themeColor="text1"/>
                <w:kern w:val="21"/>
                <w:sz w:val="21"/>
                <w:szCs w:val="21"/>
                <w14:textFill>
                  <w14:solidFill>
                    <w14:schemeClr w14:val="tx1"/>
                  </w14:solidFill>
                </w14:textFill>
              </w:rPr>
              <w:t>.6</w:t>
            </w:r>
          </w:p>
        </w:tc>
        <w:tc>
          <w:tcPr>
            <w:tcW w:w="342"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4</w:t>
            </w:r>
            <w:r>
              <w:rPr>
                <w:color w:val="000000" w:themeColor="text1"/>
                <w:kern w:val="21"/>
                <w:sz w:val="21"/>
                <w:szCs w:val="21"/>
                <w14:textFill>
                  <w14:solidFill>
                    <w14:schemeClr w14:val="tx1"/>
                  </w14:solidFill>
                </w14:textFill>
              </w:rPr>
              <w:t>476</w:t>
            </w:r>
          </w:p>
        </w:tc>
        <w:tc>
          <w:tcPr>
            <w:tcW w:w="313"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1</w:t>
            </w:r>
            <w:r>
              <w:rPr>
                <w:color w:val="000000" w:themeColor="text1"/>
                <w:kern w:val="21"/>
                <w:sz w:val="21"/>
                <w:szCs w:val="21"/>
                <w14:textFill>
                  <w14:solidFill>
                    <w14:schemeClr w14:val="tx1"/>
                  </w14:solidFill>
                </w14:textFill>
              </w:rPr>
              <w:t>00</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640</w:t>
            </w:r>
          </w:p>
        </w:tc>
        <w:tc>
          <w:tcPr>
            <w:tcW w:w="1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.0095</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.043</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.45</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0" w:type="dxa"/>
            <w:bottom w:w="0" w:type="dxa"/>
            <w:right w:w="40" w:type="dxa"/>
          </w:tblCellMar>
        </w:tblPrEx>
        <w:trPr>
          <w:trHeight w:val="20" w:hRule="atLeast"/>
          <w:jc w:val="center"/>
        </w:trPr>
        <w:tc>
          <w:tcPr>
            <w:tcW w:w="559" w:type="pct"/>
            <w:vAlign w:val="center"/>
          </w:tcPr>
          <w:p>
            <w:pPr>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重庆聚航钢结构制造有限公司</w:t>
            </w:r>
          </w:p>
        </w:tc>
        <w:tc>
          <w:tcPr>
            <w:tcW w:w="467" w:type="pct"/>
            <w:vAlign w:val="center"/>
          </w:tcPr>
          <w:p>
            <w:pPr>
              <w:pStyle w:val="298"/>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排气筒</w:t>
            </w:r>
          </w:p>
        </w:tc>
        <w:tc>
          <w:tcPr>
            <w:tcW w:w="287"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188</w:t>
            </w:r>
          </w:p>
        </w:tc>
        <w:tc>
          <w:tcPr>
            <w:tcW w:w="319" w:type="pct"/>
            <w:vAlign w:val="center"/>
          </w:tcPr>
          <w:p>
            <w:pPr>
              <w:pStyle w:val="450"/>
              <w:adjustRightInd w:val="0"/>
              <w:snapToGrid w:val="0"/>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r>
              <w:rPr>
                <w:rFonts w:ascii="Times New Roman" w:hAnsi="Times New Roman" w:eastAsia="宋体"/>
                <w:color w:val="000000" w:themeColor="text1"/>
                <w:szCs w:val="21"/>
                <w14:textFill>
                  <w14:solidFill>
                    <w14:schemeClr w14:val="tx1"/>
                  </w14:solidFill>
                </w14:textFill>
              </w:rPr>
              <w:t>095</w:t>
            </w:r>
          </w:p>
        </w:tc>
        <w:tc>
          <w:tcPr>
            <w:tcW w:w="534" w:type="pct"/>
            <w:vAlign w:val="center"/>
          </w:tcPr>
          <w:p>
            <w:pPr>
              <w:pStyle w:val="454"/>
              <w:rPr>
                <w:color w:val="000000" w:themeColor="text1"/>
                <w:kern w:val="21"/>
                <w:sz w:val="21"/>
                <w:szCs w:val="21"/>
                <w14:textFill>
                  <w14:solidFill>
                    <w14:schemeClr w14:val="tx1"/>
                  </w14:solidFill>
                </w14:textFill>
              </w:rPr>
            </w:pPr>
            <w:r>
              <w:rPr>
                <w:rFonts w:hint="eastAsia"/>
                <w:color w:val="000000" w:themeColor="text1"/>
                <w:kern w:val="21"/>
                <w:sz w:val="21"/>
                <w:szCs w:val="21"/>
                <w14:textFill>
                  <w14:solidFill>
                    <w14:schemeClr w14:val="tx1"/>
                  </w14:solidFill>
                </w14:textFill>
              </w:rPr>
              <w:t>4</w:t>
            </w:r>
            <w:r>
              <w:rPr>
                <w:color w:val="000000" w:themeColor="text1"/>
                <w:kern w:val="21"/>
                <w:sz w:val="21"/>
                <w:szCs w:val="21"/>
                <w14:textFill>
                  <w14:solidFill>
                    <w14:schemeClr w14:val="tx1"/>
                  </w14:solidFill>
                </w14:textFill>
              </w:rPr>
              <w:t>11</w:t>
            </w:r>
          </w:p>
        </w:tc>
        <w:tc>
          <w:tcPr>
            <w:tcW w:w="341"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15</w:t>
            </w:r>
          </w:p>
        </w:tc>
        <w:tc>
          <w:tcPr>
            <w:tcW w:w="436"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0.8</w:t>
            </w:r>
          </w:p>
        </w:tc>
        <w:tc>
          <w:tcPr>
            <w:tcW w:w="342"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22000</w:t>
            </w:r>
          </w:p>
        </w:tc>
        <w:tc>
          <w:tcPr>
            <w:tcW w:w="313" w:type="pct"/>
            <w:vAlign w:val="center"/>
          </w:tcPr>
          <w:p>
            <w:pPr>
              <w:pStyle w:val="454"/>
              <w:rPr>
                <w:color w:val="000000" w:themeColor="text1"/>
                <w:kern w:val="21"/>
                <w:sz w:val="21"/>
                <w:szCs w:val="21"/>
                <w14:textFill>
                  <w14:solidFill>
                    <w14:schemeClr w14:val="tx1"/>
                  </w14:solidFill>
                </w14:textFill>
              </w:rPr>
            </w:pPr>
            <w:r>
              <w:rPr>
                <w:color w:val="000000" w:themeColor="text1"/>
                <w:kern w:val="21"/>
                <w:sz w:val="21"/>
                <w:szCs w:val="21"/>
                <w14:textFill>
                  <w14:solidFill>
                    <w14:schemeClr w14:val="tx1"/>
                  </w14:solidFill>
                </w14:textFill>
              </w:rPr>
              <w:t>25</w:t>
            </w:r>
          </w:p>
        </w:tc>
        <w:tc>
          <w:tcPr>
            <w:tcW w:w="325"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800</w:t>
            </w:r>
          </w:p>
        </w:tc>
        <w:tc>
          <w:tcPr>
            <w:tcW w:w="19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.55</w:t>
            </w:r>
          </w:p>
        </w:tc>
        <w:tc>
          <w:tcPr>
            <w:tcW w:w="150"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96"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324"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.615</w:t>
            </w:r>
          </w:p>
        </w:tc>
        <w:tc>
          <w:tcPr>
            <w:tcW w:w="208" w:type="pct"/>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.275</w:t>
            </w:r>
          </w:p>
        </w:tc>
      </w:tr>
    </w:tbl>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w:t>
      </w: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8  区域</w:t>
      </w:r>
      <w:r>
        <w:rPr>
          <w:rFonts w:hint="eastAsia" w:eastAsia="宋体"/>
          <w:b/>
          <w:bCs/>
          <w:color w:val="000000" w:themeColor="text1"/>
          <w:szCs w:val="24"/>
          <w14:textFill>
            <w14:solidFill>
              <w14:schemeClr w14:val="tx1"/>
            </w14:solidFill>
          </w14:textFill>
        </w:rPr>
        <w:t>主要</w:t>
      </w:r>
      <w:r>
        <w:rPr>
          <w:rFonts w:eastAsia="宋体"/>
          <w:b/>
          <w:bCs/>
          <w:color w:val="000000" w:themeColor="text1"/>
          <w:szCs w:val="24"/>
          <w14:textFill>
            <w14:solidFill>
              <w14:schemeClr w14:val="tx1"/>
            </w14:solidFill>
          </w14:textFill>
        </w:rPr>
        <w:t>替代污染源情况表（</w:t>
      </w:r>
      <w:r>
        <w:rPr>
          <w:rFonts w:hint="eastAsia" w:eastAsia="宋体"/>
          <w:b/>
          <w:bCs/>
          <w:color w:val="000000" w:themeColor="text1"/>
          <w:szCs w:val="24"/>
          <w14:textFill>
            <w14:solidFill>
              <w14:schemeClr w14:val="tx1"/>
            </w14:solidFill>
          </w14:textFill>
        </w:rPr>
        <w:t>面源</w:t>
      </w:r>
      <w:r>
        <w:rPr>
          <w:rFonts w:eastAsia="宋体"/>
          <w:b/>
          <w:bCs/>
          <w:color w:val="000000" w:themeColor="text1"/>
          <w:szCs w:val="24"/>
          <w14:textFill>
            <w14:solidFill>
              <w14:schemeClr w14:val="tx1"/>
            </w14:solidFill>
          </w14:textFill>
        </w:rPr>
        <w:t>）</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39"/>
        <w:gridCol w:w="639"/>
        <w:gridCol w:w="743"/>
        <w:gridCol w:w="717"/>
        <w:gridCol w:w="807"/>
        <w:gridCol w:w="709"/>
        <w:gridCol w:w="997"/>
        <w:gridCol w:w="1136"/>
        <w:gridCol w:w="1700"/>
        <w:gridCol w:w="991"/>
        <w:gridCol w:w="851"/>
        <w:gridCol w:w="851"/>
        <w:gridCol w:w="1404"/>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34" w:type="dxa"/>
            <w:gridSpan w:val="2"/>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替代污染源</w:t>
            </w:r>
          </w:p>
        </w:tc>
        <w:tc>
          <w:tcPr>
            <w:tcW w:w="1382" w:type="dxa"/>
            <w:gridSpan w:val="2"/>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面源起点坐标/m</w:t>
            </w:r>
          </w:p>
        </w:tc>
        <w:tc>
          <w:tcPr>
            <w:tcW w:w="717"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面源海拔高度/m</w:t>
            </w:r>
          </w:p>
        </w:tc>
        <w:tc>
          <w:tcPr>
            <w:tcW w:w="807"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面源长度/m</w:t>
            </w:r>
          </w:p>
        </w:tc>
        <w:tc>
          <w:tcPr>
            <w:tcW w:w="709"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面源宽度/m</w:t>
            </w:r>
          </w:p>
        </w:tc>
        <w:tc>
          <w:tcPr>
            <w:tcW w:w="997"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与正北方向夹角/（°）</w:t>
            </w:r>
          </w:p>
        </w:tc>
        <w:tc>
          <w:tcPr>
            <w:tcW w:w="1136"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面源有效排放高度/m</w:t>
            </w:r>
          </w:p>
        </w:tc>
        <w:tc>
          <w:tcPr>
            <w:tcW w:w="1700" w:type="dxa"/>
            <w:vMerge w:val="restart"/>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年排放小时数/h</w:t>
            </w:r>
          </w:p>
        </w:tc>
        <w:tc>
          <w:tcPr>
            <w:tcW w:w="4876" w:type="dxa"/>
            <w:gridSpan w:val="5"/>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污染物排放</w:t>
            </w:r>
            <w:r>
              <w:rPr>
                <w:rFonts w:hint="eastAsia" w:eastAsia="宋体"/>
                <w:b/>
                <w:color w:val="000000" w:themeColor="text1"/>
                <w:kern w:val="0"/>
                <w:sz w:val="21"/>
                <w:szCs w:val="21"/>
                <w14:textFill>
                  <w14:solidFill>
                    <w14:schemeClr w14:val="tx1"/>
                  </w14:solidFill>
                </w14:textFill>
              </w:rPr>
              <w:t>量</w:t>
            </w:r>
            <w:r>
              <w:rPr>
                <w:rFonts w:eastAsia="宋体"/>
                <w:b/>
                <w:color w:val="000000" w:themeColor="text1"/>
                <w:kern w:val="0"/>
                <w:sz w:val="21"/>
                <w:szCs w:val="21"/>
                <w14:textFill>
                  <w14:solidFill>
                    <w14:schemeClr w14:val="tx1"/>
                  </w14:solidFill>
                </w14:textFill>
              </w:rPr>
              <w:t>/(</w:t>
            </w:r>
            <w:r>
              <w:rPr>
                <w:rFonts w:hint="eastAsia" w:eastAsia="宋体"/>
                <w:b/>
                <w:color w:val="000000" w:themeColor="text1"/>
                <w:kern w:val="0"/>
                <w:sz w:val="21"/>
                <w:szCs w:val="21"/>
                <w14:textFill>
                  <w14:solidFill>
                    <w14:schemeClr w14:val="tx1"/>
                  </w14:solidFill>
                </w14:textFill>
              </w:rPr>
              <w:t>t</w:t>
            </w:r>
            <w:r>
              <w:rPr>
                <w:rFonts w:eastAsia="宋体"/>
                <w:b/>
                <w:color w:val="000000" w:themeColor="text1"/>
                <w:kern w:val="0"/>
                <w:sz w:val="21"/>
                <w:szCs w:val="21"/>
                <w14:textFill>
                  <w14:solidFill>
                    <w14:schemeClr w14:val="tx1"/>
                  </w14:solidFill>
                </w14:textFill>
              </w:rPr>
              <w:t>/</w:t>
            </w:r>
            <w:r>
              <w:rPr>
                <w:rFonts w:hint="eastAsia" w:eastAsia="宋体"/>
                <w:b/>
                <w:color w:val="000000" w:themeColor="text1"/>
                <w:kern w:val="0"/>
                <w:sz w:val="21"/>
                <w:szCs w:val="21"/>
                <w14:textFill>
                  <w14:solidFill>
                    <w14:schemeClr w14:val="tx1"/>
                  </w14:solidFill>
                </w14:textFill>
              </w:rPr>
              <w:t>a</w:t>
            </w:r>
            <w:r>
              <w:rPr>
                <w:rFonts w:eastAsia="宋体"/>
                <w:b/>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34" w:type="dxa"/>
            <w:gridSpan w:val="2"/>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639"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X</w:t>
            </w:r>
          </w:p>
        </w:tc>
        <w:tc>
          <w:tcPr>
            <w:tcW w:w="743"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Y</w:t>
            </w:r>
          </w:p>
        </w:tc>
        <w:tc>
          <w:tcPr>
            <w:tcW w:w="717" w:type="dxa"/>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807" w:type="dxa"/>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709" w:type="dxa"/>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997" w:type="dxa"/>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1136" w:type="dxa"/>
            <w:vMerge w:val="continue"/>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p>
        </w:tc>
        <w:tc>
          <w:tcPr>
            <w:tcW w:w="1700" w:type="dxa"/>
            <w:vMerge w:val="continue"/>
            <w:vAlign w:val="center"/>
          </w:tcPr>
          <w:p>
            <w:pPr>
              <w:widowControl w:val="0"/>
              <w:adjustRightInd w:val="0"/>
              <w:snapToGrid w:val="0"/>
              <w:spacing w:line="240" w:lineRule="auto"/>
              <w:jc w:val="center"/>
              <w:textAlignment w:val="baseline"/>
              <w:rPr>
                <w:rFonts w:eastAsia="宋体"/>
                <w:b/>
                <w:color w:val="000000" w:themeColor="text1"/>
                <w:sz w:val="21"/>
                <w:szCs w:val="21"/>
                <w14:textFill>
                  <w14:solidFill>
                    <w14:schemeClr w14:val="tx1"/>
                  </w14:solidFill>
                </w14:textFill>
              </w:rPr>
            </w:pPr>
          </w:p>
        </w:tc>
        <w:tc>
          <w:tcPr>
            <w:tcW w:w="991"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PM</w:t>
            </w:r>
            <w:r>
              <w:rPr>
                <w:rFonts w:eastAsia="宋体"/>
                <w:b/>
                <w:color w:val="000000" w:themeColor="text1"/>
                <w:sz w:val="21"/>
                <w:szCs w:val="21"/>
                <w:vertAlign w:val="subscript"/>
                <w14:textFill>
                  <w14:solidFill>
                    <w14:schemeClr w14:val="tx1"/>
                  </w14:solidFill>
                </w14:textFill>
              </w:rPr>
              <w:t>10</w:t>
            </w:r>
          </w:p>
        </w:tc>
        <w:tc>
          <w:tcPr>
            <w:tcW w:w="851"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甲苯</w:t>
            </w:r>
          </w:p>
        </w:tc>
        <w:tc>
          <w:tcPr>
            <w:tcW w:w="851"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二甲苯</w:t>
            </w:r>
          </w:p>
        </w:tc>
        <w:tc>
          <w:tcPr>
            <w:tcW w:w="1404"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非甲烷总烃</w:t>
            </w:r>
          </w:p>
        </w:tc>
        <w:tc>
          <w:tcPr>
            <w:tcW w:w="779" w:type="dxa"/>
            <w:vAlign w:val="center"/>
          </w:tcPr>
          <w:p>
            <w:pPr>
              <w:widowControl w:val="0"/>
              <w:adjustRightInd w:val="0"/>
              <w:snapToGrid w:val="0"/>
              <w:spacing w:line="240" w:lineRule="auto"/>
              <w:jc w:val="center"/>
              <w:textAlignment w:val="baseline"/>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PM</w:t>
            </w:r>
            <w:r>
              <w:rPr>
                <w:rFonts w:eastAsia="宋体"/>
                <w:b/>
                <w:color w:val="000000" w:themeColor="text1"/>
                <w:sz w:val="21"/>
                <w:szCs w:val="21"/>
                <w:vertAlign w:val="subscript"/>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34" w:type="dxa"/>
            <w:gridSpan w:val="2"/>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重庆聚航钢结构制造有限公司</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-273</w:t>
            </w:r>
          </w:p>
        </w:tc>
        <w:tc>
          <w:tcPr>
            <w:tcW w:w="743"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1052</w:t>
            </w:r>
          </w:p>
        </w:tc>
        <w:tc>
          <w:tcPr>
            <w:tcW w:w="717"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21"/>
                <w:sz w:val="21"/>
                <w:szCs w:val="21"/>
                <w14:textFill>
                  <w14:solidFill>
                    <w14:schemeClr w14:val="tx1"/>
                  </w14:solidFill>
                </w14:textFill>
              </w:rPr>
              <w:t>410</w:t>
            </w:r>
          </w:p>
        </w:tc>
        <w:tc>
          <w:tcPr>
            <w:tcW w:w="807"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w:t>
            </w:r>
          </w:p>
        </w:tc>
        <w:tc>
          <w:tcPr>
            <w:tcW w:w="709" w:type="dxa"/>
            <w:vAlign w:val="center"/>
          </w:tcPr>
          <w:p>
            <w:pPr>
              <w:pStyle w:val="49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997" w:type="dxa"/>
            <w:vAlign w:val="center"/>
          </w:tcPr>
          <w:p>
            <w:pPr>
              <w:pStyle w:val="49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36" w:type="dxa"/>
            <w:vAlign w:val="center"/>
          </w:tcPr>
          <w:p>
            <w:pPr>
              <w:pStyle w:val="497"/>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5</w:t>
            </w:r>
          </w:p>
        </w:tc>
        <w:tc>
          <w:tcPr>
            <w:tcW w:w="1700"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2800</w:t>
            </w:r>
          </w:p>
        </w:tc>
        <w:tc>
          <w:tcPr>
            <w:tcW w:w="99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1.36</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1404"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7.69</w:t>
            </w:r>
          </w:p>
        </w:tc>
        <w:tc>
          <w:tcPr>
            <w:tcW w:w="77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34" w:type="dxa"/>
            <w:gridSpan w:val="2"/>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重庆标杰车厢制造有限公司</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444</w:t>
            </w:r>
          </w:p>
        </w:tc>
        <w:tc>
          <w:tcPr>
            <w:tcW w:w="743"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14</w:t>
            </w:r>
          </w:p>
        </w:tc>
        <w:tc>
          <w:tcPr>
            <w:tcW w:w="717" w:type="dxa"/>
            <w:vAlign w:val="center"/>
          </w:tcPr>
          <w:p>
            <w:pPr>
              <w:spacing w:line="240" w:lineRule="auto"/>
              <w:jc w:val="center"/>
              <w:rPr>
                <w:rFonts w:eastAsia="宋体"/>
                <w:color w:val="000000" w:themeColor="text1"/>
                <w:kern w:val="21"/>
                <w:sz w:val="21"/>
                <w:szCs w:val="21"/>
                <w14:textFill>
                  <w14:solidFill>
                    <w14:schemeClr w14:val="tx1"/>
                  </w14:solidFill>
                </w14:textFill>
              </w:rPr>
            </w:pPr>
            <w:r>
              <w:rPr>
                <w:rFonts w:eastAsia="宋体"/>
                <w:color w:val="000000" w:themeColor="text1"/>
                <w:kern w:val="21"/>
                <w:sz w:val="21"/>
                <w:szCs w:val="21"/>
                <w14:textFill>
                  <w14:solidFill>
                    <w14:schemeClr w14:val="tx1"/>
                  </w14:solidFill>
                </w14:textFill>
              </w:rPr>
              <w:t>400</w:t>
            </w:r>
          </w:p>
        </w:tc>
        <w:tc>
          <w:tcPr>
            <w:tcW w:w="807"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36.8</w:t>
            </w:r>
          </w:p>
        </w:tc>
        <w:tc>
          <w:tcPr>
            <w:tcW w:w="709"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997"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136" w:type="dxa"/>
            <w:vAlign w:val="center"/>
          </w:tcPr>
          <w:p>
            <w:pPr>
              <w:pStyle w:val="497"/>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w:t>
            </w:r>
            <w:r>
              <w:rPr>
                <w:color w:val="000000" w:themeColor="text1"/>
                <w:kern w:val="24"/>
                <w:sz w:val="21"/>
                <w:szCs w:val="21"/>
                <w14:textFill>
                  <w14:solidFill>
                    <w14:schemeClr w14:val="tx1"/>
                  </w14:solidFill>
                </w14:textFill>
              </w:rPr>
              <w:t>3</w:t>
            </w:r>
          </w:p>
        </w:tc>
        <w:tc>
          <w:tcPr>
            <w:tcW w:w="1700"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640</w:t>
            </w:r>
          </w:p>
        </w:tc>
        <w:tc>
          <w:tcPr>
            <w:tcW w:w="99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0.21</w:t>
            </w:r>
          </w:p>
        </w:tc>
        <w:tc>
          <w:tcPr>
            <w:tcW w:w="1404"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2.01</w:t>
            </w:r>
          </w:p>
        </w:tc>
        <w:tc>
          <w:tcPr>
            <w:tcW w:w="77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5" w:type="dxa"/>
            <w:vMerge w:val="restart"/>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重庆莱钢建筑材料有限公司</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喷漆区</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38</w:t>
            </w:r>
          </w:p>
        </w:tc>
        <w:tc>
          <w:tcPr>
            <w:tcW w:w="743"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81</w:t>
            </w:r>
          </w:p>
        </w:tc>
        <w:tc>
          <w:tcPr>
            <w:tcW w:w="717" w:type="dxa"/>
            <w:vAlign w:val="center"/>
          </w:tcPr>
          <w:p>
            <w:pPr>
              <w:spacing w:line="240" w:lineRule="auto"/>
              <w:jc w:val="center"/>
              <w:rPr>
                <w:rFonts w:eastAsia="宋体"/>
                <w:color w:val="000000" w:themeColor="text1"/>
                <w:kern w:val="21"/>
                <w:sz w:val="21"/>
                <w:szCs w:val="21"/>
                <w14:textFill>
                  <w14:solidFill>
                    <w14:schemeClr w14:val="tx1"/>
                  </w14:solidFill>
                </w14:textFill>
              </w:rPr>
            </w:pPr>
            <w:r>
              <w:rPr>
                <w:rFonts w:hint="eastAsia" w:eastAsia="宋体"/>
                <w:color w:val="000000" w:themeColor="text1"/>
                <w:kern w:val="21"/>
                <w:sz w:val="21"/>
                <w:szCs w:val="21"/>
                <w14:textFill>
                  <w14:solidFill>
                    <w14:schemeClr w14:val="tx1"/>
                  </w14:solidFill>
                </w14:textFill>
              </w:rPr>
              <w:t>3</w:t>
            </w:r>
            <w:r>
              <w:rPr>
                <w:rFonts w:eastAsia="宋体"/>
                <w:color w:val="000000" w:themeColor="text1"/>
                <w:kern w:val="21"/>
                <w:sz w:val="21"/>
                <w:szCs w:val="21"/>
                <w14:textFill>
                  <w14:solidFill>
                    <w14:schemeClr w14:val="tx1"/>
                  </w14:solidFill>
                </w14:textFill>
              </w:rPr>
              <w:t>93</w:t>
            </w:r>
          </w:p>
        </w:tc>
        <w:tc>
          <w:tcPr>
            <w:tcW w:w="807"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w:t>
            </w:r>
          </w:p>
        </w:tc>
        <w:tc>
          <w:tcPr>
            <w:tcW w:w="709"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997"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w:t>
            </w:r>
          </w:p>
        </w:tc>
        <w:tc>
          <w:tcPr>
            <w:tcW w:w="1136" w:type="dxa"/>
            <w:vAlign w:val="center"/>
          </w:tcPr>
          <w:p>
            <w:pPr>
              <w:pStyle w:val="497"/>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w:t>
            </w:r>
            <w:r>
              <w:rPr>
                <w:color w:val="000000" w:themeColor="text1"/>
                <w:kern w:val="24"/>
                <w:sz w:val="21"/>
                <w:szCs w:val="21"/>
                <w14:textFill>
                  <w14:solidFill>
                    <w14:schemeClr w14:val="tx1"/>
                  </w14:solidFill>
                </w14:textFill>
              </w:rPr>
              <w:t>0</w:t>
            </w:r>
          </w:p>
        </w:tc>
        <w:tc>
          <w:tcPr>
            <w:tcW w:w="1700"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400</w:t>
            </w:r>
          </w:p>
        </w:tc>
        <w:tc>
          <w:tcPr>
            <w:tcW w:w="99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.832</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1404"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.866</w:t>
            </w:r>
          </w:p>
        </w:tc>
        <w:tc>
          <w:tcPr>
            <w:tcW w:w="77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.916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5" w:type="dxa"/>
            <w:vMerge w:val="continue"/>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抛丸</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14</w:t>
            </w:r>
          </w:p>
        </w:tc>
        <w:tc>
          <w:tcPr>
            <w:tcW w:w="743"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81</w:t>
            </w:r>
          </w:p>
        </w:tc>
        <w:tc>
          <w:tcPr>
            <w:tcW w:w="717" w:type="dxa"/>
            <w:vAlign w:val="center"/>
          </w:tcPr>
          <w:p>
            <w:pPr>
              <w:spacing w:line="240" w:lineRule="auto"/>
              <w:jc w:val="center"/>
              <w:rPr>
                <w:rFonts w:eastAsia="宋体"/>
                <w:color w:val="000000" w:themeColor="text1"/>
                <w:kern w:val="21"/>
                <w:sz w:val="21"/>
                <w:szCs w:val="21"/>
                <w14:textFill>
                  <w14:solidFill>
                    <w14:schemeClr w14:val="tx1"/>
                  </w14:solidFill>
                </w14:textFill>
              </w:rPr>
            </w:pPr>
            <w:r>
              <w:rPr>
                <w:rFonts w:hint="eastAsia" w:eastAsia="宋体"/>
                <w:color w:val="000000" w:themeColor="text1"/>
                <w:kern w:val="21"/>
                <w:sz w:val="21"/>
                <w:szCs w:val="21"/>
                <w14:textFill>
                  <w14:solidFill>
                    <w14:schemeClr w14:val="tx1"/>
                  </w14:solidFill>
                </w14:textFill>
              </w:rPr>
              <w:t>3</w:t>
            </w:r>
            <w:r>
              <w:rPr>
                <w:rFonts w:eastAsia="宋体"/>
                <w:color w:val="000000" w:themeColor="text1"/>
                <w:kern w:val="21"/>
                <w:sz w:val="21"/>
                <w:szCs w:val="21"/>
                <w14:textFill>
                  <w14:solidFill>
                    <w14:schemeClr w14:val="tx1"/>
                  </w14:solidFill>
                </w14:textFill>
              </w:rPr>
              <w:t>94</w:t>
            </w:r>
          </w:p>
        </w:tc>
        <w:tc>
          <w:tcPr>
            <w:tcW w:w="807"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10</w:t>
            </w:r>
          </w:p>
        </w:tc>
        <w:tc>
          <w:tcPr>
            <w:tcW w:w="709" w:type="dxa"/>
            <w:vAlign w:val="center"/>
          </w:tcPr>
          <w:p>
            <w:pPr>
              <w:pStyle w:val="49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230</w:t>
            </w:r>
          </w:p>
        </w:tc>
        <w:tc>
          <w:tcPr>
            <w:tcW w:w="997"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w:t>
            </w:r>
          </w:p>
        </w:tc>
        <w:tc>
          <w:tcPr>
            <w:tcW w:w="1136" w:type="dxa"/>
            <w:vAlign w:val="center"/>
          </w:tcPr>
          <w:p>
            <w:pPr>
              <w:pStyle w:val="497"/>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w:t>
            </w:r>
            <w:r>
              <w:rPr>
                <w:color w:val="000000" w:themeColor="text1"/>
                <w:kern w:val="24"/>
                <w:sz w:val="21"/>
                <w:szCs w:val="21"/>
                <w14:textFill>
                  <w14:solidFill>
                    <w14:schemeClr w14:val="tx1"/>
                  </w14:solidFill>
                </w14:textFill>
              </w:rPr>
              <w:t>0</w:t>
            </w:r>
          </w:p>
        </w:tc>
        <w:tc>
          <w:tcPr>
            <w:tcW w:w="1700"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400</w:t>
            </w:r>
          </w:p>
        </w:tc>
        <w:tc>
          <w:tcPr>
            <w:tcW w:w="99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29.7</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1404"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77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5" w:type="dxa"/>
            <w:vMerge w:val="continue"/>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焊接</w:t>
            </w:r>
          </w:p>
        </w:tc>
        <w:tc>
          <w:tcPr>
            <w:tcW w:w="63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9</w:t>
            </w:r>
          </w:p>
        </w:tc>
        <w:tc>
          <w:tcPr>
            <w:tcW w:w="743"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w:t>
            </w:r>
            <w:r>
              <w:rPr>
                <w:rFonts w:eastAsia="宋体"/>
                <w:color w:val="000000" w:themeColor="text1"/>
                <w:kern w:val="0"/>
                <w:sz w:val="21"/>
                <w:szCs w:val="21"/>
                <w14:textFill>
                  <w14:solidFill>
                    <w14:schemeClr w14:val="tx1"/>
                  </w14:solidFill>
                </w14:textFill>
              </w:rPr>
              <w:t>70</w:t>
            </w:r>
          </w:p>
        </w:tc>
        <w:tc>
          <w:tcPr>
            <w:tcW w:w="717" w:type="dxa"/>
            <w:vAlign w:val="center"/>
          </w:tcPr>
          <w:p>
            <w:pPr>
              <w:spacing w:line="240" w:lineRule="auto"/>
              <w:jc w:val="center"/>
              <w:rPr>
                <w:rFonts w:eastAsia="宋体"/>
                <w:color w:val="000000" w:themeColor="text1"/>
                <w:kern w:val="21"/>
                <w:sz w:val="21"/>
                <w:szCs w:val="21"/>
                <w14:textFill>
                  <w14:solidFill>
                    <w14:schemeClr w14:val="tx1"/>
                  </w14:solidFill>
                </w14:textFill>
              </w:rPr>
            </w:pPr>
            <w:r>
              <w:rPr>
                <w:rFonts w:hint="eastAsia" w:eastAsia="宋体"/>
                <w:color w:val="000000" w:themeColor="text1"/>
                <w:kern w:val="21"/>
                <w:sz w:val="21"/>
                <w:szCs w:val="21"/>
                <w14:textFill>
                  <w14:solidFill>
                    <w14:schemeClr w14:val="tx1"/>
                  </w14:solidFill>
                </w14:textFill>
              </w:rPr>
              <w:t>3</w:t>
            </w:r>
            <w:r>
              <w:rPr>
                <w:rFonts w:eastAsia="宋体"/>
                <w:color w:val="000000" w:themeColor="text1"/>
                <w:kern w:val="21"/>
                <w:sz w:val="21"/>
                <w:szCs w:val="21"/>
                <w14:textFill>
                  <w14:solidFill>
                    <w14:schemeClr w14:val="tx1"/>
                  </w14:solidFill>
                </w14:textFill>
              </w:rPr>
              <w:t>99</w:t>
            </w:r>
          </w:p>
        </w:tc>
        <w:tc>
          <w:tcPr>
            <w:tcW w:w="807"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15</w:t>
            </w:r>
          </w:p>
        </w:tc>
        <w:tc>
          <w:tcPr>
            <w:tcW w:w="709"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40</w:t>
            </w:r>
          </w:p>
        </w:tc>
        <w:tc>
          <w:tcPr>
            <w:tcW w:w="997" w:type="dxa"/>
            <w:vAlign w:val="center"/>
          </w:tcPr>
          <w:p>
            <w:pPr>
              <w:pStyle w:val="497"/>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0</w:t>
            </w:r>
          </w:p>
        </w:tc>
        <w:tc>
          <w:tcPr>
            <w:tcW w:w="1136" w:type="dxa"/>
            <w:vAlign w:val="center"/>
          </w:tcPr>
          <w:p>
            <w:pPr>
              <w:pStyle w:val="497"/>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w:t>
            </w:r>
            <w:r>
              <w:rPr>
                <w:color w:val="000000" w:themeColor="text1"/>
                <w:kern w:val="24"/>
                <w:sz w:val="21"/>
                <w:szCs w:val="21"/>
                <w14:textFill>
                  <w14:solidFill>
                    <w14:schemeClr w14:val="tx1"/>
                  </w14:solidFill>
                </w14:textFill>
              </w:rPr>
              <w:t>0</w:t>
            </w:r>
          </w:p>
        </w:tc>
        <w:tc>
          <w:tcPr>
            <w:tcW w:w="1700"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400</w:t>
            </w:r>
          </w:p>
        </w:tc>
        <w:tc>
          <w:tcPr>
            <w:tcW w:w="99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.979</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851"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1404"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779" w:type="dxa"/>
            <w:vAlign w:val="center"/>
          </w:tcPr>
          <w:p>
            <w:pPr>
              <w:widowControl w:val="0"/>
              <w:adjustRightInd w:val="0"/>
              <w:snapToGrid w:val="0"/>
              <w:spacing w:line="240" w:lineRule="auto"/>
              <w:jc w:val="center"/>
              <w:textAlignment w:val="baseline"/>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.490</w:t>
            </w:r>
          </w:p>
        </w:tc>
      </w:tr>
    </w:tbl>
    <w:p>
      <w:pPr>
        <w:suppressAutoHyphens/>
        <w:ind w:firstLine="480" w:firstLineChars="200"/>
        <w:rPr>
          <w:rFonts w:eastAsia="宋体"/>
          <w:color w:val="000000" w:themeColor="text1"/>
          <w:szCs w:val="24"/>
          <w14:textFill>
            <w14:solidFill>
              <w14:schemeClr w14:val="tx1"/>
            </w14:solidFill>
          </w14:textFill>
        </w:rPr>
      </w:pPr>
    </w:p>
    <w:p>
      <w:pPr>
        <w:suppressAutoHyphens/>
        <w:ind w:firstLine="480" w:firstLineChars="200"/>
        <w:rPr>
          <w:rFonts w:eastAsia="宋体"/>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4.2.3预测参数资料</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（1）预测气象</w:t>
      </w:r>
    </w:p>
    <w:p>
      <w:pPr>
        <w:suppressAutoHyphens/>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地面气象数据：地面气象数据采用大足区气象站2022年365天逐时8783小时的地面风向、风速、总云量、低云量、干球温度等变量输入，生成AERMOD预测气象。气象数据基本内容见表4.2-9。</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表4.2-9  地面气象数据信息</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126"/>
        <w:gridCol w:w="1333"/>
        <w:gridCol w:w="839"/>
        <w:gridCol w:w="924"/>
        <w:gridCol w:w="1011"/>
        <w:gridCol w:w="2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气象站名称</w:t>
            </w:r>
          </w:p>
        </w:tc>
        <w:tc>
          <w:tcPr>
            <w:tcW w:w="661"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气象站编号</w:t>
            </w:r>
          </w:p>
        </w:tc>
        <w:tc>
          <w:tcPr>
            <w:tcW w:w="782"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等级</w:t>
            </w:r>
          </w:p>
        </w:tc>
        <w:tc>
          <w:tcPr>
            <w:tcW w:w="1034" w:type="pct"/>
            <w:gridSpan w:val="2"/>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气象站坐标</w:t>
            </w:r>
          </w:p>
        </w:tc>
        <w:tc>
          <w:tcPr>
            <w:tcW w:w="593"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数据年份</w:t>
            </w:r>
          </w:p>
        </w:tc>
        <w:tc>
          <w:tcPr>
            <w:tcW w:w="1324"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气象要素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661"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782"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492"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E</w:t>
            </w:r>
          </w:p>
        </w:tc>
        <w:tc>
          <w:tcPr>
            <w:tcW w:w="542"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w:t>
            </w:r>
          </w:p>
        </w:tc>
        <w:tc>
          <w:tcPr>
            <w:tcW w:w="593"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1324"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大足站</w:t>
            </w:r>
          </w:p>
        </w:tc>
        <w:tc>
          <w:tcPr>
            <w:tcW w:w="661"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57502</w:t>
            </w:r>
          </w:p>
        </w:tc>
        <w:tc>
          <w:tcPr>
            <w:tcW w:w="782"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一般站</w:t>
            </w:r>
          </w:p>
        </w:tc>
        <w:tc>
          <w:tcPr>
            <w:tcW w:w="492"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105.69</w:t>
            </w:r>
          </w:p>
        </w:tc>
        <w:tc>
          <w:tcPr>
            <w:tcW w:w="542"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29.71</w:t>
            </w:r>
          </w:p>
        </w:tc>
        <w:tc>
          <w:tcPr>
            <w:tcW w:w="593"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2022年</w:t>
            </w:r>
          </w:p>
        </w:tc>
        <w:tc>
          <w:tcPr>
            <w:tcW w:w="1324"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风速、风向、干球温度、低云量、总云量</w:t>
            </w:r>
          </w:p>
        </w:tc>
      </w:tr>
    </w:tbl>
    <w:p>
      <w:pPr>
        <w:suppressAutoHyphens/>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高空气象数据：探空气象资料采用国家环境保护环境影响评价数据模拟重点实验室提供的中尺度气象模拟数据，模拟气象数据基本内容见表4.2-10。</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表4.2-10  高空气象数据信息</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031"/>
        <w:gridCol w:w="1708"/>
        <w:gridCol w:w="2497"/>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3" w:type="pct"/>
            <w:gridSpan w:val="2"/>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坐标</w:t>
            </w:r>
          </w:p>
        </w:tc>
        <w:tc>
          <w:tcPr>
            <w:tcW w:w="1002"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数据年份</w:t>
            </w:r>
          </w:p>
        </w:tc>
        <w:tc>
          <w:tcPr>
            <w:tcW w:w="1465"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模拟气象要素</w:t>
            </w:r>
          </w:p>
        </w:tc>
        <w:tc>
          <w:tcPr>
            <w:tcW w:w="1231" w:type="pct"/>
            <w:vMerge w:val="restar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模拟方式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E</w:t>
            </w:r>
          </w:p>
        </w:tc>
        <w:tc>
          <w:tcPr>
            <w:tcW w:w="605"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w:t>
            </w:r>
          </w:p>
        </w:tc>
        <w:tc>
          <w:tcPr>
            <w:tcW w:w="1002"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1465"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c>
          <w:tcPr>
            <w:tcW w:w="1231" w:type="pct"/>
            <w:vMerge w:val="continue"/>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105.69</w:t>
            </w:r>
          </w:p>
        </w:tc>
        <w:tc>
          <w:tcPr>
            <w:tcW w:w="60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29.71</w:t>
            </w:r>
          </w:p>
        </w:tc>
        <w:tc>
          <w:tcPr>
            <w:tcW w:w="1002"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2022</w:t>
            </w:r>
          </w:p>
        </w:tc>
        <w:tc>
          <w:tcPr>
            <w:tcW w:w="146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气压、离地高度、干球温度</w:t>
            </w:r>
          </w:p>
        </w:tc>
        <w:tc>
          <w:tcPr>
            <w:tcW w:w="1231"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中尺度气象模型WRF模拟数据</w:t>
            </w:r>
          </w:p>
        </w:tc>
      </w:tr>
    </w:tbl>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（2）预测地形</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地形数据来自</w:t>
      </w:r>
      <w:r>
        <w:fldChar w:fldCharType="begin"/>
      </w:r>
      <w:r>
        <w:instrText xml:space="preserve"> HYPERLINK "http://srtm.csi.cgiar.org/" </w:instrText>
      </w:r>
      <w:r>
        <w:fldChar w:fldCharType="separate"/>
      </w:r>
      <w:r>
        <w:rPr>
          <w:rStyle w:val="145"/>
          <w:rFonts w:eastAsia="宋体"/>
          <w:color w:val="000000" w:themeColor="text1"/>
          <w:szCs w:val="24"/>
          <w14:textFill>
            <w14:solidFill>
              <w14:schemeClr w14:val="tx1"/>
            </w14:solidFill>
          </w14:textFill>
        </w:rPr>
        <w:t>http://srtm.csi.cgiar.org/</w:t>
      </w:r>
      <w:r>
        <w:rPr>
          <w:rStyle w:val="145"/>
          <w:rFonts w:eastAsia="宋体"/>
          <w:color w:val="000000" w:themeColor="text1"/>
          <w:szCs w:val="24"/>
          <w14:textFill>
            <w14:solidFill>
              <w14:schemeClr w14:val="tx1"/>
            </w14:solidFill>
          </w14:textFill>
        </w:rPr>
        <w:fldChar w:fldCharType="end"/>
      </w:r>
      <w:r>
        <w:rPr>
          <w:rFonts w:eastAsia="宋体"/>
          <w:color w:val="000000" w:themeColor="text1"/>
          <w:szCs w:val="24"/>
          <w14:textFill>
            <w14:solidFill>
              <w14:schemeClr w14:val="tx1"/>
            </w14:solidFill>
          </w14:textFill>
        </w:rPr>
        <w:t>网站提供的高程数据，精度为90m×90m，满足本次环境空气预测评价要求。</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（3）气象统计</w:t>
      </w: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风向</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风向统计分析见表4.2-11。</w:t>
      </w:r>
    </w:p>
    <w:p>
      <w:pPr>
        <w:suppressAutoHyphens/>
        <w:ind w:firstLine="480"/>
        <w:rPr>
          <w:rFonts w:eastAsia="宋体"/>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表4.2-11  风向统计表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99"/>
        <w:gridCol w:w="799"/>
        <w:gridCol w:w="800"/>
        <w:gridCol w:w="800"/>
        <w:gridCol w:w="800"/>
        <w:gridCol w:w="701"/>
        <w:gridCol w:w="800"/>
        <w:gridCol w:w="756"/>
        <w:gridCol w:w="800"/>
        <w:gridCol w:w="800"/>
        <w:gridCol w:w="800"/>
        <w:gridCol w:w="803"/>
        <w:gridCol w:w="701"/>
        <w:gridCol w:w="842"/>
        <w:gridCol w:w="701"/>
        <w:gridCol w:w="808"/>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月份</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NNE</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NE</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ENE</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E</w:t>
            </w:r>
          </w:p>
        </w:tc>
        <w:tc>
          <w:tcPr>
            <w:tcW w:w="248"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ESE</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SE</w:t>
            </w:r>
          </w:p>
        </w:tc>
        <w:tc>
          <w:tcPr>
            <w:tcW w:w="248"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SSE</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S</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SSW</w:t>
            </w:r>
          </w:p>
        </w:tc>
        <w:tc>
          <w:tcPr>
            <w:tcW w:w="283"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SW</w:t>
            </w:r>
          </w:p>
        </w:tc>
        <w:tc>
          <w:tcPr>
            <w:tcW w:w="284"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WSW</w:t>
            </w:r>
          </w:p>
        </w:tc>
        <w:tc>
          <w:tcPr>
            <w:tcW w:w="248"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W</w:t>
            </w:r>
          </w:p>
        </w:tc>
        <w:tc>
          <w:tcPr>
            <w:tcW w:w="298"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WNW</w:t>
            </w:r>
          </w:p>
        </w:tc>
        <w:tc>
          <w:tcPr>
            <w:tcW w:w="248"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NW</w:t>
            </w:r>
          </w:p>
        </w:tc>
        <w:tc>
          <w:tcPr>
            <w:tcW w:w="286"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NNW</w:t>
            </w:r>
          </w:p>
        </w:tc>
        <w:tc>
          <w:tcPr>
            <w:tcW w:w="262" w:type="pct"/>
            <w:shd w:val="clear" w:color="auto" w:fill="auto"/>
            <w:noWrap/>
            <w:vAlign w:val="bottom"/>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静风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11.16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12.77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11.16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9.54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17.88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6.72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3.76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2.42</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1.61</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3.49</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二月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11.16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10.27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9.82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22.17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8.93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3.13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2.68</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1.79</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1.04</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2.68</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2.38</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3.42</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三月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14.52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7.80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8.47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7.80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13.58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8.20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7.53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6.45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2.02</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1.88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3.63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4.44</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四月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11.81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5.83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7.50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13.33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13.75</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4.58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5.14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7.64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4.58</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3.61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4.72</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2.78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2.78</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4.44</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五月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11.42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5.11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4.84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6.99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11.02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8.47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5.91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13.44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6.05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5.51</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4.30</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3.23</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3.90</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六月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6.94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4.44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9.72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4.72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6.67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11.25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8.89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7.08</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6.53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6.25</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5.97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3.89</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3.61</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七月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10.08</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4.44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4.70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11.69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8.20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7.66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6.72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11.02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5.11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5.38</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3.09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5.24</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3.76</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2.96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8.47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7.39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15.73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20.03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16.40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2.69</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2.02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2.96</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2.96</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九月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15.42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11.11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6.81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6.81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8.06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5.69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3.19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3.47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2.50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1.39</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0.83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5.83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9.44</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10.56</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13.44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10.89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8.87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9.41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9.81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3.90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4.17</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6.72</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3.76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6.18</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十一月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19.31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11.67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15.00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7.64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9.31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2.78</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2.36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2.50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1.81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1.53</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2.78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4.86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4.58</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7.64</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十二月</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16.17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12.13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10.43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6.26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7.69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5.87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4.56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3.00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6.26</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1.56</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4.69</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3.52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7.43</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5.87</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全年</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12.05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8.41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7.98</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7.40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11.85</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6.25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5.78</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7.81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3.67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3.24</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2.68</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4.63</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3.29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4.32</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5.02</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春季</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12.59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6.25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6.93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9.33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12.77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6.02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5.03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9.19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3.94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2.90</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4.21</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2.22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3.35</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4.26</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夏季</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7.07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4.21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4.21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9.96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6.79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9.24</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11.19</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12.91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6.07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4.62</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4.94</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3.53</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4.03</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3.44</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秋季</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16.03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11.22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10.21</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7.97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9.07</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4.12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3.16</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3.34</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2.38</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2.11</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5.54</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4.72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6.00</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8.10</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7" w:type="pct"/>
            <w:shd w:val="clear" w:color="auto" w:fill="auto"/>
            <w:noWrap/>
            <w:vAlign w:val="bottom"/>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冬季</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12.55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12.05</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10.63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8.47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15.62</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7.10</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3.85</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3.53</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5.22</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2.47</w:t>
            </w:r>
          </w:p>
        </w:tc>
        <w:tc>
          <w:tcPr>
            <w:tcW w:w="283"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1.92</w:t>
            </w:r>
          </w:p>
        </w:tc>
        <w:tc>
          <w:tcPr>
            <w:tcW w:w="284"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1.79</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3.85</w:t>
            </w:r>
          </w:p>
        </w:tc>
        <w:tc>
          <w:tcPr>
            <w:tcW w:w="29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2.70</w:t>
            </w:r>
          </w:p>
        </w:tc>
        <w:tc>
          <w:tcPr>
            <w:tcW w:w="248"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3.89</w:t>
            </w:r>
          </w:p>
        </w:tc>
        <w:tc>
          <w:tcPr>
            <w:tcW w:w="286"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4.31</w:t>
            </w:r>
          </w:p>
        </w:tc>
        <w:tc>
          <w:tcPr>
            <w:tcW w:w="262" w:type="pct"/>
            <w:shd w:val="clear" w:color="auto" w:fill="auto"/>
            <w:noWrap/>
          </w:tcPr>
          <w:p>
            <w:pPr>
              <w:spacing w:line="240" w:lineRule="auto"/>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0.05</w:t>
            </w:r>
          </w:p>
        </w:tc>
      </w:tr>
    </w:tbl>
    <w:p>
      <w:pPr>
        <w:suppressAutoHyphens/>
        <w:ind w:firstLine="482"/>
        <w:rPr>
          <w:rFonts w:eastAsia="宋体"/>
          <w:b/>
          <w:bCs/>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风玫瑰图</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drawing>
          <wp:inline distT="0" distB="0" distL="0" distR="0">
            <wp:extent cx="5076825" cy="7048500"/>
            <wp:effectExtent l="0" t="0" r="9525" b="0"/>
            <wp:docPr id="7" name="图片 7" descr="D:\2023.10.19航鑫\大气预测\2022年风玫瑰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023.10.19航鑫\大气预测\2022年风玫瑰图.BMP"/>
                    <pic:cNvPicPr>
                      <a:picLocks noChangeAspect="1" noChangeArrowheads="1"/>
                    </pic:cNvPicPr>
                  </pic:nvPicPr>
                  <pic:blipFill>
                    <a:blip r:embed="rId40">
                      <a:extLst>
                        <a:ext uri="{28A0092B-C50C-407E-A947-70E740481C1C}">
                          <a14:useLocalDpi xmlns:a14="http://schemas.microsoft.com/office/drawing/2010/main" val="0"/>
                        </a:ext>
                      </a:extLst>
                    </a:blip>
                    <a:srcRect t="2631"/>
                    <a:stretch>
                      <a:fillRect/>
                    </a:stretch>
                  </pic:blipFill>
                  <pic:spPr>
                    <a:xfrm>
                      <a:off x="0" y="0"/>
                      <a:ext cx="5076825" cy="7048500"/>
                    </a:xfrm>
                    <a:prstGeom prst="rect">
                      <a:avLst/>
                    </a:prstGeom>
                    <a:noFill/>
                    <a:ln>
                      <a:noFill/>
                    </a:ln>
                  </pic:spPr>
                </pic:pic>
              </a:graphicData>
            </a:graphic>
          </wp:inline>
        </w:drawing>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图4.2-1  风玫瑰统计图</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eastAsia="宋体"/>
          <w:color w:val="000000" w:themeColor="text1"/>
          <w14:textFill>
            <w14:solidFill>
              <w14:schemeClr w14:val="tx1"/>
            </w14:solidFill>
          </w14:textFill>
        </w:rPr>
        <w:t>年平均温度</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大足区2022年平均气温为18.33℃</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2月份平均气温最低，为6.69℃；月份平均气温最高，为32.64℃。大足区2022年各月及全年气温见表4.2-12和图4.2-2。</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表4.2-12  大足区2022年年均气温的月变化</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557"/>
        <w:gridCol w:w="557"/>
        <w:gridCol w:w="648"/>
        <w:gridCol w:w="648"/>
        <w:gridCol w:w="648"/>
        <w:gridCol w:w="648"/>
        <w:gridCol w:w="648"/>
        <w:gridCol w:w="648"/>
        <w:gridCol w:w="648"/>
        <w:gridCol w:w="654"/>
        <w:gridCol w:w="654"/>
        <w:gridCol w:w="654"/>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1"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月份</w:t>
            </w:r>
          </w:p>
        </w:tc>
        <w:tc>
          <w:tcPr>
            <w:tcW w:w="303"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1月</w:t>
            </w:r>
          </w:p>
        </w:tc>
        <w:tc>
          <w:tcPr>
            <w:tcW w:w="303"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2月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3月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4月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5月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6月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7月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8月</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9月</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10月</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11月</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12月</w:t>
            </w:r>
          </w:p>
        </w:tc>
        <w:tc>
          <w:tcPr>
            <w:tcW w:w="304" w:type="pct"/>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1"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温度℃</w:t>
            </w:r>
          </w:p>
        </w:tc>
        <w:tc>
          <w:tcPr>
            <w:tcW w:w="303"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7.68 </w:t>
            </w:r>
          </w:p>
        </w:tc>
        <w:tc>
          <w:tcPr>
            <w:tcW w:w="303"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7.22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17.45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18.13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20.60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24.92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29.62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32.64 </w:t>
            </w:r>
          </w:p>
        </w:tc>
        <w:tc>
          <w:tcPr>
            <w:tcW w:w="35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21.94 </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18.19 </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14.84 </w:t>
            </w:r>
          </w:p>
        </w:tc>
        <w:tc>
          <w:tcPr>
            <w:tcW w:w="35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6.69 </w:t>
            </w:r>
          </w:p>
        </w:tc>
        <w:tc>
          <w:tcPr>
            <w:tcW w:w="304" w:type="pct"/>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18.33</w:t>
            </w:r>
          </w:p>
        </w:tc>
      </w:tr>
    </w:tbl>
    <w:p>
      <w:pPr>
        <w:suppressAutoHyphens/>
        <w:jc w:val="center"/>
        <w:rPr>
          <w:rFonts w:eastAsia="宋体"/>
          <w:b/>
          <w:bCs/>
          <w:color w:val="000000" w:themeColor="text1"/>
          <w:szCs w:val="24"/>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5760720" cy="2211705"/>
            <wp:effectExtent l="0" t="0" r="11430" b="1714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图4.2-2  大足区2022年年平均气温的月变化曲线图</w:t>
      </w:r>
    </w:p>
    <w:p>
      <w:pPr>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eastAsia="宋体"/>
          <w:color w:val="000000" w:themeColor="text1"/>
          <w14:textFill>
            <w14:solidFill>
              <w14:schemeClr w14:val="tx1"/>
            </w14:solidFill>
          </w14:textFill>
        </w:rPr>
        <w:t>年平均风速</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大足区2022年平均风速为2.57m/s；最大风速出现在8月，为3.11m/s；最小风速出现在6月，为2.06m/s。大足区2022年各月风速见表4.2-13和图4.2-3。</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表4.2-13  大足区2022年年均风速的月变化</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575"/>
        <w:gridCol w:w="576"/>
        <w:gridCol w:w="578"/>
        <w:gridCol w:w="580"/>
        <w:gridCol w:w="580"/>
        <w:gridCol w:w="580"/>
        <w:gridCol w:w="580"/>
        <w:gridCol w:w="580"/>
        <w:gridCol w:w="602"/>
        <w:gridCol w:w="715"/>
        <w:gridCol w:w="715"/>
        <w:gridCol w:w="715"/>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月份</w:t>
            </w:r>
          </w:p>
        </w:tc>
        <w:tc>
          <w:tcPr>
            <w:tcW w:w="310"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1月</w:t>
            </w:r>
          </w:p>
        </w:tc>
        <w:tc>
          <w:tcPr>
            <w:tcW w:w="310"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2月</w:t>
            </w:r>
          </w:p>
        </w:tc>
        <w:tc>
          <w:tcPr>
            <w:tcW w:w="311"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3月</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4月</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5月</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6月</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7月</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8月</w:t>
            </w:r>
          </w:p>
        </w:tc>
        <w:tc>
          <w:tcPr>
            <w:tcW w:w="324"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9月</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10月</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11月</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12月</w:t>
            </w:r>
          </w:p>
        </w:tc>
        <w:tc>
          <w:tcPr>
            <w:tcW w:w="385"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5"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风速m/s</w:t>
            </w:r>
          </w:p>
        </w:tc>
        <w:tc>
          <w:tcPr>
            <w:tcW w:w="310"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2.26 </w:t>
            </w:r>
          </w:p>
        </w:tc>
        <w:tc>
          <w:tcPr>
            <w:tcW w:w="310"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2.54 </w:t>
            </w:r>
          </w:p>
        </w:tc>
        <w:tc>
          <w:tcPr>
            <w:tcW w:w="311"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3.01 </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3.02 </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2.63 </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2.06 </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2.80 </w:t>
            </w:r>
          </w:p>
        </w:tc>
        <w:tc>
          <w:tcPr>
            <w:tcW w:w="312" w:type="pct"/>
            <w:shd w:val="clear" w:color="auto" w:fill="auto"/>
            <w:noWrap/>
            <w:vAlign w:val="center"/>
          </w:tcPr>
          <w:p>
            <w:pPr>
              <w:spacing w:line="240" w:lineRule="auto"/>
              <w:jc w:val="center"/>
              <w:rPr>
                <w:rFonts w:eastAsia="宋体"/>
                <w:color w:val="000000" w:themeColor="text1"/>
                <w:spacing w:val="-10"/>
                <w:kern w:val="0"/>
                <w:sz w:val="21"/>
                <w:szCs w:val="21"/>
                <w14:textFill>
                  <w14:solidFill>
                    <w14:schemeClr w14:val="tx1"/>
                  </w14:solidFill>
                </w14:textFill>
              </w:rPr>
            </w:pPr>
            <w:r>
              <w:rPr>
                <w:rFonts w:eastAsia="宋体"/>
                <w:color w:val="000000" w:themeColor="text1"/>
                <w:spacing w:val="-10"/>
                <w:kern w:val="0"/>
                <w:sz w:val="21"/>
                <w:szCs w:val="21"/>
                <w14:textFill>
                  <w14:solidFill>
                    <w14:schemeClr w14:val="tx1"/>
                  </w14:solidFill>
                </w14:textFill>
              </w:rPr>
              <w:t xml:space="preserve">3.11 </w:t>
            </w:r>
          </w:p>
        </w:tc>
        <w:tc>
          <w:tcPr>
            <w:tcW w:w="324"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2.46 </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2.32 </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2.52 </w:t>
            </w:r>
          </w:p>
        </w:tc>
        <w:tc>
          <w:tcPr>
            <w:tcW w:w="385" w:type="pc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 xml:space="preserve">2.11 </w:t>
            </w:r>
          </w:p>
        </w:tc>
        <w:tc>
          <w:tcPr>
            <w:tcW w:w="385"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2.57</w:t>
            </w:r>
          </w:p>
        </w:tc>
      </w:tr>
    </w:tbl>
    <w:p>
      <w:pPr>
        <w:suppressAutoHyphens/>
        <w:jc w:val="left"/>
        <w:rPr>
          <w:rFonts w:eastAsia="宋体"/>
          <w:b/>
          <w:bCs/>
          <w:color w:val="000000" w:themeColor="text1"/>
          <w:szCs w:val="24"/>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5759450" cy="2217420"/>
            <wp:effectExtent l="0" t="0" r="12700" b="1143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图4.2-3  大足区2022年年平均风速的月变化曲线图</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（4）地面特征参数</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地面分扇区数1个。地表类型为城市，地表湿度为潮湿气候。地面特征参数见下表。</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表4.2-14  地面特征参数</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536"/>
        <w:gridCol w:w="2062"/>
        <w:gridCol w:w="1904"/>
        <w:gridCol w:w="1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序号</w:t>
            </w:r>
          </w:p>
        </w:tc>
        <w:tc>
          <w:tcPr>
            <w:tcW w:w="1365"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时段</w:t>
            </w:r>
          </w:p>
        </w:tc>
        <w:tc>
          <w:tcPr>
            <w:tcW w:w="1110"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正午反照率</w:t>
            </w:r>
          </w:p>
        </w:tc>
        <w:tc>
          <w:tcPr>
            <w:tcW w:w="1025"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BOWEN</w:t>
            </w:r>
          </w:p>
        </w:tc>
        <w:tc>
          <w:tcPr>
            <w:tcW w:w="1073" w:type="pct"/>
            <w:vAlign w:val="center"/>
          </w:tcPr>
          <w:p>
            <w:pPr>
              <w:suppressAutoHyphens/>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粗糙度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36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冬季（12,1,2）</w:t>
            </w:r>
          </w:p>
        </w:tc>
        <w:tc>
          <w:tcPr>
            <w:tcW w:w="1110"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0.35</w:t>
            </w:r>
          </w:p>
        </w:tc>
        <w:tc>
          <w:tcPr>
            <w:tcW w:w="1025"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0.5</w:t>
            </w:r>
          </w:p>
        </w:tc>
        <w:tc>
          <w:tcPr>
            <w:tcW w:w="10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36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春季（3,4,5）</w:t>
            </w:r>
          </w:p>
        </w:tc>
        <w:tc>
          <w:tcPr>
            <w:tcW w:w="1110"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0.14</w:t>
            </w:r>
          </w:p>
        </w:tc>
        <w:tc>
          <w:tcPr>
            <w:tcW w:w="1025"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0.5</w:t>
            </w:r>
          </w:p>
        </w:tc>
        <w:tc>
          <w:tcPr>
            <w:tcW w:w="10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36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夏季（6,7,8）</w:t>
            </w:r>
          </w:p>
        </w:tc>
        <w:tc>
          <w:tcPr>
            <w:tcW w:w="1110"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0.16</w:t>
            </w:r>
          </w:p>
        </w:tc>
        <w:tc>
          <w:tcPr>
            <w:tcW w:w="1025"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w:t>
            </w:r>
          </w:p>
        </w:tc>
        <w:tc>
          <w:tcPr>
            <w:tcW w:w="10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365" w:type="pct"/>
            <w:vAlign w:val="center"/>
          </w:tcPr>
          <w:p>
            <w:pPr>
              <w:suppressAutoHyphens/>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秋季（9,10,11）</w:t>
            </w:r>
          </w:p>
        </w:tc>
        <w:tc>
          <w:tcPr>
            <w:tcW w:w="1110"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0.18</w:t>
            </w:r>
          </w:p>
        </w:tc>
        <w:tc>
          <w:tcPr>
            <w:tcW w:w="1025"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w:t>
            </w:r>
          </w:p>
        </w:tc>
        <w:tc>
          <w:tcPr>
            <w:tcW w:w="1073" w:type="pct"/>
          </w:tcPr>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0.85</w:t>
            </w:r>
          </w:p>
        </w:tc>
      </w:tr>
    </w:tbl>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4.2.4预测结果分析</w:t>
      </w:r>
    </w:p>
    <w:p>
      <w:pPr>
        <w:suppressAutoHyphens/>
        <w:ind w:firstLine="480"/>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（1）本项目污染物正常排放贡献值分析</w:t>
      </w: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hint="eastAsia" w:eastAsia="宋体"/>
          <w:color w:val="000000" w:themeColor="text1"/>
          <w:szCs w:val="24"/>
          <w14:textFill>
            <w14:solidFill>
              <w14:schemeClr w14:val="tx1"/>
            </w14:solidFill>
          </w14:textFill>
        </w:rPr>
        <w:t>P</w:t>
      </w:r>
      <w:r>
        <w:rPr>
          <w:rFonts w:eastAsia="宋体"/>
          <w:color w:val="000000" w:themeColor="text1"/>
          <w:szCs w:val="24"/>
          <w14:textFill>
            <w14:solidFill>
              <w14:schemeClr w14:val="tx1"/>
            </w14:solidFill>
          </w14:textFill>
        </w:rPr>
        <w:t>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本项目建成后环境空气保护目标和网格点PM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小时浓度、日均值、年均值贡献值在未叠加背景值情况下的占标率见表4.2-15。</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表4.2-15  </w:t>
      </w:r>
      <w:r>
        <w:rPr>
          <w:rFonts w:hint="eastAsia" w:eastAsia="宋体"/>
          <w:b/>
          <w:bCs/>
          <w:color w:val="000000" w:themeColor="text1"/>
          <w:szCs w:val="24"/>
          <w14:textFill>
            <w14:solidFill>
              <w14:schemeClr w14:val="tx1"/>
            </w14:solidFill>
          </w14:textFill>
        </w:rPr>
        <w:t>PM</w:t>
      </w:r>
      <w:r>
        <w:rPr>
          <w:rFonts w:hint="eastAsia" w:eastAsia="宋体"/>
          <w:b/>
          <w:bCs/>
          <w:color w:val="000000" w:themeColor="text1"/>
          <w:szCs w:val="24"/>
          <w:vertAlign w:val="subscript"/>
          <w14:textFill>
            <w14:solidFill>
              <w14:schemeClr w14:val="tx1"/>
            </w14:solidFill>
          </w14:textFill>
        </w:rPr>
        <w:t>10</w:t>
      </w:r>
      <w:r>
        <w:rPr>
          <w:rFonts w:hint="eastAsia" w:eastAsia="宋体"/>
          <w:b/>
          <w:bCs/>
          <w:color w:val="000000" w:themeColor="text1"/>
          <w:szCs w:val="24"/>
          <w14:textFill>
            <w14:solidFill>
              <w14:schemeClr w14:val="tx1"/>
            </w14:solidFill>
          </w14:textFill>
        </w:rPr>
        <w:t>环境空气保护目标及网格各时段浓度贡献值</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0"/>
        <w:gridCol w:w="1276"/>
        <w:gridCol w:w="1060"/>
        <w:gridCol w:w="1212"/>
        <w:gridCol w:w="1597"/>
        <w:gridCol w:w="1212"/>
        <w:gridCol w:w="719"/>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85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p>
        </w:tc>
        <w:tc>
          <w:tcPr>
            <w:tcW w:w="10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21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59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21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71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72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70.7</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15.71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6.88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220610</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61.74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13.72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4.83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32.95</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22062404</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7.32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4.04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44.03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9.78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1.44</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10.38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22010404</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1.61</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220918</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12.57</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22062403</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2.79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0.83</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31.52</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22102622</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0.25</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0.35</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20.14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22061621</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2.62</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1.75</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51.95</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22020208</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11.54</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5.49</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3.66</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54.71</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22102306</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12.16</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220610</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0.52</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0.75</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2450</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34.56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22010808</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7.68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0.28</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50.84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22101706</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2.98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0.75</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3213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13.53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22102621</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3.01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w:t>
            </w: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873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14.03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22120706</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3.12</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1.27</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0.85</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0.07</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27.83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22101524</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6.18</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2.59</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221008</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1.73</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0.17</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850"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6"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50.44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11.21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4.25</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221222</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2.83</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85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-23,-124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152.54</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22102623</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33.9</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-23,-124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32.86</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21.91</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-23,-124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7.53</w:t>
            </w:r>
          </w:p>
        </w:tc>
        <w:tc>
          <w:tcPr>
            <w:tcW w:w="15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21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w:t>
            </w:r>
          </w:p>
        </w:tc>
        <w:tc>
          <w:tcPr>
            <w:tcW w:w="7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10.76</w:t>
            </w:r>
          </w:p>
        </w:tc>
        <w:tc>
          <w:tcPr>
            <w:tcW w:w="7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预测结果表明</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各环境保护目标</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hint="eastAsia" w:eastAsia="宋体"/>
          <w:color w:val="000000" w:themeColor="text1"/>
          <w14:textFill>
            <w14:solidFill>
              <w14:schemeClr w14:val="tx1"/>
            </w14:solidFill>
          </w14:textFill>
        </w:rPr>
        <w:t>小时、日均、年均浓度最大值分别为</w:t>
      </w:r>
      <w:r>
        <w:rPr>
          <w:rFonts w:eastAsia="宋体"/>
          <w:color w:val="000000" w:themeColor="text1"/>
          <w:kern w:val="0"/>
          <w:szCs w:val="24"/>
          <w:lang w:bidi="ar"/>
          <w14:textFill>
            <w14:solidFill>
              <w14:schemeClr w14:val="tx1"/>
            </w14:solidFill>
          </w14:textFill>
        </w:rPr>
        <w:t>70.7μg/m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、6.88μg/m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、0.84μg/m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，对应的占标率分别为15.71%，4.59%和</w:t>
      </w:r>
      <w:r>
        <w:rPr>
          <w:rFonts w:hint="eastAsia" w:eastAsia="宋体"/>
          <w:color w:val="000000" w:themeColor="text1"/>
          <w:kern w:val="0"/>
          <w:szCs w:val="24"/>
          <w:lang w:bidi="ar"/>
          <w14:textFill>
            <w14:solidFill>
              <w14:schemeClr w14:val="tx1"/>
            </w14:solidFill>
          </w14:textFill>
        </w:rPr>
        <w:t>1</w:t>
      </w:r>
      <w:r>
        <w:rPr>
          <w:rFonts w:eastAsia="宋体"/>
          <w:color w:val="000000" w:themeColor="text1"/>
          <w:kern w:val="0"/>
          <w:szCs w:val="24"/>
          <w:lang w:bidi="ar"/>
          <w14:textFill>
            <w14:solidFill>
              <w14:schemeClr w14:val="tx1"/>
            </w14:solidFill>
          </w14:textFill>
        </w:rPr>
        <w:t>.2%，</w:t>
      </w:r>
      <w:r>
        <w:rPr>
          <w:rFonts w:hint="eastAsia" w:eastAsia="宋体"/>
          <w:color w:val="000000" w:themeColor="text1"/>
          <w:kern w:val="0"/>
          <w:szCs w:val="24"/>
          <w:lang w:bidi="ar"/>
          <w14:textFill>
            <w14:solidFill>
              <w14:schemeClr w14:val="tx1"/>
            </w14:solidFill>
          </w14:textFill>
        </w:rPr>
        <w:t>均</w:t>
      </w:r>
      <w:r>
        <w:rPr>
          <w:rFonts w:eastAsia="宋体"/>
          <w:color w:val="000000" w:themeColor="text1"/>
          <w:kern w:val="0"/>
          <w:szCs w:val="24"/>
          <w:lang w:bidi="ar"/>
          <w14:textFill>
            <w14:solidFill>
              <w14:schemeClr w14:val="tx1"/>
            </w14:solidFill>
          </w14:textFill>
        </w:rPr>
        <w:t>出现在</w:t>
      </w:r>
      <w:r>
        <w:rPr>
          <w:rFonts w:hint="eastAsia" w:eastAsia="宋体"/>
          <w:color w:val="000000" w:themeColor="text1"/>
          <w:kern w:val="0"/>
          <w:szCs w:val="24"/>
          <w:lang w:bidi="ar"/>
          <w14:textFill>
            <w14:solidFill>
              <w14:schemeClr w14:val="tx1"/>
            </w14:solidFill>
          </w14:textFill>
        </w:rPr>
        <w:t>东胜村</w:t>
      </w:r>
      <w:r>
        <w:rPr>
          <w:rFonts w:eastAsia="宋体"/>
          <w:color w:val="000000" w:themeColor="text1"/>
          <w:kern w:val="0"/>
          <w:szCs w:val="24"/>
          <w14:textFill>
            <w14:solidFill>
              <w14:schemeClr w14:val="tx1"/>
            </w14:solidFill>
          </w14:textFill>
        </w:rPr>
        <w:t>处</w:t>
      </w:r>
      <w:r>
        <w:rPr>
          <w:rFonts w:eastAsia="宋体"/>
          <w:color w:val="000000" w:themeColor="text1"/>
          <w:kern w:val="0"/>
          <w:szCs w:val="24"/>
          <w:lang w:bidi="ar"/>
          <w14:textFill>
            <w14:solidFill>
              <w14:schemeClr w14:val="tx1"/>
            </w14:solidFill>
          </w14:textFill>
        </w:rPr>
        <w:t>，均满足《环境空气质量标准》（GB3095-2012）中二级标准限值</w:t>
      </w:r>
      <w:r>
        <w:rPr>
          <w:rFonts w:hint="eastAsia"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网格贡献值小时浓度最大值152.54μg/m³，最大占标率33.9%≤100%，日平均浓度最大值32.86μg/m³，占标率21.91%，年平均浓度最大值7.53μg/m³，占标率10.76%≤30%，能够满足《环境空气质量标准》（GB 3095-2012）标准要求。</w:t>
      </w:r>
    </w:p>
    <w:p>
      <w:pPr>
        <w:suppressAutoHyphens/>
        <w:ind w:firstLine="480"/>
        <w:rPr>
          <w:rFonts w:eastAsia="宋体"/>
          <w:color w:val="000000" w:themeColor="text1"/>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P</w:t>
      </w:r>
      <w:r>
        <w:rPr>
          <w:rFonts w:eastAsia="宋体"/>
          <w:color w:val="000000" w:themeColor="text1"/>
          <w:szCs w:val="24"/>
          <w14:textFill>
            <w14:solidFill>
              <w14:schemeClr w14:val="tx1"/>
            </w14:solidFill>
          </w14:textFill>
        </w:rPr>
        <w:t>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小时浓度、日均值、年均值贡献值在未叠加背景值情况下的占标率见表4.2-16。</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表4.2-16  PM</w:t>
      </w:r>
      <w:r>
        <w:rPr>
          <w:rFonts w:eastAsia="宋体"/>
          <w:b/>
          <w:bCs/>
          <w:color w:val="000000" w:themeColor="text1"/>
          <w:szCs w:val="24"/>
          <w:vertAlign w:val="subscript"/>
          <w14:textFill>
            <w14:solidFill>
              <w14:schemeClr w14:val="tx1"/>
            </w14:solidFill>
          </w14:textFill>
        </w:rPr>
        <w:t>2.5</w:t>
      </w:r>
      <w:r>
        <w:rPr>
          <w:rFonts w:hint="eastAsia" w:eastAsia="宋体"/>
          <w:b/>
          <w:bCs/>
          <w:color w:val="000000" w:themeColor="text1"/>
          <w:szCs w:val="24"/>
          <w14:textFill>
            <w14:solidFill>
              <w14:schemeClr w14:val="tx1"/>
            </w14:solidFill>
          </w14:textFill>
        </w:rPr>
        <w:t>环境空气保护目标及网格各时段浓度贡献值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972"/>
        <w:gridCol w:w="1276"/>
        <w:gridCol w:w="850"/>
        <w:gridCol w:w="1134"/>
        <w:gridCol w:w="1701"/>
        <w:gridCol w:w="1134"/>
        <w:gridCol w:w="884"/>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97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p>
        </w:tc>
        <w:tc>
          <w:tcPr>
            <w:tcW w:w="85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70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88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29.93</w:t>
            </w:r>
          </w:p>
        </w:tc>
        <w:tc>
          <w:tcPr>
            <w:tcW w:w="1701"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13.3</w:t>
            </w:r>
          </w:p>
        </w:tc>
        <w:tc>
          <w:tcPr>
            <w:tcW w:w="675"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3.39</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1.18</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27.5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12.22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3.08</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16.68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22083123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7.42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28.62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12.72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5.01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22010404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0.79</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6.78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3.01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221229</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16.26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7.23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1.23</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0.36</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22122920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5.05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26.03</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22020208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11.57</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0.97</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25.54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14.78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22010808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6.57</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8.92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7.45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22061219</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220519</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1.07</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8.88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3.95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14.58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22101524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6.48</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23.17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22010507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vMerge w:val="continue"/>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0.28</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972"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77,76</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70.09</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31.15 </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-23,-24</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15.31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20.42 </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72"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-23,-24</w:t>
            </w:r>
          </w:p>
        </w:tc>
        <w:tc>
          <w:tcPr>
            <w:tcW w:w="85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3.63</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35</w:t>
            </w:r>
          </w:p>
        </w:tc>
        <w:tc>
          <w:tcPr>
            <w:tcW w:w="88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10.37 </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预测结果表明</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各环境保护目标</w:t>
      </w: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2.5</w:t>
      </w:r>
      <w:r>
        <w:rPr>
          <w:rFonts w:hint="eastAsia" w:eastAsia="宋体"/>
          <w:color w:val="000000" w:themeColor="text1"/>
          <w14:textFill>
            <w14:solidFill>
              <w14:schemeClr w14:val="tx1"/>
            </w14:solidFill>
          </w14:textFill>
        </w:rPr>
        <w:t>小时、日均、年均浓度最大值分别为</w:t>
      </w:r>
      <w:r>
        <w:rPr>
          <w:rFonts w:eastAsia="宋体"/>
          <w:color w:val="000000" w:themeColor="text1"/>
          <w:kern w:val="0"/>
          <w:szCs w:val="24"/>
          <w:lang w:bidi="ar"/>
          <w14:textFill>
            <w14:solidFill>
              <w14:schemeClr w14:val="tx1"/>
            </w14:solidFill>
          </w14:textFill>
        </w:rPr>
        <w:t>29.93μg/m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、3.39μg/m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、0.41μg/m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，对应的占标率分别为13.3%，4.53%和</w:t>
      </w:r>
      <w:r>
        <w:rPr>
          <w:rFonts w:hint="eastAsia" w:eastAsia="宋体"/>
          <w:color w:val="000000" w:themeColor="text1"/>
          <w:kern w:val="0"/>
          <w:szCs w:val="24"/>
          <w:lang w:bidi="ar"/>
          <w14:textFill>
            <w14:solidFill>
              <w14:schemeClr w14:val="tx1"/>
            </w14:solidFill>
          </w14:textFill>
        </w:rPr>
        <w:t>1</w:t>
      </w:r>
      <w:r>
        <w:rPr>
          <w:rFonts w:eastAsia="宋体"/>
          <w:color w:val="000000" w:themeColor="text1"/>
          <w:kern w:val="0"/>
          <w:szCs w:val="24"/>
          <w:lang w:bidi="ar"/>
          <w14:textFill>
            <w14:solidFill>
              <w14:schemeClr w14:val="tx1"/>
            </w14:solidFill>
          </w14:textFill>
        </w:rPr>
        <w:t>.18%，</w:t>
      </w:r>
      <w:r>
        <w:rPr>
          <w:rFonts w:hint="eastAsia" w:eastAsia="宋体"/>
          <w:color w:val="000000" w:themeColor="text1"/>
          <w:kern w:val="0"/>
          <w:szCs w:val="24"/>
          <w:lang w:bidi="ar"/>
          <w14:textFill>
            <w14:solidFill>
              <w14:schemeClr w14:val="tx1"/>
            </w14:solidFill>
          </w14:textFill>
        </w:rPr>
        <w:t>均</w:t>
      </w:r>
      <w:r>
        <w:rPr>
          <w:rFonts w:eastAsia="宋体"/>
          <w:color w:val="000000" w:themeColor="text1"/>
          <w:kern w:val="0"/>
          <w:szCs w:val="24"/>
          <w:lang w:bidi="ar"/>
          <w14:textFill>
            <w14:solidFill>
              <w14:schemeClr w14:val="tx1"/>
            </w14:solidFill>
          </w14:textFill>
        </w:rPr>
        <w:t>出现在</w:t>
      </w:r>
      <w:r>
        <w:rPr>
          <w:rFonts w:hint="eastAsia" w:eastAsia="宋体"/>
          <w:color w:val="000000" w:themeColor="text1"/>
          <w:kern w:val="0"/>
          <w:szCs w:val="24"/>
          <w:lang w:bidi="ar"/>
          <w14:textFill>
            <w14:solidFill>
              <w14:schemeClr w14:val="tx1"/>
            </w14:solidFill>
          </w14:textFill>
        </w:rPr>
        <w:t>东胜村</w:t>
      </w:r>
      <w:r>
        <w:rPr>
          <w:rFonts w:eastAsia="宋体"/>
          <w:color w:val="000000" w:themeColor="text1"/>
          <w:kern w:val="0"/>
          <w:szCs w:val="24"/>
          <w14:textFill>
            <w14:solidFill>
              <w14:schemeClr w14:val="tx1"/>
            </w14:solidFill>
          </w14:textFill>
        </w:rPr>
        <w:t>处</w:t>
      </w:r>
      <w:r>
        <w:rPr>
          <w:rFonts w:eastAsia="宋体"/>
          <w:color w:val="000000" w:themeColor="text1"/>
          <w:kern w:val="0"/>
          <w:szCs w:val="24"/>
          <w:lang w:bidi="ar"/>
          <w14:textFill>
            <w14:solidFill>
              <w14:schemeClr w14:val="tx1"/>
            </w14:solidFill>
          </w14:textFill>
        </w:rPr>
        <w:t>，均满足《环境空气质量标准》（GB3095-2012）中二级标准限值</w:t>
      </w:r>
      <w:r>
        <w:rPr>
          <w:rFonts w:hint="eastAsia"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网格贡献值小时浓度最大值70.09μg/m³，最大占标率31.15%≤100%，日平均浓度最大值</w:t>
      </w: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5.31μg/m³，占标率20.42%，年平均浓度最大值3.63μg/m³，占标率</w:t>
      </w: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0.37%≤30%，能够满足《环境空气质量标准》（GB 3095-2012）标准要求。</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④非甲烷总烃</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非甲烷总烃</w:t>
      </w:r>
      <w:r>
        <w:rPr>
          <w:rFonts w:eastAsia="宋体"/>
          <w:color w:val="000000" w:themeColor="text1"/>
          <w:szCs w:val="24"/>
          <w14:textFill>
            <w14:solidFill>
              <w14:schemeClr w14:val="tx1"/>
            </w14:solidFill>
          </w14:textFill>
        </w:rPr>
        <w:t>小时浓度贡献值在未叠加背景值情况下的占标率见表4.2-17。</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表4.2-17  </w:t>
      </w:r>
      <w:r>
        <w:rPr>
          <w:rFonts w:hint="eastAsia" w:eastAsia="宋体"/>
          <w:b/>
          <w:bCs/>
          <w:color w:val="000000" w:themeColor="text1"/>
          <w:szCs w:val="24"/>
          <w14:textFill>
            <w14:solidFill>
              <w14:schemeClr w14:val="tx1"/>
            </w14:solidFill>
          </w14:textFill>
        </w:rPr>
        <w:t>非甲烷总烃环境空气保护目标及网格各时段浓度贡献值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88"/>
        <w:gridCol w:w="1275"/>
        <w:gridCol w:w="802"/>
        <w:gridCol w:w="1204"/>
        <w:gridCol w:w="1594"/>
        <w:gridCol w:w="1204"/>
        <w:gridCol w:w="706"/>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8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80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20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59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20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70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72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14.33</w:t>
            </w:r>
          </w:p>
        </w:tc>
        <w:tc>
          <w:tcPr>
            <w:tcW w:w="159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20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0.72</w:t>
            </w:r>
          </w:p>
        </w:tc>
        <w:tc>
          <w:tcPr>
            <w:tcW w:w="727"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8.39</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0.42</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5.3</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22100704</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3.21</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13.96</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1.82</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22091203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0.09</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2.36</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22122920</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22122920</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15.74</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22120202</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0.79</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11.27</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1.58</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22020907</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2.09</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1.98</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22121318</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1.88</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0.09</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11.2</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22062505</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8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177,76</w:t>
            </w:r>
          </w:p>
        </w:tc>
        <w:tc>
          <w:tcPr>
            <w:tcW w:w="80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36.67</w:t>
            </w:r>
          </w:p>
        </w:tc>
        <w:tc>
          <w:tcPr>
            <w:tcW w:w="159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22092503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1.83</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预测结果表明</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各环境保护目标非甲烷总烃小时浓度最大值为</w:t>
      </w:r>
      <w:r>
        <w:rPr>
          <w:rFonts w:eastAsia="宋体"/>
          <w:color w:val="000000" w:themeColor="text1"/>
          <w:kern w:val="0"/>
          <w:szCs w:val="24"/>
          <w:lang w:bidi="ar"/>
          <w14:textFill>
            <w14:solidFill>
              <w14:schemeClr w14:val="tx1"/>
            </w14:solidFill>
          </w14:textFill>
        </w:rPr>
        <w:t>15.74μg/m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，对应的占标率为0.79%，出现在</w:t>
      </w:r>
      <w:r>
        <w:rPr>
          <w:rFonts w:hint="eastAsia" w:eastAsia="宋体"/>
          <w:color w:val="000000" w:themeColor="text1"/>
          <w:kern w:val="0"/>
          <w:szCs w:val="24"/>
          <w:lang w:bidi="ar"/>
          <w14:textFill>
            <w14:solidFill>
              <w14:schemeClr w14:val="tx1"/>
            </w14:solidFill>
          </w14:textFill>
        </w:rPr>
        <w:t>驿新苑小区处</w:t>
      </w:r>
      <w:r>
        <w:rPr>
          <w:rFonts w:eastAsia="宋体"/>
          <w:color w:val="000000" w:themeColor="text1"/>
          <w:kern w:val="0"/>
          <w:szCs w:val="24"/>
          <w:lang w:bidi="ar"/>
          <w14:textFill>
            <w14:solidFill>
              <w14:schemeClr w14:val="tx1"/>
            </w14:solidFill>
          </w14:textFill>
        </w:rPr>
        <w:t>，满足</w:t>
      </w:r>
      <w:r>
        <w:rPr>
          <w:rFonts w:hint="eastAsia" w:eastAsia="宋体"/>
          <w:color w:val="000000" w:themeColor="text1"/>
          <w:kern w:val="0"/>
          <w:szCs w:val="24"/>
          <w:lang w:bidi="ar"/>
          <w14:textFill>
            <w14:solidFill>
              <w14:schemeClr w14:val="tx1"/>
            </w14:solidFill>
          </w14:textFill>
        </w:rPr>
        <w:t>《环境空气质量 非甲烷总烃限值》（DB 13/1577-2012）的</w:t>
      </w:r>
      <w:r>
        <w:rPr>
          <w:rFonts w:eastAsia="宋体"/>
          <w:color w:val="000000" w:themeColor="text1"/>
          <w:kern w:val="0"/>
          <w:szCs w:val="24"/>
          <w:lang w:bidi="ar"/>
          <w14:textFill>
            <w14:solidFill>
              <w14:schemeClr w14:val="tx1"/>
            </w14:solidFill>
          </w14:textFill>
        </w:rPr>
        <w:t>限值</w:t>
      </w:r>
      <w:r>
        <w:rPr>
          <w:rFonts w:hint="eastAsia" w:eastAsia="宋体"/>
          <w:color w:val="000000" w:themeColor="text1"/>
          <w:kern w:val="0"/>
          <w:szCs w:val="24"/>
          <w:lang w:bidi="ar"/>
          <w14:textFill>
            <w14:solidFill>
              <w14:schemeClr w14:val="tx1"/>
            </w14:solidFill>
          </w14:textFill>
        </w:rPr>
        <w:t>要求</w:t>
      </w:r>
      <w:r>
        <w:rPr>
          <w:rFonts w:hint="eastAsia"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网格贡献值小时浓度最大值36.67μg/m³，最大占标率1.83%≤100%，能够满足</w:t>
      </w:r>
      <w:r>
        <w:rPr>
          <w:rFonts w:hint="eastAsia" w:eastAsia="宋体"/>
          <w:color w:val="000000" w:themeColor="text1"/>
          <w:szCs w:val="24"/>
          <w14:textFill>
            <w14:solidFill>
              <w14:schemeClr w14:val="tx1"/>
            </w14:solidFill>
          </w14:textFill>
        </w:rPr>
        <w:t>《环境空气质量 非甲烷总烃限值》（DB 13/1577-2012）的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⑤甲苯</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甲苯</w:t>
      </w:r>
      <w:r>
        <w:rPr>
          <w:rFonts w:eastAsia="宋体"/>
          <w:color w:val="000000" w:themeColor="text1"/>
          <w:szCs w:val="24"/>
          <w14:textFill>
            <w14:solidFill>
              <w14:schemeClr w14:val="tx1"/>
            </w14:solidFill>
          </w14:textFill>
        </w:rPr>
        <w:t>小时浓度贡献值在未叠加背景值情况下的占标率见表4.2-18。</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表4.2-18  </w:t>
      </w:r>
      <w:r>
        <w:rPr>
          <w:rFonts w:hint="eastAsia" w:eastAsia="宋体"/>
          <w:b/>
          <w:bCs/>
          <w:color w:val="000000" w:themeColor="text1"/>
          <w:szCs w:val="24"/>
          <w14:textFill>
            <w14:solidFill>
              <w14:schemeClr w14:val="tx1"/>
            </w14:solidFill>
          </w14:textFill>
        </w:rPr>
        <w:t>甲苯环境空气保护目标及网格各时段浓度贡献值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020"/>
        <w:gridCol w:w="1369"/>
        <w:gridCol w:w="851"/>
        <w:gridCol w:w="1134"/>
        <w:gridCol w:w="1417"/>
        <w:gridCol w:w="1134"/>
        <w:gridCol w:w="1026"/>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2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36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85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41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02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1.87</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1.09</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0.55</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0.69</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0.42</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2.01</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22091203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0.16</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2.05</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22120202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1.47</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0.11</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22121318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1.46</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22062505</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0.73</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2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36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177,76</w:t>
            </w:r>
          </w:p>
        </w:tc>
        <w:tc>
          <w:tcPr>
            <w:tcW w:w="85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4.78</w:t>
            </w:r>
          </w:p>
        </w:tc>
        <w:tc>
          <w:tcPr>
            <w:tcW w:w="141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22092503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02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2.39</w:t>
            </w:r>
          </w:p>
        </w:tc>
        <w:tc>
          <w:tcPr>
            <w:tcW w:w="6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预测结果表明</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各环境保护目标甲苯小时浓度最大值为</w:t>
      </w:r>
      <w:r>
        <w:rPr>
          <w:rFonts w:eastAsia="宋体"/>
          <w:color w:val="000000" w:themeColor="text1"/>
          <w:kern w:val="0"/>
          <w:szCs w:val="24"/>
          <w:lang w:bidi="ar"/>
          <w14:textFill>
            <w14:solidFill>
              <w14:schemeClr w14:val="tx1"/>
            </w14:solidFill>
          </w14:textFill>
        </w:rPr>
        <w:t>2.05μg/m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，对应的占标率为1.02%，出现在</w:t>
      </w:r>
      <w:r>
        <w:rPr>
          <w:rFonts w:hint="eastAsia" w:eastAsia="宋体"/>
          <w:color w:val="000000" w:themeColor="text1"/>
          <w:kern w:val="0"/>
          <w:szCs w:val="24"/>
          <w:lang w:bidi="ar"/>
          <w14:textFill>
            <w14:solidFill>
              <w14:schemeClr w14:val="tx1"/>
            </w14:solidFill>
          </w14:textFill>
        </w:rPr>
        <w:t>驿新苑小区处</w:t>
      </w:r>
      <w:r>
        <w:rPr>
          <w:rFonts w:eastAsia="宋体"/>
          <w:color w:val="000000" w:themeColor="text1"/>
          <w:kern w:val="0"/>
          <w:szCs w:val="24"/>
          <w:lang w:bidi="ar"/>
          <w14:textFill>
            <w14:solidFill>
              <w14:schemeClr w14:val="tx1"/>
            </w14:solidFill>
          </w14:textFill>
        </w:rPr>
        <w:t>，满足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r>
        <w:rPr>
          <w:rFonts w:hint="eastAsia"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网格贡献值小时浓度最大值4.78μg/m³，最大占标率2.39%≤100%，能够满足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⑥二甲苯</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二甲苯</w:t>
      </w:r>
      <w:r>
        <w:rPr>
          <w:rFonts w:eastAsia="宋体"/>
          <w:color w:val="000000" w:themeColor="text1"/>
          <w:szCs w:val="24"/>
          <w14:textFill>
            <w14:solidFill>
              <w14:schemeClr w14:val="tx1"/>
            </w14:solidFill>
          </w14:textFill>
        </w:rPr>
        <w:t>小时浓度贡献值在未叠加背景值情况下的占标率见表4.2-19。</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表4.2-19  </w:t>
      </w:r>
      <w:r>
        <w:rPr>
          <w:rFonts w:hint="eastAsia" w:eastAsia="宋体"/>
          <w:b/>
          <w:bCs/>
          <w:color w:val="000000" w:themeColor="text1"/>
          <w:szCs w:val="24"/>
          <w14:textFill>
            <w14:solidFill>
              <w14:schemeClr w14:val="tx1"/>
            </w14:solidFill>
          </w14:textFill>
        </w:rPr>
        <w:t>二甲苯环境空气保护目标及网格各时段浓度贡献值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257"/>
        <w:gridCol w:w="1276"/>
        <w:gridCol w:w="992"/>
        <w:gridCol w:w="1134"/>
        <w:gridCol w:w="1276"/>
        <w:gridCol w:w="1134"/>
        <w:gridCol w:w="886"/>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25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9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2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88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0.41</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0.16</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0.78</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0.39</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0.09</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22091203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0.09</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0.76</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22120202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0.55</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0.08</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22121318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0.09</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0.05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0.54</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22062505</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25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177,76</w:t>
            </w:r>
          </w:p>
        </w:tc>
        <w:tc>
          <w:tcPr>
            <w:tcW w:w="99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1.78</w:t>
            </w:r>
          </w:p>
        </w:tc>
        <w:tc>
          <w:tcPr>
            <w:tcW w:w="12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22092503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0.89</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预测结果表明</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各环境保护目标二甲苯小时浓度最大值为</w:t>
      </w:r>
      <w:r>
        <w:rPr>
          <w:rFonts w:eastAsia="宋体"/>
          <w:color w:val="000000" w:themeColor="text1"/>
          <w:kern w:val="0"/>
          <w:szCs w:val="24"/>
          <w:lang w:bidi="ar"/>
          <w14:textFill>
            <w14:solidFill>
              <w14:schemeClr w14:val="tx1"/>
            </w14:solidFill>
          </w14:textFill>
        </w:rPr>
        <w:t>0.78μg/m</w:t>
      </w:r>
      <w:r>
        <w:rPr>
          <w:rFonts w:eastAsia="宋体"/>
          <w:color w:val="000000" w:themeColor="text1"/>
          <w:kern w:val="0"/>
          <w:szCs w:val="24"/>
          <w:vertAlign w:val="superscript"/>
          <w:lang w:bidi="ar"/>
          <w14:textFill>
            <w14:solidFill>
              <w14:schemeClr w14:val="tx1"/>
            </w14:solidFill>
          </w14:textFill>
        </w:rPr>
        <w:t>3</w:t>
      </w:r>
      <w:r>
        <w:rPr>
          <w:rFonts w:eastAsia="宋体"/>
          <w:color w:val="000000" w:themeColor="text1"/>
          <w:kern w:val="0"/>
          <w:szCs w:val="24"/>
          <w:lang w:bidi="ar"/>
          <w14:textFill>
            <w14:solidFill>
              <w14:schemeClr w14:val="tx1"/>
            </w14:solidFill>
          </w14:textFill>
        </w:rPr>
        <w:t>，对应的占标率为0.39%，出现在</w:t>
      </w:r>
      <w:r>
        <w:rPr>
          <w:rFonts w:hint="eastAsia" w:eastAsia="宋体"/>
          <w:color w:val="000000" w:themeColor="text1"/>
          <w:kern w:val="0"/>
          <w:szCs w:val="24"/>
          <w:lang w:bidi="ar"/>
          <w14:textFill>
            <w14:solidFill>
              <w14:schemeClr w14:val="tx1"/>
            </w14:solidFill>
          </w14:textFill>
        </w:rPr>
        <w:t>大足区春晖学校处</w:t>
      </w:r>
      <w:r>
        <w:rPr>
          <w:rFonts w:eastAsia="宋体"/>
          <w:color w:val="000000" w:themeColor="text1"/>
          <w:kern w:val="0"/>
          <w:szCs w:val="24"/>
          <w:lang w:bidi="ar"/>
          <w14:textFill>
            <w14:solidFill>
              <w14:schemeClr w14:val="tx1"/>
            </w14:solidFill>
          </w14:textFill>
        </w:rPr>
        <w:t>，满足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r>
        <w:rPr>
          <w:rFonts w:hint="eastAsia"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网格贡献值小时浓度最大值1.78μg/m³，最大占标率0.89%≤100%，能够满足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p>
    <w:p>
      <w:pPr>
        <w:suppressAutoHyphens/>
        <w:ind w:firstLine="480"/>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（2）叠加背景值后排放影响分析</w:t>
      </w: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sectPr>
          <w:pgSz w:w="11906" w:h="16838"/>
          <w:pgMar w:top="1440" w:right="1274" w:bottom="1440"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本项目建成后环境空气保护目标和网格点PM</w:t>
      </w:r>
      <w:r>
        <w:rPr>
          <w:rFonts w:eastAsia="宋体"/>
          <w:color w:val="000000" w:themeColor="text1"/>
          <w:szCs w:val="24"/>
          <w:vertAlign w:val="subscript"/>
          <w14:textFill>
            <w14:solidFill>
              <w14:schemeClr w14:val="tx1"/>
            </w14:solidFill>
          </w14:textFill>
        </w:rPr>
        <w:t>10</w:t>
      </w:r>
      <w:r>
        <w:rPr>
          <w:rFonts w:eastAsia="宋体"/>
          <w:color w:val="000000" w:themeColor="text1"/>
          <w:szCs w:val="24"/>
          <w14:textFill>
            <w14:solidFill>
              <w14:schemeClr w14:val="tx1"/>
            </w14:solidFill>
          </w14:textFill>
        </w:rPr>
        <w:t>小时浓度、</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5%</w:t>
      </w:r>
      <w:r>
        <w:rPr>
          <w:rFonts w:hint="eastAsia" w:eastAsia="宋体"/>
          <w:color w:val="000000" w:themeColor="text1"/>
          <w:szCs w:val="24"/>
          <w14:textFill>
            <w14:solidFill>
              <w14:schemeClr w14:val="tx1"/>
            </w14:solidFill>
          </w14:textFill>
        </w:rPr>
        <w:t>保证率</w:t>
      </w:r>
      <w:r>
        <w:rPr>
          <w:rFonts w:eastAsia="宋体"/>
          <w:color w:val="000000" w:themeColor="text1"/>
          <w:szCs w:val="24"/>
          <w14:textFill>
            <w14:solidFill>
              <w14:schemeClr w14:val="tx1"/>
            </w14:solidFill>
          </w14:textFill>
        </w:rPr>
        <w:t>日均值、年均值贡献值在叠加背景值及其他在建、拟建的污染源情况下的占标率见表4.2-20。</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表4.2-20  PM</w:t>
      </w:r>
      <w:r>
        <w:rPr>
          <w:rFonts w:eastAsia="宋体"/>
          <w:b/>
          <w:bCs/>
          <w:color w:val="000000" w:themeColor="text1"/>
          <w:szCs w:val="24"/>
          <w:vertAlign w:val="subscript"/>
          <w14:textFill>
            <w14:solidFill>
              <w14:schemeClr w14:val="tx1"/>
            </w14:solidFill>
          </w14:textFill>
        </w:rPr>
        <w:t>10</w:t>
      </w:r>
      <w:r>
        <w:rPr>
          <w:rFonts w:eastAsia="宋体"/>
          <w:b/>
          <w:bCs/>
          <w:color w:val="000000" w:themeColor="text1"/>
          <w:szCs w:val="24"/>
          <w14:textFill>
            <w14:solidFill>
              <w14:schemeClr w14:val="tx1"/>
            </w14:solidFill>
          </w14:textFill>
        </w:rPr>
        <w:t>环境空气保护目标及网格各时段浓度叠加背景值后预测值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200"/>
        <w:gridCol w:w="1280"/>
        <w:gridCol w:w="918"/>
        <w:gridCol w:w="1360"/>
        <w:gridCol w:w="1975"/>
        <w:gridCol w:w="1275"/>
        <w:gridCol w:w="1680"/>
        <w:gridCol w:w="1360"/>
        <w:gridCol w:w="1634"/>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20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8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1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3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9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2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背景浓度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68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叠加背景后的浓度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3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6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叠加背景以后</w:t>
            </w:r>
            <w:r>
              <w:rPr>
                <w:rFonts w:hint="eastAsia" w:eastAsia="宋体"/>
                <w:b/>
                <w:color w:val="000000" w:themeColor="text1"/>
                <w:kern w:val="0"/>
                <w:sz w:val="21"/>
                <w:szCs w:val="21"/>
                <w14:textFill>
                  <w14:solidFill>
                    <w14:schemeClr w14:val="tx1"/>
                  </w14:solidFill>
                </w14:textFill>
              </w:rPr>
              <w:t>）</w:t>
            </w:r>
          </w:p>
        </w:tc>
        <w:tc>
          <w:tcPr>
            <w:tcW w:w="77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48.02 </w:t>
            </w:r>
          </w:p>
        </w:tc>
        <w:tc>
          <w:tcPr>
            <w:tcW w:w="1975"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22092022 </w:t>
            </w:r>
          </w:p>
        </w:tc>
        <w:tc>
          <w:tcPr>
            <w:tcW w:w="1275"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48.02 </w:t>
            </w:r>
          </w:p>
        </w:tc>
        <w:tc>
          <w:tcPr>
            <w:tcW w:w="1360"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10.67</w:t>
            </w:r>
          </w:p>
        </w:tc>
        <w:tc>
          <w:tcPr>
            <w:tcW w:w="779" w:type="dxa"/>
            <w:shd w:val="clear" w:color="auto" w:fill="auto"/>
            <w:noWrap/>
            <w:vAlign w:val="center"/>
          </w:tcPr>
          <w:p>
            <w:pPr>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2.03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221202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74.03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49.35</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2.08</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44.92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64.17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28.08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22022201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28.08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6.24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0.87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220928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72.87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48.58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1.37</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45.63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65.19</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16.45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22121508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16.45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3.66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0.33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220317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72.33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48.22</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0.95</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46.05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65.78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14.83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22012319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14.83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0.11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220415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72.11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48.07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0.62</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46.38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66.26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8.02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22100206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8.02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1.78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0.27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221112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72.27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48.18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0.29</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46.71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66.73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5.68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22100707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5.68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1.26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0.01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220530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72.01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0.57</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46.43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66.34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6.17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22091822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6.17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1.37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0.01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221028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72.01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48.01</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0.54</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46.46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66.38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1.48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22120224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1.48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0.33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0.00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220512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72.00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0.29</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46.71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66.73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38.98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22060601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38.98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8.66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0.22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220711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72.22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48.15</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12.03</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34.97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49.96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46.51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22011223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46.51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10.33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1.21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220907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73.21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48.81</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-1.47</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45.53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65.04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12.19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22011704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12.19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2.71</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0.25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220406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72.25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48.16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0.50</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46.50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66.43</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13.77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22022305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13.77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3.06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0.71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220115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72.71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48.47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0.77</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46.23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66.04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6.99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22011303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6.99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1.55</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0.10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221104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72.10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48.07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0.39</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46.61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66.59</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3.68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22122401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3.68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0.82</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0.02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221222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72.02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48.01</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-0.35</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46.65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66.64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8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1.55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22121607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0.35</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0.00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220223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72.00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0.39</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46.61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66.58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w:t>
            </w:r>
          </w:p>
        </w:tc>
        <w:tc>
          <w:tcPr>
            <w:tcW w:w="1200"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80"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40.00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22092221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40.00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8.89</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1.74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220401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73.74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49.16</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3.15</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43.85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62.64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200"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8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-23,176</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98.87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22090501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0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98.87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21.97</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-23,-124</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16.20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220223 </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72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88.20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150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58.8</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00"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8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-23,-124</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2.10 </w:t>
            </w:r>
          </w:p>
        </w:tc>
        <w:tc>
          <w:tcPr>
            <w:tcW w:w="19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平均值</w:t>
            </w:r>
          </w:p>
        </w:tc>
        <w:tc>
          <w:tcPr>
            <w:tcW w:w="12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47 </w:t>
            </w:r>
          </w:p>
        </w:tc>
        <w:tc>
          <w:tcPr>
            <w:tcW w:w="168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49.10 </w:t>
            </w:r>
          </w:p>
        </w:tc>
        <w:tc>
          <w:tcPr>
            <w:tcW w:w="1360"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70 </w:t>
            </w:r>
          </w:p>
        </w:tc>
        <w:tc>
          <w:tcPr>
            <w:tcW w:w="1634"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70.14</w:t>
            </w:r>
          </w:p>
        </w:tc>
        <w:tc>
          <w:tcPr>
            <w:tcW w:w="77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bl>
    <w:p>
      <w:pPr>
        <w:suppressAutoHyphens/>
        <w:ind w:firstLine="480"/>
        <w:rPr>
          <w:rFonts w:eastAsia="宋体"/>
          <w:color w:val="000000" w:themeColor="text1"/>
          <w:szCs w:val="24"/>
          <w14:textFill>
            <w14:solidFill>
              <w14:schemeClr w14:val="tx1"/>
            </w14:solidFill>
          </w14:textFill>
        </w:rPr>
        <w:sectPr>
          <w:pgSz w:w="16838" w:h="11906" w:orient="landscape"/>
          <w:pgMar w:top="1276" w:right="1440" w:bottom="1274" w:left="1440" w:header="851" w:footer="992" w:gutter="0"/>
          <w:cols w:space="425" w:num="1"/>
          <w:docGrid w:type="lines" w:linePitch="326" w:charSpace="0"/>
        </w:sectPr>
      </w:pP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由上表可见，预测范围内PM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网格贡献值小时浓度最大值98.87μg/m³，</w:t>
      </w:r>
      <w:r>
        <w:rPr>
          <w:rFonts w:hint="eastAsia" w:eastAsia="宋体"/>
          <w:color w:val="000000" w:themeColor="text1"/>
          <w14:textFill>
            <w14:solidFill>
              <w14:schemeClr w14:val="tx1"/>
            </w14:solidFill>
          </w14:textFill>
        </w:rPr>
        <w:t>叠加背景浓度后</w:t>
      </w:r>
      <w:r>
        <w:rPr>
          <w:rFonts w:eastAsia="宋体"/>
          <w:color w:val="000000" w:themeColor="text1"/>
          <w14:textFill>
            <w14:solidFill>
              <w14:schemeClr w14:val="tx1"/>
            </w14:solidFill>
          </w14:textFill>
        </w:rPr>
        <w:t>最大占标率21.97%≤100%，日平均浓度最大值16.20μg/m³，</w:t>
      </w:r>
      <w:r>
        <w:rPr>
          <w:rFonts w:hint="eastAsia" w:eastAsia="宋体"/>
          <w:color w:val="000000" w:themeColor="text1"/>
          <w14:textFill>
            <w14:solidFill>
              <w14:schemeClr w14:val="tx1"/>
            </w14:solidFill>
          </w14:textFill>
        </w:rPr>
        <w:t>叠加背景浓度后最大</w:t>
      </w:r>
      <w:r>
        <w:rPr>
          <w:rFonts w:eastAsia="宋体"/>
          <w:color w:val="000000" w:themeColor="text1"/>
          <w14:textFill>
            <w14:solidFill>
              <w14:schemeClr w14:val="tx1"/>
            </w14:solidFill>
          </w14:textFill>
        </w:rPr>
        <w:t>占标率58.8%≤100%，年平均浓度最大值</w:t>
      </w: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.10μg/m³，</w:t>
      </w:r>
      <w:r>
        <w:rPr>
          <w:rFonts w:hint="eastAsia" w:eastAsia="宋体"/>
          <w:color w:val="000000" w:themeColor="text1"/>
          <w14:textFill>
            <w14:solidFill>
              <w14:schemeClr w14:val="tx1"/>
            </w14:solidFill>
          </w14:textFill>
        </w:rPr>
        <w:t>叠加背景浓度后最大</w:t>
      </w:r>
      <w:r>
        <w:rPr>
          <w:rFonts w:eastAsia="宋体"/>
          <w:color w:val="000000" w:themeColor="text1"/>
          <w14:textFill>
            <w14:solidFill>
              <w14:schemeClr w14:val="tx1"/>
            </w14:solidFill>
          </w14:textFill>
        </w:rPr>
        <w:t>占标率70.14%≤100%，能够满足《环境空气质量标准》（GB 3095—2012）标准要求。</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PM</w:t>
      </w:r>
      <w:r>
        <w:rPr>
          <w:rFonts w:eastAsia="宋体"/>
          <w:color w:val="000000" w:themeColor="text1"/>
          <w:vertAlign w:val="subscript"/>
          <w14:textFill>
            <w14:solidFill>
              <w14:schemeClr w14:val="tx1"/>
            </w14:solidFill>
          </w14:textFill>
        </w:rPr>
        <w:t>10</w:t>
      </w:r>
      <w:r>
        <w:rPr>
          <w:rFonts w:eastAsia="宋体"/>
          <w:color w:val="000000" w:themeColor="text1"/>
          <w14:textFill>
            <w14:solidFill>
              <w14:schemeClr w14:val="tx1"/>
            </w14:solidFill>
          </w14:textFill>
        </w:rPr>
        <w:t>日均及年均网格浓度分布图见下图4.2-4~4.2-5。</w:t>
      </w:r>
    </w:p>
    <w:p>
      <w:pPr>
        <w:suppressAutoHyphens/>
        <w:spacing w:line="240" w:lineRule="auto"/>
        <w:jc w:val="center"/>
        <w:rPr>
          <w:rFonts w:eastAsia="宋体"/>
          <w:color w:val="000000" w:themeColor="text1"/>
          <w:szCs w:val="24"/>
          <w14:textFill>
            <w14:solidFill>
              <w14:schemeClr w14:val="tx1"/>
            </w14:solidFill>
          </w14:textFill>
        </w:rPr>
      </w:pPr>
      <w:r>
        <w:drawing>
          <wp:inline distT="0" distB="0" distL="0" distR="0">
            <wp:extent cx="5760720" cy="40106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5760720" cy="4010660"/>
                    </a:xfrm>
                    <a:prstGeom prst="rect">
                      <a:avLst/>
                    </a:prstGeom>
                  </pic:spPr>
                </pic:pic>
              </a:graphicData>
            </a:graphic>
          </wp:inline>
        </w:drawing>
      </w:r>
      <w:r>
        <w:rPr>
          <w:rFonts w:eastAsia="宋体"/>
          <w:b/>
          <w:color w:val="000000" w:themeColor="text1"/>
          <w:szCs w:val="24"/>
          <w14:textFill>
            <w14:solidFill>
              <w14:schemeClr w14:val="tx1"/>
            </w14:solidFill>
          </w14:textFill>
        </w:rPr>
        <w:t>图4.2-4  PM</w:t>
      </w:r>
      <w:r>
        <w:rPr>
          <w:rFonts w:eastAsia="宋体"/>
          <w:b/>
          <w:color w:val="000000" w:themeColor="text1"/>
          <w:szCs w:val="24"/>
          <w:vertAlign w:val="subscript"/>
          <w14:textFill>
            <w14:solidFill>
              <w14:schemeClr w14:val="tx1"/>
            </w14:solidFill>
          </w14:textFill>
        </w:rPr>
        <w:t>10</w:t>
      </w:r>
      <w:r>
        <w:rPr>
          <w:rFonts w:eastAsia="宋体"/>
          <w:b/>
          <w:color w:val="000000" w:themeColor="text1"/>
          <w:szCs w:val="24"/>
          <w14:textFill>
            <w14:solidFill>
              <w14:schemeClr w14:val="tx1"/>
            </w14:solidFill>
          </w14:textFill>
        </w:rPr>
        <w:t>95%</w:t>
      </w:r>
      <w:r>
        <w:rPr>
          <w:rFonts w:hint="eastAsia" w:eastAsia="宋体"/>
          <w:b/>
          <w:color w:val="000000" w:themeColor="text1"/>
          <w:szCs w:val="24"/>
          <w14:textFill>
            <w14:solidFill>
              <w14:schemeClr w14:val="tx1"/>
            </w14:solidFill>
          </w14:textFill>
        </w:rPr>
        <w:t>保证率</w:t>
      </w:r>
      <w:r>
        <w:rPr>
          <w:rFonts w:eastAsia="宋体"/>
          <w:b/>
          <w:color w:val="000000" w:themeColor="text1"/>
          <w:szCs w:val="24"/>
          <w14:textFill>
            <w14:solidFill>
              <w14:schemeClr w14:val="tx1"/>
            </w14:solidFill>
          </w14:textFill>
        </w:rPr>
        <w:t>日均网格浓度分布图</w:t>
      </w:r>
    </w:p>
    <w:p>
      <w:pPr>
        <w:suppressAutoHyphens/>
        <w:spacing w:line="240" w:lineRule="auto"/>
        <w:rPr>
          <w:rFonts w:ascii="宋体" w:hAnsi="宋体" w:eastAsia="宋体" w:cs="宋体"/>
          <w:color w:val="000000" w:themeColor="text1"/>
          <w:szCs w:val="24"/>
          <w14:textFill>
            <w14:solidFill>
              <w14:schemeClr w14:val="tx1"/>
            </w14:solidFill>
          </w14:textFill>
        </w:rPr>
      </w:pPr>
      <w:r>
        <w:drawing>
          <wp:inline distT="0" distB="0" distL="0" distR="0">
            <wp:extent cx="5760720" cy="392176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a:stretch>
                      <a:fillRect/>
                    </a:stretch>
                  </pic:blipFill>
                  <pic:spPr>
                    <a:xfrm>
                      <a:off x="0" y="0"/>
                      <a:ext cx="5760720" cy="3921760"/>
                    </a:xfrm>
                    <a:prstGeom prst="rect">
                      <a:avLst/>
                    </a:prstGeom>
                  </pic:spPr>
                </pic:pic>
              </a:graphicData>
            </a:graphic>
          </wp:inline>
        </w:drawing>
      </w:r>
    </w:p>
    <w:p>
      <w:pPr>
        <w:suppressAutoHyphens/>
        <w:spacing w:line="240" w:lineRule="auto"/>
        <w:jc w:val="center"/>
        <w:rPr>
          <w:rFonts w:eastAsia="宋体"/>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图4.2-5  PM</w:t>
      </w:r>
      <w:r>
        <w:rPr>
          <w:rFonts w:eastAsia="宋体"/>
          <w:b/>
          <w:color w:val="000000" w:themeColor="text1"/>
          <w:szCs w:val="24"/>
          <w:vertAlign w:val="subscript"/>
          <w14:textFill>
            <w14:solidFill>
              <w14:schemeClr w14:val="tx1"/>
            </w14:solidFill>
          </w14:textFill>
        </w:rPr>
        <w:t>10</w:t>
      </w:r>
      <w:r>
        <w:rPr>
          <w:rFonts w:hint="eastAsia" w:eastAsia="宋体"/>
          <w:b/>
          <w:color w:val="000000" w:themeColor="text1"/>
          <w:szCs w:val="24"/>
          <w14:textFill>
            <w14:solidFill>
              <w14:schemeClr w14:val="tx1"/>
            </w14:solidFill>
          </w14:textFill>
        </w:rPr>
        <w:t>年</w:t>
      </w:r>
      <w:r>
        <w:rPr>
          <w:rFonts w:eastAsia="宋体"/>
          <w:b/>
          <w:color w:val="000000" w:themeColor="text1"/>
          <w:szCs w:val="24"/>
          <w14:textFill>
            <w14:solidFill>
              <w14:schemeClr w14:val="tx1"/>
            </w14:solidFill>
          </w14:textFill>
        </w:rPr>
        <w:t>均网格浓度分布图</w:t>
      </w: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sectPr>
          <w:pgSz w:w="11906" w:h="16838"/>
          <w:pgMar w:top="1440" w:right="1274" w:bottom="1440"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本项目建成后环境空气保护目标和网格点PM</w:t>
      </w:r>
      <w:r>
        <w:rPr>
          <w:rFonts w:eastAsia="宋体"/>
          <w:color w:val="000000" w:themeColor="text1"/>
          <w:szCs w:val="24"/>
          <w:vertAlign w:val="subscript"/>
          <w14:textFill>
            <w14:solidFill>
              <w14:schemeClr w14:val="tx1"/>
            </w14:solidFill>
          </w14:textFill>
        </w:rPr>
        <w:t>2.5</w:t>
      </w:r>
      <w:r>
        <w:rPr>
          <w:rFonts w:eastAsia="宋体"/>
          <w:color w:val="000000" w:themeColor="text1"/>
          <w:szCs w:val="24"/>
          <w14:textFill>
            <w14:solidFill>
              <w14:schemeClr w14:val="tx1"/>
            </w14:solidFill>
          </w14:textFill>
        </w:rPr>
        <w:t>小时浓度、</w:t>
      </w:r>
      <w:r>
        <w:rPr>
          <w:rFonts w:hint="eastAsia" w:eastAsia="宋体"/>
          <w:color w:val="000000" w:themeColor="text1"/>
          <w:szCs w:val="24"/>
          <w14:textFill>
            <w14:solidFill>
              <w14:schemeClr w14:val="tx1"/>
            </w14:solidFill>
          </w14:textFill>
        </w:rPr>
        <w:t>9</w:t>
      </w:r>
      <w:r>
        <w:rPr>
          <w:rFonts w:eastAsia="宋体"/>
          <w:color w:val="000000" w:themeColor="text1"/>
          <w:szCs w:val="24"/>
          <w14:textFill>
            <w14:solidFill>
              <w14:schemeClr w14:val="tx1"/>
            </w14:solidFill>
          </w14:textFill>
        </w:rPr>
        <w:t>5%</w:t>
      </w:r>
      <w:r>
        <w:rPr>
          <w:rFonts w:hint="eastAsia" w:eastAsia="宋体"/>
          <w:color w:val="000000" w:themeColor="text1"/>
          <w:szCs w:val="24"/>
          <w14:textFill>
            <w14:solidFill>
              <w14:schemeClr w14:val="tx1"/>
            </w14:solidFill>
          </w14:textFill>
        </w:rPr>
        <w:t>保证率</w:t>
      </w:r>
      <w:r>
        <w:rPr>
          <w:rFonts w:eastAsia="宋体"/>
          <w:color w:val="000000" w:themeColor="text1"/>
          <w:szCs w:val="24"/>
          <w14:textFill>
            <w14:solidFill>
              <w14:schemeClr w14:val="tx1"/>
            </w14:solidFill>
          </w14:textFill>
        </w:rPr>
        <w:t>日均值、年均值贡献值在叠加背景值及其他在建、拟建的污染源情况下的占标率见表4.2-21。</w:t>
      </w:r>
    </w:p>
    <w:p>
      <w:pPr>
        <w:suppressAutoHyphens/>
        <w:spacing w:line="240" w:lineRule="auto"/>
        <w:ind w:firstLine="482"/>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表4.2-21  PM</w:t>
      </w:r>
      <w:r>
        <w:rPr>
          <w:rFonts w:eastAsia="宋体"/>
          <w:b/>
          <w:bCs/>
          <w:color w:val="000000" w:themeColor="text1"/>
          <w:szCs w:val="24"/>
          <w:vertAlign w:val="subscript"/>
          <w14:textFill>
            <w14:solidFill>
              <w14:schemeClr w14:val="tx1"/>
            </w14:solidFill>
          </w14:textFill>
        </w:rPr>
        <w:t>2.5</w:t>
      </w:r>
      <w:r>
        <w:rPr>
          <w:rFonts w:eastAsia="宋体"/>
          <w:b/>
          <w:bCs/>
          <w:color w:val="000000" w:themeColor="text1"/>
          <w:szCs w:val="24"/>
          <w14:textFill>
            <w14:solidFill>
              <w14:schemeClr w14:val="tx1"/>
            </w14:solidFill>
          </w14:textFill>
        </w:rPr>
        <w:t>环境空气保护目标及网格各时段浓度叠加背景值后预测值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063"/>
        <w:gridCol w:w="1275"/>
        <w:gridCol w:w="1060"/>
        <w:gridCol w:w="1360"/>
        <w:gridCol w:w="1833"/>
        <w:gridCol w:w="1174"/>
        <w:gridCol w:w="1923"/>
        <w:gridCol w:w="1360"/>
        <w:gridCol w:w="1634"/>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6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p>
        </w:tc>
        <w:tc>
          <w:tcPr>
            <w:tcW w:w="10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3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83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17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背景浓度</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92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叠加背景后的浓度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3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6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叠加背景以后</w:t>
            </w:r>
            <w:r>
              <w:rPr>
                <w:rFonts w:hint="eastAsia" w:eastAsia="宋体"/>
                <w:b/>
                <w:color w:val="000000" w:themeColor="text1"/>
                <w:kern w:val="0"/>
                <w:sz w:val="21"/>
                <w:szCs w:val="21"/>
                <w14:textFill>
                  <w14:solidFill>
                    <w14:schemeClr w14:val="tx1"/>
                  </w14:solidFill>
                </w14:textFill>
              </w:rPr>
              <w:t>）</w:t>
            </w:r>
          </w:p>
        </w:tc>
        <w:tc>
          <w:tcPr>
            <w:tcW w:w="77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23.00 </w:t>
            </w:r>
          </w:p>
        </w:tc>
        <w:tc>
          <w:tcPr>
            <w:tcW w:w="1833"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22091306</w:t>
            </w:r>
          </w:p>
        </w:tc>
        <w:tc>
          <w:tcPr>
            <w:tcW w:w="117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23.00 </w:t>
            </w:r>
          </w:p>
        </w:tc>
        <w:tc>
          <w:tcPr>
            <w:tcW w:w="1360"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10.20 </w:t>
            </w:r>
          </w:p>
        </w:tc>
        <w:tc>
          <w:tcPr>
            <w:tcW w:w="779" w:type="dxa"/>
            <w:shd w:val="clear" w:color="auto" w:fill="auto"/>
            <w:noWrap/>
            <w:vAlign w:val="center"/>
          </w:tcPr>
          <w:p>
            <w:pPr>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0.97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56.00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74.62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-1.08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32.90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94.06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13.90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22022201</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13.90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6.18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0.42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55.40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73.89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33.20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94.98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r>
              <w:rPr>
                <w:rFonts w:hint="eastAsia" w:eastAsia="宋体"/>
                <w:color w:val="000000" w:themeColor="text1"/>
                <w:kern w:val="0"/>
                <w:sz w:val="21"/>
                <w:szCs w:val="21"/>
                <w14:textFill>
                  <w14:solidFill>
                    <w14:schemeClr w14:val="tx1"/>
                  </w14:solidFill>
                </w14:textFill>
              </w:rPr>
              <w:t>新校区</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8.29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8.29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3.68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220317</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55.20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73.55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-0.53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33.50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95.63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7.47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22012319</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7.47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3.32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0.05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55.10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73.40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-0.34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33.70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96.16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3.93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22052123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3.93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1.75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0.12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220528</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55.10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73.50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-0.15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96.70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-2270,334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2.81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22010821</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2.81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1.25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73.34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33.70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96.25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2.95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22062023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2.95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1.31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220427</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73.34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33.70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96.26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0.78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22120224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0.78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0.35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221228</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73.33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96.68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19.40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22111003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19.40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8.63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220709</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55.10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73.48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-6.03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28.00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79.93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23.00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22011223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23.00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10.23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0.59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220907</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55.60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74.11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-0.78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33.20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94.91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5.76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22061720</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5.76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2.56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0.11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55.10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73.48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-0.28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33.70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96.33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6.48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22010617</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6.48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2.88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55.30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73.77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-0.44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33.60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95.89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3.41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22080920</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3.41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1.52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0.05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220429</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73.40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-0.23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96.48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-2394,2873</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1.80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22061623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0.80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220122</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73.34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-0.20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96.56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75"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22090506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0.76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0.34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0.00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55.00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73.33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-0.23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33.80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96.48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63"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5" w:type="dxa"/>
            <w:vMerge w:val="restar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19.60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22122824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19.60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8.72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0.83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220401</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74.44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-1.66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32.30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92.40 </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63" w:type="dxa"/>
            <w:vMerge w:val="restart"/>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77,76</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45.30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22090501</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45.30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225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20.15</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-23,-24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日平均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7.77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55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62.80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75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83.69</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7"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063" w:type="dxa"/>
            <w:vMerge w:val="continue"/>
            <w:vAlign w:val="center"/>
          </w:tcPr>
          <w:p>
            <w:pPr>
              <w:spacing w:line="240" w:lineRule="auto"/>
              <w:jc w:val="center"/>
              <w:rPr>
                <w:rFonts w:eastAsia="宋体"/>
                <w:color w:val="000000" w:themeColor="text1"/>
                <w:kern w:val="0"/>
                <w:sz w:val="21"/>
                <w:szCs w:val="21"/>
                <w14:textFill>
                  <w14:solidFill>
                    <w14:schemeClr w14:val="tx1"/>
                  </w14:solidFill>
                </w14:textFill>
              </w:rPr>
            </w:pPr>
          </w:p>
        </w:tc>
        <w:tc>
          <w:tcPr>
            <w:tcW w:w="12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-23,-24</w:t>
            </w:r>
          </w:p>
        </w:tc>
        <w:tc>
          <w:tcPr>
            <w:tcW w:w="10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年平均</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0.92 </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平均值</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 </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34.90 </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 xml:space="preserve">35 </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99.77</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pStyle w:val="446"/>
        <w:ind w:firstLine="420"/>
        <w:jc w:val="left"/>
        <w:rPr>
          <w:rFonts w:ascii="Times New Roman" w:hAnsi="Times New Roman"/>
          <w:color w:val="000000" w:themeColor="text1"/>
          <w14:textFill>
            <w14:solidFill>
              <w14:schemeClr w14:val="tx1"/>
            </w14:solidFill>
          </w14:textFill>
        </w:rPr>
      </w:pPr>
    </w:p>
    <w:p>
      <w:pPr>
        <w:suppressAutoHyphens/>
        <w:ind w:firstLine="480"/>
        <w:rPr>
          <w:rFonts w:eastAsia="宋体"/>
          <w:color w:val="000000" w:themeColor="text1"/>
          <w:szCs w:val="24"/>
          <w14:textFill>
            <w14:solidFill>
              <w14:schemeClr w14:val="tx1"/>
            </w14:solidFill>
          </w14:textFill>
        </w:rPr>
        <w:sectPr>
          <w:pgSz w:w="16838" w:h="11906" w:orient="landscape"/>
          <w:pgMar w:top="1134" w:right="1440" w:bottom="1274" w:left="1440" w:header="851" w:footer="992" w:gutter="0"/>
          <w:cols w:space="425" w:num="1"/>
          <w:docGrid w:type="lines" w:linePitch="326" w:charSpace="0"/>
        </w:sectPr>
      </w:pPr>
    </w:p>
    <w:p>
      <w:pPr>
        <w:suppressAutoHyphens/>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由上表可见，预测范围内</w:t>
      </w:r>
      <w:r>
        <w:rPr>
          <w:rFonts w:eastAsia="宋体"/>
          <w:bCs/>
          <w:color w:val="000000" w:themeColor="text1"/>
          <w:szCs w:val="24"/>
          <w14:textFill>
            <w14:solidFill>
              <w14:schemeClr w14:val="tx1"/>
            </w14:solidFill>
          </w14:textFill>
        </w:rPr>
        <w:t>PM</w:t>
      </w:r>
      <w:r>
        <w:rPr>
          <w:rFonts w:eastAsia="宋体"/>
          <w:bCs/>
          <w:color w:val="000000" w:themeColor="text1"/>
          <w:szCs w:val="24"/>
          <w:vertAlign w:val="subscript"/>
          <w14:textFill>
            <w14:solidFill>
              <w14:schemeClr w14:val="tx1"/>
            </w14:solidFill>
          </w14:textFill>
        </w:rPr>
        <w:t>2.5</w:t>
      </w:r>
      <w:r>
        <w:rPr>
          <w:rFonts w:eastAsia="宋体"/>
          <w:color w:val="000000" w:themeColor="text1"/>
          <w14:textFill>
            <w14:solidFill>
              <w14:schemeClr w14:val="tx1"/>
            </w14:solidFill>
          </w14:textFill>
        </w:rPr>
        <w:t>网格贡献值小时浓度最大值45.30μg/m³，</w:t>
      </w:r>
      <w:r>
        <w:rPr>
          <w:rFonts w:hint="eastAsia" w:eastAsia="宋体"/>
          <w:color w:val="000000" w:themeColor="text1"/>
          <w14:textFill>
            <w14:solidFill>
              <w14:schemeClr w14:val="tx1"/>
            </w14:solidFill>
          </w14:textFill>
        </w:rPr>
        <w:t>叠加背景浓度后</w:t>
      </w:r>
      <w:r>
        <w:rPr>
          <w:rFonts w:eastAsia="宋体"/>
          <w:color w:val="000000" w:themeColor="text1"/>
          <w14:textFill>
            <w14:solidFill>
              <w14:schemeClr w14:val="tx1"/>
            </w14:solidFill>
          </w14:textFill>
        </w:rPr>
        <w:t>最大占标率20.15%≤100%，日平均浓度最大值7.77μg/m³，</w:t>
      </w:r>
      <w:r>
        <w:rPr>
          <w:rFonts w:hint="eastAsia" w:eastAsia="宋体"/>
          <w:color w:val="000000" w:themeColor="text1"/>
          <w14:textFill>
            <w14:solidFill>
              <w14:schemeClr w14:val="tx1"/>
            </w14:solidFill>
          </w14:textFill>
        </w:rPr>
        <w:t>叠加背景浓度后最大</w:t>
      </w:r>
      <w:r>
        <w:rPr>
          <w:rFonts w:eastAsia="宋体"/>
          <w:color w:val="000000" w:themeColor="text1"/>
          <w14:textFill>
            <w14:solidFill>
              <w14:schemeClr w14:val="tx1"/>
            </w14:solidFill>
          </w14:textFill>
        </w:rPr>
        <w:t>占标率83.69%≤100%，年平均浓度最大值0.92μg/m³，</w:t>
      </w:r>
      <w:r>
        <w:rPr>
          <w:rFonts w:hint="eastAsia" w:eastAsia="宋体"/>
          <w:color w:val="000000" w:themeColor="text1"/>
          <w14:textFill>
            <w14:solidFill>
              <w14:schemeClr w14:val="tx1"/>
            </w14:solidFill>
          </w14:textFill>
        </w:rPr>
        <w:t>叠加背景浓度后最大</w:t>
      </w:r>
      <w:r>
        <w:rPr>
          <w:rFonts w:eastAsia="宋体"/>
          <w:color w:val="000000" w:themeColor="text1"/>
          <w14:textFill>
            <w14:solidFill>
              <w14:schemeClr w14:val="tx1"/>
            </w14:solidFill>
          </w14:textFill>
        </w:rPr>
        <w:t>占标率99.77%≤100%，能够满足《环境空气质量标准》（GB 3095—2012）标准要求。</w:t>
      </w:r>
    </w:p>
    <w:p>
      <w:pPr>
        <w:ind w:firstLine="480"/>
        <w:rPr>
          <w:rFonts w:eastAsia="宋体"/>
          <w:color w:val="000000" w:themeColor="text1"/>
          <w14:textFill>
            <w14:solidFill>
              <w14:schemeClr w14:val="tx1"/>
            </w14:solidFill>
          </w14:textFill>
        </w:rPr>
      </w:pPr>
      <w:r>
        <w:rPr>
          <w:rFonts w:eastAsia="宋体"/>
          <w:bCs/>
          <w:color w:val="000000" w:themeColor="text1"/>
          <w:szCs w:val="24"/>
          <w14:textFill>
            <w14:solidFill>
              <w14:schemeClr w14:val="tx1"/>
            </w14:solidFill>
          </w14:textFill>
        </w:rPr>
        <w:t>PM</w:t>
      </w:r>
      <w:r>
        <w:rPr>
          <w:rFonts w:eastAsia="宋体"/>
          <w:bCs/>
          <w:color w:val="000000" w:themeColor="text1"/>
          <w:szCs w:val="24"/>
          <w:vertAlign w:val="subscript"/>
          <w14:textFill>
            <w14:solidFill>
              <w14:schemeClr w14:val="tx1"/>
            </w14:solidFill>
          </w14:textFill>
        </w:rPr>
        <w:t>2.5</w:t>
      </w:r>
      <w:r>
        <w:rPr>
          <w:rFonts w:eastAsia="宋体"/>
          <w:color w:val="000000" w:themeColor="text1"/>
          <w14:textFill>
            <w14:solidFill>
              <w14:schemeClr w14:val="tx1"/>
            </w14:solidFill>
          </w14:textFill>
        </w:rPr>
        <w:t>日均及年均网格浓度分布图见下图4.2-6~4.2-7。</w:t>
      </w:r>
    </w:p>
    <w:p>
      <w:pPr>
        <w:suppressAutoHyphens/>
        <w:spacing w:line="240" w:lineRule="auto"/>
        <w:jc w:val="center"/>
        <w:rPr>
          <w:rFonts w:eastAsia="宋体"/>
          <w:color w:val="000000" w:themeColor="text1"/>
          <w:szCs w:val="24"/>
          <w14:textFill>
            <w14:solidFill>
              <w14:schemeClr w14:val="tx1"/>
            </w14:solidFill>
          </w14:textFill>
        </w:rPr>
      </w:pPr>
      <w:r>
        <w:drawing>
          <wp:inline distT="0" distB="0" distL="0" distR="0">
            <wp:extent cx="5760720" cy="38773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5"/>
                    <a:stretch>
                      <a:fillRect/>
                    </a:stretch>
                  </pic:blipFill>
                  <pic:spPr>
                    <a:xfrm>
                      <a:off x="0" y="0"/>
                      <a:ext cx="5760720" cy="3877310"/>
                    </a:xfrm>
                    <a:prstGeom prst="rect">
                      <a:avLst/>
                    </a:prstGeom>
                  </pic:spPr>
                </pic:pic>
              </a:graphicData>
            </a:graphic>
          </wp:inline>
        </w:drawing>
      </w:r>
      <w:r>
        <w:rPr>
          <w:rFonts w:eastAsia="宋体"/>
          <w:b/>
          <w:color w:val="000000" w:themeColor="text1"/>
          <w:szCs w:val="24"/>
          <w14:textFill>
            <w14:solidFill>
              <w14:schemeClr w14:val="tx1"/>
            </w14:solidFill>
          </w14:textFill>
        </w:rPr>
        <w:t xml:space="preserve">图4.2-6  </w:t>
      </w:r>
      <w:r>
        <w:rPr>
          <w:rFonts w:eastAsia="宋体"/>
          <w:b/>
          <w:bCs/>
          <w:color w:val="000000" w:themeColor="text1"/>
          <w:szCs w:val="24"/>
          <w14:textFill>
            <w14:solidFill>
              <w14:schemeClr w14:val="tx1"/>
            </w14:solidFill>
          </w14:textFill>
        </w:rPr>
        <w:t>PM</w:t>
      </w:r>
      <w:r>
        <w:rPr>
          <w:rFonts w:eastAsia="宋体"/>
          <w:b/>
          <w:bCs/>
          <w:color w:val="000000" w:themeColor="text1"/>
          <w:szCs w:val="24"/>
          <w:vertAlign w:val="subscript"/>
          <w14:textFill>
            <w14:solidFill>
              <w14:schemeClr w14:val="tx1"/>
            </w14:solidFill>
          </w14:textFill>
        </w:rPr>
        <w:t>2.5</w:t>
      </w:r>
      <w:r>
        <w:rPr>
          <w:rFonts w:eastAsia="宋体"/>
          <w:b/>
          <w:bCs/>
          <w:color w:val="000000" w:themeColor="text1"/>
          <w:szCs w:val="24"/>
          <w14:textFill>
            <w14:solidFill>
              <w14:schemeClr w14:val="tx1"/>
            </w14:solidFill>
          </w14:textFill>
        </w:rPr>
        <w:t>95%</w:t>
      </w:r>
      <w:r>
        <w:rPr>
          <w:rFonts w:hint="eastAsia" w:eastAsia="宋体"/>
          <w:b/>
          <w:bCs/>
          <w:color w:val="000000" w:themeColor="text1"/>
          <w:szCs w:val="24"/>
          <w14:textFill>
            <w14:solidFill>
              <w14:schemeClr w14:val="tx1"/>
            </w14:solidFill>
          </w14:textFill>
        </w:rPr>
        <w:t>保证率</w:t>
      </w:r>
      <w:r>
        <w:rPr>
          <w:rFonts w:hint="eastAsia" w:eastAsia="宋体"/>
          <w:b/>
          <w:color w:val="000000" w:themeColor="text1"/>
          <w:szCs w:val="24"/>
          <w14:textFill>
            <w14:solidFill>
              <w14:schemeClr w14:val="tx1"/>
            </w14:solidFill>
          </w14:textFill>
        </w:rPr>
        <w:t>日均</w:t>
      </w:r>
      <w:r>
        <w:rPr>
          <w:rFonts w:eastAsia="宋体"/>
          <w:b/>
          <w:color w:val="000000" w:themeColor="text1"/>
          <w:szCs w:val="24"/>
          <w14:textFill>
            <w14:solidFill>
              <w14:schemeClr w14:val="tx1"/>
            </w14:solidFill>
          </w14:textFill>
        </w:rPr>
        <w:t>网格浓度分布图</w:t>
      </w:r>
    </w:p>
    <w:p>
      <w:pPr>
        <w:suppressAutoHyphens/>
        <w:spacing w:line="240" w:lineRule="auto"/>
        <w:jc w:val="center"/>
        <w:rPr>
          <w:rFonts w:eastAsia="宋体"/>
          <w:b/>
          <w:color w:val="000000" w:themeColor="text1"/>
          <w:szCs w:val="24"/>
          <w14:textFill>
            <w14:solidFill>
              <w14:schemeClr w14:val="tx1"/>
            </w14:solidFill>
          </w14:textFill>
        </w:rPr>
      </w:pPr>
      <w:r>
        <w:drawing>
          <wp:inline distT="0" distB="0" distL="0" distR="0">
            <wp:extent cx="5760720" cy="432054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760720" cy="4320540"/>
                    </a:xfrm>
                    <a:prstGeom prst="rect">
                      <a:avLst/>
                    </a:prstGeom>
                  </pic:spPr>
                </pic:pic>
              </a:graphicData>
            </a:graphic>
          </wp:inline>
        </w:drawing>
      </w:r>
      <w:r>
        <w:rPr>
          <w:rFonts w:eastAsia="宋体"/>
          <w:b/>
          <w:color w:val="000000" w:themeColor="text1"/>
          <w:szCs w:val="24"/>
          <w14:textFill>
            <w14:solidFill>
              <w14:schemeClr w14:val="tx1"/>
            </w14:solidFill>
          </w14:textFill>
        </w:rPr>
        <w:t xml:space="preserve">图4.2-7  </w:t>
      </w:r>
      <w:r>
        <w:rPr>
          <w:rFonts w:eastAsia="宋体"/>
          <w:b/>
          <w:bCs/>
          <w:color w:val="000000" w:themeColor="text1"/>
          <w:szCs w:val="24"/>
          <w14:textFill>
            <w14:solidFill>
              <w14:schemeClr w14:val="tx1"/>
            </w14:solidFill>
          </w14:textFill>
        </w:rPr>
        <w:t>PM</w:t>
      </w:r>
      <w:r>
        <w:rPr>
          <w:rFonts w:eastAsia="宋体"/>
          <w:b/>
          <w:bCs/>
          <w:color w:val="000000" w:themeColor="text1"/>
          <w:szCs w:val="24"/>
          <w:vertAlign w:val="subscript"/>
          <w14:textFill>
            <w14:solidFill>
              <w14:schemeClr w14:val="tx1"/>
            </w14:solidFill>
          </w14:textFill>
        </w:rPr>
        <w:t>2.5</w:t>
      </w:r>
      <w:r>
        <w:rPr>
          <w:rFonts w:hint="eastAsia" w:eastAsia="宋体"/>
          <w:b/>
          <w:color w:val="000000" w:themeColor="text1"/>
          <w:szCs w:val="24"/>
          <w14:textFill>
            <w14:solidFill>
              <w14:schemeClr w14:val="tx1"/>
            </w14:solidFill>
          </w14:textFill>
        </w:rPr>
        <w:t>年均</w:t>
      </w:r>
      <w:r>
        <w:rPr>
          <w:rFonts w:eastAsia="宋体"/>
          <w:b/>
          <w:color w:val="000000" w:themeColor="text1"/>
          <w:szCs w:val="24"/>
          <w14:textFill>
            <w14:solidFill>
              <w14:schemeClr w14:val="tx1"/>
            </w14:solidFill>
          </w14:textFill>
        </w:rPr>
        <w:t>网格浓度分布图</w:t>
      </w:r>
    </w:p>
    <w:p>
      <w:pPr>
        <w:suppressAutoHyphens/>
        <w:ind w:firstLine="480" w:firstLineChars="20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③非甲烷总烃</w:t>
      </w:r>
      <w:r>
        <w:rPr>
          <w:rFonts w:eastAsia="宋体"/>
          <w:color w:val="000000" w:themeColor="text1"/>
          <w:szCs w:val="24"/>
          <w14:textFill>
            <w14:solidFill>
              <w14:schemeClr w14:val="tx1"/>
            </w14:solidFill>
          </w14:textFill>
        </w:rPr>
        <w:t>预测结果</w:t>
      </w:r>
    </w:p>
    <w:p>
      <w:pPr>
        <w:suppressAutoHyphens/>
        <w:ind w:firstLine="480" w:firstLineChars="200"/>
        <w:rPr>
          <w:rFonts w:eastAsia="宋体"/>
          <w:color w:val="000000" w:themeColor="text1"/>
          <w:szCs w:val="24"/>
          <w14:textFill>
            <w14:solidFill>
              <w14:schemeClr w14:val="tx1"/>
            </w14:solidFill>
          </w14:textFill>
        </w:rPr>
        <w:sectPr>
          <w:pgSz w:w="11906" w:h="16838"/>
          <w:pgMar w:top="1440" w:right="1274" w:bottom="1440"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本项目建成后环境空气保护目标和网格点</w:t>
      </w:r>
      <w:r>
        <w:rPr>
          <w:rFonts w:hint="eastAsia" w:ascii="宋体" w:hAnsi="宋体" w:eastAsia="宋体" w:cs="宋体"/>
          <w:color w:val="000000" w:themeColor="text1"/>
          <w:szCs w:val="24"/>
          <w14:textFill>
            <w14:solidFill>
              <w14:schemeClr w14:val="tx1"/>
            </w14:solidFill>
          </w14:textFill>
        </w:rPr>
        <w:t>非甲烷总烃</w:t>
      </w:r>
      <w:r>
        <w:rPr>
          <w:rFonts w:eastAsia="宋体"/>
          <w:color w:val="000000" w:themeColor="text1"/>
          <w:szCs w:val="24"/>
          <w14:textFill>
            <w14:solidFill>
              <w14:schemeClr w14:val="tx1"/>
            </w14:solidFill>
          </w14:textFill>
        </w:rPr>
        <w:t>小时浓度贡献值在叠加背景值及其他在建、拟建的污染源情况下的占标率见表4.2-22。</w:t>
      </w:r>
    </w:p>
    <w:p>
      <w:pPr>
        <w:suppressAutoHyphens/>
        <w:spacing w:line="240" w:lineRule="auto"/>
        <w:ind w:firstLine="482"/>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表4.2-22  </w:t>
      </w:r>
      <w:r>
        <w:rPr>
          <w:rFonts w:hint="eastAsia" w:eastAsia="宋体"/>
          <w:b/>
          <w:bCs/>
          <w:color w:val="000000" w:themeColor="text1"/>
          <w:szCs w:val="24"/>
          <w14:textFill>
            <w14:solidFill>
              <w14:schemeClr w14:val="tx1"/>
            </w14:solidFill>
          </w14:textFill>
        </w:rPr>
        <w:t>非甲烷总烃</w:t>
      </w:r>
      <w:r>
        <w:rPr>
          <w:rFonts w:eastAsia="宋体"/>
          <w:b/>
          <w:bCs/>
          <w:color w:val="000000" w:themeColor="text1"/>
          <w:szCs w:val="24"/>
          <w14:textFill>
            <w14:solidFill>
              <w14:schemeClr w14:val="tx1"/>
            </w14:solidFill>
          </w14:textFill>
        </w:rPr>
        <w:t>环境空气保护目标及网格各时段浓度叠加背景值后预测值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06"/>
        <w:gridCol w:w="1273"/>
        <w:gridCol w:w="955"/>
        <w:gridCol w:w="1309"/>
        <w:gridCol w:w="1741"/>
        <w:gridCol w:w="1309"/>
        <w:gridCol w:w="1875"/>
        <w:gridCol w:w="1309"/>
        <w:gridCol w:w="1701"/>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序号</w:t>
            </w:r>
          </w:p>
        </w:tc>
        <w:tc>
          <w:tcPr>
            <w:tcW w:w="1206"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点名称</w:t>
            </w:r>
          </w:p>
        </w:tc>
        <w:tc>
          <w:tcPr>
            <w:tcW w:w="1273"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点坐标</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x或r,y或a</w:t>
            </w:r>
            <w:r>
              <w:rPr>
                <w:rFonts w:hint="eastAsia" w:eastAsia="宋体"/>
                <w:b/>
                <w:color w:val="000000" w:themeColor="text1"/>
                <w:sz w:val="21"/>
                <w:szCs w:val="21"/>
                <w:lang w:eastAsia="zh-CN"/>
                <w14:textFill>
                  <w14:solidFill>
                    <w14:schemeClr w14:val="tx1"/>
                  </w14:solidFill>
                </w14:textFill>
              </w:rPr>
              <w:t>）</w:t>
            </w:r>
          </w:p>
        </w:tc>
        <w:tc>
          <w:tcPr>
            <w:tcW w:w="955"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浓度类型</w:t>
            </w:r>
          </w:p>
        </w:tc>
        <w:tc>
          <w:tcPr>
            <w:tcW w:w="1309"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浓度增量</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μg/m^3</w:t>
            </w:r>
            <w:r>
              <w:rPr>
                <w:rFonts w:hint="eastAsia" w:eastAsia="宋体"/>
                <w:b/>
                <w:color w:val="000000" w:themeColor="text1"/>
                <w:sz w:val="21"/>
                <w:szCs w:val="21"/>
                <w:lang w:eastAsia="zh-CN"/>
                <w14:textFill>
                  <w14:solidFill>
                    <w14:schemeClr w14:val="tx1"/>
                  </w14:solidFill>
                </w14:textFill>
              </w:rPr>
              <w:t>）</w:t>
            </w:r>
          </w:p>
        </w:tc>
        <w:tc>
          <w:tcPr>
            <w:tcW w:w="1741"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出现时间</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YYMMDDHH</w:t>
            </w:r>
            <w:r>
              <w:rPr>
                <w:rFonts w:hint="eastAsia" w:eastAsia="宋体"/>
                <w:b/>
                <w:color w:val="000000" w:themeColor="text1"/>
                <w:sz w:val="21"/>
                <w:szCs w:val="21"/>
                <w:lang w:eastAsia="zh-CN"/>
                <w14:textFill>
                  <w14:solidFill>
                    <w14:schemeClr w14:val="tx1"/>
                  </w14:solidFill>
                </w14:textFill>
              </w:rPr>
              <w:t>）</w:t>
            </w:r>
          </w:p>
        </w:tc>
        <w:tc>
          <w:tcPr>
            <w:tcW w:w="1309"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背景浓度</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μg/m^3</w:t>
            </w:r>
            <w:r>
              <w:rPr>
                <w:rFonts w:hint="eastAsia" w:eastAsia="宋体"/>
                <w:b/>
                <w:color w:val="000000" w:themeColor="text1"/>
                <w:sz w:val="21"/>
                <w:szCs w:val="21"/>
                <w:lang w:eastAsia="zh-CN"/>
                <w14:textFill>
                  <w14:solidFill>
                    <w14:schemeClr w14:val="tx1"/>
                  </w14:solidFill>
                </w14:textFill>
              </w:rPr>
              <w:t>）</w:t>
            </w:r>
          </w:p>
        </w:tc>
        <w:tc>
          <w:tcPr>
            <w:tcW w:w="1875"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叠加背景后的浓度</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μg/m^3</w:t>
            </w:r>
            <w:r>
              <w:rPr>
                <w:rFonts w:hint="eastAsia" w:eastAsia="宋体"/>
                <w:b/>
                <w:color w:val="000000" w:themeColor="text1"/>
                <w:sz w:val="21"/>
                <w:szCs w:val="21"/>
                <w:lang w:eastAsia="zh-CN"/>
                <w14:textFill>
                  <w14:solidFill>
                    <w14:schemeClr w14:val="tx1"/>
                  </w14:solidFill>
                </w14:textFill>
              </w:rPr>
              <w:t>）</w:t>
            </w:r>
          </w:p>
        </w:tc>
        <w:tc>
          <w:tcPr>
            <w:tcW w:w="1309"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评价标准</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μg/m^3</w:t>
            </w:r>
            <w:r>
              <w:rPr>
                <w:rFonts w:hint="eastAsia" w:eastAsia="宋体"/>
                <w:b/>
                <w:color w:val="000000" w:themeColor="text1"/>
                <w:sz w:val="21"/>
                <w:szCs w:val="21"/>
                <w:lang w:eastAsia="zh-CN"/>
                <w14:textFill>
                  <w14:solidFill>
                    <w14:schemeClr w14:val="tx1"/>
                  </w14:solidFill>
                </w14:textFill>
              </w:rPr>
              <w:t>）</w:t>
            </w:r>
          </w:p>
        </w:tc>
        <w:tc>
          <w:tcPr>
            <w:tcW w:w="1701"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占标率%</w:t>
            </w:r>
            <w:r>
              <w:rPr>
                <w:rFonts w:hint="eastAsia" w:eastAsia="宋体"/>
                <w:b/>
                <w:color w:val="000000" w:themeColor="text1"/>
                <w:sz w:val="21"/>
                <w:szCs w:val="21"/>
                <w14:textFill>
                  <w14:solidFill>
                    <w14:schemeClr w14:val="tx1"/>
                  </w14:solidFill>
                </w14:textFill>
              </w:rPr>
              <w:t>（</w:t>
            </w:r>
            <w:r>
              <w:rPr>
                <w:rFonts w:eastAsia="宋体"/>
                <w:b/>
                <w:color w:val="000000" w:themeColor="text1"/>
                <w:sz w:val="21"/>
                <w:szCs w:val="21"/>
                <w14:textFill>
                  <w14:solidFill>
                    <w14:schemeClr w14:val="tx1"/>
                  </w14:solidFill>
                </w14:textFill>
              </w:rPr>
              <w:t>叠加背景以后</w:t>
            </w:r>
            <w:r>
              <w:rPr>
                <w:rFonts w:hint="eastAsia" w:eastAsia="宋体"/>
                <w:b/>
                <w:color w:val="000000" w:themeColor="text1"/>
                <w:sz w:val="21"/>
                <w:szCs w:val="21"/>
                <w14:textFill>
                  <w14:solidFill>
                    <w14:schemeClr w14:val="tx1"/>
                  </w14:solidFill>
                </w14:textFill>
              </w:rPr>
              <w:t>）</w:t>
            </w:r>
          </w:p>
        </w:tc>
        <w:tc>
          <w:tcPr>
            <w:tcW w:w="782" w:type="dxa"/>
            <w:shd w:val="clear" w:color="auto" w:fill="auto"/>
            <w:noWrap/>
            <w:vAlign w:val="center"/>
          </w:tcPr>
          <w:p>
            <w:pPr>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东胜村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14.32</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22020706</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15.07</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大足国家粮库</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8.59</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22101522</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9.34</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0.47</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邮亭镇</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3.9</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22122901</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4.65</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0.23</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邮亭中学</w:t>
            </w:r>
            <w:r>
              <w:rPr>
                <w:rFonts w:hint="eastAsia" w:eastAsia="宋体"/>
                <w:color w:val="000000" w:themeColor="text1"/>
                <w:sz w:val="21"/>
                <w:szCs w:val="21"/>
                <w14:textFill>
                  <w14:solidFill>
                    <w14:schemeClr w14:val="tx1"/>
                  </w14:solidFill>
                </w14:textFill>
              </w:rPr>
              <w:t>新校区</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2.63</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22062404</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3.38</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0.17</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大足区春晖学校</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22121907</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14.75</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0.74</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八百春村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2.98</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22062403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3.73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0.19</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大足南站</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22120906</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1.75</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0.09</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石股岭</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1.01</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22120704</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1.76</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0.09</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驿新苑小区</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537</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41.98</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22120624</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42.73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2.14</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东风村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11.24</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22020706</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11.99</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0.6</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曹家院子</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2450</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4.38</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22063003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5.13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0.26</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红林村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2035</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5.93</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22050322</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6.68</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0.33</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天福村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3213</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1.46</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22072803</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0.11</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陈家新院子</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0.97</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22103118</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1.72</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0.09</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碧绿村</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2579</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2.27</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22020907</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3.02</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0.15</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27.81</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22122901</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28.56</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1.43</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w:t>
            </w:r>
          </w:p>
        </w:tc>
        <w:tc>
          <w:tcPr>
            <w:tcW w:w="120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网格</w:t>
            </w:r>
          </w:p>
        </w:tc>
        <w:tc>
          <w:tcPr>
            <w:tcW w:w="1273"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177,76</w:t>
            </w:r>
          </w:p>
        </w:tc>
        <w:tc>
          <w:tcPr>
            <w:tcW w:w="95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1小时</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66.46</w:t>
            </w:r>
          </w:p>
        </w:tc>
        <w:tc>
          <w:tcPr>
            <w:tcW w:w="174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22040507</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0.75</w:t>
            </w:r>
          </w:p>
        </w:tc>
        <w:tc>
          <w:tcPr>
            <w:tcW w:w="187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67.21</w:t>
            </w:r>
          </w:p>
        </w:tc>
        <w:tc>
          <w:tcPr>
            <w:tcW w:w="1309"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2,000</w:t>
            </w:r>
          </w:p>
        </w:tc>
        <w:tc>
          <w:tcPr>
            <w:tcW w:w="170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3.36</w:t>
            </w:r>
          </w:p>
        </w:tc>
        <w:tc>
          <w:tcPr>
            <w:tcW w:w="782"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达标</w:t>
            </w:r>
          </w:p>
        </w:tc>
      </w:tr>
    </w:tbl>
    <w:p>
      <w:pPr>
        <w:pStyle w:val="446"/>
        <w:ind w:firstLine="480"/>
        <w:rPr>
          <w:color w:val="000000" w:themeColor="text1"/>
          <w14:textFill>
            <w14:solidFill>
              <w14:schemeClr w14:val="tx1"/>
            </w14:solidFill>
          </w14:textFill>
        </w:rPr>
      </w:pPr>
    </w:p>
    <w:p>
      <w:pPr>
        <w:suppressAutoHyphens/>
        <w:ind w:firstLine="480"/>
        <w:rPr>
          <w:rFonts w:eastAsia="宋体"/>
          <w:color w:val="000000" w:themeColor="text1"/>
          <w:szCs w:val="24"/>
          <w14:textFill>
            <w14:solidFill>
              <w14:schemeClr w14:val="tx1"/>
            </w14:solidFill>
          </w14:textFill>
        </w:rPr>
        <w:sectPr>
          <w:pgSz w:w="16838" w:h="11906" w:orient="landscape"/>
          <w:pgMar w:top="1560" w:right="1440" w:bottom="1274" w:left="1440" w:header="851" w:footer="992" w:gutter="0"/>
          <w:cols w:space="425" w:num="1"/>
          <w:docGrid w:type="lines" w:linePitch="326" w:charSpace="0"/>
        </w:sectPr>
      </w:pP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由上表可见，预测范围内</w:t>
      </w:r>
      <w:r>
        <w:rPr>
          <w:rFonts w:hint="eastAsia" w:eastAsia="宋体"/>
          <w:color w:val="000000" w:themeColor="text1"/>
          <w14:textFill>
            <w14:solidFill>
              <w14:schemeClr w14:val="tx1"/>
            </w14:solidFill>
          </w14:textFill>
        </w:rPr>
        <w:t>非甲烷总烃</w:t>
      </w:r>
      <w:r>
        <w:rPr>
          <w:rFonts w:eastAsia="宋体"/>
          <w:color w:val="000000" w:themeColor="text1"/>
          <w14:textFill>
            <w14:solidFill>
              <w14:schemeClr w14:val="tx1"/>
            </w14:solidFill>
          </w14:textFill>
        </w:rPr>
        <w:t>网格贡献值小时浓度最大值66.46g/m³，</w:t>
      </w:r>
      <w:r>
        <w:rPr>
          <w:rFonts w:hint="eastAsia" w:eastAsia="宋体"/>
          <w:color w:val="000000" w:themeColor="text1"/>
          <w14:textFill>
            <w14:solidFill>
              <w14:schemeClr w14:val="tx1"/>
            </w14:solidFill>
          </w14:textFill>
        </w:rPr>
        <w:t>叠加背景浓度后</w:t>
      </w:r>
      <w:r>
        <w:rPr>
          <w:rFonts w:eastAsia="宋体"/>
          <w:color w:val="000000" w:themeColor="text1"/>
          <w14:textFill>
            <w14:solidFill>
              <w14:schemeClr w14:val="tx1"/>
            </w14:solidFill>
          </w14:textFill>
        </w:rPr>
        <w:t>最大占标率</w:t>
      </w: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.36%≤100%，能够满足</w:t>
      </w:r>
      <w:r>
        <w:rPr>
          <w:rFonts w:hint="eastAsia" w:eastAsia="宋体"/>
          <w:color w:val="000000" w:themeColor="text1"/>
          <w14:textFill>
            <w14:solidFill>
              <w14:schemeClr w14:val="tx1"/>
            </w14:solidFill>
          </w14:textFill>
        </w:rPr>
        <w:t>《环</w:t>
      </w:r>
      <w:r>
        <w:rPr>
          <w:rFonts w:hint="eastAsia" w:eastAsia="宋体"/>
          <w:color w:val="000000" w:themeColor="text1"/>
          <w:kern w:val="0"/>
          <w:szCs w:val="24"/>
          <w:lang w:bidi="ar"/>
          <w14:textFill>
            <w14:solidFill>
              <w14:schemeClr w14:val="tx1"/>
            </w14:solidFill>
          </w14:textFill>
        </w:rPr>
        <w:t>境空气质量 非甲烷总烃限值》（DB 13/1577-2012）的</w:t>
      </w:r>
      <w:r>
        <w:rPr>
          <w:rFonts w:eastAsia="宋体"/>
          <w:color w:val="000000" w:themeColor="text1"/>
          <w:kern w:val="0"/>
          <w:szCs w:val="24"/>
          <w:lang w:bidi="ar"/>
          <w14:textFill>
            <w14:solidFill>
              <w14:schemeClr w14:val="tx1"/>
            </w14:solidFill>
          </w14:textFill>
        </w:rPr>
        <w:t>限值</w:t>
      </w:r>
      <w:r>
        <w:rPr>
          <w:rFonts w:hint="eastAsia" w:eastAsia="宋体"/>
          <w:color w:val="000000" w:themeColor="text1"/>
          <w:kern w:val="0"/>
          <w:szCs w:val="24"/>
          <w:lang w:bidi="ar"/>
          <w14:textFill>
            <w14:solidFill>
              <w14:schemeClr w14:val="tx1"/>
            </w14:solidFill>
          </w14:textFill>
        </w:rPr>
        <w:t>要求</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非甲烷总烃小时</w:t>
      </w:r>
      <w:r>
        <w:rPr>
          <w:rFonts w:eastAsia="宋体"/>
          <w:color w:val="000000" w:themeColor="text1"/>
          <w14:textFill>
            <w14:solidFill>
              <w14:schemeClr w14:val="tx1"/>
            </w14:solidFill>
          </w14:textFill>
        </w:rPr>
        <w:t>浓度分布图见下图4.2-8。</w:t>
      </w:r>
    </w:p>
    <w:p>
      <w:pPr>
        <w:suppressAutoHyphens/>
        <w:spacing w:line="240" w:lineRule="auto"/>
        <w:jc w:val="center"/>
        <w:rPr>
          <w:rFonts w:eastAsia="宋体"/>
          <w:color w:val="000000" w:themeColor="text1"/>
          <w:szCs w:val="24"/>
          <w14:textFill>
            <w14:solidFill>
              <w14:schemeClr w14:val="tx1"/>
            </w14:solidFill>
          </w14:textFill>
        </w:rPr>
      </w:pPr>
      <w:r>
        <w:drawing>
          <wp:inline distT="0" distB="0" distL="0" distR="0">
            <wp:extent cx="5760720" cy="3829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760720" cy="3829050"/>
                    </a:xfrm>
                    <a:prstGeom prst="rect">
                      <a:avLst/>
                    </a:prstGeom>
                  </pic:spPr>
                </pic:pic>
              </a:graphicData>
            </a:graphic>
          </wp:inline>
        </w:drawing>
      </w:r>
      <w:r>
        <w:rPr>
          <w:rFonts w:eastAsia="宋体"/>
          <w:b/>
          <w:color w:val="000000" w:themeColor="text1"/>
          <w:szCs w:val="24"/>
          <w14:textFill>
            <w14:solidFill>
              <w14:schemeClr w14:val="tx1"/>
            </w14:solidFill>
          </w14:textFill>
        </w:rPr>
        <w:t xml:space="preserve">图4.2-8  </w:t>
      </w:r>
      <w:r>
        <w:rPr>
          <w:rFonts w:hint="eastAsia" w:eastAsia="宋体"/>
          <w:b/>
          <w:color w:val="000000" w:themeColor="text1"/>
          <w:szCs w:val="24"/>
          <w14:textFill>
            <w14:solidFill>
              <w14:schemeClr w14:val="tx1"/>
            </w14:solidFill>
          </w14:textFill>
        </w:rPr>
        <w:t>非甲烷总烃小时</w:t>
      </w:r>
      <w:r>
        <w:rPr>
          <w:rFonts w:eastAsia="宋体"/>
          <w:b/>
          <w:color w:val="000000" w:themeColor="text1"/>
          <w:szCs w:val="24"/>
          <w14:textFill>
            <w14:solidFill>
              <w14:schemeClr w14:val="tx1"/>
            </w14:solidFill>
          </w14:textFill>
        </w:rPr>
        <w:t>网格浓度分布图</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⑤甲苯</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sectPr>
          <w:pgSz w:w="11906" w:h="16838"/>
          <w:pgMar w:top="1440" w:right="1274" w:bottom="1440"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甲苯</w:t>
      </w:r>
      <w:r>
        <w:rPr>
          <w:rFonts w:eastAsia="宋体"/>
          <w:color w:val="000000" w:themeColor="text1"/>
          <w:szCs w:val="24"/>
          <w14:textFill>
            <w14:solidFill>
              <w14:schemeClr w14:val="tx1"/>
            </w14:solidFill>
          </w14:textFill>
        </w:rPr>
        <w:t>小时浓度贡献值在叠加背景值及其他在建、拟建的污染源情况下的占标率见表4.2-23。</w:t>
      </w:r>
    </w:p>
    <w:p>
      <w:pPr>
        <w:suppressAutoHyphens/>
        <w:spacing w:line="240" w:lineRule="auto"/>
        <w:ind w:firstLine="482"/>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表4.2-23  </w:t>
      </w:r>
      <w:r>
        <w:rPr>
          <w:rFonts w:hint="eastAsia" w:eastAsia="宋体"/>
          <w:b/>
          <w:bCs/>
          <w:color w:val="000000" w:themeColor="text1"/>
          <w:szCs w:val="24"/>
          <w14:textFill>
            <w14:solidFill>
              <w14:schemeClr w14:val="tx1"/>
            </w14:solidFill>
          </w14:textFill>
        </w:rPr>
        <w:t>甲苯</w:t>
      </w:r>
      <w:r>
        <w:rPr>
          <w:rFonts w:eastAsia="宋体"/>
          <w:b/>
          <w:bCs/>
          <w:color w:val="000000" w:themeColor="text1"/>
          <w:szCs w:val="24"/>
          <w14:textFill>
            <w14:solidFill>
              <w14:schemeClr w14:val="tx1"/>
            </w14:solidFill>
          </w14:textFill>
        </w:rPr>
        <w:t>环境空气保护目标及网格各时段浓度叠加背景值后预测值</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200"/>
        <w:gridCol w:w="1419"/>
        <w:gridCol w:w="995"/>
        <w:gridCol w:w="1144"/>
        <w:gridCol w:w="1833"/>
        <w:gridCol w:w="1174"/>
        <w:gridCol w:w="1923"/>
        <w:gridCol w:w="1360"/>
        <w:gridCol w:w="1634"/>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20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41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9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4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83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17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背景浓度</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92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叠加背景后的浓度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36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6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叠加背景以后</w:t>
            </w:r>
            <w:r>
              <w:rPr>
                <w:rFonts w:hint="eastAsia" w:eastAsia="宋体"/>
                <w:b/>
                <w:color w:val="000000" w:themeColor="text1"/>
                <w:kern w:val="0"/>
                <w:sz w:val="21"/>
                <w:szCs w:val="21"/>
                <w14:textFill>
                  <w14:solidFill>
                    <w14:schemeClr w14:val="tx1"/>
                  </w14:solidFill>
                </w14:textFill>
              </w:rPr>
              <w:t>）</w:t>
            </w:r>
          </w:p>
        </w:tc>
        <w:tc>
          <w:tcPr>
            <w:tcW w:w="77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1.87</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1.87</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0.93</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1.09</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1.09</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0.55</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0.69</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0.69</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0.42</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0.42</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2.01</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2.01</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22091203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0.16</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537</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2.05</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22120202</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2.05</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1.02</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1.47</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22020706</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1.47</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0.73</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2450</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0.21</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0.11</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2035</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3213</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22121318</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0.27</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2579</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0.24</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95"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1.46</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22062505</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1.46</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0.73</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20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41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177,76</w:t>
            </w:r>
          </w:p>
        </w:tc>
        <w:tc>
          <w:tcPr>
            <w:tcW w:w="99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4.78</w:t>
            </w:r>
          </w:p>
        </w:tc>
        <w:tc>
          <w:tcPr>
            <w:tcW w:w="183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22092503</w:t>
            </w:r>
          </w:p>
        </w:tc>
        <w:tc>
          <w:tcPr>
            <w:tcW w:w="117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9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4.78</w:t>
            </w:r>
          </w:p>
        </w:tc>
        <w:tc>
          <w:tcPr>
            <w:tcW w:w="136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6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2.39</w:t>
            </w:r>
          </w:p>
        </w:tc>
        <w:tc>
          <w:tcPr>
            <w:tcW w:w="77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pStyle w:val="446"/>
        <w:ind w:firstLine="480"/>
        <w:rPr>
          <w:color w:val="000000" w:themeColor="text1"/>
          <w14:textFill>
            <w14:solidFill>
              <w14:schemeClr w14:val="tx1"/>
            </w14:solidFill>
          </w14:textFill>
        </w:rPr>
      </w:pPr>
    </w:p>
    <w:p>
      <w:pPr>
        <w:suppressAutoHyphens/>
        <w:ind w:firstLine="480"/>
        <w:rPr>
          <w:rFonts w:eastAsia="宋体"/>
          <w:color w:val="000000" w:themeColor="text1"/>
          <w:szCs w:val="24"/>
          <w14:textFill>
            <w14:solidFill>
              <w14:schemeClr w14:val="tx1"/>
            </w14:solidFill>
          </w14:textFill>
        </w:rPr>
        <w:sectPr>
          <w:pgSz w:w="16838" w:h="11906" w:orient="landscape"/>
          <w:pgMar w:top="1560" w:right="1440" w:bottom="1274" w:left="1440" w:header="851" w:footer="992" w:gutter="0"/>
          <w:cols w:space="425" w:num="1"/>
          <w:docGrid w:type="lines" w:linePitch="326" w:charSpace="0"/>
        </w:sectPr>
      </w:pP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由上表可见，预测范围内</w:t>
      </w:r>
      <w:r>
        <w:rPr>
          <w:rFonts w:hint="eastAsia" w:eastAsia="宋体"/>
          <w:color w:val="000000" w:themeColor="text1"/>
          <w14:textFill>
            <w14:solidFill>
              <w14:schemeClr w14:val="tx1"/>
            </w14:solidFill>
          </w14:textFill>
        </w:rPr>
        <w:t>甲苯</w:t>
      </w:r>
      <w:r>
        <w:rPr>
          <w:rFonts w:eastAsia="宋体"/>
          <w:color w:val="000000" w:themeColor="text1"/>
          <w14:textFill>
            <w14:solidFill>
              <w14:schemeClr w14:val="tx1"/>
            </w14:solidFill>
          </w14:textFill>
        </w:rPr>
        <w:t>网格贡献值小时浓度最大值4.78μg/m³，最大占标率2.39%≤100%，能够满足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甲苯小时</w:t>
      </w:r>
      <w:r>
        <w:rPr>
          <w:rFonts w:eastAsia="宋体"/>
          <w:color w:val="000000" w:themeColor="text1"/>
          <w14:textFill>
            <w14:solidFill>
              <w14:schemeClr w14:val="tx1"/>
            </w14:solidFill>
          </w14:textFill>
        </w:rPr>
        <w:t>浓度分布图见下图4.2-10。</w:t>
      </w:r>
    </w:p>
    <w:p>
      <w:pPr>
        <w:spacing w:line="240" w:lineRule="auto"/>
        <w:jc w:val="center"/>
        <w:rPr>
          <w:rFonts w:eastAsia="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39414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5760720" cy="3941445"/>
                    </a:xfrm>
                    <a:prstGeom prst="rect">
                      <a:avLst/>
                    </a:prstGeom>
                  </pic:spPr>
                </pic:pic>
              </a:graphicData>
            </a:graphic>
          </wp:inline>
        </w:drawing>
      </w:r>
      <w:r>
        <w:rPr>
          <w:rFonts w:eastAsia="宋体"/>
          <w:b/>
          <w:color w:val="000000" w:themeColor="text1"/>
          <w:szCs w:val="24"/>
          <w14:textFill>
            <w14:solidFill>
              <w14:schemeClr w14:val="tx1"/>
            </w14:solidFill>
          </w14:textFill>
        </w:rPr>
        <w:t xml:space="preserve">图4.2-10  </w:t>
      </w:r>
      <w:r>
        <w:rPr>
          <w:rFonts w:hint="eastAsia" w:eastAsia="宋体"/>
          <w:b/>
          <w:color w:val="000000" w:themeColor="text1"/>
          <w:szCs w:val="24"/>
          <w14:textFill>
            <w14:solidFill>
              <w14:schemeClr w14:val="tx1"/>
            </w14:solidFill>
          </w14:textFill>
        </w:rPr>
        <w:t>甲苯小时</w:t>
      </w:r>
      <w:r>
        <w:rPr>
          <w:rFonts w:eastAsia="宋体"/>
          <w:b/>
          <w:color w:val="000000" w:themeColor="text1"/>
          <w:szCs w:val="24"/>
          <w14:textFill>
            <w14:solidFill>
              <w14:schemeClr w14:val="tx1"/>
            </w14:solidFill>
          </w14:textFill>
        </w:rPr>
        <w:t>网格浓度分布图</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⑥二甲苯</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sectPr>
          <w:pgSz w:w="11906" w:h="16838"/>
          <w:pgMar w:top="1440" w:right="1274" w:bottom="1440" w:left="1560" w:header="851" w:footer="992" w:gutter="0"/>
          <w:cols w:space="425" w:num="1"/>
          <w:docGrid w:type="lines" w:linePitch="326" w:charSpace="0"/>
        </w:sectPr>
      </w:pPr>
      <w:r>
        <w:rPr>
          <w:rFonts w:eastAsia="宋体"/>
          <w:color w:val="000000" w:themeColor="text1"/>
          <w:szCs w:val="24"/>
          <w14:textFill>
            <w14:solidFill>
              <w14:schemeClr w14:val="tx1"/>
            </w14:solidFill>
          </w14:textFill>
        </w:rPr>
        <w:t>本项目建成后环境空气保护目标和网格点</w:t>
      </w:r>
      <w:r>
        <w:rPr>
          <w:rFonts w:hint="eastAsia" w:eastAsia="宋体"/>
          <w:color w:val="000000" w:themeColor="text1"/>
          <w:szCs w:val="24"/>
          <w14:textFill>
            <w14:solidFill>
              <w14:schemeClr w14:val="tx1"/>
            </w14:solidFill>
          </w14:textFill>
        </w:rPr>
        <w:t>二甲苯</w:t>
      </w:r>
      <w:r>
        <w:rPr>
          <w:rFonts w:eastAsia="宋体"/>
          <w:color w:val="000000" w:themeColor="text1"/>
          <w:szCs w:val="24"/>
          <w14:textFill>
            <w14:solidFill>
              <w14:schemeClr w14:val="tx1"/>
            </w14:solidFill>
          </w14:textFill>
        </w:rPr>
        <w:t>小时浓度贡献值在叠加背景值及其他在建、拟建的污染源情况下的占标率见表4.2-24。</w:t>
      </w:r>
    </w:p>
    <w:p>
      <w:pPr>
        <w:suppressAutoHyphens/>
        <w:spacing w:line="240" w:lineRule="auto"/>
        <w:ind w:firstLine="482"/>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表4.2-24  </w:t>
      </w:r>
      <w:r>
        <w:rPr>
          <w:rFonts w:hint="eastAsia" w:eastAsia="宋体"/>
          <w:b/>
          <w:bCs/>
          <w:color w:val="000000" w:themeColor="text1"/>
          <w:szCs w:val="24"/>
          <w14:textFill>
            <w14:solidFill>
              <w14:schemeClr w14:val="tx1"/>
            </w14:solidFill>
          </w14:textFill>
        </w:rPr>
        <w:t>二甲苯</w:t>
      </w:r>
      <w:r>
        <w:rPr>
          <w:rFonts w:eastAsia="宋体"/>
          <w:b/>
          <w:bCs/>
          <w:color w:val="000000" w:themeColor="text1"/>
          <w:szCs w:val="24"/>
          <w14:textFill>
            <w14:solidFill>
              <w14:schemeClr w14:val="tx1"/>
            </w14:solidFill>
          </w14:textFill>
        </w:rPr>
        <w:t>环境空气保护目标及网格各时段浓度叠加背景值后预测值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06"/>
        <w:gridCol w:w="1446"/>
        <w:gridCol w:w="961"/>
        <w:gridCol w:w="1130"/>
        <w:gridCol w:w="1741"/>
        <w:gridCol w:w="1309"/>
        <w:gridCol w:w="1875"/>
        <w:gridCol w:w="1309"/>
        <w:gridCol w:w="1701"/>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20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44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6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74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30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背景浓度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87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叠加背景后的浓度</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30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70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叠加背景以后</w:t>
            </w:r>
            <w:r>
              <w:rPr>
                <w:rFonts w:hint="eastAsia" w:eastAsia="宋体"/>
                <w:b/>
                <w:color w:val="000000" w:themeColor="text1"/>
                <w:kern w:val="0"/>
                <w:sz w:val="21"/>
                <w:szCs w:val="21"/>
                <w14:textFill>
                  <w14:solidFill>
                    <w14:schemeClr w14:val="tx1"/>
                  </w14:solidFill>
                </w14:textFill>
              </w:rPr>
              <w:t>）</w:t>
            </w:r>
          </w:p>
        </w:tc>
        <w:tc>
          <w:tcPr>
            <w:tcW w:w="78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6.59</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22020705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6.59</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8.52</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22110805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8.52</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4.26</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5.99</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22102622</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5.99</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2.99</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6.74</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22100704</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6.74</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3.37</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2.44</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22010608</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2.44</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1.22</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3.39</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22122902</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3.39</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4.81</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22120505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4.81</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2.4</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22010805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1.25</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537</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11.45</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22032107</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11.45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5.72</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6.54</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22072024</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6.54</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3.27</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2450</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4.59</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22062003</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4.59</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2.29</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2035</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6.35</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22121607</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6.35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3.18</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3213</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4.11</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22091105</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4.11</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2.06</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4.59</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22120403</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4.59</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4.62</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22080306</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4.62</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2.31</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61"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9.12</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22083123</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9.12</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4.56</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2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44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-523</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476</w:t>
            </w:r>
          </w:p>
        </w:tc>
        <w:tc>
          <w:tcPr>
            <w:tcW w:w="9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17.8</w:t>
            </w:r>
          </w:p>
        </w:tc>
        <w:tc>
          <w:tcPr>
            <w:tcW w:w="174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22040507</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p>
        </w:tc>
        <w:tc>
          <w:tcPr>
            <w:tcW w:w="187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17.8</w:t>
            </w:r>
          </w:p>
        </w:tc>
        <w:tc>
          <w:tcPr>
            <w:tcW w:w="13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8.9</w:t>
            </w:r>
          </w:p>
        </w:tc>
        <w:tc>
          <w:tcPr>
            <w:tcW w:w="78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pStyle w:val="446"/>
        <w:ind w:firstLine="420"/>
        <w:jc w:val="left"/>
        <w:rPr>
          <w:rFonts w:ascii="Times New Roman" w:hAnsi="Times New Roman"/>
          <w:color w:val="000000" w:themeColor="text1"/>
          <w14:textFill>
            <w14:solidFill>
              <w14:schemeClr w14:val="tx1"/>
            </w14:solidFill>
          </w14:textFill>
        </w:rPr>
      </w:pPr>
    </w:p>
    <w:p>
      <w:pPr>
        <w:suppressAutoHyphens/>
        <w:ind w:firstLine="480"/>
        <w:rPr>
          <w:rFonts w:eastAsia="宋体"/>
          <w:color w:val="000000" w:themeColor="text1"/>
          <w:szCs w:val="24"/>
          <w14:textFill>
            <w14:solidFill>
              <w14:schemeClr w14:val="tx1"/>
            </w14:solidFill>
          </w14:textFill>
        </w:rPr>
        <w:sectPr>
          <w:pgSz w:w="16838" w:h="11906" w:orient="landscape"/>
          <w:pgMar w:top="1560" w:right="1440" w:bottom="1274" w:left="1440" w:header="851" w:footer="992" w:gutter="0"/>
          <w:cols w:space="425" w:num="1"/>
          <w:docGrid w:type="lines" w:linePitch="326" w:charSpace="0"/>
        </w:sectPr>
      </w:pP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由上表可见，预测范围内</w:t>
      </w:r>
      <w:r>
        <w:rPr>
          <w:rFonts w:hint="eastAsia" w:eastAsia="宋体"/>
          <w:color w:val="000000" w:themeColor="text1"/>
          <w14:textFill>
            <w14:solidFill>
              <w14:schemeClr w14:val="tx1"/>
            </w14:solidFill>
          </w14:textFill>
        </w:rPr>
        <w:t>二甲苯</w:t>
      </w:r>
      <w:r>
        <w:rPr>
          <w:rFonts w:eastAsia="宋体"/>
          <w:color w:val="000000" w:themeColor="text1"/>
          <w14:textFill>
            <w14:solidFill>
              <w14:schemeClr w14:val="tx1"/>
            </w14:solidFill>
          </w14:textFill>
        </w:rPr>
        <w:t>网格贡献值小时浓度最大值</w:t>
      </w: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7.8μg/m³，最大占标率</w:t>
      </w:r>
      <w:r>
        <w:rPr>
          <w:rFonts w:hint="eastAsia" w:eastAsia="宋体"/>
          <w:color w:val="000000" w:themeColor="text1"/>
          <w14:textFill>
            <w14:solidFill>
              <w14:schemeClr w14:val="tx1"/>
            </w14:solidFill>
          </w14:textFill>
        </w:rPr>
        <w:t>8</w:t>
      </w:r>
      <w:r>
        <w:rPr>
          <w:rFonts w:eastAsia="宋体"/>
          <w:color w:val="000000" w:themeColor="text1"/>
          <w14:textFill>
            <w14:solidFill>
              <w14:schemeClr w14:val="tx1"/>
            </w14:solidFill>
          </w14:textFill>
        </w:rPr>
        <w:t>.9%≤100%，能够满足</w:t>
      </w:r>
      <w:r>
        <w:rPr>
          <w:rFonts w:eastAsia="宋体"/>
          <w:color w:val="000000" w:themeColor="text1"/>
          <w:szCs w:val="24"/>
          <w14:textFill>
            <w14:solidFill>
              <w14:schemeClr w14:val="tx1"/>
            </w14:solidFill>
          </w14:textFill>
        </w:rPr>
        <w:t>《环境影响评价技术导则 大气环境》（HJ2.2-2018）</w:t>
      </w:r>
      <w:r>
        <w:rPr>
          <w:rFonts w:hint="eastAsia" w:eastAsia="宋体"/>
          <w:color w:val="000000" w:themeColor="text1"/>
          <w:szCs w:val="24"/>
          <w14:textFill>
            <w14:solidFill>
              <w14:schemeClr w14:val="tx1"/>
            </w14:solidFill>
          </w14:textFill>
        </w:rPr>
        <w:t>附录D的</w:t>
      </w:r>
      <w:r>
        <w:rPr>
          <w:rFonts w:hint="eastAsia" w:eastAsia="宋体"/>
          <w:color w:val="000000" w:themeColor="text1"/>
          <w14:textFill>
            <w14:solidFill>
              <w14:schemeClr w14:val="tx1"/>
            </w14:solidFill>
          </w14:textFill>
        </w:rPr>
        <w:t>限值</w:t>
      </w:r>
      <w:r>
        <w:rPr>
          <w:rFonts w:eastAsia="宋体"/>
          <w:color w:val="000000" w:themeColor="text1"/>
          <w14:textFill>
            <w14:solidFill>
              <w14:schemeClr w14:val="tx1"/>
            </w14:solidFill>
          </w14:textFill>
        </w:rPr>
        <w:t>要求。</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二甲苯小时</w:t>
      </w:r>
      <w:r>
        <w:rPr>
          <w:rFonts w:eastAsia="宋体"/>
          <w:color w:val="000000" w:themeColor="text1"/>
          <w14:textFill>
            <w14:solidFill>
              <w14:schemeClr w14:val="tx1"/>
            </w14:solidFill>
          </w14:textFill>
        </w:rPr>
        <w:t>浓度分布图见下图4.2-11。</w:t>
      </w:r>
    </w:p>
    <w:p>
      <w:pPr>
        <w:spacing w:line="240" w:lineRule="auto"/>
        <w:jc w:val="center"/>
        <w:rPr>
          <w:rFonts w:eastAsia="宋体"/>
          <w:color w:val="000000" w:themeColor="text1"/>
          <w14:textFill>
            <w14:solidFill>
              <w14:schemeClr w14:val="tx1"/>
            </w14:solidFill>
          </w14:textFill>
        </w:rPr>
      </w:pPr>
      <w:r>
        <w:drawing>
          <wp:inline distT="0" distB="0" distL="0" distR="0">
            <wp:extent cx="5760720" cy="384619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5760720" cy="3846195"/>
                    </a:xfrm>
                    <a:prstGeom prst="rect">
                      <a:avLst/>
                    </a:prstGeom>
                  </pic:spPr>
                </pic:pic>
              </a:graphicData>
            </a:graphic>
          </wp:inline>
        </w:drawing>
      </w:r>
      <w:r>
        <w:rPr>
          <w:rFonts w:eastAsia="宋体"/>
          <w:b/>
          <w:color w:val="000000" w:themeColor="text1"/>
          <w:szCs w:val="24"/>
          <w14:textFill>
            <w14:solidFill>
              <w14:schemeClr w14:val="tx1"/>
            </w14:solidFill>
          </w14:textFill>
        </w:rPr>
        <w:t xml:space="preserve">图4.2-11  </w:t>
      </w:r>
      <w:r>
        <w:rPr>
          <w:rFonts w:hint="eastAsia" w:eastAsia="宋体"/>
          <w:b/>
          <w:color w:val="000000" w:themeColor="text1"/>
          <w:szCs w:val="24"/>
          <w14:textFill>
            <w14:solidFill>
              <w14:schemeClr w14:val="tx1"/>
            </w14:solidFill>
          </w14:textFill>
        </w:rPr>
        <w:t>二甲苯小时</w:t>
      </w:r>
      <w:r>
        <w:rPr>
          <w:rFonts w:eastAsia="宋体"/>
          <w:b/>
          <w:color w:val="000000" w:themeColor="text1"/>
          <w:szCs w:val="24"/>
          <w14:textFill>
            <w14:solidFill>
              <w14:schemeClr w14:val="tx1"/>
            </w14:solidFill>
          </w14:textFill>
        </w:rPr>
        <w:t>网格浓度分布图</w:t>
      </w:r>
    </w:p>
    <w:p>
      <w:pPr>
        <w:suppressAutoHyphens/>
        <w:ind w:firstLine="480"/>
        <w:rPr>
          <w:rFonts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w:t>
      </w:r>
      <w:r>
        <w:rPr>
          <w:rFonts w:ascii="宋体" w:hAnsi="宋体" w:eastAsia="宋体" w:cs="宋体"/>
          <w:b/>
          <w:color w:val="000000" w:themeColor="text1"/>
          <w:szCs w:val="24"/>
          <w14:textFill>
            <w14:solidFill>
              <w14:schemeClr w14:val="tx1"/>
            </w14:solidFill>
          </w14:textFill>
        </w:rPr>
        <w:t>3</w:t>
      </w:r>
      <w:r>
        <w:rPr>
          <w:rFonts w:hint="eastAsia" w:ascii="宋体" w:hAnsi="宋体" w:eastAsia="宋体" w:cs="宋体"/>
          <w:b/>
          <w:color w:val="000000" w:themeColor="text1"/>
          <w:szCs w:val="24"/>
          <w14:textFill>
            <w14:solidFill>
              <w14:schemeClr w14:val="tx1"/>
            </w14:solidFill>
          </w14:textFill>
        </w:rPr>
        <w:t>）本项目污染物非正常排放贡献值分析</w:t>
      </w:r>
    </w:p>
    <w:p>
      <w:pPr>
        <w:suppressAutoHyphens/>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hint="eastAsia" w:eastAsia="宋体"/>
          <w:color w:val="000000" w:themeColor="text1"/>
          <w:szCs w:val="24"/>
          <w14:textFill>
            <w14:solidFill>
              <w14:schemeClr w14:val="tx1"/>
            </w14:solidFill>
          </w14:textFill>
        </w:rPr>
        <w:t>P</w:t>
      </w:r>
      <w:r>
        <w:rPr>
          <w:rFonts w:eastAsia="宋体"/>
          <w:color w:val="000000" w:themeColor="text1"/>
          <w:szCs w:val="24"/>
          <w14:textFill>
            <w14:solidFill>
              <w14:schemeClr w14:val="tx1"/>
            </w14:solidFill>
          </w14:textFill>
        </w:rPr>
        <w:t>M</w:t>
      </w:r>
      <w:r>
        <w:rPr>
          <w:rFonts w:eastAsia="宋体"/>
          <w:color w:val="000000" w:themeColor="text1"/>
          <w:szCs w:val="24"/>
          <w:vertAlign w:val="subscript"/>
          <w14:textFill>
            <w14:solidFill>
              <w14:schemeClr w14:val="tx1"/>
            </w14:solidFill>
          </w14:textFill>
        </w:rPr>
        <w:t>10</w:t>
      </w:r>
      <w:r>
        <w:rPr>
          <w:rFonts w:hint="eastAsia" w:eastAsia="宋体"/>
          <w:color w:val="000000" w:themeColor="text1"/>
          <w:szCs w:val="24"/>
          <w14:textFill>
            <w14:solidFill>
              <w14:schemeClr w14:val="tx1"/>
            </w14:solidFill>
          </w14:textFill>
        </w:rPr>
        <w:t>贡献值</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本项目非正常工况保护目标及网格PM</w:t>
      </w:r>
      <w:r>
        <w:rPr>
          <w:rFonts w:hint="eastAsia" w:eastAsia="宋体"/>
          <w:color w:val="000000" w:themeColor="text1"/>
          <w:szCs w:val="24"/>
          <w:vertAlign w:val="subscript"/>
          <w14:textFill>
            <w14:solidFill>
              <w14:schemeClr w14:val="tx1"/>
            </w14:solidFill>
          </w14:textFill>
        </w:rPr>
        <w:t>10</w:t>
      </w:r>
      <w:r>
        <w:rPr>
          <w:rFonts w:hint="eastAsia" w:eastAsia="宋体"/>
          <w:color w:val="000000" w:themeColor="text1"/>
          <w:szCs w:val="24"/>
          <w14:textFill>
            <w14:solidFill>
              <w14:schemeClr w14:val="tx1"/>
            </w14:solidFill>
          </w14:textFill>
        </w:rPr>
        <w:t>小时浓度贡献值、浓度占标率</w:t>
      </w:r>
      <w:r>
        <w:rPr>
          <w:rFonts w:eastAsia="宋体"/>
          <w:color w:val="000000" w:themeColor="text1"/>
          <w:szCs w:val="24"/>
          <w14:textFill>
            <w14:solidFill>
              <w14:schemeClr w14:val="tx1"/>
            </w14:solidFill>
          </w14:textFill>
        </w:rPr>
        <w:t>见表4.2-25。</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表4.2-25  </w:t>
      </w:r>
      <w:r>
        <w:rPr>
          <w:rFonts w:hint="eastAsia" w:eastAsia="宋体"/>
          <w:b/>
          <w:bCs/>
          <w:color w:val="000000" w:themeColor="text1"/>
          <w:szCs w:val="24"/>
          <w14:textFill>
            <w14:solidFill>
              <w14:schemeClr w14:val="tx1"/>
            </w14:solidFill>
          </w14:textFill>
        </w:rPr>
        <w:t>非正常排放PM</w:t>
      </w:r>
      <w:r>
        <w:rPr>
          <w:rFonts w:hint="eastAsia" w:eastAsia="宋体"/>
          <w:b/>
          <w:bCs/>
          <w:color w:val="000000" w:themeColor="text1"/>
          <w:szCs w:val="24"/>
          <w:vertAlign w:val="subscript"/>
          <w14:textFill>
            <w14:solidFill>
              <w14:schemeClr w14:val="tx1"/>
            </w14:solidFill>
          </w14:textFill>
        </w:rPr>
        <w:t>10</w:t>
      </w:r>
      <w:r>
        <w:rPr>
          <w:rFonts w:hint="eastAsia" w:eastAsia="宋体"/>
          <w:b/>
          <w:bCs/>
          <w:color w:val="000000" w:themeColor="text1"/>
          <w:szCs w:val="24"/>
          <w14:textFill>
            <w14:solidFill>
              <w14:schemeClr w14:val="tx1"/>
            </w14:solidFill>
          </w14:textFill>
        </w:rPr>
        <w:t>环境保护目标及网格各时段浓度贡献值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015"/>
        <w:gridCol w:w="1209"/>
        <w:gridCol w:w="876"/>
        <w:gridCol w:w="1134"/>
        <w:gridCol w:w="1208"/>
        <w:gridCol w:w="1098"/>
        <w:gridCol w:w="1415"/>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0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p>
        </w:tc>
        <w:tc>
          <w:tcPr>
            <w:tcW w:w="8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20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09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4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96.47</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22121518</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21.44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113.93</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25.32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90.2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22083123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130.2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28.93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47.81</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22091824</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10.62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37.04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8.23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76.18</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52.34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22061621</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11.63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99.34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22060601</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113.74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22123117</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25.28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37.28</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8.28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49.26</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10.95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26.74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22050322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5.94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39.49</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22120706</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8.78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44.62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22091005</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9.91</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7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99.16</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22062405</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-123,-24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203.89</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22040507</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45.31</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②P</w:t>
      </w:r>
      <w:r>
        <w:rPr>
          <w:rFonts w:eastAsia="宋体"/>
          <w:color w:val="000000" w:themeColor="text1"/>
          <w:szCs w:val="24"/>
          <w14:textFill>
            <w14:solidFill>
              <w14:schemeClr w14:val="tx1"/>
            </w14:solidFill>
          </w14:textFill>
        </w:rPr>
        <w:t>M</w:t>
      </w:r>
      <w:r>
        <w:rPr>
          <w:rFonts w:eastAsia="宋体"/>
          <w:color w:val="000000" w:themeColor="text1"/>
          <w:szCs w:val="24"/>
          <w:vertAlign w:val="subscript"/>
          <w14:textFill>
            <w14:solidFill>
              <w14:schemeClr w14:val="tx1"/>
            </w14:solidFill>
          </w14:textFill>
        </w:rPr>
        <w:t>2.5</w:t>
      </w:r>
      <w:r>
        <w:rPr>
          <w:rFonts w:hint="eastAsia" w:eastAsia="宋体"/>
          <w:color w:val="000000" w:themeColor="text1"/>
          <w:szCs w:val="24"/>
          <w14:textFill>
            <w14:solidFill>
              <w14:schemeClr w14:val="tx1"/>
            </w14:solidFill>
          </w14:textFill>
        </w:rPr>
        <w:t>贡献值预测结果</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本项目非正常工况保护目标及网格PM</w:t>
      </w:r>
      <w:r>
        <w:rPr>
          <w:rFonts w:eastAsia="宋体"/>
          <w:color w:val="000000" w:themeColor="text1"/>
          <w:szCs w:val="24"/>
          <w:vertAlign w:val="subscript"/>
          <w14:textFill>
            <w14:solidFill>
              <w14:schemeClr w14:val="tx1"/>
            </w14:solidFill>
          </w14:textFill>
        </w:rPr>
        <w:t>2.5</w:t>
      </w:r>
      <w:r>
        <w:rPr>
          <w:rFonts w:hint="eastAsia" w:eastAsia="宋体"/>
          <w:color w:val="000000" w:themeColor="text1"/>
          <w:szCs w:val="24"/>
          <w14:textFill>
            <w14:solidFill>
              <w14:schemeClr w14:val="tx1"/>
            </w14:solidFill>
          </w14:textFill>
        </w:rPr>
        <w:t>小时浓度贡献值、浓度占标率</w:t>
      </w:r>
      <w:r>
        <w:rPr>
          <w:rFonts w:eastAsia="宋体"/>
          <w:color w:val="000000" w:themeColor="text1"/>
          <w:szCs w:val="24"/>
          <w14:textFill>
            <w14:solidFill>
              <w14:schemeClr w14:val="tx1"/>
            </w14:solidFill>
          </w14:textFill>
        </w:rPr>
        <w:t>见表4.2-26。</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表4.2-26  </w:t>
      </w:r>
      <w:r>
        <w:rPr>
          <w:rFonts w:hint="eastAsia" w:eastAsia="宋体"/>
          <w:b/>
          <w:bCs/>
          <w:color w:val="000000" w:themeColor="text1"/>
          <w:szCs w:val="24"/>
          <w14:textFill>
            <w14:solidFill>
              <w14:schemeClr w14:val="tx1"/>
            </w14:solidFill>
          </w14:textFill>
        </w:rPr>
        <w:t>非正常排放PM</w:t>
      </w:r>
      <w:r>
        <w:rPr>
          <w:rFonts w:eastAsia="宋体"/>
          <w:b/>
          <w:bCs/>
          <w:color w:val="000000" w:themeColor="text1"/>
          <w:szCs w:val="24"/>
          <w:vertAlign w:val="subscript"/>
          <w14:textFill>
            <w14:solidFill>
              <w14:schemeClr w14:val="tx1"/>
            </w14:solidFill>
          </w14:textFill>
        </w:rPr>
        <w:t>2.5</w:t>
      </w:r>
      <w:r>
        <w:rPr>
          <w:rFonts w:hint="eastAsia" w:eastAsia="宋体"/>
          <w:b/>
          <w:bCs/>
          <w:color w:val="000000" w:themeColor="text1"/>
          <w:szCs w:val="24"/>
          <w14:textFill>
            <w14:solidFill>
              <w14:schemeClr w14:val="tx1"/>
            </w14:solidFill>
          </w14:textFill>
        </w:rPr>
        <w:t>环境保护目标及网格各时段浓度贡献值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015"/>
        <w:gridCol w:w="1209"/>
        <w:gridCol w:w="876"/>
        <w:gridCol w:w="1134"/>
        <w:gridCol w:w="1208"/>
        <w:gridCol w:w="1098"/>
        <w:gridCol w:w="1415"/>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0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p>
        </w:tc>
        <w:tc>
          <w:tcPr>
            <w:tcW w:w="8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20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p>
        </w:tc>
        <w:tc>
          <w:tcPr>
            <w:tcW w:w="109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p>
        </w:tc>
        <w:tc>
          <w:tcPr>
            <w:tcW w:w="14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96.47</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22121518</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21.44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113.93</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22100724</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25.32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90.2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22083123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130.2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22111702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28.93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47.81</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22091824</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10.62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37.04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8.23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76.18</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22102622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52.34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22061621</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11.63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99.34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22060601</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113.74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22123117</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25.28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37.28</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8.28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49.26</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22063003</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10.95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26.74</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22050322</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5.94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39.49</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22120706</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8.78</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44.62</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22091005</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9.91</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7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99.16</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22062405</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-123,-24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33.59</w:t>
            </w:r>
          </w:p>
        </w:tc>
        <w:tc>
          <w:tcPr>
            <w:tcW w:w="120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22100707</w:t>
            </w:r>
          </w:p>
        </w:tc>
        <w:tc>
          <w:tcPr>
            <w:tcW w:w="109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w:t>
            </w:r>
          </w:p>
        </w:tc>
        <w:tc>
          <w:tcPr>
            <w:tcW w:w="14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7.46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③非甲烷总烃贡献值</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本项目非正常工况保护目标及网格非甲烷总烃小时浓度贡献值、浓度占标率</w:t>
      </w:r>
      <w:r>
        <w:rPr>
          <w:rFonts w:eastAsia="宋体"/>
          <w:color w:val="000000" w:themeColor="text1"/>
          <w:szCs w:val="24"/>
          <w14:textFill>
            <w14:solidFill>
              <w14:schemeClr w14:val="tx1"/>
            </w14:solidFill>
          </w14:textFill>
        </w:rPr>
        <w:t>见表4.2-27。</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表4.2-27  </w:t>
      </w:r>
      <w:r>
        <w:rPr>
          <w:rFonts w:hint="eastAsia" w:eastAsia="宋体"/>
          <w:b/>
          <w:bCs/>
          <w:color w:val="000000" w:themeColor="text1"/>
          <w:szCs w:val="24"/>
          <w14:textFill>
            <w14:solidFill>
              <w14:schemeClr w14:val="tx1"/>
            </w14:solidFill>
          </w14:textFill>
        </w:rPr>
        <w:t>非正常排放非甲烷总烃环境保护目标及网格各时段浓度贡献值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015"/>
        <w:gridCol w:w="1209"/>
        <w:gridCol w:w="876"/>
        <w:gridCol w:w="1134"/>
        <w:gridCol w:w="1701"/>
        <w:gridCol w:w="1134"/>
        <w:gridCol w:w="886"/>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0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209"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87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70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88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67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19.22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22070103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22072903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8.79</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22010222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22012502</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45.09</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4.43</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22111506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0.22</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6.75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5.1</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16.95</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22062801</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11.76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22080420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0.59</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4.66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5.77</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0.29</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4.96</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22122018</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0.25</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5.24</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876"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12.72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22031205</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0.64</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4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0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209"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77,76</w:t>
            </w:r>
          </w:p>
        </w:tc>
        <w:tc>
          <w:tcPr>
            <w:tcW w:w="87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36.62</w:t>
            </w:r>
          </w:p>
        </w:tc>
        <w:tc>
          <w:tcPr>
            <w:tcW w:w="170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22082121</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2,000</w:t>
            </w:r>
          </w:p>
        </w:tc>
        <w:tc>
          <w:tcPr>
            <w:tcW w:w="88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1.83</w:t>
            </w:r>
          </w:p>
        </w:tc>
        <w:tc>
          <w:tcPr>
            <w:tcW w:w="6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④甲苯贡献值</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本项目非正常工况保护目标及网格甲苯小时浓度贡献值、浓度占标率</w:t>
      </w:r>
      <w:r>
        <w:rPr>
          <w:rFonts w:eastAsia="宋体"/>
          <w:color w:val="000000" w:themeColor="text1"/>
          <w:szCs w:val="24"/>
          <w14:textFill>
            <w14:solidFill>
              <w14:schemeClr w14:val="tx1"/>
            </w14:solidFill>
          </w14:textFill>
        </w:rPr>
        <w:t>见表4.2-28。</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表4.2-28  </w:t>
      </w:r>
      <w:r>
        <w:rPr>
          <w:rFonts w:hint="eastAsia" w:eastAsia="宋体"/>
          <w:b/>
          <w:bCs/>
          <w:color w:val="000000" w:themeColor="text1"/>
          <w:szCs w:val="24"/>
          <w14:textFill>
            <w14:solidFill>
              <w14:schemeClr w14:val="tx1"/>
            </w14:solidFill>
          </w14:textFill>
        </w:rPr>
        <w:t>非正常排放甲苯环境保护目标及网格各时段浓度贡献值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114"/>
        <w:gridCol w:w="1315"/>
        <w:gridCol w:w="927"/>
        <w:gridCol w:w="1064"/>
        <w:gridCol w:w="1523"/>
        <w:gridCol w:w="1261"/>
        <w:gridCol w:w="666"/>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11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315"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2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06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52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26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66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730"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2.77</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22070103</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1.38</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22072903</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1.27</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22010222</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0.63</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0.92</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22012502</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0.46</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6.5</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3.25</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0.64</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22111506</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0.97</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0.49</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0.73</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0.37</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2.44</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22062801</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1.22</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1.69</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22080420</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0.85</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0.67</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0.34</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0.83</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0.42</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0.71</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22122018</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0.36</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0.75</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0.38</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0.76</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0.38</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27"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1.83</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22031205</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0.92</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11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315"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77,76</w:t>
            </w:r>
          </w:p>
        </w:tc>
        <w:tc>
          <w:tcPr>
            <w:tcW w:w="9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06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5.27</w:t>
            </w:r>
          </w:p>
        </w:tc>
        <w:tc>
          <w:tcPr>
            <w:tcW w:w="152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22082121</w:t>
            </w:r>
          </w:p>
        </w:tc>
        <w:tc>
          <w:tcPr>
            <w:tcW w:w="126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66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2.64</w:t>
            </w:r>
          </w:p>
        </w:tc>
        <w:tc>
          <w:tcPr>
            <w:tcW w:w="730"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⑤二甲苯贡献值</w:t>
      </w:r>
      <w:r>
        <w:rPr>
          <w:rFonts w:eastAsia="宋体"/>
          <w:color w:val="000000" w:themeColor="text1"/>
          <w:szCs w:val="24"/>
          <w14:textFill>
            <w14:solidFill>
              <w14:schemeClr w14:val="tx1"/>
            </w14:solidFill>
          </w14:textFill>
        </w:rPr>
        <w:t>预测结果</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本项目非正常工况保护目标及网格二甲苯小时浓度贡献值、浓度占标率</w:t>
      </w:r>
      <w:r>
        <w:rPr>
          <w:rFonts w:eastAsia="宋体"/>
          <w:color w:val="000000" w:themeColor="text1"/>
          <w:szCs w:val="24"/>
          <w14:textFill>
            <w14:solidFill>
              <w14:schemeClr w14:val="tx1"/>
            </w14:solidFill>
          </w14:textFill>
        </w:rPr>
        <w:t>见表4.2-29。</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 xml:space="preserve">表4.2-29  </w:t>
      </w:r>
      <w:r>
        <w:rPr>
          <w:rFonts w:hint="eastAsia" w:eastAsia="宋体"/>
          <w:b/>
          <w:bCs/>
          <w:color w:val="000000" w:themeColor="text1"/>
          <w:szCs w:val="24"/>
          <w14:textFill>
            <w14:solidFill>
              <w14:schemeClr w14:val="tx1"/>
            </w14:solidFill>
          </w14:textFill>
        </w:rPr>
        <w:t>非正常排放二甲苯环境保护目标及网格各时段浓度贡献值</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111"/>
        <w:gridCol w:w="1327"/>
        <w:gridCol w:w="918"/>
        <w:gridCol w:w="1134"/>
        <w:gridCol w:w="1473"/>
        <w:gridCol w:w="1204"/>
        <w:gridCol w:w="706"/>
        <w:gridCol w:w="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111"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点名称</w:t>
            </w:r>
          </w:p>
        </w:tc>
        <w:tc>
          <w:tcPr>
            <w:tcW w:w="132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点坐标</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x或r,y或a</w:t>
            </w:r>
            <w:r>
              <w:rPr>
                <w:rFonts w:hint="eastAsia" w:eastAsia="宋体"/>
                <w:b/>
                <w:color w:val="000000" w:themeColor="text1"/>
                <w:kern w:val="0"/>
                <w:sz w:val="21"/>
                <w:szCs w:val="21"/>
                <w:lang w:eastAsia="zh-CN"/>
                <w14:textFill>
                  <w14:solidFill>
                    <w14:schemeClr w14:val="tx1"/>
                  </w14:solidFill>
                </w14:textFill>
              </w:rPr>
              <w:t>）</w:t>
            </w:r>
          </w:p>
        </w:tc>
        <w:tc>
          <w:tcPr>
            <w:tcW w:w="918"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浓度类型</w:t>
            </w:r>
          </w:p>
        </w:tc>
        <w:tc>
          <w:tcPr>
            <w:tcW w:w="113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浓度增量</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1473"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出现时间</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YYMMDDHH</w:t>
            </w:r>
            <w:r>
              <w:rPr>
                <w:rFonts w:hint="eastAsia" w:eastAsia="宋体"/>
                <w:b/>
                <w:color w:val="000000" w:themeColor="text1"/>
                <w:kern w:val="0"/>
                <w:sz w:val="21"/>
                <w:szCs w:val="21"/>
                <w:lang w:eastAsia="zh-CN"/>
                <w14:textFill>
                  <w14:solidFill>
                    <w14:schemeClr w14:val="tx1"/>
                  </w14:solidFill>
                </w14:textFill>
              </w:rPr>
              <w:t>）</w:t>
            </w:r>
          </w:p>
        </w:tc>
        <w:tc>
          <w:tcPr>
            <w:tcW w:w="1204"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14:textFill>
                  <w14:solidFill>
                    <w14:schemeClr w14:val="tx1"/>
                  </w14:solidFill>
                </w14:textFill>
              </w:rPr>
              <w:t>（</w:t>
            </w:r>
            <w:r>
              <w:rPr>
                <w:rFonts w:eastAsia="宋体"/>
                <w:b/>
                <w:color w:val="000000" w:themeColor="text1"/>
                <w:kern w:val="0"/>
                <w:sz w:val="21"/>
                <w:szCs w:val="21"/>
                <w14:textFill>
                  <w14:solidFill>
                    <w14:schemeClr w14:val="tx1"/>
                  </w14:solidFill>
                </w14:textFill>
              </w:rPr>
              <w:t>μg/m^3</w:t>
            </w:r>
            <w:r>
              <w:rPr>
                <w:rFonts w:hint="eastAsia" w:eastAsia="宋体"/>
                <w:b/>
                <w:color w:val="000000" w:themeColor="text1"/>
                <w:kern w:val="0"/>
                <w:sz w:val="21"/>
                <w:szCs w:val="21"/>
                <w:lang w:eastAsia="zh-CN"/>
                <w14:textFill>
                  <w14:solidFill>
                    <w14:schemeClr w14:val="tx1"/>
                  </w14:solidFill>
                </w14:textFill>
              </w:rPr>
              <w:t>）</w:t>
            </w:r>
          </w:p>
        </w:tc>
        <w:tc>
          <w:tcPr>
            <w:tcW w:w="706"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占标率%</w:t>
            </w:r>
          </w:p>
        </w:tc>
        <w:tc>
          <w:tcPr>
            <w:tcW w:w="727" w:type="dxa"/>
            <w:shd w:val="clear" w:color="auto" w:fill="auto"/>
            <w:noWrap/>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东胜村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414,-55</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1.08</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22070103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0.54</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大足国家粮库</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-720,-84</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22072903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0.35</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邮亭镇</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-728,-705</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0.49</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22010222</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0.25</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4</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邮亭中学</w:t>
            </w:r>
            <w:r>
              <w:rPr>
                <w:rFonts w:hint="eastAsia" w:eastAsia="宋体"/>
                <w:color w:val="000000" w:themeColor="text1"/>
                <w:kern w:val="0"/>
                <w:sz w:val="21"/>
                <w:szCs w:val="21"/>
                <w14:textFill>
                  <w14:solidFill>
                    <w14:schemeClr w14:val="tx1"/>
                  </w14:solidFill>
                </w14:textFill>
              </w:rPr>
              <w:t>新校区</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-1222,-903</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0.36</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22012502</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0.18</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大足区春晖学校</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839,-637</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2.54</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22121907</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1.27</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八百春村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-2270</w:t>
            </w: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334</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0.25</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22111506</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0.12</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大足南站</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-501,-1335</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0.38</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22060106</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0.19</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8</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石股岭</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-1087,-2163</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0.29</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22062201</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驿新苑小区</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160,537</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0.95</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22062801</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0.48</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东风村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736,-146</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0.66</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22080420</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0.33</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11</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曹家院子</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554,2450</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0.26</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0.13</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12</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红林村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395,2035</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0.32</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22062323</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13</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天福村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204,3213</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0.28</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22122018</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0.14</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陈家新院子</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2394,2873</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0.29</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22030624</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0.15</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15</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碧绿村</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1468,2579</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22122020</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0.15</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6</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邮亭中学</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659</w:t>
            </w:r>
            <w:r>
              <w:rPr>
                <w:rFonts w:hint="eastAsia" w:eastAsia="宋体"/>
                <w:color w:val="000000" w:themeColor="text1"/>
                <w:kern w:val="0"/>
                <w:sz w:val="21"/>
                <w:szCs w:val="21"/>
                <w14:textFill>
                  <w14:solidFill>
                    <w14:schemeClr w14:val="tx1"/>
                  </w14:solidFill>
                </w14:textFill>
              </w:rPr>
              <w:t>,27</w:t>
            </w:r>
            <w:r>
              <w:rPr>
                <w:rFonts w:eastAsia="宋体"/>
                <w:color w:val="000000" w:themeColor="text1"/>
                <w:kern w:val="0"/>
                <w:sz w:val="21"/>
                <w:szCs w:val="21"/>
                <w14:textFill>
                  <w14:solidFill>
                    <w14:schemeClr w14:val="tx1"/>
                  </w14:solidFill>
                </w14:textFill>
              </w:rPr>
              <w:t>2</w:t>
            </w:r>
          </w:p>
        </w:tc>
        <w:tc>
          <w:tcPr>
            <w:tcW w:w="918" w:type="dxa"/>
            <w:shd w:val="clear" w:color="auto" w:fill="auto"/>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0.72</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22031205</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0.36</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2"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17</w:t>
            </w:r>
          </w:p>
        </w:tc>
        <w:tc>
          <w:tcPr>
            <w:tcW w:w="1111"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网格</w:t>
            </w:r>
          </w:p>
        </w:tc>
        <w:tc>
          <w:tcPr>
            <w:tcW w:w="13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77,76</w:t>
            </w:r>
          </w:p>
        </w:tc>
        <w:tc>
          <w:tcPr>
            <w:tcW w:w="918"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1小时</w:t>
            </w:r>
          </w:p>
        </w:tc>
        <w:tc>
          <w:tcPr>
            <w:tcW w:w="113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2.06</w:t>
            </w:r>
          </w:p>
        </w:tc>
        <w:tc>
          <w:tcPr>
            <w:tcW w:w="1473"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22082121</w:t>
            </w:r>
          </w:p>
        </w:tc>
        <w:tc>
          <w:tcPr>
            <w:tcW w:w="1204"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200</w:t>
            </w:r>
          </w:p>
        </w:tc>
        <w:tc>
          <w:tcPr>
            <w:tcW w:w="706"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1.03</w:t>
            </w:r>
          </w:p>
        </w:tc>
        <w:tc>
          <w:tcPr>
            <w:tcW w:w="727" w:type="dxa"/>
            <w:shd w:val="clear" w:color="auto" w:fill="auto"/>
            <w:noWrap/>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达标</w:t>
            </w:r>
          </w:p>
        </w:tc>
      </w:tr>
    </w:tbl>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.2.5</w:t>
      </w:r>
      <w:r>
        <w:rPr>
          <w:rFonts w:hint="eastAsia" w:eastAsia="宋体"/>
          <w:b/>
          <w:bCs/>
          <w:color w:val="000000" w:themeColor="text1"/>
          <w:szCs w:val="32"/>
          <w14:textFill>
            <w14:solidFill>
              <w14:schemeClr w14:val="tx1"/>
            </w14:solidFill>
          </w14:textFill>
        </w:rPr>
        <w:t>预测结论</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（1）结论</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正常工况下，各污染物预测范围内环境保护目标和网格点小时浓度、日均浓度、年均浓度贡献值均未超标，均能够满足《环境影响评价技术导则 大气环境》（HJ</w:t>
      </w:r>
      <w:r>
        <w:rPr>
          <w:rFonts w:eastAsia="宋体"/>
          <w:color w:val="000000" w:themeColor="text1"/>
          <w14:textFill>
            <w14:solidFill>
              <w14:schemeClr w14:val="tx1"/>
            </w14:solidFill>
          </w14:textFill>
        </w:rPr>
        <w:t xml:space="preserve"> </w:t>
      </w:r>
      <w:r>
        <w:rPr>
          <w:rFonts w:hint="eastAsia" w:eastAsia="宋体"/>
          <w:color w:val="000000" w:themeColor="text1"/>
          <w14:textFill>
            <w14:solidFill>
              <w14:schemeClr w14:val="tx1"/>
            </w14:solidFill>
          </w14:textFill>
        </w:rPr>
        <w:t>2.2-2018）中附录D、河北省地方标准《环境空气质量 非甲烷总烃限值》（DB</w:t>
      </w:r>
      <w:r>
        <w:rPr>
          <w:rFonts w:eastAsia="宋体"/>
          <w:color w:val="000000" w:themeColor="text1"/>
          <w14:textFill>
            <w14:solidFill>
              <w14:schemeClr w14:val="tx1"/>
            </w14:solidFill>
          </w14:textFill>
        </w:rPr>
        <w:t xml:space="preserve"> </w:t>
      </w:r>
      <w:r>
        <w:rPr>
          <w:rFonts w:hint="eastAsia" w:eastAsia="宋体"/>
          <w:color w:val="000000" w:themeColor="text1"/>
          <w14:textFill>
            <w14:solidFill>
              <w14:schemeClr w14:val="tx1"/>
            </w14:solidFill>
          </w14:textFill>
        </w:rPr>
        <w:t>13/1577-2012）及《环境空气质量标准》（GB 3095-2012）标准限值要求。叠加背景浓度后，各污染物预测范围内环境保护目标和网格点小时浓度、日均浓度及年均浓度贡献值也均满足评价标准要求。</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非正常工况下，虽然PM</w:t>
      </w:r>
      <w:r>
        <w:rPr>
          <w:rFonts w:hint="eastAsia" w:eastAsia="宋体"/>
          <w:color w:val="000000" w:themeColor="text1"/>
          <w:vertAlign w:val="subscript"/>
          <w14:textFill>
            <w14:solidFill>
              <w14:schemeClr w14:val="tx1"/>
            </w14:solidFill>
          </w14:textFill>
        </w:rPr>
        <w:t>10</w:t>
      </w:r>
      <w:r>
        <w:rPr>
          <w:rFonts w:hint="eastAsia" w:eastAsia="宋体"/>
          <w:color w:val="000000" w:themeColor="text1"/>
          <w14:textFill>
            <w14:solidFill>
              <w14:schemeClr w14:val="tx1"/>
            </w14:solidFill>
          </w14:textFill>
        </w:rPr>
        <w:t>小时浓度贡献值满足《环境空气质量标准》（GB 3095-2012）准限值要求，非甲烷总烃小时浓度贡献值满足河北省地方标准《环境空气质量 非甲烷总烃限值》（DB13/1577-2012）限值要求，甲苯、二甲苯小时浓度贡献值满足《环境影响评价技术导则 大气环境》（HJ</w:t>
      </w:r>
      <w:r>
        <w:rPr>
          <w:rFonts w:eastAsia="宋体"/>
          <w:color w:val="000000" w:themeColor="text1"/>
          <w14:textFill>
            <w14:solidFill>
              <w14:schemeClr w14:val="tx1"/>
            </w14:solidFill>
          </w14:textFill>
        </w:rPr>
        <w:t xml:space="preserve"> </w:t>
      </w:r>
      <w:r>
        <w:rPr>
          <w:rFonts w:hint="eastAsia" w:eastAsia="宋体"/>
          <w:color w:val="000000" w:themeColor="text1"/>
          <w14:textFill>
            <w14:solidFill>
              <w14:schemeClr w14:val="tx1"/>
            </w14:solidFill>
          </w14:textFill>
        </w:rPr>
        <w:t>2.2-2018）中附录D限值要求。但污染物排放量较大，对环境影响较大。因此，企业应确保废气治理设施的正常运行，尽量杜绝非正常排放。</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w:t>
      </w:r>
      <w:r>
        <w:rPr>
          <w:rFonts w:hint="eastAsia" w:eastAsia="宋体"/>
          <w:b/>
          <w:bCs/>
          <w:color w:val="000000" w:themeColor="text1"/>
          <w:szCs w:val="24"/>
          <w14:textFill>
            <w14:solidFill>
              <w14:schemeClr w14:val="tx1"/>
            </w14:solidFill>
          </w14:textFill>
        </w:rPr>
        <w:t>大气环境防护距离</w:t>
      </w:r>
    </w:p>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大气环境防护距离计算采用《环境影响评价技术导则-大气环境》（HJ2.2-2018）中推荐的模式和计算软件。大气环境防护距离计算采用项目</w:t>
      </w:r>
      <w:r>
        <w:rPr>
          <w:rFonts w:hint="eastAsia" w:eastAsia="宋体"/>
          <w:color w:val="000000" w:themeColor="text1"/>
          <w:szCs w:val="24"/>
          <w14:textFill>
            <w14:solidFill>
              <w14:schemeClr w14:val="tx1"/>
            </w14:solidFill>
          </w14:textFill>
        </w:rPr>
        <w:t>新增+以新带老（本项目无）-</w:t>
      </w:r>
      <w:r>
        <w:rPr>
          <w:rFonts w:eastAsia="宋体"/>
          <w:color w:val="000000" w:themeColor="text1"/>
          <w:szCs w:val="24"/>
          <w14:textFill>
            <w14:solidFill>
              <w14:schemeClr w14:val="tx1"/>
            </w14:solidFill>
          </w14:textFill>
        </w:rPr>
        <w:t>现有</w:t>
      </w:r>
      <w:r>
        <w:rPr>
          <w:rFonts w:hint="eastAsia" w:eastAsia="宋体"/>
          <w:color w:val="000000" w:themeColor="text1"/>
          <w:szCs w:val="24"/>
          <w14:textFill>
            <w14:solidFill>
              <w14:schemeClr w14:val="tx1"/>
            </w14:solidFill>
          </w14:textFill>
        </w:rPr>
        <w:t>全厂</w:t>
      </w:r>
      <w:r>
        <w:rPr>
          <w:rFonts w:eastAsia="宋体"/>
          <w:color w:val="000000" w:themeColor="text1"/>
          <w:szCs w:val="24"/>
          <w14:textFill>
            <w14:solidFill>
              <w14:schemeClr w14:val="tx1"/>
            </w14:solidFill>
          </w14:textFill>
        </w:rPr>
        <w:t>废气污染物（</w:t>
      </w:r>
      <w:r>
        <w:rPr>
          <w:rFonts w:hint="eastAsia" w:eastAsia="宋体"/>
          <w:color w:val="000000" w:themeColor="text1"/>
          <w:szCs w:val="24"/>
          <w14:textFill>
            <w14:solidFill>
              <w14:schemeClr w14:val="tx1"/>
            </w14:solidFill>
          </w14:textFill>
        </w:rPr>
        <w:t>本项目无</w:t>
      </w:r>
      <w:r>
        <w:rPr>
          <w:rFonts w:eastAsia="宋体"/>
          <w:color w:val="000000" w:themeColor="text1"/>
          <w:szCs w:val="24"/>
          <w14:textFill>
            <w14:solidFill>
              <w14:schemeClr w14:val="tx1"/>
            </w14:solidFill>
          </w14:textFill>
        </w:rPr>
        <w:t>）排放源强作为环境防护距离计算的源强。环境防护距离计算情况见表4.2</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30。</w:t>
      </w:r>
    </w:p>
    <w:p>
      <w:pPr>
        <w:pStyle w:val="4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30</w:t>
      </w:r>
      <w:r>
        <w:rPr>
          <w:rFonts w:hint="eastAsia" w:ascii="Times New Roman" w:hAnsi="Times New Roman"/>
          <w:b/>
          <w:color w:val="000000" w:themeColor="text1"/>
          <w14:textFill>
            <w14:solidFill>
              <w14:schemeClr w14:val="tx1"/>
            </w14:solidFill>
          </w14:textFill>
        </w:rPr>
        <w:t xml:space="preserve"> </w:t>
      </w:r>
      <w:r>
        <w:rPr>
          <w:rFonts w:ascii="Times New Roman" w:hAnsi="Times New Roman"/>
          <w:b/>
          <w:color w:val="000000" w:themeColor="text1"/>
          <w14:textFill>
            <w14:solidFill>
              <w14:schemeClr w14:val="tx1"/>
            </w14:solidFill>
          </w14:textFill>
        </w:rPr>
        <w:t xml:space="preserve"> 环境防护距离计算一览表</w:t>
      </w:r>
    </w:p>
    <w:tbl>
      <w:tblPr>
        <w:tblStyle w:val="89"/>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533"/>
        <w:gridCol w:w="1794"/>
        <w:gridCol w:w="1701"/>
        <w:gridCol w:w="1434"/>
        <w:gridCol w:w="20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序号</w:t>
            </w:r>
          </w:p>
        </w:tc>
        <w:tc>
          <w:tcPr>
            <w:tcW w:w="1533"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污染物</w:t>
            </w:r>
          </w:p>
        </w:tc>
        <w:tc>
          <w:tcPr>
            <w:tcW w:w="1794"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网格点最大浓度</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w:t>
            </w:r>
            <w:r>
              <w:rPr>
                <w:rFonts w:eastAsia="宋体"/>
                <w:b/>
                <w:color w:val="000000" w:themeColor="text1"/>
                <w:kern w:val="0"/>
                <w:sz w:val="21"/>
                <w:szCs w:val="21"/>
                <w:vertAlign w:val="superscript"/>
                <w14:textFill>
                  <w14:solidFill>
                    <w14:schemeClr w14:val="tx1"/>
                  </w14:solidFill>
                </w14:textFill>
              </w:rPr>
              <w:t>3</w:t>
            </w:r>
            <w:r>
              <w:rPr>
                <w:rFonts w:eastAsia="宋体"/>
                <w:b/>
                <w:color w:val="000000" w:themeColor="text1"/>
                <w:kern w:val="0"/>
                <w:sz w:val="21"/>
                <w:szCs w:val="21"/>
                <w14:textFill>
                  <w14:solidFill>
                    <w14:schemeClr w14:val="tx1"/>
                  </w14:solidFill>
                </w14:textFill>
              </w:rPr>
              <w:t>)</w:t>
            </w:r>
          </w:p>
        </w:tc>
        <w:tc>
          <w:tcPr>
            <w:tcW w:w="1701"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评价标准</w:t>
            </w:r>
            <w:r>
              <w:rPr>
                <w:rFonts w:hint="eastAsia" w:eastAsia="宋体"/>
                <w:b/>
                <w:color w:val="000000" w:themeColor="text1"/>
                <w:kern w:val="0"/>
                <w:sz w:val="21"/>
                <w:szCs w:val="21"/>
                <w:lang w:eastAsia="zh-CN"/>
                <w14:textFill>
                  <w14:solidFill>
                    <w14:schemeClr w14:val="tx1"/>
                  </w14:solidFill>
                </w14:textFill>
              </w:rPr>
              <w:t>（</w:t>
            </w:r>
            <w:r>
              <w:rPr>
                <w:rFonts w:eastAsia="宋体"/>
                <w:b/>
                <w:color w:val="000000" w:themeColor="text1"/>
                <w:kern w:val="0"/>
                <w:sz w:val="21"/>
                <w:szCs w:val="21"/>
                <w14:textFill>
                  <w14:solidFill>
                    <w14:schemeClr w14:val="tx1"/>
                  </w14:solidFill>
                </w14:textFill>
              </w:rPr>
              <w:t>μg/m</w:t>
            </w:r>
            <w:r>
              <w:rPr>
                <w:rFonts w:eastAsia="宋体"/>
                <w:b/>
                <w:color w:val="000000" w:themeColor="text1"/>
                <w:kern w:val="0"/>
                <w:sz w:val="21"/>
                <w:szCs w:val="21"/>
                <w:vertAlign w:val="superscript"/>
                <w14:textFill>
                  <w14:solidFill>
                    <w14:schemeClr w14:val="tx1"/>
                  </w14:solidFill>
                </w14:textFill>
              </w:rPr>
              <w:t>3</w:t>
            </w:r>
            <w:r>
              <w:rPr>
                <w:rFonts w:eastAsia="宋体"/>
                <w:b/>
                <w:color w:val="000000" w:themeColor="text1"/>
                <w:kern w:val="0"/>
                <w:sz w:val="21"/>
                <w:szCs w:val="21"/>
                <w14:textFill>
                  <w14:solidFill>
                    <w14:schemeClr w14:val="tx1"/>
                  </w14:solidFill>
                </w14:textFill>
              </w:rPr>
              <w:t>)</w:t>
            </w:r>
          </w:p>
        </w:tc>
        <w:tc>
          <w:tcPr>
            <w:tcW w:w="1434"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对应占标率%</w:t>
            </w:r>
          </w:p>
        </w:tc>
        <w:tc>
          <w:tcPr>
            <w:tcW w:w="2089" w:type="dxa"/>
            <w:vAlign w:val="center"/>
          </w:tcPr>
          <w:p>
            <w:pPr>
              <w:spacing w:line="240" w:lineRule="auto"/>
              <w:jc w:val="center"/>
              <w:rPr>
                <w:rFonts w:eastAsia="宋体"/>
                <w:b/>
                <w:color w:val="000000" w:themeColor="text1"/>
                <w:kern w:val="0"/>
                <w:sz w:val="21"/>
                <w:szCs w:val="21"/>
                <w14:textFill>
                  <w14:solidFill>
                    <w14:schemeClr w14:val="tx1"/>
                  </w14:solidFill>
                </w14:textFill>
              </w:rPr>
            </w:pPr>
            <w:r>
              <w:rPr>
                <w:rFonts w:eastAsia="宋体"/>
                <w:b/>
                <w:color w:val="000000" w:themeColor="text1"/>
                <w:kern w:val="0"/>
                <w:sz w:val="21"/>
                <w:szCs w:val="21"/>
                <w14:textFill>
                  <w14:solidFill>
                    <w14:schemeClr w14:val="tx1"/>
                  </w14:solidFill>
                </w14:textFill>
              </w:rPr>
              <w:t>环境防护距离计算结果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533" w:type="dxa"/>
            <w:vAlign w:val="center"/>
          </w:tcPr>
          <w:p>
            <w:pPr>
              <w:spacing w:line="240" w:lineRule="auto"/>
              <w:jc w:val="center"/>
              <w:rPr>
                <w:rFonts w:eastAsia="宋体"/>
                <w:color w:val="000000" w:themeColor="text1"/>
                <w:kern w:val="2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10</w:t>
            </w:r>
          </w:p>
        </w:tc>
        <w:tc>
          <w:tcPr>
            <w:tcW w:w="17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52.54</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450</w:t>
            </w:r>
          </w:p>
        </w:tc>
        <w:tc>
          <w:tcPr>
            <w:tcW w:w="143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3.9</w:t>
            </w:r>
          </w:p>
        </w:tc>
        <w:tc>
          <w:tcPr>
            <w:tcW w:w="208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无超标点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p>
        </w:tc>
        <w:tc>
          <w:tcPr>
            <w:tcW w:w="153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2.5</w:t>
            </w:r>
          </w:p>
        </w:tc>
        <w:tc>
          <w:tcPr>
            <w:tcW w:w="17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0.09</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25</w:t>
            </w:r>
          </w:p>
        </w:tc>
        <w:tc>
          <w:tcPr>
            <w:tcW w:w="143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1.15</w:t>
            </w:r>
          </w:p>
        </w:tc>
        <w:tc>
          <w:tcPr>
            <w:tcW w:w="208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无超标点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p>
        </w:tc>
        <w:tc>
          <w:tcPr>
            <w:tcW w:w="153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甲苯</w:t>
            </w:r>
          </w:p>
        </w:tc>
        <w:tc>
          <w:tcPr>
            <w:tcW w:w="17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.78</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00</w:t>
            </w:r>
          </w:p>
        </w:tc>
        <w:tc>
          <w:tcPr>
            <w:tcW w:w="143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.39</w:t>
            </w:r>
          </w:p>
        </w:tc>
        <w:tc>
          <w:tcPr>
            <w:tcW w:w="208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无超标点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53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17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.78</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w:t>
            </w:r>
          </w:p>
        </w:tc>
        <w:tc>
          <w:tcPr>
            <w:tcW w:w="143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.89</w:t>
            </w:r>
          </w:p>
        </w:tc>
        <w:tc>
          <w:tcPr>
            <w:tcW w:w="208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无超标点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735"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153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非甲烷总烃</w:t>
            </w:r>
          </w:p>
        </w:tc>
        <w:tc>
          <w:tcPr>
            <w:tcW w:w="17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6.67</w:t>
            </w:r>
          </w:p>
        </w:tc>
        <w:tc>
          <w:tcPr>
            <w:tcW w:w="1701"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2000</w:t>
            </w:r>
          </w:p>
        </w:tc>
        <w:tc>
          <w:tcPr>
            <w:tcW w:w="143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.83</w:t>
            </w:r>
          </w:p>
        </w:tc>
        <w:tc>
          <w:tcPr>
            <w:tcW w:w="208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无超标点</w:t>
            </w:r>
          </w:p>
        </w:tc>
      </w:tr>
    </w:tbl>
    <w:p>
      <w:pPr>
        <w:suppressAutoHyphens/>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从计算结果可见，正常工况下，</w:t>
      </w:r>
      <w:r>
        <w:rPr>
          <w:rFonts w:hint="eastAsia" w:eastAsia="宋体"/>
          <w:color w:val="000000" w:themeColor="text1"/>
          <w:szCs w:val="24"/>
          <w14:textFill>
            <w14:solidFill>
              <w14:schemeClr w14:val="tx1"/>
            </w14:solidFill>
          </w14:textFill>
        </w:rPr>
        <w:t>各污染物</w:t>
      </w:r>
      <w:r>
        <w:rPr>
          <w:rFonts w:eastAsia="宋体"/>
          <w:color w:val="000000" w:themeColor="text1"/>
          <w:szCs w:val="24"/>
          <w14:textFill>
            <w14:solidFill>
              <w14:schemeClr w14:val="tx1"/>
            </w14:solidFill>
          </w14:textFill>
        </w:rPr>
        <w:t>短期浓度贡献值</w:t>
      </w:r>
      <w:r>
        <w:rPr>
          <w:rFonts w:hint="eastAsia" w:eastAsia="宋体"/>
          <w:color w:val="000000" w:themeColor="text1"/>
          <w:szCs w:val="24"/>
          <w14:textFill>
            <w14:solidFill>
              <w14:schemeClr w14:val="tx1"/>
            </w14:solidFill>
          </w14:textFill>
        </w:rPr>
        <w:t>均小于</w:t>
      </w:r>
      <w:r>
        <w:rPr>
          <w:rFonts w:eastAsia="宋体"/>
          <w:color w:val="000000" w:themeColor="text1"/>
          <w:szCs w:val="24"/>
          <w14:textFill>
            <w14:solidFill>
              <w14:schemeClr w14:val="tx1"/>
            </w14:solidFill>
          </w14:textFill>
        </w:rPr>
        <w:t>相应的环境质量标准，</w:t>
      </w:r>
      <w:r>
        <w:rPr>
          <w:rFonts w:hint="eastAsia" w:eastAsia="宋体"/>
          <w:color w:val="000000" w:themeColor="text1"/>
          <w:szCs w:val="24"/>
          <w14:textFill>
            <w14:solidFill>
              <w14:schemeClr w14:val="tx1"/>
            </w14:solidFill>
          </w14:textFill>
        </w:rPr>
        <w:t>无</w:t>
      </w:r>
      <w:r>
        <w:rPr>
          <w:rFonts w:eastAsia="宋体"/>
          <w:color w:val="000000" w:themeColor="text1"/>
          <w:szCs w:val="24"/>
          <w14:textFill>
            <w14:solidFill>
              <w14:schemeClr w14:val="tx1"/>
            </w14:solidFill>
          </w14:textFill>
        </w:rPr>
        <w:t>需设置大气环境防护距离。</w:t>
      </w:r>
    </w:p>
    <w:p>
      <w:pPr>
        <w:suppressAutoHyphens/>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（3）废气污染物排放量核算</w:t>
      </w:r>
    </w:p>
    <w:p>
      <w:pPr>
        <w:suppressAutoHyphens/>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w:t>
      </w:r>
      <w:r>
        <w:rPr>
          <w:rFonts w:eastAsia="宋体"/>
          <w:color w:val="000000" w:themeColor="text1"/>
          <w:szCs w:val="24"/>
          <w14:textFill>
            <w14:solidFill>
              <w14:schemeClr w14:val="tx1"/>
            </w14:solidFill>
          </w14:textFill>
        </w:rPr>
        <w:t>大气污染物排放量核算结果见表4.2-31~4.2-33。</w:t>
      </w:r>
    </w:p>
    <w:p>
      <w:pPr>
        <w:pStyle w:val="4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表4.2-31  有组织排放量核算表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138"/>
        <w:gridCol w:w="1944"/>
        <w:gridCol w:w="1742"/>
        <w:gridCol w:w="1887"/>
        <w:gridCol w:w="1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18"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613"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排放口编号</w:t>
            </w:r>
          </w:p>
        </w:tc>
        <w:tc>
          <w:tcPr>
            <w:tcW w:w="1047"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w:t>
            </w:r>
          </w:p>
        </w:tc>
        <w:tc>
          <w:tcPr>
            <w:tcW w:w="938"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核算排放浓度（mg/m³）</w:t>
            </w:r>
          </w:p>
        </w:tc>
        <w:tc>
          <w:tcPr>
            <w:tcW w:w="1016"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核算排放速率（kg/h）</w:t>
            </w:r>
          </w:p>
        </w:tc>
        <w:tc>
          <w:tcPr>
            <w:tcW w:w="1068" w:type="pct"/>
            <w:vAlign w:val="center"/>
          </w:tcPr>
          <w:p>
            <w:pPr>
              <w:pStyle w:val="294"/>
              <w:ind w:firstLine="0"/>
              <w:outlineLvl w:val="9"/>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8"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613"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DA001</w:t>
            </w:r>
          </w:p>
        </w:tc>
        <w:tc>
          <w:tcPr>
            <w:tcW w:w="1047" w:type="pc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938"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.77</w:t>
            </w:r>
          </w:p>
        </w:tc>
        <w:tc>
          <w:tcPr>
            <w:tcW w:w="1016"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.271</w:t>
            </w:r>
          </w:p>
        </w:tc>
        <w:tc>
          <w:tcPr>
            <w:tcW w:w="1068"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8" w:type="pct"/>
            <w:vAlign w:val="center"/>
          </w:tcPr>
          <w:p>
            <w:pPr>
              <w:pStyle w:val="294"/>
              <w:ind w:firstLine="0"/>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613" w:type="pct"/>
            <w:vAlign w:val="center"/>
          </w:tcPr>
          <w:p>
            <w:pPr>
              <w:pStyle w:val="294"/>
              <w:ind w:firstLine="0"/>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w:t>
            </w:r>
            <w:r>
              <w:rPr>
                <w:color w:val="000000" w:themeColor="text1"/>
                <w:sz w:val="21"/>
                <w:szCs w:val="21"/>
                <w14:textFill>
                  <w14:solidFill>
                    <w14:schemeClr w14:val="tx1"/>
                  </w14:solidFill>
                </w14:textFill>
              </w:rPr>
              <w:t>A002</w:t>
            </w:r>
          </w:p>
        </w:tc>
        <w:tc>
          <w:tcPr>
            <w:tcW w:w="1047" w:type="pct"/>
            <w:vAlign w:val="center"/>
          </w:tcPr>
          <w:p>
            <w:pPr>
              <w:pStyle w:val="294"/>
              <w:ind w:firstLine="0"/>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938"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.59</w:t>
            </w:r>
          </w:p>
        </w:tc>
        <w:tc>
          <w:tcPr>
            <w:tcW w:w="1016"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.662</w:t>
            </w:r>
          </w:p>
        </w:tc>
        <w:tc>
          <w:tcPr>
            <w:tcW w:w="1068" w:type="pct"/>
            <w:vAlign w:val="center"/>
          </w:tcPr>
          <w:p>
            <w:pPr>
              <w:pStyle w:val="448"/>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8" w:type="pct"/>
            <w:vMerge w:val="restart"/>
            <w:noWrap/>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13" w:type="pct"/>
            <w:vMerge w:val="restart"/>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DA003</w:t>
            </w:r>
          </w:p>
        </w:tc>
        <w:tc>
          <w:tcPr>
            <w:tcW w:w="1047"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938"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.09</w:t>
            </w:r>
          </w:p>
        </w:tc>
        <w:tc>
          <w:tcPr>
            <w:tcW w:w="1016"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.287</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8"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613"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1047"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938"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.59</w:t>
            </w:r>
          </w:p>
        </w:tc>
        <w:tc>
          <w:tcPr>
            <w:tcW w:w="1016"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.111</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8"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613"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1047"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938"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4.64</w:t>
            </w:r>
          </w:p>
        </w:tc>
        <w:tc>
          <w:tcPr>
            <w:tcW w:w="1016"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.725</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8"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613" w:type="pct"/>
            <w:vMerge w:val="continue"/>
            <w:vAlign w:val="center"/>
          </w:tcPr>
          <w:p>
            <w:pPr>
              <w:pStyle w:val="294"/>
              <w:ind w:firstLine="0"/>
              <w:outlineLvl w:val="9"/>
              <w:rPr>
                <w:color w:val="000000" w:themeColor="text1"/>
                <w:sz w:val="21"/>
                <w:szCs w:val="21"/>
                <w14:textFill>
                  <w14:solidFill>
                    <w14:schemeClr w14:val="tx1"/>
                  </w14:solidFill>
                </w14:textFill>
              </w:rPr>
            </w:pPr>
          </w:p>
        </w:tc>
        <w:tc>
          <w:tcPr>
            <w:tcW w:w="1047" w:type="pct"/>
            <w:noWrap/>
            <w:vAlign w:val="center"/>
          </w:tcPr>
          <w:p>
            <w:pPr>
              <w:pStyle w:val="294"/>
              <w:ind w:firstLine="0"/>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938"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r>
              <w:rPr>
                <w:rFonts w:eastAsia="宋体"/>
                <w:color w:val="000000" w:themeColor="text1"/>
                <w:sz w:val="21"/>
                <w:szCs w:val="21"/>
                <w14:textFill>
                  <w14:solidFill>
                    <w14:schemeClr w14:val="tx1"/>
                  </w14:solidFill>
                </w14:textFill>
              </w:rPr>
              <w:t>.11</w:t>
            </w:r>
          </w:p>
        </w:tc>
        <w:tc>
          <w:tcPr>
            <w:tcW w:w="1016" w:type="pct"/>
            <w:noWrap/>
            <w:vAlign w:val="center"/>
          </w:tcPr>
          <w:p>
            <w:pPr>
              <w:pStyle w:val="29"/>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.638</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31" w:type="pct"/>
            <w:gridSpan w:val="2"/>
            <w:vMerge w:val="restart"/>
            <w:noWrap/>
            <w:vAlign w:val="center"/>
          </w:tcPr>
          <w:p>
            <w:pPr>
              <w:pStyle w:val="294"/>
              <w:ind w:firstLine="0"/>
              <w:outlineLvl w:val="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有组织排放合计</w:t>
            </w:r>
          </w:p>
        </w:tc>
        <w:tc>
          <w:tcPr>
            <w:tcW w:w="3001" w:type="pct"/>
            <w:gridSpan w:val="3"/>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31" w:type="pct"/>
            <w:gridSpan w:val="2"/>
            <w:vMerge w:val="continue"/>
            <w:vAlign w:val="center"/>
          </w:tcPr>
          <w:p>
            <w:pPr>
              <w:pStyle w:val="294"/>
              <w:ind w:firstLine="0"/>
              <w:outlineLvl w:val="9"/>
              <w:rPr>
                <w:color w:val="000000" w:themeColor="text1"/>
                <w:sz w:val="21"/>
                <w:szCs w:val="21"/>
                <w14:textFill>
                  <w14:solidFill>
                    <w14:schemeClr w14:val="tx1"/>
                  </w14:solidFill>
                </w14:textFill>
              </w:rPr>
            </w:pPr>
          </w:p>
        </w:tc>
        <w:tc>
          <w:tcPr>
            <w:tcW w:w="3001" w:type="pct"/>
            <w:gridSpan w:val="3"/>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31" w:type="pct"/>
            <w:gridSpan w:val="2"/>
            <w:vMerge w:val="continue"/>
            <w:vAlign w:val="center"/>
          </w:tcPr>
          <w:p>
            <w:pPr>
              <w:pStyle w:val="294"/>
              <w:ind w:firstLine="0"/>
              <w:outlineLvl w:val="9"/>
              <w:rPr>
                <w:color w:val="000000" w:themeColor="text1"/>
                <w:sz w:val="21"/>
                <w:szCs w:val="21"/>
                <w14:textFill>
                  <w14:solidFill>
                    <w14:schemeClr w14:val="tx1"/>
                  </w14:solidFill>
                </w14:textFill>
              </w:rPr>
            </w:pPr>
          </w:p>
        </w:tc>
        <w:tc>
          <w:tcPr>
            <w:tcW w:w="3001" w:type="pct"/>
            <w:gridSpan w:val="3"/>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31" w:type="pct"/>
            <w:gridSpan w:val="2"/>
            <w:vMerge w:val="continue"/>
            <w:vAlign w:val="center"/>
          </w:tcPr>
          <w:p>
            <w:pPr>
              <w:pStyle w:val="294"/>
              <w:ind w:firstLine="0"/>
              <w:outlineLvl w:val="9"/>
              <w:rPr>
                <w:color w:val="000000" w:themeColor="text1"/>
                <w:sz w:val="21"/>
                <w:szCs w:val="21"/>
                <w14:textFill>
                  <w14:solidFill>
                    <w14:schemeClr w14:val="tx1"/>
                  </w14:solidFill>
                </w14:textFill>
              </w:rPr>
            </w:pPr>
          </w:p>
        </w:tc>
        <w:tc>
          <w:tcPr>
            <w:tcW w:w="3001" w:type="pct"/>
            <w:gridSpan w:val="3"/>
            <w:noWrap/>
            <w:vAlign w:val="center"/>
          </w:tcPr>
          <w:p>
            <w:pPr>
              <w:pStyle w:val="294"/>
              <w:ind w:firstLine="0"/>
              <w:outlineLvl w:val="9"/>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1068" w:type="pct"/>
            <w:noWrap/>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w:t>
            </w:r>
          </w:p>
        </w:tc>
      </w:tr>
    </w:tbl>
    <w:p>
      <w:pPr>
        <w:pStyle w:val="446"/>
        <w:rPr>
          <w:rFonts w:ascii="Times New Roman" w:hAnsi="Times New Roman"/>
          <w:b/>
          <w:color w:val="000000" w:themeColor="text1"/>
          <w14:textFill>
            <w14:solidFill>
              <w14:schemeClr w14:val="tx1"/>
            </w14:solidFill>
          </w14:textFill>
        </w:rPr>
      </w:pPr>
      <w:bookmarkStart w:id="161" w:name="_Toc30658"/>
      <w:r>
        <w:rPr>
          <w:rFonts w:hint="eastAsia" w:ascii="Times New Roman" w:hAnsi="Times New Roman"/>
          <w:b/>
          <w:color w:val="000000" w:themeColor="text1"/>
          <w14:textFill>
            <w14:solidFill>
              <w14:schemeClr w14:val="tx1"/>
            </w14:solidFill>
          </w14:textFill>
        </w:rPr>
        <w:t>表</w:t>
      </w:r>
      <w:r>
        <w:rPr>
          <w:rFonts w:ascii="Times New Roman" w:hAnsi="Times New Roman"/>
          <w:b/>
          <w:color w:val="000000" w:themeColor="text1"/>
          <w14:textFill>
            <w14:solidFill>
              <w14:schemeClr w14:val="tx1"/>
            </w14:solidFill>
          </w14:textFill>
        </w:rPr>
        <w:t xml:space="preserve">4.2-32  </w:t>
      </w:r>
      <w:r>
        <w:rPr>
          <w:rFonts w:hint="eastAsia" w:ascii="Times New Roman" w:hAnsi="Times New Roman"/>
          <w:b/>
          <w:color w:val="000000" w:themeColor="text1"/>
          <w14:textFill>
            <w14:solidFill>
              <w14:schemeClr w14:val="tx1"/>
            </w14:solidFill>
          </w14:textFill>
        </w:rPr>
        <w:t>无组织废气排放量核算表</w:t>
      </w:r>
      <w:bookmarkEnd w:id="161"/>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3"/>
        <w:gridCol w:w="908"/>
        <w:gridCol w:w="1461"/>
        <w:gridCol w:w="1275"/>
        <w:gridCol w:w="991"/>
        <w:gridCol w:w="1795"/>
        <w:gridCol w:w="1197"/>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501"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排放口</w:t>
            </w:r>
          </w:p>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编号</w:t>
            </w:r>
          </w:p>
        </w:tc>
        <w:tc>
          <w:tcPr>
            <w:tcW w:w="806"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产污</w:t>
            </w:r>
          </w:p>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环节</w:t>
            </w:r>
          </w:p>
        </w:tc>
        <w:tc>
          <w:tcPr>
            <w:tcW w:w="703"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547"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主要污染防治措施</w:t>
            </w:r>
          </w:p>
        </w:tc>
        <w:tc>
          <w:tcPr>
            <w:tcW w:w="1646" w:type="pct"/>
            <w:gridSpan w:val="2"/>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国家或地方污染物排放量标准</w:t>
            </w:r>
          </w:p>
        </w:tc>
        <w:tc>
          <w:tcPr>
            <w:tcW w:w="541" w:type="pct"/>
            <w:vMerge w:val="restart"/>
            <w:tcBorders>
              <w:top w:val="single" w:color="auto"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年排放量</w:t>
            </w:r>
          </w:p>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t/a</w:t>
            </w:r>
            <w:r>
              <w:rPr>
                <w:rFonts w:hint="eastAsia"/>
                <w:b/>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50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806"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47"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标准名称</w:t>
            </w:r>
          </w:p>
        </w:tc>
        <w:tc>
          <w:tcPr>
            <w:tcW w:w="660" w:type="pct"/>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浓度限值</w:t>
            </w:r>
          </w:p>
          <w:p>
            <w:pPr>
              <w:pStyle w:val="228"/>
              <w:spacing w:line="240" w:lineRule="auto"/>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mg/m</w:t>
            </w:r>
            <w:r>
              <w:rPr>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54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w w:val="99"/>
                <w:sz w:val="21"/>
                <w:szCs w:val="21"/>
                <w14:textFill>
                  <w14:solidFill>
                    <w14:schemeClr w14:val="tx1"/>
                  </w14:solidFill>
                </w14:textFill>
              </w:rPr>
              <w:t>1</w:t>
            </w:r>
          </w:p>
        </w:tc>
        <w:tc>
          <w:tcPr>
            <w:tcW w:w="501"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0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切割下料、焊接（1号地块）</w:t>
            </w:r>
          </w:p>
        </w:tc>
        <w:tc>
          <w:tcPr>
            <w:tcW w:w="703"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547"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加强车间通风</w:t>
            </w:r>
          </w:p>
        </w:tc>
        <w:tc>
          <w:tcPr>
            <w:tcW w:w="986" w:type="pct"/>
            <w:vAlign w:val="center"/>
          </w:tcPr>
          <w:p>
            <w:pPr>
              <w:pStyle w:val="44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《大气污染物综合排放标准》（DB50/418-2016）</w:t>
            </w:r>
          </w:p>
        </w:tc>
        <w:tc>
          <w:tcPr>
            <w:tcW w:w="66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541"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restart"/>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r>
              <w:rPr>
                <w:rFonts w:hint="eastAsia"/>
                <w:color w:val="000000" w:themeColor="text1"/>
                <w:w w:val="99"/>
                <w:sz w:val="21"/>
                <w:szCs w:val="21"/>
                <w14:textFill>
                  <w14:solidFill>
                    <w14:schemeClr w14:val="tx1"/>
                  </w14:solidFill>
                </w14:textFill>
              </w:rPr>
              <w:t>2</w:t>
            </w:r>
          </w:p>
        </w:tc>
        <w:tc>
          <w:tcPr>
            <w:tcW w:w="501"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06"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喷砂、涂装（2号地块）</w:t>
            </w:r>
          </w:p>
        </w:tc>
        <w:tc>
          <w:tcPr>
            <w:tcW w:w="70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547"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密闭收集，微负压</w:t>
            </w:r>
          </w:p>
        </w:tc>
        <w:tc>
          <w:tcPr>
            <w:tcW w:w="986" w:type="pct"/>
            <w:vMerge w:val="restart"/>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《大气污染物综合排放标准》（DB50/418-2016）</w:t>
            </w:r>
          </w:p>
        </w:tc>
        <w:tc>
          <w:tcPr>
            <w:tcW w:w="66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.4</w:t>
            </w:r>
          </w:p>
        </w:tc>
        <w:tc>
          <w:tcPr>
            <w:tcW w:w="541"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50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806"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547"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.2</w:t>
            </w:r>
          </w:p>
        </w:tc>
        <w:tc>
          <w:tcPr>
            <w:tcW w:w="541"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50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806"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547"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w:t>
            </w:r>
          </w:p>
        </w:tc>
        <w:tc>
          <w:tcPr>
            <w:tcW w:w="541"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tcBorders>
              <w:bottom w:val="single" w:color="auto" w:sz="4" w:space="0"/>
            </w:tcBorders>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501" w:type="pct"/>
            <w:vMerge w:val="continue"/>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806" w:type="pct"/>
            <w:vMerge w:val="continue"/>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547" w:type="pct"/>
            <w:vMerge w:val="continue"/>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tcBorders>
              <w:bottom w:val="single" w:color="auto" w:sz="4" w:space="0"/>
            </w:tcBorders>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541" w:type="pct"/>
            <w:tcBorders>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restart"/>
            <w:tcBorders>
              <w:top w:val="single" w:color="auto" w:sz="4" w:space="0"/>
              <w:bottom w:val="single" w:color="auto" w:sz="4" w:space="0"/>
            </w:tcBorders>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r>
              <w:rPr>
                <w:color w:val="000000" w:themeColor="text1"/>
                <w:w w:val="99"/>
                <w:sz w:val="21"/>
                <w:szCs w:val="21"/>
                <w14:textFill>
                  <w14:solidFill>
                    <w14:schemeClr w14:val="tx1"/>
                  </w14:solidFill>
                </w14:textFill>
              </w:rPr>
              <w:t>3</w:t>
            </w:r>
          </w:p>
        </w:tc>
        <w:tc>
          <w:tcPr>
            <w:tcW w:w="1307" w:type="pct"/>
            <w:gridSpan w:val="2"/>
            <w:vMerge w:val="restar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703" w:type="pct"/>
            <w:tcBorders>
              <w:top w:val="single" w:color="auto" w:sz="4" w:space="0"/>
              <w:bottom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547" w:type="pct"/>
            <w:vMerge w:val="restar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986" w:type="pct"/>
            <w:vMerge w:val="restart"/>
            <w:tcBorders>
              <w:top w:val="single" w:color="auto" w:sz="4" w:space="0"/>
              <w:bottom w:val="single" w:color="auto" w:sz="4" w:space="0"/>
            </w:tcBorders>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660" w:type="pct"/>
            <w:vMerge w:val="restar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541" w:type="pc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1307" w:type="pct"/>
            <w:gridSpan w:val="2"/>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tcBorders>
              <w:top w:val="single" w:color="auto" w:sz="4" w:space="0"/>
              <w:bottom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547"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41" w:type="pc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1307" w:type="pct"/>
            <w:gridSpan w:val="2"/>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tcBorders>
              <w:top w:val="single" w:color="auto" w:sz="4" w:space="0"/>
              <w:bottom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547"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vMerge w:val="continue"/>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41" w:type="pct"/>
            <w:tcBorders>
              <w:top w:val="single" w:color="auto" w:sz="4" w:space="0"/>
              <w:bottom w:val="single" w:color="auto"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tcBorders>
              <w:top w:val="single" w:color="auto" w:sz="4" w:space="0"/>
              <w:bottom w:val="single" w:color="auto" w:sz="12" w:space="0"/>
            </w:tcBorders>
            <w:vAlign w:val="center"/>
          </w:tcPr>
          <w:p>
            <w:pPr>
              <w:pStyle w:val="228"/>
              <w:spacing w:line="240" w:lineRule="auto"/>
              <w:jc w:val="center"/>
              <w:textAlignment w:val="baseline"/>
              <w:rPr>
                <w:color w:val="000000" w:themeColor="text1"/>
                <w:w w:val="99"/>
                <w:sz w:val="21"/>
                <w:szCs w:val="21"/>
                <w14:textFill>
                  <w14:solidFill>
                    <w14:schemeClr w14:val="tx1"/>
                  </w14:solidFill>
                </w14:textFill>
              </w:rPr>
            </w:pPr>
          </w:p>
        </w:tc>
        <w:tc>
          <w:tcPr>
            <w:tcW w:w="1307" w:type="pct"/>
            <w:gridSpan w:val="2"/>
            <w:vMerge w:val="continue"/>
            <w:tcBorders>
              <w:top w:val="single" w:color="auto" w:sz="4" w:space="0"/>
              <w:bottom w:val="single" w:color="auto"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03" w:type="pct"/>
            <w:tcBorders>
              <w:top w:val="single" w:color="auto" w:sz="4" w:space="0"/>
              <w:bottom w:val="single" w:color="auto"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547" w:type="pct"/>
            <w:vMerge w:val="continue"/>
            <w:tcBorders>
              <w:top w:val="single" w:color="auto" w:sz="4" w:space="0"/>
              <w:bottom w:val="single" w:color="auto"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986" w:type="pct"/>
            <w:vMerge w:val="continue"/>
            <w:tcBorders>
              <w:top w:val="single" w:color="auto" w:sz="4" w:space="0"/>
              <w:bottom w:val="single" w:color="auto" w:sz="12" w:space="0"/>
            </w:tcBorders>
            <w:vAlign w:val="center"/>
          </w:tcPr>
          <w:p>
            <w:pPr>
              <w:pStyle w:val="228"/>
              <w:spacing w:line="240" w:lineRule="auto"/>
              <w:jc w:val="center"/>
              <w:textAlignment w:val="baseline"/>
              <w:rPr>
                <w:color w:val="000000" w:themeColor="text1"/>
                <w:kern w:val="2"/>
                <w:sz w:val="21"/>
                <w:szCs w:val="21"/>
                <w14:textFill>
                  <w14:solidFill>
                    <w14:schemeClr w14:val="tx1"/>
                  </w14:solidFill>
                </w14:textFill>
              </w:rPr>
            </w:pPr>
          </w:p>
        </w:tc>
        <w:tc>
          <w:tcPr>
            <w:tcW w:w="660" w:type="pct"/>
            <w:vMerge w:val="continue"/>
            <w:tcBorders>
              <w:top w:val="single" w:color="auto" w:sz="4" w:space="0"/>
              <w:bottom w:val="single" w:color="auto"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41" w:type="pct"/>
            <w:tcBorders>
              <w:top w:val="single" w:color="auto" w:sz="4" w:space="0"/>
              <w:bottom w:val="single" w:color="auto"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4.669</w:t>
            </w:r>
          </w:p>
        </w:tc>
      </w:tr>
    </w:tbl>
    <w:p>
      <w:pPr>
        <w:pStyle w:val="446"/>
        <w:rPr>
          <w:rFonts w:ascii="Times New Roman" w:hAnsi="Times New Roman"/>
          <w:b/>
          <w:color w:val="000000" w:themeColor="text1"/>
          <w14:textFill>
            <w14:solidFill>
              <w14:schemeClr w14:val="tx1"/>
            </w14:solidFill>
          </w14:textFill>
        </w:rPr>
      </w:pPr>
      <w:bookmarkStart w:id="162" w:name="_Toc15422"/>
      <w:r>
        <w:rPr>
          <w:rFonts w:hint="eastAsia" w:ascii="Times New Roman" w:hAnsi="Times New Roman"/>
          <w:b/>
          <w:color w:val="000000" w:themeColor="text1"/>
          <w14:textFill>
            <w14:solidFill>
              <w14:schemeClr w14:val="tx1"/>
            </w14:solidFill>
          </w14:textFill>
        </w:rPr>
        <w:t>表</w:t>
      </w:r>
      <w:r>
        <w:rPr>
          <w:rFonts w:ascii="Times New Roman" w:hAnsi="Times New Roman"/>
          <w:b/>
          <w:color w:val="000000" w:themeColor="text1"/>
          <w14:textFill>
            <w14:solidFill>
              <w14:schemeClr w14:val="tx1"/>
            </w14:solidFill>
          </w14:textFill>
        </w:rPr>
        <w:t xml:space="preserve">4.2-33  </w:t>
      </w:r>
      <w:r>
        <w:rPr>
          <w:rFonts w:hint="eastAsia" w:ascii="Times New Roman" w:hAnsi="Times New Roman"/>
          <w:b/>
          <w:color w:val="000000" w:themeColor="text1"/>
          <w14:textFill>
            <w14:solidFill>
              <w14:schemeClr w14:val="tx1"/>
            </w14:solidFill>
          </w14:textFill>
        </w:rPr>
        <w:t>大气污染物年排放量核算表</w:t>
      </w:r>
      <w:bookmarkEnd w:id="162"/>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8"/>
        <w:gridCol w:w="3315"/>
        <w:gridCol w:w="4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3" w:type="pct"/>
            <w:vAlign w:val="center"/>
          </w:tcPr>
          <w:p>
            <w:pPr>
              <w:pStyle w:val="228"/>
              <w:spacing w:line="320" w:lineRule="exact"/>
              <w:ind w:firstLine="422"/>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序号</w:t>
            </w:r>
          </w:p>
        </w:tc>
        <w:tc>
          <w:tcPr>
            <w:tcW w:w="1827" w:type="pct"/>
            <w:vAlign w:val="center"/>
          </w:tcPr>
          <w:p>
            <w:pPr>
              <w:pStyle w:val="228"/>
              <w:spacing w:line="320" w:lineRule="exact"/>
              <w:ind w:firstLine="422"/>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2430" w:type="pct"/>
            <w:vAlign w:val="center"/>
          </w:tcPr>
          <w:p>
            <w:pPr>
              <w:pStyle w:val="228"/>
              <w:spacing w:line="320" w:lineRule="exact"/>
              <w:ind w:firstLine="422"/>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年排放量（</w:t>
            </w:r>
            <w:r>
              <w:rPr>
                <w:b/>
                <w:bCs/>
                <w:color w:val="000000" w:themeColor="text1"/>
                <w:sz w:val="21"/>
                <w:szCs w:val="21"/>
                <w14:textFill>
                  <w14:solidFill>
                    <w14:schemeClr w14:val="tx1"/>
                  </w14:solidFill>
                </w14:textFill>
              </w:rPr>
              <w:t>t/a</w:t>
            </w:r>
            <w:r>
              <w:rPr>
                <w:rFonts w:hint="eastAsia"/>
                <w:b/>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3" w:type="pct"/>
            <w:vAlign w:val="center"/>
          </w:tcPr>
          <w:p>
            <w:pPr>
              <w:pStyle w:val="228"/>
              <w:spacing w:line="320" w:lineRule="exact"/>
              <w:ind w:firstLine="413"/>
              <w:jc w:val="center"/>
              <w:textAlignment w:val="baseline"/>
              <w:rPr>
                <w:color w:val="000000" w:themeColor="text1"/>
                <w:sz w:val="21"/>
                <w:szCs w:val="21"/>
                <w14:textFill>
                  <w14:solidFill>
                    <w14:schemeClr w14:val="tx1"/>
                  </w14:solidFill>
                </w14:textFill>
              </w:rPr>
            </w:pPr>
            <w:r>
              <w:rPr>
                <w:color w:val="000000" w:themeColor="text1"/>
                <w:w w:val="99"/>
                <w:sz w:val="21"/>
                <w:szCs w:val="21"/>
                <w14:textFill>
                  <w14:solidFill>
                    <w14:schemeClr w14:val="tx1"/>
                  </w14:solidFill>
                </w14:textFill>
              </w:rPr>
              <w:t>1</w:t>
            </w:r>
          </w:p>
        </w:tc>
        <w:tc>
          <w:tcPr>
            <w:tcW w:w="18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w:t>
            </w:r>
          </w:p>
        </w:tc>
        <w:tc>
          <w:tcPr>
            <w:tcW w:w="243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3" w:type="pct"/>
            <w:vAlign w:val="center"/>
          </w:tcPr>
          <w:p>
            <w:pPr>
              <w:pStyle w:val="228"/>
              <w:spacing w:line="320" w:lineRule="exact"/>
              <w:ind w:firstLine="413"/>
              <w:jc w:val="center"/>
              <w:textAlignment w:val="baseline"/>
              <w:rPr>
                <w:color w:val="000000" w:themeColor="text1"/>
                <w:w w:val="99"/>
                <w:sz w:val="21"/>
                <w:szCs w:val="21"/>
                <w14:textFill>
                  <w14:solidFill>
                    <w14:schemeClr w14:val="tx1"/>
                  </w14:solidFill>
                </w14:textFill>
              </w:rPr>
            </w:pPr>
            <w:r>
              <w:rPr>
                <w:rFonts w:hint="eastAsia"/>
                <w:color w:val="000000" w:themeColor="text1"/>
                <w:w w:val="99"/>
                <w:sz w:val="21"/>
                <w:szCs w:val="21"/>
                <w14:textFill>
                  <w14:solidFill>
                    <w14:schemeClr w14:val="tx1"/>
                  </w14:solidFill>
                </w14:textFill>
              </w:rPr>
              <w:t>2</w:t>
            </w:r>
          </w:p>
        </w:tc>
        <w:tc>
          <w:tcPr>
            <w:tcW w:w="18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243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3" w:type="pct"/>
            <w:vAlign w:val="center"/>
          </w:tcPr>
          <w:p>
            <w:pPr>
              <w:pStyle w:val="228"/>
              <w:spacing w:line="320" w:lineRule="exact"/>
              <w:ind w:firstLine="413"/>
              <w:jc w:val="center"/>
              <w:textAlignment w:val="baseline"/>
              <w:rPr>
                <w:color w:val="000000" w:themeColor="text1"/>
                <w:w w:val="99"/>
                <w:sz w:val="21"/>
                <w:szCs w:val="21"/>
                <w14:textFill>
                  <w14:solidFill>
                    <w14:schemeClr w14:val="tx1"/>
                  </w14:solidFill>
                </w14:textFill>
              </w:rPr>
            </w:pPr>
            <w:r>
              <w:rPr>
                <w:rFonts w:hint="eastAsia"/>
                <w:color w:val="000000" w:themeColor="text1"/>
                <w:w w:val="99"/>
                <w:sz w:val="21"/>
                <w:szCs w:val="21"/>
                <w14:textFill>
                  <w14:solidFill>
                    <w14:schemeClr w14:val="tx1"/>
                  </w14:solidFill>
                </w14:textFill>
              </w:rPr>
              <w:t>4</w:t>
            </w:r>
          </w:p>
        </w:tc>
        <w:tc>
          <w:tcPr>
            <w:tcW w:w="1827"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243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3" w:type="pct"/>
            <w:vAlign w:val="center"/>
          </w:tcPr>
          <w:p>
            <w:pPr>
              <w:pStyle w:val="228"/>
              <w:spacing w:line="320" w:lineRule="exact"/>
              <w:ind w:firstLine="413"/>
              <w:jc w:val="center"/>
              <w:textAlignment w:val="baseline"/>
              <w:rPr>
                <w:color w:val="000000" w:themeColor="text1"/>
                <w:w w:val="99"/>
                <w:sz w:val="21"/>
                <w:szCs w:val="21"/>
                <w14:textFill>
                  <w14:solidFill>
                    <w14:schemeClr w14:val="tx1"/>
                  </w14:solidFill>
                </w14:textFill>
              </w:rPr>
            </w:pPr>
            <w:r>
              <w:rPr>
                <w:rFonts w:hint="eastAsia"/>
                <w:color w:val="000000" w:themeColor="text1"/>
                <w:w w:val="99"/>
                <w:sz w:val="21"/>
                <w:szCs w:val="21"/>
                <w14:textFill>
                  <w14:solidFill>
                    <w14:schemeClr w14:val="tx1"/>
                  </w14:solidFill>
                </w14:textFill>
              </w:rPr>
              <w:t>5</w:t>
            </w:r>
          </w:p>
        </w:tc>
        <w:tc>
          <w:tcPr>
            <w:tcW w:w="1827"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2430"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10.879</w:t>
            </w:r>
          </w:p>
        </w:tc>
      </w:tr>
    </w:tbl>
    <w:p>
      <w:pPr>
        <w:suppressAutoHyphens/>
        <w:ind w:firstLine="482" w:firstLineChars="200"/>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w:t>
      </w:r>
      <w:r>
        <w:rPr>
          <w:rFonts w:eastAsia="宋体"/>
          <w:b/>
          <w:bCs/>
          <w:color w:val="000000" w:themeColor="text1"/>
          <w:szCs w:val="24"/>
          <w14:textFill>
            <w14:solidFill>
              <w14:schemeClr w14:val="tx1"/>
            </w14:solidFill>
          </w14:textFill>
        </w:rPr>
        <w:t>4</w:t>
      </w:r>
      <w:r>
        <w:rPr>
          <w:rFonts w:hint="eastAsia" w:eastAsia="宋体"/>
          <w:b/>
          <w:bCs/>
          <w:color w:val="000000" w:themeColor="text1"/>
          <w:szCs w:val="24"/>
          <w14:textFill>
            <w14:solidFill>
              <w14:schemeClr w14:val="tx1"/>
            </w14:solidFill>
          </w14:textFill>
        </w:rPr>
        <w:t>）大气环境影响自查</w:t>
      </w:r>
    </w:p>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表4.2-34  大气环境影响评价自查表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569"/>
        <w:gridCol w:w="704"/>
        <w:gridCol w:w="313"/>
        <w:gridCol w:w="613"/>
        <w:gridCol w:w="98"/>
        <w:gridCol w:w="529"/>
        <w:gridCol w:w="816"/>
        <w:gridCol w:w="100"/>
        <w:gridCol w:w="1164"/>
        <w:gridCol w:w="57"/>
        <w:gridCol w:w="285"/>
        <w:gridCol w:w="1006"/>
        <w:gridCol w:w="222"/>
        <w:gridCol w:w="91"/>
        <w:gridCol w:w="219"/>
        <w:gridCol w:w="351"/>
        <w:gridCol w:w="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5" w:type="dxa"/>
            <w:gridSpan w:val="2"/>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工作内容</w:t>
            </w:r>
          </w:p>
        </w:tc>
        <w:tc>
          <w:tcPr>
            <w:tcW w:w="7087" w:type="dxa"/>
            <w:gridSpan w:val="16"/>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评价等级与范围</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评价等级</w:t>
            </w:r>
          </w:p>
        </w:tc>
        <w:tc>
          <w:tcPr>
            <w:tcW w:w="3073"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一级</w:t>
            </w:r>
            <w:r>
              <w:rPr>
                <w:rFonts w:eastAsia="宋体"/>
                <w:color w:val="000000" w:themeColor="text1"/>
                <w:sz w:val="21"/>
                <w:szCs w:val="21"/>
                <w14:textFill>
                  <w14:solidFill>
                    <w14:schemeClr w14:val="tx1"/>
                  </w14:solidFill>
                </w14:textFill>
              </w:rPr>
              <w:sym w:font="Wingdings 2" w:char="F052"/>
            </w:r>
          </w:p>
        </w:tc>
        <w:tc>
          <w:tcPr>
            <w:tcW w:w="2834"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二级□</w:t>
            </w:r>
          </w:p>
        </w:tc>
        <w:tc>
          <w:tcPr>
            <w:tcW w:w="1180"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评价范围</w:t>
            </w:r>
          </w:p>
        </w:tc>
        <w:tc>
          <w:tcPr>
            <w:tcW w:w="3073"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边长=50km□</w:t>
            </w:r>
          </w:p>
        </w:tc>
        <w:tc>
          <w:tcPr>
            <w:tcW w:w="2834"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边长5~50km□</w:t>
            </w:r>
          </w:p>
        </w:tc>
        <w:tc>
          <w:tcPr>
            <w:tcW w:w="1180"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边长=5km</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评价因子</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SO</w:t>
            </w:r>
            <w:r>
              <w:rPr>
                <w:rFonts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14:textFill>
                  <w14:solidFill>
                    <w14:schemeClr w14:val="tx1"/>
                  </w14:solidFill>
                </w14:textFill>
              </w:rPr>
              <w:t>+NO</w:t>
            </w:r>
            <w:r>
              <w:rPr>
                <w:rFonts w:eastAsia="宋体"/>
                <w:color w:val="000000" w:themeColor="text1"/>
                <w:sz w:val="21"/>
                <w:szCs w:val="21"/>
                <w:vertAlign w:val="subscript"/>
                <w14:textFill>
                  <w14:solidFill>
                    <w14:schemeClr w14:val="tx1"/>
                  </w14:solidFill>
                </w14:textFill>
              </w:rPr>
              <w:t>x</w:t>
            </w:r>
            <w:r>
              <w:rPr>
                <w:rFonts w:eastAsia="宋体"/>
                <w:color w:val="000000" w:themeColor="text1"/>
                <w:sz w:val="21"/>
                <w:szCs w:val="21"/>
                <w14:textFill>
                  <w14:solidFill>
                    <w14:schemeClr w14:val="tx1"/>
                  </w14:solidFill>
                </w14:textFill>
              </w:rPr>
              <w:t>排放量</w:t>
            </w:r>
          </w:p>
        </w:tc>
        <w:tc>
          <w:tcPr>
            <w:tcW w:w="3073"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≥2000t/a□</w:t>
            </w:r>
          </w:p>
        </w:tc>
        <w:tc>
          <w:tcPr>
            <w:tcW w:w="2834" w:type="dxa"/>
            <w:gridSpan w:val="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500~2000t/a□</w:t>
            </w:r>
          </w:p>
        </w:tc>
        <w:tc>
          <w:tcPr>
            <w:tcW w:w="1180"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＜500t/a</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评价因子</w:t>
            </w:r>
          </w:p>
        </w:tc>
        <w:tc>
          <w:tcPr>
            <w:tcW w:w="4394" w:type="dxa"/>
            <w:gridSpan w:val="9"/>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基本污染物（SO</w:t>
            </w:r>
            <w:r>
              <w:rPr>
                <w:rFonts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14:textFill>
                  <w14:solidFill>
                    <w14:schemeClr w14:val="tx1"/>
                  </w14:solidFill>
                </w14:textFill>
              </w:rPr>
              <w:t>、NO</w:t>
            </w:r>
            <w:r>
              <w:rPr>
                <w:rFonts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14:textFill>
                  <w14:solidFill>
                    <w14:schemeClr w14:val="tx1"/>
                  </w14:solidFill>
                </w14:textFill>
              </w:rPr>
              <w:t>、PM</w:t>
            </w:r>
            <w:r>
              <w:rPr>
                <w:rFonts w:eastAsia="宋体"/>
                <w:color w:val="000000" w:themeColor="text1"/>
                <w:sz w:val="21"/>
                <w:szCs w:val="21"/>
                <w:vertAlign w:val="subscript"/>
                <w14:textFill>
                  <w14:solidFill>
                    <w14:schemeClr w14:val="tx1"/>
                  </w14:solidFill>
                </w14:textFill>
              </w:rPr>
              <w:t>10</w:t>
            </w:r>
            <w:r>
              <w:rPr>
                <w:rFonts w:eastAsia="宋体"/>
                <w:color w:val="000000" w:themeColor="text1"/>
                <w:sz w:val="21"/>
                <w:szCs w:val="21"/>
                <w14:textFill>
                  <w14:solidFill>
                    <w14:schemeClr w14:val="tx1"/>
                  </w14:solidFill>
                </w14:textFill>
              </w:rPr>
              <w:t>、PM</w:t>
            </w:r>
            <w:r>
              <w:rPr>
                <w:rFonts w:eastAsia="宋体"/>
                <w:color w:val="000000" w:themeColor="text1"/>
                <w:sz w:val="21"/>
                <w:szCs w:val="21"/>
                <w:vertAlign w:val="subscript"/>
                <w14:textFill>
                  <w14:solidFill>
                    <w14:schemeClr w14:val="tx1"/>
                  </w14:solidFill>
                </w14:textFill>
              </w:rPr>
              <w:t>2.5</w:t>
            </w:r>
            <w:r>
              <w:rPr>
                <w:rFonts w:eastAsia="宋体"/>
                <w:color w:val="000000" w:themeColor="text1"/>
                <w:sz w:val="21"/>
                <w:szCs w:val="21"/>
                <w14:textFill>
                  <w14:solidFill>
                    <w14:schemeClr w14:val="tx1"/>
                  </w14:solidFill>
                </w14:textFill>
              </w:rPr>
              <w:t>、CO、O</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其他污染物（</w:t>
            </w:r>
            <w:r>
              <w:rPr>
                <w:rFonts w:hint="eastAsia" w:eastAsia="宋体"/>
                <w:color w:val="000000" w:themeColor="text1"/>
                <w:sz w:val="21"/>
                <w:szCs w:val="21"/>
                <w14:textFill>
                  <w14:solidFill>
                    <w14:schemeClr w14:val="tx1"/>
                  </w14:solidFill>
                </w14:textFill>
              </w:rPr>
              <w:t>甲苯、二甲苯、非甲烷总烃</w:t>
            </w:r>
            <w:r>
              <w:rPr>
                <w:rFonts w:eastAsia="宋体"/>
                <w:color w:val="000000" w:themeColor="text1"/>
                <w:sz w:val="21"/>
                <w:szCs w:val="21"/>
                <w14:textFill>
                  <w14:solidFill>
                    <w14:schemeClr w14:val="tx1"/>
                  </w14:solidFill>
                </w14:textFill>
              </w:rPr>
              <w:t>）</w:t>
            </w:r>
          </w:p>
        </w:tc>
        <w:tc>
          <w:tcPr>
            <w:tcW w:w="2693"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包括二次PM</w:t>
            </w:r>
            <w:r>
              <w:rPr>
                <w:rFonts w:eastAsia="宋体"/>
                <w:color w:val="000000" w:themeColor="text1"/>
                <w:sz w:val="21"/>
                <w:szCs w:val="21"/>
                <w:vertAlign w:val="subscript"/>
                <w14:textFill>
                  <w14:solidFill>
                    <w14:schemeClr w14:val="tx1"/>
                  </w14:solidFill>
                </w14:textFill>
              </w:rPr>
              <w:t>2.5</w:t>
            </w:r>
            <w:r>
              <w:rPr>
                <w:rFonts w:eastAsia="宋体"/>
                <w:color w:val="000000" w:themeColor="text1"/>
                <w:sz w:val="21"/>
                <w:szCs w:val="21"/>
                <w14:textFill>
                  <w14:solidFill>
                    <w14:schemeClr w14:val="tx1"/>
                  </w14:solidFill>
                </w14:textFill>
              </w:rPr>
              <w:t>□</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不包括二次PM</w:t>
            </w:r>
            <w:r>
              <w:rPr>
                <w:rFonts w:eastAsia="宋体"/>
                <w:color w:val="000000" w:themeColor="text1"/>
                <w:sz w:val="21"/>
                <w:szCs w:val="21"/>
                <w:vertAlign w:val="subscript"/>
                <w14:textFill>
                  <w14:solidFill>
                    <w14:schemeClr w14:val="tx1"/>
                  </w14:solidFill>
                </w14:textFill>
              </w:rPr>
              <w:t>2.5</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评价标准</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评价标准</w:t>
            </w:r>
          </w:p>
        </w:tc>
        <w:tc>
          <w:tcPr>
            <w:tcW w:w="2257"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国家标准</w:t>
            </w:r>
            <w:r>
              <w:rPr>
                <w:rFonts w:eastAsia="宋体"/>
                <w:color w:val="000000" w:themeColor="text1"/>
                <w:sz w:val="21"/>
                <w:szCs w:val="21"/>
                <w14:textFill>
                  <w14:solidFill>
                    <w14:schemeClr w14:val="tx1"/>
                  </w14:solidFill>
                </w14:textFill>
              </w:rPr>
              <w:sym w:font="Wingdings 2" w:char="F052"/>
            </w:r>
          </w:p>
        </w:tc>
        <w:tc>
          <w:tcPr>
            <w:tcW w:w="2137"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地方标准</w:t>
            </w:r>
            <w:r>
              <w:rPr>
                <w:rFonts w:eastAsia="宋体"/>
                <w:color w:val="000000" w:themeColor="text1"/>
                <w:sz w:val="21"/>
                <w:szCs w:val="21"/>
                <w14:textFill>
                  <w14:solidFill>
                    <w14:schemeClr w14:val="tx1"/>
                  </w14:solidFill>
                </w14:textFill>
              </w:rPr>
              <w:sym w:font="Wingdings 2" w:char="F052"/>
            </w:r>
          </w:p>
        </w:tc>
        <w:tc>
          <w:tcPr>
            <w:tcW w:w="1823"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附录D</w:t>
            </w:r>
            <w:r>
              <w:rPr>
                <w:rFonts w:eastAsia="宋体"/>
                <w:color w:val="000000" w:themeColor="text1"/>
                <w:sz w:val="21"/>
                <w:szCs w:val="21"/>
                <w14:textFill>
                  <w14:solidFill>
                    <w14:schemeClr w14:val="tx1"/>
                  </w14:solidFill>
                </w14:textFill>
              </w:rPr>
              <w:sym w:font="Wingdings 2" w:char="F052"/>
            </w:r>
          </w:p>
        </w:tc>
        <w:tc>
          <w:tcPr>
            <w:tcW w:w="870"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现状评价</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环境功能区</w:t>
            </w:r>
          </w:p>
        </w:tc>
        <w:tc>
          <w:tcPr>
            <w:tcW w:w="2257"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一类区□</w:t>
            </w:r>
          </w:p>
        </w:tc>
        <w:tc>
          <w:tcPr>
            <w:tcW w:w="2137"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二类区</w:t>
            </w:r>
            <w:r>
              <w:rPr>
                <w:rFonts w:eastAsia="宋体"/>
                <w:color w:val="000000" w:themeColor="text1"/>
                <w:sz w:val="21"/>
                <w:szCs w:val="21"/>
                <w14:textFill>
                  <w14:solidFill>
                    <w14:schemeClr w14:val="tx1"/>
                  </w14:solidFill>
                </w14:textFill>
              </w:rPr>
              <w:sym w:font="Wingdings 2" w:char="F052"/>
            </w:r>
          </w:p>
        </w:tc>
        <w:tc>
          <w:tcPr>
            <w:tcW w:w="2693"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评价基准年</w:t>
            </w:r>
          </w:p>
        </w:tc>
        <w:tc>
          <w:tcPr>
            <w:tcW w:w="7087" w:type="dxa"/>
            <w:gridSpan w:val="1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（2022）年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环境空气质量现状调查数据来源</w:t>
            </w:r>
          </w:p>
        </w:tc>
        <w:tc>
          <w:tcPr>
            <w:tcW w:w="2257"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长期例行监测数据□</w:t>
            </w:r>
          </w:p>
        </w:tc>
        <w:tc>
          <w:tcPr>
            <w:tcW w:w="2137"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主管部门发布的数据</w:t>
            </w:r>
            <w:r>
              <w:rPr>
                <w:rFonts w:eastAsia="宋体"/>
                <w:color w:val="000000" w:themeColor="text1"/>
                <w:sz w:val="21"/>
                <w:szCs w:val="21"/>
                <w14:textFill>
                  <w14:solidFill>
                    <w14:schemeClr w14:val="tx1"/>
                  </w14:solidFill>
                </w14:textFill>
              </w:rPr>
              <w:sym w:font="Wingdings 2" w:char="F052"/>
            </w:r>
          </w:p>
        </w:tc>
        <w:tc>
          <w:tcPr>
            <w:tcW w:w="2693"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现状补充监测</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现状评价</w:t>
            </w:r>
          </w:p>
        </w:tc>
        <w:tc>
          <w:tcPr>
            <w:tcW w:w="4394" w:type="dxa"/>
            <w:gridSpan w:val="9"/>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达标区</w:t>
            </w:r>
            <w:r>
              <w:rPr>
                <w:rFonts w:eastAsia="宋体"/>
                <w:color w:val="000000" w:themeColor="text1"/>
                <w:sz w:val="21"/>
                <w:szCs w:val="21"/>
                <w14:textFill>
                  <w14:solidFill>
                    <w14:schemeClr w14:val="tx1"/>
                  </w14:solidFill>
                </w14:textFill>
              </w:rPr>
              <w:sym w:font="Wingdings 2" w:char="F052"/>
            </w:r>
          </w:p>
        </w:tc>
        <w:tc>
          <w:tcPr>
            <w:tcW w:w="2693"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污染源调</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查</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调查内容</w:t>
            </w:r>
          </w:p>
        </w:tc>
        <w:tc>
          <w:tcPr>
            <w:tcW w:w="2257"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本项目正常排放源</w:t>
            </w:r>
            <w:r>
              <w:rPr>
                <w:rFonts w:eastAsia="宋体"/>
                <w:color w:val="000000" w:themeColor="text1"/>
                <w:sz w:val="21"/>
                <w:szCs w:val="21"/>
                <w14:textFill>
                  <w14:solidFill>
                    <w14:schemeClr w14:val="tx1"/>
                  </w14:solidFill>
                </w14:textFill>
              </w:rPr>
              <w:sym w:font="Wingdings 2" w:char="F052"/>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本项目</w:t>
            </w:r>
            <w:r>
              <w:rPr>
                <w:rFonts w:eastAsia="宋体"/>
                <w:color w:val="000000" w:themeColor="text1"/>
                <w:sz w:val="21"/>
                <w:szCs w:val="21"/>
                <w14:textFill>
                  <w14:solidFill>
                    <w14:schemeClr w14:val="tx1"/>
                  </w14:solidFill>
                </w14:textFill>
              </w:rPr>
              <w:cr/>
            </w:r>
            <w:r>
              <w:rPr>
                <w:rFonts w:eastAsia="宋体"/>
                <w:color w:val="000000" w:themeColor="text1"/>
                <w:sz w:val="21"/>
                <w:szCs w:val="21"/>
                <w14:textFill>
                  <w14:solidFill>
                    <w14:schemeClr w14:val="tx1"/>
                  </w14:solidFill>
                </w14:textFill>
              </w:rPr>
              <w:t>正常排放源□现有污染源□</w:t>
            </w:r>
          </w:p>
        </w:tc>
        <w:tc>
          <w:tcPr>
            <w:tcW w:w="2137"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拟替代的污染源□</w:t>
            </w:r>
          </w:p>
        </w:tc>
        <w:tc>
          <w:tcPr>
            <w:tcW w:w="1823"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其他在建、拟建项目污染源</w:t>
            </w:r>
            <w:r>
              <w:rPr>
                <w:rFonts w:eastAsia="宋体"/>
                <w:color w:val="000000" w:themeColor="text1"/>
                <w:sz w:val="21"/>
                <w:szCs w:val="21"/>
                <w14:textFill>
                  <w14:solidFill>
                    <w14:schemeClr w14:val="tx1"/>
                  </w14:solidFill>
                </w14:textFill>
              </w:rPr>
              <w:sym w:font="Wingdings 2" w:char="F052"/>
            </w:r>
          </w:p>
        </w:tc>
        <w:tc>
          <w:tcPr>
            <w:tcW w:w="870"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大气环境影响预测与评价</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预测模型</w:t>
            </w:r>
          </w:p>
        </w:tc>
        <w:tc>
          <w:tcPr>
            <w:tcW w:w="70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AERMOD</w:t>
            </w:r>
            <w:r>
              <w:rPr>
                <w:rFonts w:eastAsia="宋体"/>
                <w:color w:val="000000" w:themeColor="text1"/>
                <w:sz w:val="21"/>
                <w:szCs w:val="21"/>
                <w14:textFill>
                  <w14:solidFill>
                    <w14:schemeClr w14:val="tx1"/>
                  </w14:solidFill>
                </w14:textFill>
              </w:rPr>
              <w:sym w:font="Wingdings 2" w:char="F052"/>
            </w:r>
          </w:p>
        </w:tc>
        <w:tc>
          <w:tcPr>
            <w:tcW w:w="926"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ADMS□</w:t>
            </w:r>
          </w:p>
        </w:tc>
        <w:tc>
          <w:tcPr>
            <w:tcW w:w="1543"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AUSTAL2000□</w:t>
            </w:r>
          </w:p>
        </w:tc>
        <w:tc>
          <w:tcPr>
            <w:tcW w:w="1506" w:type="dxa"/>
            <w:gridSpan w:val="3"/>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EDMS/AEDT□</w:t>
            </w:r>
          </w:p>
        </w:tc>
        <w:tc>
          <w:tcPr>
            <w:tcW w:w="1228"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CALPUFF□</w:t>
            </w:r>
          </w:p>
        </w:tc>
        <w:tc>
          <w:tcPr>
            <w:tcW w:w="661" w:type="dxa"/>
            <w:gridSpan w:val="3"/>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网格模型□</w:t>
            </w:r>
          </w:p>
        </w:tc>
        <w:tc>
          <w:tcPr>
            <w:tcW w:w="51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预测范围</w:t>
            </w:r>
          </w:p>
        </w:tc>
        <w:tc>
          <w:tcPr>
            <w:tcW w:w="1630" w:type="dxa"/>
            <w:gridSpan w:val="3"/>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边长≥50km□</w:t>
            </w:r>
          </w:p>
        </w:tc>
        <w:tc>
          <w:tcPr>
            <w:tcW w:w="4277" w:type="dxa"/>
            <w:gridSpan w:val="9"/>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边长5~50km□</w:t>
            </w:r>
          </w:p>
        </w:tc>
        <w:tc>
          <w:tcPr>
            <w:tcW w:w="1180"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边长=5km</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预测因子</w:t>
            </w:r>
          </w:p>
        </w:tc>
        <w:tc>
          <w:tcPr>
            <w:tcW w:w="4337" w:type="dxa"/>
            <w:gridSpan w:val="8"/>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预测因子（</w:t>
            </w:r>
            <w:r>
              <w:rPr>
                <w:rFonts w:hint="eastAsia" w:eastAsia="宋体"/>
                <w:color w:val="000000" w:themeColor="text1"/>
                <w:sz w:val="21"/>
                <w:szCs w:val="21"/>
                <w14:textFill>
                  <w14:solidFill>
                    <w14:schemeClr w14:val="tx1"/>
                  </w14:solidFill>
                </w14:textFill>
              </w:rPr>
              <w:t>甲苯、二甲苯、非甲烷总烃、P</w:t>
            </w:r>
            <w:r>
              <w:rPr>
                <w:rFonts w:eastAsia="宋体"/>
                <w:color w:val="000000" w:themeColor="text1"/>
                <w:sz w:val="21"/>
                <w:szCs w:val="21"/>
                <w14:textFill>
                  <w14:solidFill>
                    <w14:schemeClr w14:val="tx1"/>
                  </w14:solidFill>
                </w14:textFill>
              </w:rPr>
              <w:t>M</w:t>
            </w:r>
            <w:r>
              <w:rPr>
                <w:rFonts w:eastAsia="宋体"/>
                <w:color w:val="000000" w:themeColor="text1"/>
                <w:sz w:val="21"/>
                <w:szCs w:val="21"/>
                <w:vertAlign w:val="subscript"/>
                <w14:textFill>
                  <w14:solidFill>
                    <w14:schemeClr w14:val="tx1"/>
                  </w14:solidFill>
                </w14:textFill>
              </w:rPr>
              <w:t>10</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PM</w:t>
            </w:r>
            <w:r>
              <w:rPr>
                <w:rFonts w:hint="eastAsia"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vertAlign w:val="subscript"/>
                <w14:textFill>
                  <w14:solidFill>
                    <w14:schemeClr w14:val="tx1"/>
                  </w14:solidFill>
                </w14:textFill>
              </w:rPr>
              <w:t>.5</w:t>
            </w:r>
            <w:r>
              <w:rPr>
                <w:rFonts w:eastAsia="宋体"/>
                <w:color w:val="000000" w:themeColor="text1"/>
                <w:sz w:val="21"/>
                <w:szCs w:val="21"/>
                <w14:textFill>
                  <w14:solidFill>
                    <w14:schemeClr w14:val="tx1"/>
                  </w14:solidFill>
                </w14:textFill>
              </w:rPr>
              <w:t>）</w:t>
            </w:r>
          </w:p>
        </w:tc>
        <w:tc>
          <w:tcPr>
            <w:tcW w:w="2750" w:type="dxa"/>
            <w:gridSpan w:val="8"/>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包括二次PM</w:t>
            </w:r>
            <w:r>
              <w:rPr>
                <w:rFonts w:eastAsia="宋体"/>
                <w:color w:val="000000" w:themeColor="text1"/>
                <w:sz w:val="21"/>
                <w:szCs w:val="21"/>
                <w:vertAlign w:val="subscript"/>
                <w14:textFill>
                  <w14:solidFill>
                    <w14:schemeClr w14:val="tx1"/>
                  </w14:solidFill>
                </w14:textFill>
              </w:rPr>
              <w:t>2.5</w:t>
            </w:r>
            <w:r>
              <w:rPr>
                <w:rFonts w:eastAsia="宋体"/>
                <w:color w:val="000000" w:themeColor="text1"/>
                <w:sz w:val="21"/>
                <w:szCs w:val="21"/>
                <w14:textFill>
                  <w14:solidFill>
                    <w14:schemeClr w14:val="tx1"/>
                  </w14:solidFill>
                </w14:textFill>
              </w:rPr>
              <w:t>□</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不包括二次PM</w:t>
            </w:r>
            <w:r>
              <w:rPr>
                <w:rFonts w:eastAsia="宋体"/>
                <w:color w:val="000000" w:themeColor="text1"/>
                <w:sz w:val="21"/>
                <w:szCs w:val="21"/>
                <w:vertAlign w:val="subscript"/>
                <w14:textFill>
                  <w14:solidFill>
                    <w14:schemeClr w14:val="tx1"/>
                  </w14:solidFill>
                </w14:textFill>
              </w:rPr>
              <w:t>2.5</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正常排放短期浓度贡献值</w:t>
            </w:r>
          </w:p>
        </w:tc>
        <w:tc>
          <w:tcPr>
            <w:tcW w:w="4337" w:type="dxa"/>
            <w:gridSpan w:val="8"/>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最大占标率≤100%</w:t>
            </w:r>
            <w:r>
              <w:rPr>
                <w:rFonts w:eastAsia="宋体"/>
                <w:color w:val="000000" w:themeColor="text1"/>
                <w:sz w:val="21"/>
                <w:szCs w:val="21"/>
                <w14:textFill>
                  <w14:solidFill>
                    <w14:schemeClr w14:val="tx1"/>
                  </w14:solidFill>
                </w14:textFill>
              </w:rPr>
              <w:sym w:font="Wingdings 2" w:char="F052"/>
            </w:r>
          </w:p>
        </w:tc>
        <w:tc>
          <w:tcPr>
            <w:tcW w:w="2750" w:type="dxa"/>
            <w:gridSpan w:val="8"/>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正常排放年平均浓度贡献值</w:t>
            </w:r>
          </w:p>
        </w:tc>
        <w:tc>
          <w:tcPr>
            <w:tcW w:w="1017" w:type="dxa"/>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一类区</w:t>
            </w:r>
          </w:p>
        </w:tc>
        <w:tc>
          <w:tcPr>
            <w:tcW w:w="3320" w:type="dxa"/>
            <w:gridSpan w:val="6"/>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最大占标率≤10%</w:t>
            </w:r>
            <w:r>
              <w:rPr>
                <w:rFonts w:eastAsia="宋体"/>
                <w:color w:val="000000" w:themeColor="text1"/>
                <w:kern w:val="0"/>
                <w:sz w:val="21"/>
                <w:szCs w:val="21"/>
                <w14:textFill>
                  <w14:solidFill>
                    <w14:schemeClr w14:val="tx1"/>
                  </w14:solidFill>
                </w14:textFill>
              </w:rPr>
              <w:t>□</w:t>
            </w:r>
          </w:p>
        </w:tc>
        <w:tc>
          <w:tcPr>
            <w:tcW w:w="2750"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最大占标率＞10%</w:t>
            </w: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1017" w:type="dxa"/>
            <w:gridSpan w:val="2"/>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二类区</w:t>
            </w:r>
          </w:p>
        </w:tc>
        <w:tc>
          <w:tcPr>
            <w:tcW w:w="3320" w:type="dxa"/>
            <w:gridSpan w:val="6"/>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最大占标率≤30%</w:t>
            </w:r>
            <w:r>
              <w:rPr>
                <w:rFonts w:eastAsia="宋体"/>
                <w:color w:val="000000" w:themeColor="text1"/>
                <w:sz w:val="21"/>
                <w:szCs w:val="21"/>
                <w14:textFill>
                  <w14:solidFill>
                    <w14:schemeClr w14:val="tx1"/>
                  </w14:solidFill>
                </w14:textFill>
              </w:rPr>
              <w:sym w:font="Wingdings 2" w:char="F052"/>
            </w:r>
          </w:p>
        </w:tc>
        <w:tc>
          <w:tcPr>
            <w:tcW w:w="2750"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本项目</w:t>
            </w:r>
            <w:r>
              <w:rPr>
                <w:rFonts w:eastAsia="宋体"/>
                <w:color w:val="000000" w:themeColor="text1"/>
                <w:sz w:val="21"/>
                <w:szCs w:val="21"/>
                <w14:textFill>
                  <w14:solidFill>
                    <w14:schemeClr w14:val="tx1"/>
                  </w14:solidFill>
                </w14:textFill>
              </w:rPr>
              <w:t>最大占标率＞30%</w:t>
            </w: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非正常排放1h浓度贡献值</w:t>
            </w:r>
          </w:p>
        </w:tc>
        <w:tc>
          <w:tcPr>
            <w:tcW w:w="4337"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非正常持续时长（</w:t>
            </w: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）h</w:t>
            </w:r>
          </w:p>
        </w:tc>
        <w:tc>
          <w:tcPr>
            <w:tcW w:w="2750"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非正常</w:t>
            </w:r>
            <w:r>
              <w:rPr>
                <w:rFonts w:eastAsia="宋体"/>
                <w:color w:val="000000" w:themeColor="text1"/>
                <w:sz w:val="21"/>
                <w:szCs w:val="21"/>
                <w14:textFill>
                  <w14:solidFill>
                    <w14:schemeClr w14:val="tx1"/>
                  </w14:solidFill>
                </w14:textFill>
              </w:rPr>
              <w:t>最大占标率≤100%</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保证率日平均浓度和年平均浓度叠加值</w:t>
            </w:r>
          </w:p>
        </w:tc>
        <w:tc>
          <w:tcPr>
            <w:tcW w:w="4337" w:type="dxa"/>
            <w:gridSpan w:val="8"/>
            <w:vAlign w:val="center"/>
          </w:tcPr>
          <w:p>
            <w:pPr>
              <w:spacing w:line="240" w:lineRule="auto"/>
              <w:jc w:val="center"/>
              <w:rPr>
                <w:rFonts w:eastAsia="宋体"/>
                <w:color w:val="000000" w:themeColor="text1"/>
                <w:sz w:val="21"/>
                <w:szCs w:val="21"/>
                <w:highlight w:val="green"/>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叠加</w:t>
            </w:r>
            <w:r>
              <w:rPr>
                <w:rFonts w:eastAsia="宋体"/>
                <w:color w:val="000000" w:themeColor="text1"/>
                <w:sz w:val="21"/>
                <w:szCs w:val="21"/>
                <w14:textFill>
                  <w14:solidFill>
                    <w14:schemeClr w14:val="tx1"/>
                  </w14:solidFill>
                </w14:textFill>
              </w:rPr>
              <w:t>达标</w:t>
            </w:r>
            <w:r>
              <w:rPr>
                <w:rFonts w:eastAsia="宋体"/>
                <w:color w:val="000000" w:themeColor="text1"/>
                <w:sz w:val="21"/>
                <w:szCs w:val="21"/>
                <w14:textFill>
                  <w14:solidFill>
                    <w14:schemeClr w14:val="tx1"/>
                  </w14:solidFill>
                </w14:textFill>
              </w:rPr>
              <w:sym w:font="Wingdings 2" w:char="F052"/>
            </w:r>
          </w:p>
        </w:tc>
        <w:tc>
          <w:tcPr>
            <w:tcW w:w="2750"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w:t>
            </w:r>
            <w:r>
              <w:rPr>
                <w:rFonts w:eastAsia="宋体"/>
                <w:color w:val="000000" w:themeColor="text1"/>
                <w:sz w:val="21"/>
                <w:szCs w:val="21"/>
                <w:vertAlign w:val="subscript"/>
                <w14:textFill>
                  <w14:solidFill>
                    <w14:schemeClr w14:val="tx1"/>
                  </w14:solidFill>
                </w14:textFill>
              </w:rPr>
              <w:t>叠加</w:t>
            </w:r>
            <w:r>
              <w:rPr>
                <w:rFonts w:eastAsia="宋体"/>
                <w:color w:val="000000" w:themeColor="text1"/>
                <w:sz w:val="21"/>
                <w:szCs w:val="21"/>
                <w14:textFill>
                  <w14:solidFill>
                    <w14:schemeClr w14:val="tx1"/>
                  </w14:solidFill>
                </w14:textFill>
              </w:rPr>
              <w:t>不达标</w:t>
            </w: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区域环境质量的整体变化情况</w:t>
            </w:r>
          </w:p>
        </w:tc>
        <w:tc>
          <w:tcPr>
            <w:tcW w:w="4337" w:type="dxa"/>
            <w:gridSpan w:val="8"/>
            <w:vAlign w:val="center"/>
          </w:tcPr>
          <w:p>
            <w:pPr>
              <w:spacing w:line="240" w:lineRule="auto"/>
              <w:jc w:val="center"/>
              <w:rPr>
                <w:rFonts w:eastAsia="宋体"/>
                <w:color w:val="000000" w:themeColor="text1"/>
                <w:sz w:val="21"/>
                <w:szCs w:val="21"/>
                <w:highlight w:val="green"/>
                <w14:textFill>
                  <w14:solidFill>
                    <w14:schemeClr w14:val="tx1"/>
                  </w14:solidFill>
                </w14:textFill>
              </w:rPr>
            </w:pPr>
            <w:r>
              <w:rPr>
                <w:rFonts w:eastAsia="宋体"/>
                <w:color w:val="000000" w:themeColor="text1"/>
                <w:sz w:val="21"/>
                <w:szCs w:val="21"/>
                <w14:textFill>
                  <w14:solidFill>
                    <w14:schemeClr w14:val="tx1"/>
                  </w14:solidFill>
                </w14:textFill>
              </w:rPr>
              <w:t>k≤-20%</w:t>
            </w:r>
            <w:r>
              <w:rPr>
                <w:rFonts w:eastAsia="宋体"/>
                <w:color w:val="000000" w:themeColor="text1"/>
                <w:kern w:val="0"/>
                <w:sz w:val="21"/>
                <w:szCs w:val="21"/>
                <w14:textFill>
                  <w14:solidFill>
                    <w14:schemeClr w14:val="tx1"/>
                  </w14:solidFill>
                </w14:textFill>
              </w:rPr>
              <w:t>□</w:t>
            </w:r>
          </w:p>
        </w:tc>
        <w:tc>
          <w:tcPr>
            <w:tcW w:w="2750" w:type="dxa"/>
            <w:gridSpan w:val="8"/>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k＞-20%</w:t>
            </w:r>
            <w:r>
              <w:rPr>
                <w:rFonts w:eastAsia="宋体"/>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环境监测计划</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污染源监测</w:t>
            </w:r>
          </w:p>
        </w:tc>
        <w:tc>
          <w:tcPr>
            <w:tcW w:w="1728"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监测因子</w:t>
            </w:r>
            <w:r>
              <w:rPr>
                <w:rFonts w:hint="eastAsia" w:eastAsia="宋体"/>
                <w:color w:val="000000" w:themeColor="text1"/>
                <w:sz w:val="21"/>
                <w:szCs w:val="21"/>
                <w14:textFill>
                  <w14:solidFill>
                    <w14:schemeClr w14:val="tx1"/>
                  </w14:solidFill>
                </w14:textFill>
              </w:rPr>
              <w:t>（</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14:textFill>
                  <w14:solidFill>
                    <w14:schemeClr w14:val="tx1"/>
                  </w14:solidFill>
                </w14:textFill>
              </w:rPr>
              <w:t>甲苯、二甲苯、非甲烷总烃、颗粒物</w:t>
            </w:r>
            <w:r>
              <w:rPr>
                <w:rFonts w:hint="eastAsia" w:eastAsia="宋体"/>
                <w:color w:val="000000" w:themeColor="text1"/>
                <w:sz w:val="21"/>
                <w:szCs w:val="21"/>
                <w:lang w:eastAsia="zh-CN"/>
                <w14:textFill>
                  <w14:solidFill>
                    <w14:schemeClr w14:val="tx1"/>
                  </w14:solidFill>
                </w14:textFill>
              </w:rPr>
              <w:t>）</w:t>
            </w:r>
          </w:p>
        </w:tc>
        <w:tc>
          <w:tcPr>
            <w:tcW w:w="3957"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有组织废气监测</w:t>
            </w:r>
            <w:r>
              <w:rPr>
                <w:rFonts w:eastAsia="宋体"/>
                <w:color w:val="000000" w:themeColor="text1"/>
                <w:sz w:val="21"/>
                <w:szCs w:val="21"/>
                <w14:textFill>
                  <w14:solidFill>
                    <w14:schemeClr w14:val="tx1"/>
                  </w14:solidFill>
                </w14:textFill>
              </w:rPr>
              <w:sym w:font="Wingdings 2" w:char="F052"/>
            </w:r>
            <w:r>
              <w:rPr>
                <w:rFonts w:eastAsia="宋体"/>
                <w:color w:val="000000" w:themeColor="text1"/>
                <w:sz w:val="21"/>
                <w:szCs w:val="21"/>
                <w14:textFill>
                  <w14:solidFill>
                    <w14:schemeClr w14:val="tx1"/>
                  </w14:solidFill>
                </w14:textFill>
              </w:rPr>
              <w:t>无组织废气监测</w:t>
            </w:r>
            <w:r>
              <w:rPr>
                <w:rFonts w:eastAsia="宋体"/>
                <w:color w:val="000000" w:themeColor="text1"/>
                <w:sz w:val="21"/>
                <w:szCs w:val="21"/>
                <w14:textFill>
                  <w14:solidFill>
                    <w14:schemeClr w14:val="tx1"/>
                  </w14:solidFill>
                </w14:textFill>
              </w:rPr>
              <w:sym w:font="Wingdings 2" w:char="F052"/>
            </w:r>
          </w:p>
        </w:tc>
        <w:tc>
          <w:tcPr>
            <w:tcW w:w="1402"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环境质量监测</w:t>
            </w:r>
          </w:p>
        </w:tc>
        <w:tc>
          <w:tcPr>
            <w:tcW w:w="1728" w:type="dxa"/>
            <w:gridSpan w:val="4"/>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监测因子：（/） </w:t>
            </w:r>
          </w:p>
        </w:tc>
        <w:tc>
          <w:tcPr>
            <w:tcW w:w="3957" w:type="dxa"/>
            <w:gridSpan w:val="7"/>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 xml:space="preserve">监测点位数（/） </w:t>
            </w:r>
          </w:p>
        </w:tc>
        <w:tc>
          <w:tcPr>
            <w:tcW w:w="1402"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无监测</w:t>
            </w:r>
            <w:r>
              <w:rPr>
                <w:rFonts w:eastAsia="宋体"/>
                <w:color w:val="000000" w:themeColor="text1"/>
                <w:sz w:val="21"/>
                <w:szCs w:val="21"/>
                <w14:textFill>
                  <w14:solidFill>
                    <w14:schemeClr w14:val="tx1"/>
                  </w14:solidFill>
                </w14:textFill>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评价结论</w:t>
            </w: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环境影响</w:t>
            </w:r>
          </w:p>
        </w:tc>
        <w:tc>
          <w:tcPr>
            <w:tcW w:w="7087" w:type="dxa"/>
            <w:gridSpan w:val="1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可以接受</w:t>
            </w:r>
            <w:r>
              <w:rPr>
                <w:rFonts w:eastAsia="宋体"/>
                <w:color w:val="000000" w:themeColor="text1"/>
                <w:sz w:val="21"/>
                <w:szCs w:val="21"/>
                <w14:textFill>
                  <w14:solidFill>
                    <w14:schemeClr w14:val="tx1"/>
                  </w14:solidFill>
                </w14:textFill>
              </w:rPr>
              <w:sym w:font="Wingdings 2" w:char="F052"/>
            </w:r>
            <w:r>
              <w:rPr>
                <w:rFonts w:eastAsia="宋体"/>
                <w:color w:val="000000" w:themeColor="text1"/>
                <w:sz w:val="21"/>
                <w:szCs w:val="21"/>
                <w14:textFill>
                  <w14:solidFill>
                    <w14:schemeClr w14:val="tx1"/>
                  </w14:solidFill>
                </w14:textFill>
              </w:rPr>
              <w:t>不可以接受□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大气环境防护距离</w:t>
            </w:r>
          </w:p>
        </w:tc>
        <w:tc>
          <w:tcPr>
            <w:tcW w:w="7087" w:type="dxa"/>
            <w:gridSpan w:val="16"/>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距（ ）厂界最远（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56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污染源年排放量</w:t>
            </w:r>
          </w:p>
        </w:tc>
        <w:tc>
          <w:tcPr>
            <w:tcW w:w="2257"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SO</w:t>
            </w:r>
            <w:r>
              <w:rPr>
                <w:rFonts w:eastAsia="宋体"/>
                <w:color w:val="000000" w:themeColor="text1"/>
                <w:sz w:val="21"/>
                <w:szCs w:val="21"/>
                <w:vertAlign w:val="subscript"/>
                <w14:textFill>
                  <w14:solidFill>
                    <w14:schemeClr w14:val="tx1"/>
                  </w14:solidFill>
                </w14:textFill>
              </w:rPr>
              <w:t>2</w:t>
            </w:r>
            <w:r>
              <w:rPr>
                <w:rFonts w:eastAsia="宋体"/>
                <w:color w:val="000000" w:themeColor="text1"/>
                <w:sz w:val="21"/>
                <w:szCs w:val="21"/>
                <w14:textFill>
                  <w14:solidFill>
                    <w14:schemeClr w14:val="tx1"/>
                  </w14:solidFill>
                </w14:textFill>
              </w:rPr>
              <w:t>：（ ）t/a</w:t>
            </w:r>
          </w:p>
        </w:tc>
        <w:tc>
          <w:tcPr>
            <w:tcW w:w="2080" w:type="dxa"/>
            <w:gridSpan w:val="3"/>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NO</w:t>
            </w:r>
            <w:r>
              <w:rPr>
                <w:rFonts w:eastAsia="宋体"/>
                <w:color w:val="000000" w:themeColor="text1"/>
                <w:sz w:val="21"/>
                <w:szCs w:val="21"/>
                <w:vertAlign w:val="subscript"/>
                <w14:textFill>
                  <w14:solidFill>
                    <w14:schemeClr w14:val="tx1"/>
                  </w14:solidFill>
                </w14:textFill>
              </w:rPr>
              <w:t>x</w:t>
            </w:r>
            <w:r>
              <w:rPr>
                <w:rFonts w:eastAsia="宋体"/>
                <w:color w:val="000000" w:themeColor="text1"/>
                <w:sz w:val="21"/>
                <w:szCs w:val="21"/>
                <w14:textFill>
                  <w14:solidFill>
                    <w14:schemeClr w14:val="tx1"/>
                  </w14:solidFill>
                </w14:textFill>
              </w:rPr>
              <w:t>：（ ）t/a</w:t>
            </w:r>
          </w:p>
        </w:tc>
        <w:tc>
          <w:tcPr>
            <w:tcW w:w="1661" w:type="dxa"/>
            <w:gridSpan w:val="5"/>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（6.21）t/a</w:t>
            </w:r>
          </w:p>
        </w:tc>
        <w:tc>
          <w:tcPr>
            <w:tcW w:w="1089" w:type="dxa"/>
            <w:gridSpan w:val="3"/>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VOCs（3.331）t/a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18"/>
            <w:vAlign w:val="center"/>
          </w:tcPr>
          <w:p>
            <w:pPr>
              <w:adjustRightInd w:val="0"/>
              <w:snapToGrid w:val="0"/>
              <w:spacing w:line="240" w:lineRule="auto"/>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注：“</w:t>
            </w:r>
            <w:r>
              <w:rPr>
                <w:rFonts w:eastAsia="宋体"/>
                <w:color w:val="000000" w:themeColor="text1"/>
                <w:kern w:val="0"/>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”为勾选项，填“√”；“（ ）”为内容填写项</w:t>
            </w:r>
          </w:p>
        </w:tc>
      </w:tr>
    </w:tbl>
    <w:p>
      <w:pPr>
        <w:pStyle w:val="179"/>
        <w:rPr>
          <w:rFonts w:eastAsia="宋体"/>
          <w:color w:val="000000" w:themeColor="text1"/>
          <w14:textFill>
            <w14:solidFill>
              <w14:schemeClr w14:val="tx1"/>
            </w14:solidFill>
          </w14:textFill>
        </w:rPr>
      </w:pPr>
      <w:bookmarkStart w:id="163" w:name="_Toc155271423"/>
      <w:r>
        <w:rPr>
          <w:rFonts w:eastAsia="宋体"/>
          <w:color w:val="000000" w:themeColor="text1"/>
          <w14:textFill>
            <w14:solidFill>
              <w14:schemeClr w14:val="tx1"/>
            </w14:solidFill>
          </w14:textFill>
        </w:rPr>
        <w:t>4.3运营期地表水环境影响预测与评价</w:t>
      </w:r>
      <w:bookmarkEnd w:id="157"/>
      <w:bookmarkEnd w:id="158"/>
      <w:bookmarkEnd w:id="159"/>
      <w:bookmarkEnd w:id="163"/>
    </w:p>
    <w:p>
      <w:pPr>
        <w:keepNext/>
        <w:keepLines/>
        <w:adjustRightInd w:val="0"/>
        <w:outlineLvl w:val="2"/>
        <w:rPr>
          <w:rFonts w:eastAsia="宋体"/>
          <w:b/>
          <w:bCs/>
          <w:color w:val="000000" w:themeColor="text1"/>
          <w14:textFill>
            <w14:solidFill>
              <w14:schemeClr w14:val="tx1"/>
            </w14:solidFill>
          </w14:textFill>
        </w:rPr>
      </w:pPr>
      <w:r>
        <w:rPr>
          <w:rFonts w:eastAsia="宋体"/>
          <w:b/>
          <w:bCs/>
          <w:color w:val="000000" w:themeColor="text1"/>
          <w:szCs w:val="32"/>
          <w14:textFill>
            <w14:solidFill>
              <w14:schemeClr w14:val="tx1"/>
            </w14:solidFill>
          </w14:textFill>
        </w:rPr>
        <w:t>4.3.1环境影响识别与评价因子</w:t>
      </w:r>
    </w:p>
    <w:p>
      <w:pPr>
        <w:ind w:firstLine="516" w:firstLineChars="215"/>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项目废水主要包括生活污水、食堂废水、员工洗手废水、车间地面清洁废水和空压机冷凝水。主要污染物为COD、SS、NH</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-N、BOD</w:t>
      </w:r>
      <w:r>
        <w:rPr>
          <w:rFonts w:eastAsia="宋体"/>
          <w:color w:val="000000" w:themeColor="text1"/>
          <w:szCs w:val="24"/>
          <w:vertAlign w:val="subscript"/>
          <w14:textFill>
            <w14:solidFill>
              <w14:schemeClr w14:val="tx1"/>
            </w14:solidFill>
          </w14:textFill>
        </w:rPr>
        <w:t>5</w:t>
      </w:r>
      <w:r>
        <w:rPr>
          <w:rFonts w:eastAsia="宋体"/>
          <w:color w:val="000000" w:themeColor="text1"/>
          <w:szCs w:val="24"/>
          <w14:textFill>
            <w14:solidFill>
              <w14:schemeClr w14:val="tx1"/>
            </w14:solidFill>
          </w14:textFill>
        </w:rPr>
        <w:t>、石油类、动植物油、</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P</w:t>
      </w:r>
      <w:r>
        <w:rPr>
          <w:rFonts w:hint="eastAsia" w:eastAsia="宋体"/>
          <w:color w:val="000000" w:themeColor="text1"/>
          <w:szCs w:val="24"/>
          <w14:textFill>
            <w14:solidFill>
              <w14:schemeClr w14:val="tx1"/>
            </w14:solidFill>
          </w14:textFill>
        </w:rPr>
        <w:t>。</w:t>
      </w:r>
    </w:p>
    <w:p>
      <w:pPr>
        <w:ind w:firstLine="516" w:firstLineChars="215"/>
        <w:rPr>
          <w:rFonts w:eastAsia="宋体"/>
          <w:color w:val="000000" w:themeColor="text1"/>
          <w14:textFill>
            <w14:solidFill>
              <w14:schemeClr w14:val="tx1"/>
            </w14:solidFill>
          </w14:textFill>
        </w:rPr>
      </w:pPr>
      <w:r>
        <w:rPr>
          <w:rFonts w:eastAsia="宋体"/>
          <w:bCs/>
          <w:color w:val="000000" w:themeColor="text1"/>
          <w:szCs w:val="32"/>
          <w14:textFill>
            <w14:solidFill>
              <w14:schemeClr w14:val="tx1"/>
            </w14:solidFill>
          </w14:textFill>
        </w:rPr>
        <w:t>1号地块的食堂废水经1#隔油沉淀设施预处理后排入1#生化池，员工洗手废水、车间地面清洁废水和空压机冷凝水经2#隔油沉淀设施预处理后排入1#生化池，然后和生活污水统一经1#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2号地块的</w:t>
      </w:r>
      <w:r>
        <w:rPr>
          <w:rFonts w:eastAsia="宋体"/>
          <w:bCs/>
          <w:color w:val="000000" w:themeColor="text1"/>
          <w:szCs w:val="32"/>
          <w14:textFill>
            <w14:solidFill>
              <w14:schemeClr w14:val="tx1"/>
            </w14:solidFill>
          </w14:textFill>
        </w:rPr>
        <w:t>食堂废水经3#隔油沉淀设施预处理后排入2#生化池，员工洗手废水、车间地面清洁废水</w:t>
      </w:r>
      <w:r>
        <w:rPr>
          <w:rFonts w:hint="eastAsia" w:eastAsia="宋体"/>
          <w:bCs/>
          <w:color w:val="000000" w:themeColor="text1"/>
          <w:szCs w:val="32"/>
          <w14:textFill>
            <w14:solidFill>
              <w14:schemeClr w14:val="tx1"/>
            </w14:solidFill>
          </w14:textFill>
        </w:rPr>
        <w:t>、</w:t>
      </w:r>
      <w:r>
        <w:rPr>
          <w:rFonts w:eastAsia="宋体"/>
          <w:bCs/>
          <w:color w:val="000000" w:themeColor="text1"/>
          <w:szCs w:val="32"/>
          <w14:textFill>
            <w14:solidFill>
              <w14:schemeClr w14:val="tx1"/>
            </w14:solidFill>
          </w14:textFill>
        </w:rPr>
        <w:t>空压机冷凝水</w:t>
      </w:r>
      <w:r>
        <w:rPr>
          <w:rFonts w:hint="eastAsia" w:eastAsia="宋体"/>
          <w:bCs/>
          <w:color w:val="000000" w:themeColor="text1"/>
          <w:szCs w:val="32"/>
          <w14:textFill>
            <w14:solidFill>
              <w14:schemeClr w14:val="tx1"/>
            </w14:solidFill>
          </w14:textFill>
        </w:rPr>
        <w:t>、喷枪清洗废水和气旋喷淋废水经生产废水处理设施预处理后排入2</w:t>
      </w:r>
      <w:r>
        <w:rPr>
          <w:rFonts w:eastAsia="宋体"/>
          <w:bCs/>
          <w:color w:val="000000" w:themeColor="text1"/>
          <w:szCs w:val="32"/>
          <w14:textFill>
            <w14:solidFill>
              <w14:schemeClr w14:val="tx1"/>
            </w14:solidFill>
          </w14:textFill>
        </w:rPr>
        <w:t>#</w:t>
      </w:r>
      <w:r>
        <w:rPr>
          <w:rFonts w:hint="eastAsia" w:eastAsia="宋体"/>
          <w:bCs/>
          <w:color w:val="000000" w:themeColor="text1"/>
          <w:szCs w:val="32"/>
          <w14:textFill>
            <w14:solidFill>
              <w14:schemeClr w14:val="tx1"/>
            </w14:solidFill>
          </w14:textFill>
        </w:rPr>
        <w:t>生化池，</w:t>
      </w:r>
      <w:r>
        <w:rPr>
          <w:rFonts w:eastAsia="宋体"/>
          <w:bCs/>
          <w:color w:val="000000" w:themeColor="text1"/>
          <w:szCs w:val="32"/>
          <w14:textFill>
            <w14:solidFill>
              <w14:schemeClr w14:val="tx1"/>
            </w14:solidFill>
          </w14:textFill>
        </w:rPr>
        <w:t>然后和生活污水统一经2#生化池处理达《污水综合排放标准》（GB8978-1996）中三级标准后排入园区污水管网，进入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项目废水经双桥工业园区污水处理厂处理达《城镇污水处理厂污染物排放标准》（GB18918-2002）中一级B标准后排入苦水河。</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4.3.2地表水环境影响评价</w:t>
      </w:r>
    </w:p>
    <w:p>
      <w:pPr>
        <w:ind w:firstLine="482"/>
        <w:rPr>
          <w:rFonts w:eastAsia="宋体"/>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（1）评价等级</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项目废水分别处理后经园区污水管网排入</w:t>
      </w:r>
      <w:r>
        <w:rPr>
          <w:rFonts w:eastAsia="宋体"/>
          <w:color w:val="000000" w:themeColor="text1"/>
          <w14:textFill>
            <w14:solidFill>
              <w14:schemeClr w14:val="tx1"/>
            </w14:solidFill>
          </w14:textFill>
        </w:rPr>
        <w:t>双桥工业园区污水处理厂</w:t>
      </w:r>
      <w:r>
        <w:rPr>
          <w:rFonts w:eastAsia="宋体"/>
          <w:color w:val="000000" w:themeColor="text1"/>
          <w:szCs w:val="20"/>
          <w14:textFill>
            <w14:solidFill>
              <w14:schemeClr w14:val="tx1"/>
            </w14:solidFill>
          </w14:textFill>
        </w:rPr>
        <w:t>处理达标后</w:t>
      </w:r>
      <w:r>
        <w:rPr>
          <w:rFonts w:eastAsia="宋体"/>
          <w:color w:val="000000" w:themeColor="text1"/>
          <w:szCs w:val="24"/>
          <w14:textFill>
            <w14:solidFill>
              <w14:schemeClr w14:val="tx1"/>
            </w14:solidFill>
          </w14:textFill>
        </w:rPr>
        <w:t>，排入苦水河。废水排放方式为间接排放。</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根据《环境影响评价技术导则 地表水环境》（HJ 2.3-2018）中水污染影响型建设项目评价等级判定方法，排放方式为间接排放，本项目地表水环境评价等级为三级B。</w:t>
      </w:r>
      <w:r>
        <w:rPr>
          <w:rFonts w:eastAsia="宋体"/>
          <w:color w:val="000000" w:themeColor="text1"/>
          <w14:textFill>
            <w14:solidFill>
              <w14:schemeClr w14:val="tx1"/>
            </w14:solidFill>
          </w14:textFill>
        </w:rPr>
        <w:t>故本项目不进行水环境影响预测，</w:t>
      </w:r>
      <w:r>
        <w:rPr>
          <w:rFonts w:eastAsia="宋体"/>
          <w:color w:val="000000" w:themeColor="text1"/>
          <w:szCs w:val="24"/>
          <w14:textFill>
            <w14:solidFill>
              <w14:schemeClr w14:val="tx1"/>
            </w14:solidFill>
          </w14:textFill>
        </w:rPr>
        <w:t>仅对水污染控制和水环境影响减缓措施有效性评价和依托污水处理设施的环境可行性评价。</w:t>
      </w:r>
    </w:p>
    <w:p>
      <w:pPr>
        <w:ind w:firstLine="482"/>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（2）污水处理措施可行性分析</w:t>
      </w:r>
    </w:p>
    <w:p>
      <w:pPr>
        <w:ind w:firstLine="360" w:firstLineChars="150"/>
        <w:jc w:val="left"/>
        <w:rPr>
          <w:rFonts w:eastAsia="宋体"/>
          <w:b/>
          <w:bCs/>
          <w:color w:val="000000" w:themeColor="text1"/>
          <w14:textFill>
            <w14:solidFill>
              <w14:schemeClr w14:val="tx1"/>
            </w14:solidFill>
          </w14:textFill>
        </w:rPr>
      </w:pPr>
      <w:r>
        <w:rPr>
          <w:rFonts w:eastAsia="宋体"/>
          <w:color w:val="000000" w:themeColor="text1"/>
          <w14:textFill>
            <w14:solidFill>
              <w14:schemeClr w14:val="tx1"/>
            </w14:solidFill>
          </w14:textFill>
        </w:rPr>
        <w:t>根据2.4.2章节，本项目废水主要为生活污水、</w:t>
      </w:r>
      <w:r>
        <w:rPr>
          <w:rFonts w:eastAsia="宋体"/>
          <w:color w:val="000000" w:themeColor="text1"/>
          <w:szCs w:val="24"/>
          <w14:textFill>
            <w14:solidFill>
              <w14:schemeClr w14:val="tx1"/>
            </w14:solidFill>
          </w14:textFill>
        </w:rPr>
        <w:t>食堂废水、员工洗手废水、车间地面清洁废水和空压机冷凝水</w:t>
      </w:r>
      <w:r>
        <w:rPr>
          <w:rFonts w:hint="eastAsia" w:eastAsia="宋体"/>
          <w:color w:val="000000" w:themeColor="text1"/>
          <w:szCs w:val="24"/>
          <w14:textFill>
            <w14:solidFill>
              <w14:schemeClr w14:val="tx1"/>
            </w14:solidFill>
          </w14:textFill>
        </w:rPr>
        <w:t>等</w:t>
      </w:r>
      <w:r>
        <w:rPr>
          <w:rFonts w:eastAsia="宋体"/>
          <w:color w:val="000000" w:themeColor="text1"/>
          <w:szCs w:val="24"/>
          <w14:textFill>
            <w14:solidFill>
              <w14:schemeClr w14:val="tx1"/>
            </w14:solidFill>
          </w14:textFill>
        </w:rPr>
        <w:t>，水质简单</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分别</w:t>
      </w:r>
      <w:r>
        <w:rPr>
          <w:rFonts w:eastAsia="宋体"/>
          <w:color w:val="000000" w:themeColor="text1"/>
          <w14:textFill>
            <w14:solidFill>
              <w14:schemeClr w14:val="tx1"/>
            </w14:solidFill>
          </w14:textFill>
        </w:rPr>
        <w:t>经隔油沉淀设施、</w:t>
      </w:r>
      <w:r>
        <w:rPr>
          <w:rFonts w:hint="eastAsia" w:eastAsia="宋体"/>
          <w:color w:val="000000" w:themeColor="text1"/>
          <w14:textFill>
            <w14:solidFill>
              <w14:schemeClr w14:val="tx1"/>
            </w14:solidFill>
          </w14:textFill>
        </w:rPr>
        <w:t>生产废水处理设施、</w:t>
      </w:r>
      <w:r>
        <w:rPr>
          <w:rFonts w:eastAsia="宋体"/>
          <w:color w:val="000000" w:themeColor="text1"/>
          <w14:textFill>
            <w14:solidFill>
              <w14:schemeClr w14:val="tx1"/>
            </w14:solidFill>
          </w14:textFill>
        </w:rPr>
        <w:t>生化池处理后能够达到</w:t>
      </w:r>
      <w:r>
        <w:rPr>
          <w:rFonts w:eastAsia="宋体"/>
          <w:bCs/>
          <w:color w:val="000000" w:themeColor="text1"/>
          <w:szCs w:val="32"/>
          <w14:textFill>
            <w14:solidFill>
              <w14:schemeClr w14:val="tx1"/>
            </w14:solidFill>
          </w14:textFill>
        </w:rPr>
        <w:t>《污水综合排放标准》（GB8978-1996）中三级标准，出水水质符合</w:t>
      </w:r>
      <w:r>
        <w:rPr>
          <w:rFonts w:eastAsia="宋体"/>
          <w:color w:val="000000" w:themeColor="text1"/>
          <w:szCs w:val="24"/>
          <w14:textFill>
            <w14:solidFill>
              <w14:schemeClr w14:val="tx1"/>
            </w14:solidFill>
          </w14:textFill>
        </w:rPr>
        <w:t>进入</w:t>
      </w:r>
      <w:r>
        <w:rPr>
          <w:rFonts w:eastAsia="宋体"/>
          <w:color w:val="000000" w:themeColor="text1"/>
          <w:kern w:val="0"/>
          <w14:textFill>
            <w14:solidFill>
              <w14:schemeClr w14:val="tx1"/>
            </w14:solidFill>
          </w14:textFill>
        </w:rPr>
        <w:t>双桥工业园区污水处理厂</w:t>
      </w:r>
      <w:r>
        <w:rPr>
          <w:rFonts w:eastAsia="宋体"/>
          <w:color w:val="000000" w:themeColor="text1"/>
          <w:szCs w:val="24"/>
          <w14:textFill>
            <w14:solidFill>
              <w14:schemeClr w14:val="tx1"/>
            </w14:solidFill>
          </w14:textFill>
        </w:rPr>
        <w:t>的接管要求，污水处理措施可行</w:t>
      </w:r>
      <w:r>
        <w:rPr>
          <w:rFonts w:eastAsia="宋体"/>
          <w:color w:val="000000" w:themeColor="text1"/>
          <w14:textFill>
            <w14:solidFill>
              <w14:schemeClr w14:val="tx1"/>
            </w14:solidFill>
          </w14:textFill>
        </w:rPr>
        <w:t>。</w:t>
      </w:r>
    </w:p>
    <w:p>
      <w:pPr>
        <w:ind w:firstLine="482"/>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（3）废水接管入双桥工业园区污水处理厂可行性分析</w:t>
      </w:r>
    </w:p>
    <w:p>
      <w:pPr>
        <w:ind w:firstLine="480"/>
        <w:rPr>
          <w:rFonts w:eastAsia="宋体"/>
          <w:color w:val="000000" w:themeColor="text1"/>
          <w:szCs w:val="24"/>
          <w14:textFill>
            <w14:solidFill>
              <w14:schemeClr w14:val="tx1"/>
            </w14:solidFill>
          </w14:textFill>
        </w:rPr>
      </w:pPr>
      <w:r>
        <w:rPr>
          <w:rFonts w:eastAsia="宋体"/>
          <w:color w:val="000000" w:themeColor="text1"/>
          <w:kern w:val="0"/>
          <w14:textFill>
            <w14:solidFill>
              <w14:schemeClr w14:val="tx1"/>
            </w14:solidFill>
          </w14:textFill>
        </w:rPr>
        <w:t>双桥工业园区污水处理厂位于邮亭镇天堂村4组，布置于园区东侧，已建成处理规模为1万m</w:t>
      </w:r>
      <w:r>
        <w:rPr>
          <w:rFonts w:eastAsia="宋体"/>
          <w:color w:val="000000" w:themeColor="text1"/>
          <w:kern w:val="0"/>
          <w:vertAlign w:val="superscript"/>
          <w14:textFill>
            <w14:solidFill>
              <w14:schemeClr w14:val="tx1"/>
            </w14:solidFill>
          </w14:textFill>
        </w:rPr>
        <w:t>3</w:t>
      </w:r>
      <w:r>
        <w:rPr>
          <w:rFonts w:eastAsia="宋体"/>
          <w:color w:val="000000" w:themeColor="text1"/>
          <w:kern w:val="0"/>
          <w14:textFill>
            <w14:solidFill>
              <w14:schemeClr w14:val="tx1"/>
            </w14:solidFill>
          </w14:textFill>
        </w:rPr>
        <w:t>/d，于2015年10月建成投运，占地1.66hm</w:t>
      </w:r>
      <w:r>
        <w:rPr>
          <w:rFonts w:eastAsia="宋体"/>
          <w:color w:val="000000" w:themeColor="text1"/>
          <w:kern w:val="0"/>
          <w:vertAlign w:val="superscript"/>
          <w14:textFill>
            <w14:solidFill>
              <w14:schemeClr w14:val="tx1"/>
            </w14:solidFill>
          </w14:textFill>
        </w:rPr>
        <w:t>2</w:t>
      </w:r>
      <w:r>
        <w:rPr>
          <w:rFonts w:eastAsia="宋体"/>
          <w:color w:val="000000" w:themeColor="text1"/>
          <w:kern w:val="0"/>
          <w14:textFill>
            <w14:solidFill>
              <w14:schemeClr w14:val="tx1"/>
            </w14:solidFill>
          </w14:textFill>
        </w:rPr>
        <w:t>，目前剩余处理规模约0.5万m</w:t>
      </w:r>
      <w:r>
        <w:rPr>
          <w:rFonts w:eastAsia="宋体"/>
          <w:color w:val="000000" w:themeColor="text1"/>
          <w:kern w:val="0"/>
          <w:vertAlign w:val="superscript"/>
          <w14:textFill>
            <w14:solidFill>
              <w14:schemeClr w14:val="tx1"/>
            </w14:solidFill>
          </w14:textFill>
        </w:rPr>
        <w:t>3</w:t>
      </w:r>
      <w:r>
        <w:rPr>
          <w:rFonts w:eastAsia="宋体"/>
          <w:color w:val="000000" w:themeColor="text1"/>
          <w:kern w:val="0"/>
          <w14:textFill>
            <w14:solidFill>
              <w14:schemeClr w14:val="tx1"/>
            </w14:solidFill>
          </w14:textFill>
        </w:rPr>
        <w:t>/d。污水处理厂目前服务范围为邮亭工业园区、大邮路东侧的邮亭镇少量居民生活污水，服务面积约10.7km</w:t>
      </w:r>
      <w:r>
        <w:rPr>
          <w:rFonts w:eastAsia="宋体"/>
          <w:color w:val="000000" w:themeColor="text1"/>
          <w:kern w:val="0"/>
          <w:vertAlign w:val="superscript"/>
          <w14:textFill>
            <w14:solidFill>
              <w14:schemeClr w14:val="tx1"/>
            </w14:solidFill>
          </w14:textFill>
        </w:rPr>
        <w:t>2</w:t>
      </w:r>
      <w:r>
        <w:rPr>
          <w:rFonts w:eastAsia="宋体"/>
          <w:color w:val="000000" w:themeColor="text1"/>
          <w:kern w:val="0"/>
          <w14:textFill>
            <w14:solidFill>
              <w14:schemeClr w14:val="tx1"/>
            </w14:solidFill>
          </w14:textFill>
        </w:rPr>
        <w:t>。采用改良卡式氧化沟工艺，</w:t>
      </w:r>
      <w:r>
        <w:rPr>
          <w:rFonts w:hint="eastAsia" w:eastAsia="宋体"/>
          <w:color w:val="000000" w:themeColor="text1"/>
          <w:kern w:val="0"/>
          <w14:textFill>
            <w14:solidFill>
              <w14:schemeClr w14:val="tx1"/>
            </w14:solidFill>
          </w14:textFill>
        </w:rPr>
        <w:t>目前污水处理厂正在开展提标改造工作，尾水排放由现状</w:t>
      </w:r>
      <w:r>
        <w:rPr>
          <w:rFonts w:eastAsia="宋体"/>
          <w:color w:val="000000" w:themeColor="text1"/>
          <w:kern w:val="0"/>
          <w14:textFill>
            <w14:solidFill>
              <w14:schemeClr w14:val="tx1"/>
            </w14:solidFill>
          </w14:textFill>
        </w:rPr>
        <w:t>《城镇污水处理厂污染物排放标准》（GB18918-2002）中一级</w:t>
      </w:r>
      <w:r>
        <w:rPr>
          <w:rFonts w:hint="eastAsia" w:eastAsia="宋体"/>
          <w:color w:val="000000" w:themeColor="text1"/>
          <w:kern w:val="0"/>
          <w14:textFill>
            <w14:solidFill>
              <w14:schemeClr w14:val="tx1"/>
            </w14:solidFill>
          </w14:textFill>
        </w:rPr>
        <w:t>B</w:t>
      </w:r>
      <w:r>
        <w:rPr>
          <w:rFonts w:eastAsia="宋体"/>
          <w:color w:val="000000" w:themeColor="text1"/>
          <w:kern w:val="0"/>
          <w14:textFill>
            <w14:solidFill>
              <w14:schemeClr w14:val="tx1"/>
            </w14:solidFill>
          </w14:textFill>
        </w:rPr>
        <w:t>标准</w:t>
      </w:r>
      <w:r>
        <w:rPr>
          <w:rFonts w:hint="eastAsia" w:eastAsia="宋体"/>
          <w:color w:val="000000" w:themeColor="text1"/>
          <w:kern w:val="0"/>
          <w14:textFill>
            <w14:solidFill>
              <w14:schemeClr w14:val="tx1"/>
            </w14:solidFill>
          </w14:textFill>
        </w:rPr>
        <w:t>提标至</w:t>
      </w:r>
      <w:r>
        <w:rPr>
          <w:rFonts w:eastAsia="宋体"/>
          <w:color w:val="000000" w:themeColor="text1"/>
          <w:kern w:val="0"/>
          <w14:textFill>
            <w14:solidFill>
              <w14:schemeClr w14:val="tx1"/>
            </w14:solidFill>
          </w14:textFill>
        </w:rPr>
        <w:t>《城镇污水处理厂污染物排放标准》（GB18918-2002）中一级A标准（其中COD、氨氮、TP执行《地表水环境质量标准》（GB 3838-2002）Ⅳ类标准）后排入苦水河</w:t>
      </w:r>
      <w:r>
        <w:rPr>
          <w:rFonts w:eastAsia="宋体"/>
          <w:color w:val="000000" w:themeColor="text1"/>
          <w:szCs w:val="24"/>
          <w14:textFill>
            <w14:solidFill>
              <w14:schemeClr w14:val="tx1"/>
            </w14:solidFill>
          </w14:textFill>
        </w:rPr>
        <w:t>。</w:t>
      </w:r>
    </w:p>
    <w:p>
      <w:pPr>
        <w:ind w:firstLine="480"/>
        <w:jc w:val="left"/>
        <w:rPr>
          <w:rFonts w:eastAsia="宋体"/>
          <w:color w:val="000000" w:themeColor="text1"/>
          <w14:textFill>
            <w14:solidFill>
              <w14:schemeClr w14:val="tx1"/>
            </w14:solidFill>
          </w14:textFill>
        </w:rPr>
      </w:pPr>
      <w:r>
        <w:rPr>
          <w:rFonts w:eastAsia="宋体"/>
          <w:color w:val="000000" w:themeColor="text1"/>
          <w:kern w:val="0"/>
          <w14:textFill>
            <w14:solidFill>
              <w14:schemeClr w14:val="tx1"/>
            </w14:solidFill>
          </w14:textFill>
        </w:rPr>
        <w:t>本项目位于</w:t>
      </w:r>
      <w:r>
        <w:rPr>
          <w:rFonts w:eastAsia="宋体"/>
          <w:color w:val="000000" w:themeColor="text1"/>
          <w14:textFill>
            <w14:solidFill>
              <w14:schemeClr w14:val="tx1"/>
            </w14:solidFill>
          </w14:textFill>
        </w:rPr>
        <w:t>重庆市大足区邮亭镇天堂</w:t>
      </w:r>
      <w:r>
        <w:rPr>
          <w:rFonts w:hint="eastAsia" w:eastAsia="宋体"/>
          <w:color w:val="000000" w:themeColor="text1"/>
          <w14:textFill>
            <w14:solidFill>
              <w14:schemeClr w14:val="tx1"/>
            </w14:solidFill>
          </w14:textFill>
        </w:rPr>
        <w:t>村九组</w:t>
      </w:r>
      <w:r>
        <w:rPr>
          <w:rFonts w:eastAsia="宋体"/>
          <w:color w:val="000000" w:themeColor="text1"/>
          <w14:textFill>
            <w14:solidFill>
              <w14:schemeClr w14:val="tx1"/>
            </w14:solidFill>
          </w14:textFill>
        </w:rPr>
        <w:t>129号（1号地块）、重庆市大足区邮亭镇工业园区烈火村17组（2号地块）</w:t>
      </w:r>
      <w:r>
        <w:rPr>
          <w:rFonts w:eastAsia="宋体"/>
          <w:color w:val="000000" w:themeColor="text1"/>
          <w:szCs w:val="24"/>
          <w14:textFill>
            <w14:solidFill>
              <w14:schemeClr w14:val="tx1"/>
            </w14:solidFill>
          </w14:textFill>
        </w:rPr>
        <w:t>。污废水通过隔油沉淀设施和生化池处理达到《污水综合排放标准》（GB8978-1996）三级排放标准后，经园区污水管网排入</w:t>
      </w:r>
      <w:r>
        <w:rPr>
          <w:rFonts w:eastAsia="宋体"/>
          <w:color w:val="000000" w:themeColor="text1"/>
          <w:kern w:val="0"/>
          <w14:textFill>
            <w14:solidFill>
              <w14:schemeClr w14:val="tx1"/>
            </w14:solidFill>
          </w14:textFill>
        </w:rPr>
        <w:t>双桥工业园区污水处理厂</w:t>
      </w:r>
      <w:r>
        <w:rPr>
          <w:rFonts w:eastAsia="宋体"/>
          <w:color w:val="000000" w:themeColor="text1"/>
          <w:szCs w:val="24"/>
          <w14:textFill>
            <w14:solidFill>
              <w14:schemeClr w14:val="tx1"/>
            </w14:solidFill>
          </w14:textFill>
        </w:rPr>
        <w:t>，其水质符合进入</w:t>
      </w:r>
      <w:r>
        <w:rPr>
          <w:rFonts w:eastAsia="宋体"/>
          <w:color w:val="000000" w:themeColor="text1"/>
          <w:kern w:val="0"/>
          <w14:textFill>
            <w14:solidFill>
              <w14:schemeClr w14:val="tx1"/>
            </w14:solidFill>
          </w14:textFill>
        </w:rPr>
        <w:t>双桥工业园区污水处理厂</w:t>
      </w:r>
      <w:r>
        <w:rPr>
          <w:rFonts w:eastAsia="宋体"/>
          <w:color w:val="000000" w:themeColor="text1"/>
          <w:szCs w:val="24"/>
          <w14:textFill>
            <w14:solidFill>
              <w14:schemeClr w14:val="tx1"/>
            </w14:solidFill>
          </w14:textFill>
        </w:rPr>
        <w:t>的接管要求，并在污水处理厂的服务区范围内。同时，本项目废水排放量为31.972m</w:t>
      </w:r>
      <w:r>
        <w:rPr>
          <w:rFonts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/d，废水量远低于污水处理厂剩余处理规模。因此，本项目废水接入</w:t>
      </w:r>
      <w:r>
        <w:rPr>
          <w:rFonts w:eastAsia="宋体"/>
          <w:color w:val="000000" w:themeColor="text1"/>
          <w:kern w:val="0"/>
          <w14:textFill>
            <w14:solidFill>
              <w14:schemeClr w14:val="tx1"/>
            </w14:solidFill>
          </w14:textFill>
        </w:rPr>
        <w:t>双桥工业园区污水处理厂</w:t>
      </w:r>
      <w:r>
        <w:rPr>
          <w:rFonts w:eastAsia="宋体"/>
          <w:color w:val="000000" w:themeColor="text1"/>
          <w:szCs w:val="24"/>
          <w14:textFill>
            <w14:solidFill>
              <w14:schemeClr w14:val="tx1"/>
            </w14:solidFill>
          </w14:textFill>
        </w:rPr>
        <w:t>是可行的。</w:t>
      </w:r>
    </w:p>
    <w:p>
      <w:pPr>
        <w:ind w:firstLine="482"/>
        <w:rPr>
          <w:rFonts w:eastAsia="宋体"/>
          <w:b/>
          <w:color w:val="000000" w:themeColor="text1"/>
          <w:szCs w:val="24"/>
          <w14:textFill>
            <w14:solidFill>
              <w14:schemeClr w14:val="tx1"/>
            </w14:solidFill>
          </w14:textFill>
        </w:rPr>
      </w:pPr>
      <w:bookmarkStart w:id="164" w:name="_Toc489281062"/>
      <w:bookmarkStart w:id="165" w:name="_Toc490235562"/>
      <w:bookmarkStart w:id="166" w:name="_Toc21506"/>
      <w:r>
        <w:rPr>
          <w:rFonts w:eastAsia="宋体"/>
          <w:b/>
          <w:color w:val="000000" w:themeColor="text1"/>
          <w:szCs w:val="24"/>
          <w14:textFill>
            <w14:solidFill>
              <w14:schemeClr w14:val="tx1"/>
            </w14:solidFill>
          </w14:textFill>
        </w:rPr>
        <w:t>（4）废水污染物排放信息</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本项目废水类别、污染物污染治理设施信息，废水间接排放口基本情况，废水污染物排放信息等，见表4.3-1~4.3-3。</w:t>
      </w:r>
    </w:p>
    <w:p>
      <w:pPr>
        <w:suppressAutoHyphens/>
        <w:spacing w:line="240" w:lineRule="auto"/>
        <w:jc w:val="center"/>
        <w:rPr>
          <w:rFonts w:eastAsia="宋体"/>
          <w:b/>
          <w:bCs/>
          <w:color w:val="000000" w:themeColor="text1"/>
          <w:szCs w:val="24"/>
          <w14:textFill>
            <w14:solidFill>
              <w14:schemeClr w14:val="tx1"/>
            </w14:solidFill>
          </w14:textFill>
        </w:rPr>
      </w:pPr>
      <w:bookmarkStart w:id="167" w:name="_Toc26661"/>
      <w:r>
        <w:rPr>
          <w:rFonts w:eastAsia="宋体"/>
          <w:b/>
          <w:bCs/>
          <w:color w:val="000000" w:themeColor="text1"/>
          <w:szCs w:val="24"/>
          <w14:textFill>
            <w14:solidFill>
              <w14:schemeClr w14:val="tx1"/>
            </w14:solidFill>
          </w14:textFill>
        </w:rPr>
        <w:t>表4.3-1  废水类型、污染物及污染治理设施表</w:t>
      </w:r>
      <w:bookmarkEnd w:id="167"/>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8"/>
        <w:gridCol w:w="601"/>
        <w:gridCol w:w="922"/>
        <w:gridCol w:w="689"/>
        <w:gridCol w:w="971"/>
        <w:gridCol w:w="856"/>
        <w:gridCol w:w="896"/>
        <w:gridCol w:w="918"/>
        <w:gridCol w:w="675"/>
        <w:gridCol w:w="847"/>
        <w:gridCol w:w="13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64"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331"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废水类别</w:t>
            </w:r>
          </w:p>
        </w:tc>
        <w:tc>
          <w:tcPr>
            <w:tcW w:w="508"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380"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排放去向</w:t>
            </w:r>
          </w:p>
        </w:tc>
        <w:tc>
          <w:tcPr>
            <w:tcW w:w="535"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排放规律</w:t>
            </w:r>
          </w:p>
        </w:tc>
        <w:tc>
          <w:tcPr>
            <w:tcW w:w="1472" w:type="pct"/>
            <w:gridSpan w:val="3"/>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w:t>
            </w:r>
          </w:p>
        </w:tc>
        <w:tc>
          <w:tcPr>
            <w:tcW w:w="372"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排放口编号</w:t>
            </w:r>
          </w:p>
        </w:tc>
        <w:tc>
          <w:tcPr>
            <w:tcW w:w="467"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排放口设置是否符合要求</w:t>
            </w:r>
          </w:p>
        </w:tc>
        <w:tc>
          <w:tcPr>
            <w:tcW w:w="771" w:type="pct"/>
            <w:vMerge w:val="restart"/>
            <w:tcBorders>
              <w:top w:val="single" w:color="000000" w:sz="12" w:space="0"/>
            </w:tcBorders>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164"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331"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08"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380"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535"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472" w:type="pct"/>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污染治理设施编号</w:t>
            </w:r>
          </w:p>
        </w:tc>
        <w:tc>
          <w:tcPr>
            <w:tcW w:w="494" w:type="pct"/>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污染治理设施名称</w:t>
            </w:r>
          </w:p>
        </w:tc>
        <w:tc>
          <w:tcPr>
            <w:tcW w:w="506" w:type="pct"/>
            <w:vAlign w:val="center"/>
          </w:tcPr>
          <w:p>
            <w:pPr>
              <w:pStyle w:val="228"/>
              <w:spacing w:line="240" w:lineRule="auto"/>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污染治理设施工艺</w:t>
            </w:r>
          </w:p>
        </w:tc>
        <w:tc>
          <w:tcPr>
            <w:tcW w:w="372"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467"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71" w:type="pct"/>
            <w:vMerge w:val="continue"/>
            <w:vAlign w:val="center"/>
          </w:tcPr>
          <w:p>
            <w:pPr>
              <w:autoSpaceDE w:val="0"/>
              <w:autoSpaceDN w:val="0"/>
              <w:adjustRightInd w:val="0"/>
              <w:spacing w:line="240" w:lineRule="auto"/>
              <w:jc w:val="center"/>
              <w:textAlignment w:val="baseline"/>
              <w:rPr>
                <w:rFonts w:eastAsia="宋体"/>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64"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331"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生活污水、生产废水</w:t>
            </w:r>
          </w:p>
        </w:tc>
        <w:tc>
          <w:tcPr>
            <w:tcW w:w="508"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石油类、动植物油、</w:t>
            </w:r>
            <w:r>
              <w:rPr>
                <w:rFonts w:hint="eastAsia"/>
                <w:color w:val="000000" w:themeColor="text1"/>
                <w:sz w:val="21"/>
                <w:szCs w:val="21"/>
                <w14:textFill>
                  <w14:solidFill>
                    <w14:schemeClr w14:val="tx1"/>
                  </w14:solidFill>
                </w14:textFill>
              </w:rPr>
              <w:t>T</w:t>
            </w:r>
            <w:r>
              <w:rPr>
                <w:color w:val="000000" w:themeColor="text1"/>
                <w:sz w:val="21"/>
                <w:szCs w:val="21"/>
                <w14:textFill>
                  <w14:solidFill>
                    <w14:schemeClr w14:val="tx1"/>
                  </w14:solidFill>
                </w14:textFill>
              </w:rPr>
              <w:t>P</w:t>
            </w:r>
          </w:p>
        </w:tc>
        <w:tc>
          <w:tcPr>
            <w:tcW w:w="380"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进入双桥工业园区污水处理厂</w:t>
            </w:r>
          </w:p>
        </w:tc>
        <w:tc>
          <w:tcPr>
            <w:tcW w:w="53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间接排放，排放期间流量不稳</w:t>
            </w:r>
          </w:p>
        </w:tc>
        <w:tc>
          <w:tcPr>
            <w:tcW w:w="472"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TW001</w:t>
            </w:r>
          </w:p>
        </w:tc>
        <w:tc>
          <w:tcPr>
            <w:tcW w:w="494"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1#隔油沉淀设施</w:t>
            </w:r>
          </w:p>
        </w:tc>
        <w:tc>
          <w:tcPr>
            <w:tcW w:w="50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隔油+沉淀 </w:t>
            </w:r>
          </w:p>
        </w:tc>
        <w:tc>
          <w:tcPr>
            <w:tcW w:w="372"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DW001</w:t>
            </w:r>
          </w:p>
        </w:tc>
        <w:tc>
          <w:tcPr>
            <w:tcW w:w="467"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ascii="Segoe UI Symbol" w:hAnsi="Segoe UI Symbol" w:cs="Segoe UI Symbol"/>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是</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c>
          <w:tcPr>
            <w:tcW w:w="771"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ascii="Segoe UI Symbol" w:hAnsi="Segoe UI Symbol" w:cs="Segoe UI Symbol"/>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企业总排</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□雨水排放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□清净下水排放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□温排水排放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□车间或车间处理设施排放口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64"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3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08"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80"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3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72"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TW002</w:t>
            </w:r>
          </w:p>
        </w:tc>
        <w:tc>
          <w:tcPr>
            <w:tcW w:w="494"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2#隔油沉淀设施</w:t>
            </w:r>
          </w:p>
        </w:tc>
        <w:tc>
          <w:tcPr>
            <w:tcW w:w="50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隔油+沉淀</w:t>
            </w:r>
          </w:p>
        </w:tc>
        <w:tc>
          <w:tcPr>
            <w:tcW w:w="372"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467"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7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64"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3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08"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80"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35"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c>
          <w:tcPr>
            <w:tcW w:w="472"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TW003</w:t>
            </w:r>
          </w:p>
        </w:tc>
        <w:tc>
          <w:tcPr>
            <w:tcW w:w="494"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1#生化池</w:t>
            </w:r>
          </w:p>
        </w:tc>
        <w:tc>
          <w:tcPr>
            <w:tcW w:w="50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水解酸化+沉淀</w:t>
            </w:r>
          </w:p>
        </w:tc>
        <w:tc>
          <w:tcPr>
            <w:tcW w:w="372"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467"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71" w:type="pct"/>
            <w:vMerge w:val="continue"/>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64"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331"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生活污水、生产废水</w:t>
            </w:r>
          </w:p>
        </w:tc>
        <w:tc>
          <w:tcPr>
            <w:tcW w:w="508"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COD、BOD</w:t>
            </w:r>
            <w:r>
              <w:rPr>
                <w:color w:val="000000" w:themeColor="text1"/>
                <w:sz w:val="21"/>
                <w:szCs w:val="21"/>
                <w:vertAlign w:val="subscript"/>
                <w14:textFill>
                  <w14:solidFill>
                    <w14:schemeClr w14:val="tx1"/>
                  </w14:solidFill>
                </w14:textFill>
              </w:rPr>
              <w:t>5</w:t>
            </w:r>
            <w:r>
              <w:rPr>
                <w:color w:val="000000" w:themeColor="text1"/>
                <w:sz w:val="21"/>
                <w:szCs w:val="21"/>
                <w14:textFill>
                  <w14:solidFill>
                    <w14:schemeClr w14:val="tx1"/>
                  </w14:solidFill>
                </w14:textFill>
              </w:rPr>
              <w:t>、</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SS、</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石油类、动植物油、</w:t>
            </w:r>
            <w:r>
              <w:rPr>
                <w:rFonts w:hint="eastAsia"/>
                <w:color w:val="000000" w:themeColor="text1"/>
                <w:sz w:val="21"/>
                <w:szCs w:val="21"/>
                <w14:textFill>
                  <w14:solidFill>
                    <w14:schemeClr w14:val="tx1"/>
                  </w14:solidFill>
                </w14:textFill>
              </w:rPr>
              <w:t>T</w:t>
            </w:r>
            <w:r>
              <w:rPr>
                <w:color w:val="000000" w:themeColor="text1"/>
                <w:sz w:val="21"/>
                <w:szCs w:val="21"/>
                <w14:textFill>
                  <w14:solidFill>
                    <w14:schemeClr w14:val="tx1"/>
                  </w14:solidFill>
                </w14:textFill>
              </w:rPr>
              <w:t>P</w:t>
            </w:r>
          </w:p>
        </w:tc>
        <w:tc>
          <w:tcPr>
            <w:tcW w:w="380"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进入双桥工业园区污水处理厂</w:t>
            </w:r>
          </w:p>
        </w:tc>
        <w:tc>
          <w:tcPr>
            <w:tcW w:w="535" w:type="pct"/>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间接排放，排放期间流量不稳</w:t>
            </w:r>
          </w:p>
        </w:tc>
        <w:tc>
          <w:tcPr>
            <w:tcW w:w="472"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TW004</w:t>
            </w:r>
          </w:p>
        </w:tc>
        <w:tc>
          <w:tcPr>
            <w:tcW w:w="494"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3#隔油沉淀设施</w:t>
            </w:r>
          </w:p>
        </w:tc>
        <w:tc>
          <w:tcPr>
            <w:tcW w:w="506" w:type="pc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隔油+沉淀 </w:t>
            </w:r>
          </w:p>
        </w:tc>
        <w:tc>
          <w:tcPr>
            <w:tcW w:w="372"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DW002</w:t>
            </w:r>
          </w:p>
        </w:tc>
        <w:tc>
          <w:tcPr>
            <w:tcW w:w="467"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ascii="Segoe UI Symbol" w:hAnsi="Segoe UI Symbol" w:cs="Segoe UI Symbol"/>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是</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□否</w:t>
            </w:r>
          </w:p>
        </w:tc>
        <w:tc>
          <w:tcPr>
            <w:tcW w:w="771" w:type="pct"/>
            <w:vMerge w:val="restart"/>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ascii="Segoe UI Symbol" w:hAnsi="Segoe UI Symbol" w:cs="Segoe UI Symbol"/>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企业总排</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□雨水排放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□清净下水排放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□温排水排放</w:t>
            </w:r>
          </w:p>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□车间或车间处理设施排放口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64"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31"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08"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80"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35" w:type="pct"/>
            <w:vMerge w:val="continue"/>
            <w:tcBorders>
              <w:bottom w:val="single" w:color="000000" w:sz="12" w:space="0"/>
            </w:tcBorders>
            <w:vAlign w:val="center"/>
          </w:tcPr>
          <w:p>
            <w:pPr>
              <w:spacing w:line="240" w:lineRule="auto"/>
              <w:jc w:val="center"/>
              <w:rPr>
                <w:rFonts w:eastAsia="宋体"/>
                <w:color w:val="000000" w:themeColor="text1"/>
                <w:sz w:val="21"/>
                <w:szCs w:val="21"/>
                <w14:textFill>
                  <w14:solidFill>
                    <w14:schemeClr w14:val="tx1"/>
                  </w14:solidFill>
                </w14:textFill>
              </w:rPr>
            </w:pPr>
          </w:p>
        </w:tc>
        <w:tc>
          <w:tcPr>
            <w:tcW w:w="472" w:type="pct"/>
            <w:tcBorders>
              <w:top w:val="single" w:color="000000" w:sz="4" w:space="0"/>
              <w:bottom w:val="single" w:color="000000"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w:t>
            </w:r>
            <w:r>
              <w:rPr>
                <w:color w:val="000000" w:themeColor="text1"/>
                <w:sz w:val="21"/>
                <w:szCs w:val="21"/>
                <w14:textFill>
                  <w14:solidFill>
                    <w14:schemeClr w14:val="tx1"/>
                  </w14:solidFill>
                </w14:textFill>
              </w:rPr>
              <w:t>W005</w:t>
            </w:r>
          </w:p>
        </w:tc>
        <w:tc>
          <w:tcPr>
            <w:tcW w:w="494" w:type="pct"/>
            <w:tcBorders>
              <w:top w:val="single" w:color="000000" w:sz="4" w:space="0"/>
              <w:bottom w:val="single" w:color="000000"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生产废水处理设施</w:t>
            </w:r>
          </w:p>
        </w:tc>
        <w:tc>
          <w:tcPr>
            <w:tcW w:w="506" w:type="pct"/>
            <w:tcBorders>
              <w:top w:val="single" w:color="000000" w:sz="4" w:space="0"/>
              <w:bottom w:val="single" w:color="000000" w:sz="4"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隔油+混凝沉淀+气浮</w:t>
            </w:r>
          </w:p>
        </w:tc>
        <w:tc>
          <w:tcPr>
            <w:tcW w:w="372"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467"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71"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64"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31"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08"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380"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535" w:type="pct"/>
            <w:vMerge w:val="continue"/>
            <w:tcBorders>
              <w:bottom w:val="single" w:color="000000" w:sz="12" w:space="0"/>
            </w:tcBorders>
            <w:vAlign w:val="center"/>
          </w:tcPr>
          <w:p>
            <w:pPr>
              <w:spacing w:line="240" w:lineRule="auto"/>
              <w:jc w:val="center"/>
              <w:rPr>
                <w:rFonts w:eastAsia="宋体"/>
                <w:color w:val="000000" w:themeColor="text1"/>
                <w:sz w:val="21"/>
                <w:szCs w:val="21"/>
                <w14:textFill>
                  <w14:solidFill>
                    <w14:schemeClr w14:val="tx1"/>
                  </w14:solidFill>
                </w14:textFill>
              </w:rPr>
            </w:pPr>
          </w:p>
        </w:tc>
        <w:tc>
          <w:tcPr>
            <w:tcW w:w="472" w:type="pct"/>
            <w:tcBorders>
              <w:top w:val="single" w:color="000000" w:sz="4" w:space="0"/>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TW006</w:t>
            </w:r>
          </w:p>
        </w:tc>
        <w:tc>
          <w:tcPr>
            <w:tcW w:w="494" w:type="pct"/>
            <w:tcBorders>
              <w:top w:val="single" w:color="000000" w:sz="4" w:space="0"/>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2#生化池</w:t>
            </w:r>
          </w:p>
        </w:tc>
        <w:tc>
          <w:tcPr>
            <w:tcW w:w="506" w:type="pct"/>
            <w:tcBorders>
              <w:top w:val="single" w:color="000000" w:sz="4" w:space="0"/>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水解酸化+沉淀</w:t>
            </w:r>
          </w:p>
        </w:tc>
        <w:tc>
          <w:tcPr>
            <w:tcW w:w="372"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467"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c>
          <w:tcPr>
            <w:tcW w:w="771" w:type="pct"/>
            <w:vMerge w:val="continue"/>
            <w:tcBorders>
              <w:bottom w:val="single" w:color="000000" w:sz="12" w:space="0"/>
            </w:tcBorders>
            <w:vAlign w:val="center"/>
          </w:tcPr>
          <w:p>
            <w:pPr>
              <w:pStyle w:val="228"/>
              <w:spacing w:line="240" w:lineRule="auto"/>
              <w:jc w:val="center"/>
              <w:textAlignment w:val="baseline"/>
              <w:rPr>
                <w:color w:val="000000" w:themeColor="text1"/>
                <w:sz w:val="21"/>
                <w:szCs w:val="21"/>
                <w14:textFill>
                  <w14:solidFill>
                    <w14:schemeClr w14:val="tx1"/>
                  </w14:solidFill>
                </w14:textFill>
              </w:rPr>
            </w:pPr>
          </w:p>
        </w:tc>
      </w:tr>
    </w:tbl>
    <w:p>
      <w:pPr>
        <w:suppressAutoHyphens/>
        <w:spacing w:line="240" w:lineRule="auto"/>
        <w:jc w:val="center"/>
        <w:rPr>
          <w:rFonts w:eastAsia="宋体"/>
          <w:b/>
          <w:bCs/>
          <w:color w:val="000000" w:themeColor="text1"/>
          <w:szCs w:val="24"/>
          <w14:textFill>
            <w14:solidFill>
              <w14:schemeClr w14:val="tx1"/>
            </w14:solidFill>
          </w14:textFill>
        </w:rPr>
      </w:pPr>
      <w:bookmarkStart w:id="168" w:name="_Toc16657"/>
      <w:r>
        <w:rPr>
          <w:rFonts w:eastAsia="宋体"/>
          <w:b/>
          <w:bCs/>
          <w:color w:val="000000" w:themeColor="text1"/>
          <w:szCs w:val="24"/>
          <w14:textFill>
            <w14:solidFill>
              <w14:schemeClr w14:val="tx1"/>
            </w14:solidFill>
          </w14:textFill>
        </w:rPr>
        <w:t>表4.3-2  废水间接排放口基本情况表</w:t>
      </w:r>
      <w:bookmarkEnd w:id="168"/>
    </w:p>
    <w:tbl>
      <w:tblPr>
        <w:tblStyle w:val="8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881"/>
        <w:gridCol w:w="1102"/>
        <w:gridCol w:w="1276"/>
        <w:gridCol w:w="1125"/>
        <w:gridCol w:w="824"/>
        <w:gridCol w:w="671"/>
        <w:gridCol w:w="825"/>
        <w:gridCol w:w="825"/>
        <w:gridCol w:w="11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427"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序号</w:t>
            </w:r>
          </w:p>
        </w:tc>
        <w:tc>
          <w:tcPr>
            <w:tcW w:w="881"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排放口编号</w:t>
            </w:r>
          </w:p>
        </w:tc>
        <w:tc>
          <w:tcPr>
            <w:tcW w:w="2378" w:type="dxa"/>
            <w:gridSpan w:val="2"/>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排放口坐标</w:t>
            </w:r>
          </w:p>
        </w:tc>
        <w:tc>
          <w:tcPr>
            <w:tcW w:w="1125"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排放去向</w:t>
            </w:r>
          </w:p>
        </w:tc>
        <w:tc>
          <w:tcPr>
            <w:tcW w:w="824"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规律</w:t>
            </w:r>
          </w:p>
        </w:tc>
        <w:tc>
          <w:tcPr>
            <w:tcW w:w="671"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间歇排放时段</w:t>
            </w:r>
          </w:p>
        </w:tc>
        <w:tc>
          <w:tcPr>
            <w:tcW w:w="2766" w:type="dxa"/>
            <w:gridSpan w:val="3"/>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受纳污水处理厂信息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27"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1102"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经度</w:t>
            </w:r>
          </w:p>
        </w:tc>
        <w:tc>
          <w:tcPr>
            <w:tcW w:w="1276"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纬度</w:t>
            </w:r>
          </w:p>
        </w:tc>
        <w:tc>
          <w:tcPr>
            <w:tcW w:w="1125"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25"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名称</w:t>
            </w:r>
          </w:p>
        </w:tc>
        <w:tc>
          <w:tcPr>
            <w:tcW w:w="825"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污染物种类</w:t>
            </w:r>
          </w:p>
        </w:tc>
        <w:tc>
          <w:tcPr>
            <w:tcW w:w="1116" w:type="dxa"/>
            <w:vAlign w:val="center"/>
          </w:tcPr>
          <w:p>
            <w:pPr>
              <w:pStyle w:val="293"/>
              <w:adjustRightInd w:val="0"/>
              <w:snapToGrid w:val="0"/>
              <w:rPr>
                <w:rFonts w:eastAsia="宋体"/>
                <w:b/>
                <w:color w:val="000000" w:themeColor="text1"/>
                <w:szCs w:val="21"/>
                <w14:textFill>
                  <w14:solidFill>
                    <w14:schemeClr w14:val="tx1"/>
                  </w14:solidFill>
                </w14:textFill>
              </w:rPr>
            </w:pPr>
            <w:r>
              <w:rPr>
                <w:rFonts w:eastAsia="宋体"/>
                <w:b/>
                <w:color w:val="000000" w:themeColor="text1"/>
                <w:szCs w:val="21"/>
                <w14:textFill>
                  <w14:solidFill>
                    <w14:schemeClr w14:val="tx1"/>
                  </w14:solidFill>
                </w14:textFill>
              </w:rPr>
              <w:t>国家或地方污染物排放标准浓度限值/（mg/L）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w:t>
            </w:r>
          </w:p>
        </w:tc>
        <w:tc>
          <w:tcPr>
            <w:tcW w:w="88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DW001</w:t>
            </w:r>
          </w:p>
        </w:tc>
        <w:tc>
          <w:tcPr>
            <w:tcW w:w="1102"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105°45′15.460″</w:t>
            </w:r>
          </w:p>
        </w:tc>
        <w:tc>
          <w:tcPr>
            <w:tcW w:w="1276"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29°27′9.126″</w:t>
            </w:r>
          </w:p>
        </w:tc>
        <w:tc>
          <w:tcPr>
            <w:tcW w:w="1125"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4"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间接排放，排放期间流量不稳</w:t>
            </w:r>
          </w:p>
        </w:tc>
        <w:tc>
          <w:tcPr>
            <w:tcW w:w="67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25" w:type="dxa"/>
            <w:vMerge w:val="restart"/>
            <w:vAlign w:val="center"/>
          </w:tcPr>
          <w:p>
            <w:pPr>
              <w:pStyle w:val="294"/>
              <w:ind w:firstLine="0"/>
              <w:outlineLvl w:val="9"/>
              <w:rPr>
                <w:color w:val="000000" w:themeColor="text1"/>
                <w:kern w:val="2"/>
                <w:sz w:val="21"/>
                <w:szCs w:val="21"/>
                <w:vertAlign w:val="superscript"/>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5"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COD</w:t>
            </w:r>
          </w:p>
        </w:tc>
        <w:tc>
          <w:tcPr>
            <w:tcW w:w="1116"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BOD</w:t>
            </w:r>
            <w:r>
              <w:rPr>
                <w:rFonts w:ascii="Times New Roman" w:hAnsi="Times New Roman"/>
                <w:b w:val="0"/>
                <w:bCs/>
                <w:color w:val="000000" w:themeColor="text1"/>
                <w:kern w:val="2"/>
                <w:szCs w:val="21"/>
                <w:vertAlign w:val="subscript"/>
                <w14:textFill>
                  <w14:solidFill>
                    <w14:schemeClr w14:val="tx1"/>
                  </w14:solidFill>
                </w14:textFill>
              </w:rPr>
              <w:t>5</w:t>
            </w:r>
          </w:p>
        </w:tc>
        <w:tc>
          <w:tcPr>
            <w:tcW w:w="1116"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NH</w:t>
            </w:r>
            <w:r>
              <w:rPr>
                <w:rFonts w:ascii="Times New Roman" w:hAnsi="Times New Roman"/>
                <w:b w:val="0"/>
                <w:bCs/>
                <w:color w:val="000000" w:themeColor="text1"/>
                <w:kern w:val="2"/>
                <w:szCs w:val="21"/>
                <w:vertAlign w:val="subscript"/>
                <w14:textFill>
                  <w14:solidFill>
                    <w14:schemeClr w14:val="tx1"/>
                  </w14:solidFill>
                </w14:textFill>
              </w:rPr>
              <w:t>3</w:t>
            </w:r>
            <w:r>
              <w:rPr>
                <w:rFonts w:ascii="Times New Roman" w:hAnsi="Times New Roman"/>
                <w:b w:val="0"/>
                <w:bCs/>
                <w:color w:val="000000" w:themeColor="text1"/>
                <w:kern w:val="2"/>
                <w:szCs w:val="21"/>
                <w14:textFill>
                  <w14:solidFill>
                    <w14:schemeClr w14:val="tx1"/>
                  </w14:solidFill>
                </w14:textFill>
              </w:rPr>
              <w:t>-N</w:t>
            </w:r>
          </w:p>
        </w:tc>
        <w:tc>
          <w:tcPr>
            <w:tcW w:w="1116"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SS</w:t>
            </w:r>
          </w:p>
        </w:tc>
        <w:tc>
          <w:tcPr>
            <w:tcW w:w="1116" w:type="dxa"/>
            <w:tcBorders>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动植物油</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石油类</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hint="eastAsia" w:ascii="Times New Roman" w:hAnsi="Times New Roman"/>
                <w:b w:val="0"/>
                <w:bCs/>
                <w:color w:val="000000" w:themeColor="text1"/>
                <w:kern w:val="2"/>
                <w:szCs w:val="21"/>
                <w14:textFill>
                  <w14:solidFill>
                    <w14:schemeClr w14:val="tx1"/>
                  </w14:solidFill>
                </w14:textFill>
              </w:rPr>
              <w:t>T</w:t>
            </w:r>
            <w:r>
              <w:rPr>
                <w:rFonts w:ascii="Times New Roman" w:hAnsi="Times New Roman"/>
                <w:b w:val="0"/>
                <w:bCs/>
                <w:color w:val="000000" w:themeColor="text1"/>
                <w:kern w:val="2"/>
                <w:szCs w:val="21"/>
                <w14:textFill>
                  <w14:solidFill>
                    <w14:schemeClr w14:val="tx1"/>
                  </w14:solidFill>
                </w14:textFill>
              </w:rPr>
              <w:t>P</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w:t>
            </w:r>
          </w:p>
        </w:tc>
        <w:tc>
          <w:tcPr>
            <w:tcW w:w="88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DW002</w:t>
            </w:r>
          </w:p>
        </w:tc>
        <w:tc>
          <w:tcPr>
            <w:tcW w:w="1102"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105°44′48.636″</w:t>
            </w:r>
          </w:p>
        </w:tc>
        <w:tc>
          <w:tcPr>
            <w:tcW w:w="1276"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29°26′12.600″</w:t>
            </w:r>
          </w:p>
        </w:tc>
        <w:tc>
          <w:tcPr>
            <w:tcW w:w="1125"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4"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间接排放，排放期间流量不稳</w:t>
            </w:r>
          </w:p>
        </w:tc>
        <w:tc>
          <w:tcPr>
            <w:tcW w:w="67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25" w:type="dxa"/>
            <w:vMerge w:val="restart"/>
            <w:vAlign w:val="center"/>
          </w:tcPr>
          <w:p>
            <w:pPr>
              <w:pStyle w:val="294"/>
              <w:ind w:firstLine="0"/>
              <w:outlineLvl w:val="9"/>
              <w:rPr>
                <w:color w:val="000000" w:themeColor="text1"/>
                <w:kern w:val="2"/>
                <w:sz w:val="21"/>
                <w:szCs w:val="21"/>
                <w:vertAlign w:val="superscript"/>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COD</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BOD</w:t>
            </w:r>
            <w:r>
              <w:rPr>
                <w:rFonts w:ascii="Times New Roman" w:hAnsi="Times New Roman"/>
                <w:b w:val="0"/>
                <w:bCs/>
                <w:color w:val="000000" w:themeColor="text1"/>
                <w:kern w:val="2"/>
                <w:szCs w:val="21"/>
                <w:vertAlign w:val="subscript"/>
                <w14:textFill>
                  <w14:solidFill>
                    <w14:schemeClr w14:val="tx1"/>
                  </w14:solidFill>
                </w14:textFill>
              </w:rPr>
              <w:t>5</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NH</w:t>
            </w:r>
            <w:r>
              <w:rPr>
                <w:rFonts w:ascii="Times New Roman" w:hAnsi="Times New Roman"/>
                <w:b w:val="0"/>
                <w:bCs/>
                <w:color w:val="000000" w:themeColor="text1"/>
                <w:kern w:val="2"/>
                <w:szCs w:val="21"/>
                <w:vertAlign w:val="subscript"/>
                <w14:textFill>
                  <w14:solidFill>
                    <w14:schemeClr w14:val="tx1"/>
                  </w14:solidFill>
                </w14:textFill>
              </w:rPr>
              <w:t>3</w:t>
            </w:r>
            <w:r>
              <w:rPr>
                <w:rFonts w:ascii="Times New Roman" w:hAnsi="Times New Roman"/>
                <w:b w:val="0"/>
                <w:bCs/>
                <w:color w:val="000000" w:themeColor="text1"/>
                <w:kern w:val="2"/>
                <w:szCs w:val="21"/>
                <w14:textFill>
                  <w14:solidFill>
                    <w14:schemeClr w14:val="tx1"/>
                  </w14:solidFill>
                </w14:textFill>
              </w:rPr>
              <w:t>-N</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SS</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动植物油</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石油类</w:t>
            </w:r>
          </w:p>
        </w:tc>
        <w:tc>
          <w:tcPr>
            <w:tcW w:w="1116" w:type="dxa"/>
            <w:tcBorders>
              <w:top w:val="single" w:color="000000" w:sz="4" w:space="0"/>
              <w:bottom w:val="single" w:color="000000" w:sz="4"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12" w:space="0"/>
            </w:tcBorders>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hint="eastAsia" w:ascii="Times New Roman" w:hAnsi="Times New Roman"/>
                <w:b w:val="0"/>
                <w:bCs/>
                <w:color w:val="000000" w:themeColor="text1"/>
                <w:kern w:val="2"/>
                <w:szCs w:val="21"/>
                <w14:textFill>
                  <w14:solidFill>
                    <w14:schemeClr w14:val="tx1"/>
                  </w14:solidFill>
                </w14:textFill>
              </w:rPr>
              <w:t>T</w:t>
            </w:r>
            <w:r>
              <w:rPr>
                <w:rFonts w:ascii="Times New Roman" w:hAnsi="Times New Roman"/>
                <w:b w:val="0"/>
                <w:bCs/>
                <w:color w:val="000000" w:themeColor="text1"/>
                <w:kern w:val="2"/>
                <w:szCs w:val="21"/>
                <w14:textFill>
                  <w14:solidFill>
                    <w14:schemeClr w14:val="tx1"/>
                  </w14:solidFill>
                </w14:textFill>
              </w:rPr>
              <w:t>P</w:t>
            </w:r>
          </w:p>
        </w:tc>
        <w:tc>
          <w:tcPr>
            <w:tcW w:w="1116" w:type="dxa"/>
            <w:tcBorders>
              <w:top w:val="single" w:color="000000" w:sz="4" w:space="0"/>
              <w:bottom w:val="single" w:color="000000" w:sz="12" w:space="0"/>
            </w:tcBorders>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r>
    </w:tbl>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表4.3-3  废水污染物排放执行标准表</w:t>
      </w:r>
    </w:p>
    <w:tbl>
      <w:tblPr>
        <w:tblStyle w:val="8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773"/>
        <w:gridCol w:w="1338"/>
        <w:gridCol w:w="1838"/>
        <w:gridCol w:w="2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35"/>
              <w:spacing w:line="240" w:lineRule="auto"/>
              <w:ind w:firstLine="0" w:firstLineChars="0"/>
              <w:jc w:val="center"/>
              <w:rPr>
                <w:b/>
                <w:sz w:val="21"/>
                <w:szCs w:val="21"/>
              </w:rPr>
            </w:pPr>
            <w:r>
              <w:rPr>
                <w:b/>
                <w:sz w:val="21"/>
                <w:szCs w:val="21"/>
              </w:rPr>
              <w:t>序号</w:t>
            </w:r>
          </w:p>
        </w:tc>
        <w:tc>
          <w:tcPr>
            <w:tcW w:w="2773" w:type="dxa"/>
            <w:vMerge w:val="restart"/>
            <w:vAlign w:val="center"/>
          </w:tcPr>
          <w:p>
            <w:pPr>
              <w:pStyle w:val="35"/>
              <w:spacing w:line="240" w:lineRule="auto"/>
              <w:ind w:firstLine="0" w:firstLineChars="0"/>
              <w:jc w:val="center"/>
              <w:rPr>
                <w:b/>
                <w:sz w:val="21"/>
                <w:szCs w:val="21"/>
              </w:rPr>
            </w:pPr>
            <w:r>
              <w:rPr>
                <w:b/>
                <w:sz w:val="21"/>
                <w:szCs w:val="21"/>
              </w:rPr>
              <w:t>排放口编号</w:t>
            </w:r>
          </w:p>
        </w:tc>
        <w:tc>
          <w:tcPr>
            <w:tcW w:w="1338" w:type="dxa"/>
            <w:vMerge w:val="restart"/>
            <w:vAlign w:val="center"/>
          </w:tcPr>
          <w:p>
            <w:pPr>
              <w:pStyle w:val="35"/>
              <w:spacing w:line="240" w:lineRule="auto"/>
              <w:ind w:firstLine="0" w:firstLineChars="0"/>
              <w:jc w:val="center"/>
              <w:rPr>
                <w:b/>
                <w:sz w:val="21"/>
                <w:szCs w:val="21"/>
              </w:rPr>
            </w:pPr>
            <w:r>
              <w:rPr>
                <w:b/>
                <w:sz w:val="21"/>
                <w:szCs w:val="21"/>
              </w:rPr>
              <w:t>污染物种类</w:t>
            </w:r>
          </w:p>
        </w:tc>
        <w:tc>
          <w:tcPr>
            <w:tcW w:w="4100" w:type="dxa"/>
            <w:gridSpan w:val="2"/>
            <w:vAlign w:val="center"/>
          </w:tcPr>
          <w:p>
            <w:pPr>
              <w:pStyle w:val="35"/>
              <w:spacing w:line="240" w:lineRule="auto"/>
              <w:ind w:firstLine="0" w:firstLineChars="0"/>
              <w:jc w:val="center"/>
              <w:rPr>
                <w:b/>
                <w:sz w:val="21"/>
                <w:szCs w:val="21"/>
              </w:rPr>
            </w:pPr>
            <w:r>
              <w:rPr>
                <w:b/>
                <w:sz w:val="21"/>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b/>
                <w:sz w:val="21"/>
                <w:szCs w:val="21"/>
              </w:rPr>
            </w:pPr>
          </w:p>
        </w:tc>
        <w:tc>
          <w:tcPr>
            <w:tcW w:w="2773" w:type="dxa"/>
            <w:vMerge w:val="continue"/>
            <w:vAlign w:val="center"/>
          </w:tcPr>
          <w:p>
            <w:pPr>
              <w:pStyle w:val="35"/>
              <w:spacing w:line="240" w:lineRule="auto"/>
              <w:ind w:firstLine="0" w:firstLineChars="0"/>
              <w:jc w:val="center"/>
              <w:rPr>
                <w:b/>
                <w:sz w:val="21"/>
                <w:szCs w:val="21"/>
              </w:rPr>
            </w:pPr>
          </w:p>
        </w:tc>
        <w:tc>
          <w:tcPr>
            <w:tcW w:w="1338" w:type="dxa"/>
            <w:vMerge w:val="continue"/>
            <w:vAlign w:val="center"/>
          </w:tcPr>
          <w:p>
            <w:pPr>
              <w:pStyle w:val="35"/>
              <w:spacing w:line="240" w:lineRule="auto"/>
              <w:ind w:firstLine="0" w:firstLineChars="0"/>
              <w:jc w:val="center"/>
              <w:rPr>
                <w:b/>
                <w:sz w:val="21"/>
                <w:szCs w:val="21"/>
              </w:rPr>
            </w:pPr>
          </w:p>
        </w:tc>
        <w:tc>
          <w:tcPr>
            <w:tcW w:w="1837" w:type="dxa"/>
            <w:vAlign w:val="center"/>
          </w:tcPr>
          <w:p>
            <w:pPr>
              <w:pStyle w:val="35"/>
              <w:spacing w:line="240" w:lineRule="auto"/>
              <w:ind w:firstLine="0" w:firstLineChars="0"/>
              <w:jc w:val="center"/>
              <w:rPr>
                <w:b/>
                <w:sz w:val="21"/>
                <w:szCs w:val="21"/>
              </w:rPr>
            </w:pPr>
            <w:r>
              <w:rPr>
                <w:b/>
                <w:sz w:val="21"/>
                <w:szCs w:val="21"/>
              </w:rPr>
              <w:t>名称</w:t>
            </w:r>
          </w:p>
        </w:tc>
        <w:tc>
          <w:tcPr>
            <w:tcW w:w="2263" w:type="dxa"/>
            <w:vAlign w:val="center"/>
          </w:tcPr>
          <w:p>
            <w:pPr>
              <w:pStyle w:val="35"/>
              <w:spacing w:line="240" w:lineRule="auto"/>
              <w:ind w:firstLine="0" w:firstLineChars="0"/>
              <w:jc w:val="center"/>
              <w:rPr>
                <w:b/>
                <w:sz w:val="21"/>
                <w:szCs w:val="21"/>
              </w:rPr>
            </w:pPr>
            <w:r>
              <w:rPr>
                <w:b/>
                <w:sz w:val="21"/>
                <w:szCs w:val="21"/>
              </w:rPr>
              <w:t>浓度限值/（mg/）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35"/>
              <w:spacing w:line="240" w:lineRule="auto"/>
              <w:ind w:firstLine="0" w:firstLineChars="0"/>
              <w:jc w:val="center"/>
              <w:rPr>
                <w:sz w:val="21"/>
                <w:szCs w:val="21"/>
              </w:rPr>
            </w:pPr>
            <w:r>
              <w:rPr>
                <w:sz w:val="21"/>
                <w:szCs w:val="21"/>
              </w:rPr>
              <w:t>1</w:t>
            </w:r>
          </w:p>
        </w:tc>
        <w:tc>
          <w:tcPr>
            <w:tcW w:w="2773" w:type="dxa"/>
            <w:vMerge w:val="restart"/>
            <w:vAlign w:val="center"/>
          </w:tcPr>
          <w:p>
            <w:pPr>
              <w:pStyle w:val="35"/>
              <w:spacing w:line="240" w:lineRule="auto"/>
              <w:ind w:firstLine="0" w:firstLineChars="0"/>
              <w:jc w:val="center"/>
              <w:rPr>
                <w:sz w:val="21"/>
                <w:szCs w:val="21"/>
              </w:rPr>
            </w:pPr>
            <w:r>
              <w:rPr>
                <w:sz w:val="21"/>
                <w:szCs w:val="21"/>
              </w:rPr>
              <w:t>DW001</w:t>
            </w: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COD</w:t>
            </w:r>
          </w:p>
        </w:tc>
        <w:tc>
          <w:tcPr>
            <w:tcW w:w="1837" w:type="dxa"/>
            <w:vMerge w:val="restart"/>
            <w:vAlign w:val="center"/>
          </w:tcPr>
          <w:p>
            <w:pPr>
              <w:pStyle w:val="35"/>
              <w:spacing w:line="240" w:lineRule="auto"/>
              <w:ind w:firstLine="0" w:firstLineChars="0"/>
              <w:jc w:val="center"/>
              <w:rPr>
                <w:sz w:val="21"/>
                <w:szCs w:val="21"/>
              </w:rPr>
            </w:pPr>
            <w:r>
              <w:rPr>
                <w:sz w:val="21"/>
                <w:szCs w:val="21"/>
              </w:rPr>
              <w:t>《污水综合排放标准》（GB8978-1996）中三级标准</w:t>
            </w:r>
            <w:r>
              <w:rPr>
                <w:rFonts w:hint="eastAsia"/>
                <w:sz w:val="21"/>
                <w:szCs w:val="21"/>
              </w:rPr>
              <w:t>（其中NH</w:t>
            </w:r>
            <w:r>
              <w:rPr>
                <w:rFonts w:hint="eastAsia"/>
                <w:sz w:val="21"/>
                <w:szCs w:val="21"/>
                <w:vertAlign w:val="subscript"/>
              </w:rPr>
              <w:t>3</w:t>
            </w:r>
            <w:r>
              <w:rPr>
                <w:rFonts w:hint="eastAsia"/>
                <w:sz w:val="21"/>
                <w:szCs w:val="21"/>
              </w:rPr>
              <w:t>-N、TP参照《污水排入城镇下水道水质标准》（GB/T 31962-2015）B及标准）</w:t>
            </w:r>
          </w:p>
        </w:tc>
        <w:tc>
          <w:tcPr>
            <w:tcW w:w="2263" w:type="dxa"/>
            <w:vAlign w:val="center"/>
          </w:tcPr>
          <w:p>
            <w:pPr>
              <w:pStyle w:val="35"/>
              <w:spacing w:line="240" w:lineRule="auto"/>
              <w:ind w:firstLine="0" w:firstLineChars="0"/>
              <w:jc w:val="center"/>
              <w:rPr>
                <w:sz w:val="21"/>
                <w:szCs w:val="21"/>
              </w:rPr>
            </w:pPr>
            <w:r>
              <w:rPr>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BOD</w:t>
            </w:r>
            <w:r>
              <w:rPr>
                <w:rFonts w:ascii="Times New Roman" w:hAnsi="Times New Roman"/>
                <w:b w:val="0"/>
                <w:bCs/>
                <w:color w:val="000000" w:themeColor="text1"/>
                <w:kern w:val="2"/>
                <w:szCs w:val="21"/>
                <w:vertAlign w:val="subscript"/>
                <w14:textFill>
                  <w14:solidFill>
                    <w14:schemeClr w14:val="tx1"/>
                  </w14:solidFill>
                </w14:textFill>
              </w:rPr>
              <w:t>5</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NH</w:t>
            </w:r>
            <w:r>
              <w:rPr>
                <w:rFonts w:ascii="Times New Roman" w:hAnsi="Times New Roman"/>
                <w:b w:val="0"/>
                <w:bCs/>
                <w:color w:val="000000" w:themeColor="text1"/>
                <w:kern w:val="2"/>
                <w:szCs w:val="21"/>
                <w:vertAlign w:val="subscript"/>
                <w14:textFill>
                  <w14:solidFill>
                    <w14:schemeClr w14:val="tx1"/>
                  </w14:solidFill>
                </w14:textFill>
              </w:rPr>
              <w:t>3</w:t>
            </w:r>
            <w:r>
              <w:rPr>
                <w:rFonts w:ascii="Times New Roman" w:hAnsi="Times New Roman"/>
                <w:b w:val="0"/>
                <w:bCs/>
                <w:color w:val="000000" w:themeColor="text1"/>
                <w:kern w:val="2"/>
                <w:szCs w:val="21"/>
                <w14:textFill>
                  <w14:solidFill>
                    <w14:schemeClr w14:val="tx1"/>
                  </w14:solidFill>
                </w14:textFill>
              </w:rPr>
              <w:t>-N</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SS</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动植物油</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hint="eastAsia" w:ascii="Times New Roman" w:hAnsi="Times New Roman"/>
                <w:b w:val="0"/>
                <w:bCs/>
                <w:color w:val="000000" w:themeColor="text1"/>
                <w:kern w:val="2"/>
                <w:szCs w:val="21"/>
                <w14:textFill>
                  <w14:solidFill>
                    <w14:schemeClr w14:val="tx1"/>
                  </w14:solidFill>
                </w14:textFill>
              </w:rPr>
              <w:t>T</w:t>
            </w:r>
            <w:r>
              <w:rPr>
                <w:rFonts w:ascii="Times New Roman" w:hAnsi="Times New Roman"/>
                <w:b w:val="0"/>
                <w:bCs/>
                <w:color w:val="000000" w:themeColor="text1"/>
                <w:kern w:val="2"/>
                <w:szCs w:val="21"/>
                <w14:textFill>
                  <w14:solidFill>
                    <w14:schemeClr w14:val="tx1"/>
                  </w14:solidFill>
                </w14:textFill>
              </w:rPr>
              <w:t>P</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rFonts w:hint="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石油类</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35"/>
              <w:spacing w:line="240" w:lineRule="auto"/>
              <w:ind w:firstLine="0" w:firstLineChars="0"/>
              <w:jc w:val="center"/>
              <w:rPr>
                <w:sz w:val="21"/>
                <w:szCs w:val="21"/>
              </w:rPr>
            </w:pPr>
            <w:r>
              <w:rPr>
                <w:sz w:val="21"/>
                <w:szCs w:val="21"/>
              </w:rPr>
              <w:t>2</w:t>
            </w:r>
          </w:p>
        </w:tc>
        <w:tc>
          <w:tcPr>
            <w:tcW w:w="2773" w:type="dxa"/>
            <w:vMerge w:val="restart"/>
            <w:vAlign w:val="center"/>
          </w:tcPr>
          <w:p>
            <w:pPr>
              <w:pStyle w:val="35"/>
              <w:spacing w:line="240" w:lineRule="auto"/>
              <w:ind w:firstLine="0" w:firstLineChars="0"/>
              <w:jc w:val="center"/>
              <w:rPr>
                <w:sz w:val="21"/>
                <w:szCs w:val="21"/>
              </w:rPr>
            </w:pPr>
            <w:r>
              <w:rPr>
                <w:sz w:val="21"/>
                <w:szCs w:val="21"/>
              </w:rPr>
              <w:t>DW002</w:t>
            </w: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COD</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BOD</w:t>
            </w:r>
            <w:r>
              <w:rPr>
                <w:rFonts w:ascii="Times New Roman" w:hAnsi="Times New Roman"/>
                <w:b w:val="0"/>
                <w:bCs/>
                <w:color w:val="000000" w:themeColor="text1"/>
                <w:kern w:val="2"/>
                <w:szCs w:val="21"/>
                <w:vertAlign w:val="subscript"/>
                <w14:textFill>
                  <w14:solidFill>
                    <w14:schemeClr w14:val="tx1"/>
                  </w14:solidFill>
                </w14:textFill>
              </w:rPr>
              <w:t>5</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NH</w:t>
            </w:r>
            <w:r>
              <w:rPr>
                <w:rFonts w:ascii="Times New Roman" w:hAnsi="Times New Roman"/>
                <w:b w:val="0"/>
                <w:bCs/>
                <w:color w:val="000000" w:themeColor="text1"/>
                <w:kern w:val="2"/>
                <w:szCs w:val="21"/>
                <w:vertAlign w:val="subscript"/>
                <w14:textFill>
                  <w14:solidFill>
                    <w14:schemeClr w14:val="tx1"/>
                  </w14:solidFill>
                </w14:textFill>
              </w:rPr>
              <w:t>3</w:t>
            </w:r>
            <w:r>
              <w:rPr>
                <w:rFonts w:ascii="Times New Roman" w:hAnsi="Times New Roman"/>
                <w:b w:val="0"/>
                <w:bCs/>
                <w:color w:val="000000" w:themeColor="text1"/>
                <w:kern w:val="2"/>
                <w:szCs w:val="21"/>
                <w14:textFill>
                  <w14:solidFill>
                    <w14:schemeClr w14:val="tx1"/>
                  </w14:solidFill>
                </w14:textFill>
              </w:rPr>
              <w:t>-N</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SS</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动植物油</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hint="eastAsia" w:ascii="Times New Roman" w:hAnsi="Times New Roman"/>
                <w:b w:val="0"/>
                <w:bCs/>
                <w:color w:val="000000" w:themeColor="text1"/>
                <w:kern w:val="2"/>
                <w:szCs w:val="21"/>
                <w14:textFill>
                  <w14:solidFill>
                    <w14:schemeClr w14:val="tx1"/>
                  </w14:solidFill>
                </w14:textFill>
              </w:rPr>
              <w:t>T</w:t>
            </w:r>
            <w:r>
              <w:rPr>
                <w:rFonts w:ascii="Times New Roman" w:hAnsi="Times New Roman"/>
                <w:b w:val="0"/>
                <w:bCs/>
                <w:color w:val="000000" w:themeColor="text1"/>
                <w:kern w:val="2"/>
                <w:szCs w:val="21"/>
                <w14:textFill>
                  <w14:solidFill>
                    <w14:schemeClr w14:val="tx1"/>
                  </w14:solidFill>
                </w14:textFill>
              </w:rPr>
              <w:t>P</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rFonts w:hint="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35"/>
              <w:spacing w:line="240" w:lineRule="auto"/>
              <w:ind w:firstLine="0" w:firstLineChars="0"/>
              <w:jc w:val="center"/>
              <w:rPr>
                <w:sz w:val="21"/>
                <w:szCs w:val="21"/>
              </w:rPr>
            </w:pPr>
          </w:p>
        </w:tc>
        <w:tc>
          <w:tcPr>
            <w:tcW w:w="2773" w:type="dxa"/>
            <w:vMerge w:val="continue"/>
            <w:vAlign w:val="center"/>
          </w:tcPr>
          <w:p>
            <w:pPr>
              <w:pStyle w:val="35"/>
              <w:spacing w:line="240" w:lineRule="auto"/>
              <w:ind w:firstLine="0" w:firstLineChars="0"/>
              <w:jc w:val="center"/>
              <w:rPr>
                <w:sz w:val="21"/>
                <w:szCs w:val="21"/>
              </w:rPr>
            </w:pPr>
          </w:p>
        </w:tc>
        <w:tc>
          <w:tcPr>
            <w:tcW w:w="1338" w:type="dxa"/>
            <w:vAlign w:val="center"/>
          </w:tcPr>
          <w:p>
            <w:pPr>
              <w:pStyle w:val="292"/>
              <w:spacing w:line="240" w:lineRule="auto"/>
              <w:jc w:val="center"/>
              <w:rPr>
                <w:rFonts w:ascii="Times New Roman" w:hAnsi="Times New Roman"/>
                <w:b w:val="0"/>
                <w:bCs/>
                <w:color w:val="000000" w:themeColor="text1"/>
                <w:kern w:val="2"/>
                <w:szCs w:val="21"/>
                <w14:textFill>
                  <w14:solidFill>
                    <w14:schemeClr w14:val="tx1"/>
                  </w14:solidFill>
                </w14:textFill>
              </w:rPr>
            </w:pPr>
            <w:r>
              <w:rPr>
                <w:rFonts w:ascii="Times New Roman" w:hAnsi="Times New Roman"/>
                <w:b w:val="0"/>
                <w:bCs/>
                <w:color w:val="000000" w:themeColor="text1"/>
                <w:kern w:val="2"/>
                <w:szCs w:val="21"/>
                <w14:textFill>
                  <w14:solidFill>
                    <w14:schemeClr w14:val="tx1"/>
                  </w14:solidFill>
                </w14:textFill>
              </w:rPr>
              <w:t>石油类</w:t>
            </w:r>
          </w:p>
        </w:tc>
        <w:tc>
          <w:tcPr>
            <w:tcW w:w="1837" w:type="dxa"/>
            <w:vMerge w:val="continue"/>
            <w:vAlign w:val="center"/>
          </w:tcPr>
          <w:p>
            <w:pPr>
              <w:pStyle w:val="35"/>
              <w:spacing w:line="240" w:lineRule="auto"/>
              <w:ind w:firstLine="0" w:firstLineChars="0"/>
              <w:jc w:val="center"/>
              <w:rPr>
                <w:sz w:val="21"/>
                <w:szCs w:val="21"/>
              </w:rPr>
            </w:pPr>
          </w:p>
        </w:tc>
        <w:tc>
          <w:tcPr>
            <w:tcW w:w="2263" w:type="dxa"/>
            <w:vAlign w:val="center"/>
          </w:tcPr>
          <w:p>
            <w:pPr>
              <w:pStyle w:val="35"/>
              <w:spacing w:line="240" w:lineRule="auto"/>
              <w:ind w:firstLine="0" w:firstLineChars="0"/>
              <w:jc w:val="center"/>
              <w:rPr>
                <w:sz w:val="21"/>
                <w:szCs w:val="21"/>
              </w:rPr>
            </w:pPr>
            <w:r>
              <w:rPr>
                <w:sz w:val="21"/>
                <w:szCs w:val="21"/>
              </w:rPr>
              <w:t>10</w:t>
            </w:r>
          </w:p>
        </w:tc>
      </w:tr>
    </w:tbl>
    <w:p>
      <w:pPr>
        <w:suppressAutoHyphens/>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表4.3-4废水污染物排放信息表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488"/>
        <w:gridCol w:w="1306"/>
        <w:gridCol w:w="2032"/>
        <w:gridCol w:w="1887"/>
        <w:gridCol w:w="18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序号</w:t>
            </w:r>
          </w:p>
        </w:tc>
        <w:tc>
          <w:tcPr>
            <w:tcW w:w="801"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排放口编号</w:t>
            </w:r>
          </w:p>
        </w:tc>
        <w:tc>
          <w:tcPr>
            <w:tcW w:w="703"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污染物种类</w:t>
            </w:r>
          </w:p>
        </w:tc>
        <w:tc>
          <w:tcPr>
            <w:tcW w:w="1094"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排放浓度（mg/L）</w:t>
            </w:r>
          </w:p>
        </w:tc>
        <w:tc>
          <w:tcPr>
            <w:tcW w:w="1016"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日排放量（t/d）</w:t>
            </w:r>
          </w:p>
        </w:tc>
        <w:tc>
          <w:tcPr>
            <w:tcW w:w="1015" w:type="pct"/>
            <w:tcBorders>
              <w:top w:val="single" w:color="auto" w:sz="12" w:space="0"/>
            </w:tcBorders>
            <w:vAlign w:val="center"/>
          </w:tcPr>
          <w:p>
            <w:pPr>
              <w:adjustRightInd w:val="0"/>
              <w:spacing w:line="240" w:lineRule="auto"/>
              <w:jc w:val="center"/>
              <w:textAlignment w:val="baseline"/>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801" w:type="pct"/>
            <w:vMerge w:val="restar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DW001</w:t>
            </w: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0.001384 </w:t>
            </w:r>
          </w:p>
        </w:tc>
        <w:tc>
          <w:tcPr>
            <w:tcW w:w="1015"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0.443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0.000461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w:t>
            </w:r>
            <w:r>
              <w:rPr>
                <w:color w:val="000000" w:themeColor="text1"/>
                <w:sz w:val="21"/>
                <w:szCs w:val="21"/>
                <w14:textFill>
                  <w14:solidFill>
                    <w14:schemeClr w14:val="tx1"/>
                  </w14:solidFill>
                </w14:textFill>
              </w:rPr>
              <w:t>461</w:t>
            </w:r>
            <w:r>
              <w:rPr>
                <w:rFonts w:hint="eastAsia"/>
                <w:color w:val="000000" w:themeColor="text1"/>
                <w:sz w:val="21"/>
                <w:szCs w:val="21"/>
                <w14:textFill>
                  <w14:solidFill>
                    <w14:schemeClr w14:val="tx1"/>
                  </w14:solidFill>
                </w14:textFill>
              </w:rPr>
              <w:t xml:space="preserve">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w:t>
            </w:r>
            <w:r>
              <w:rPr>
                <w:color w:val="000000" w:themeColor="text1"/>
                <w:sz w:val="21"/>
                <w:szCs w:val="21"/>
                <w14:textFill>
                  <w14:solidFill>
                    <w14:schemeClr w14:val="tx1"/>
                  </w14:solidFill>
                </w14:textFill>
              </w:rPr>
              <w:t>184</w:t>
            </w:r>
            <w:r>
              <w:rPr>
                <w:rFonts w:hint="eastAsia"/>
                <w:color w:val="000000" w:themeColor="text1"/>
                <w:sz w:val="21"/>
                <w:szCs w:val="21"/>
                <w14:textFill>
                  <w14:solidFill>
                    <w14:schemeClr w14:val="tx1"/>
                  </w14:solidFill>
                </w14:textFill>
              </w:rPr>
              <w:t xml:space="preserve">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0.000069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0.000069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T</w:t>
            </w:r>
            <w:r>
              <w:rPr>
                <w:rFonts w:eastAsia="宋体"/>
                <w:color w:val="000000" w:themeColor="text1"/>
                <w:kern w:val="0"/>
                <w:sz w:val="21"/>
                <w:szCs w:val="21"/>
                <w14:textFill>
                  <w14:solidFill>
                    <w14:schemeClr w14:val="tx1"/>
                  </w14:solidFill>
                </w14:textFill>
              </w:rPr>
              <w:t>P</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0.000012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801" w:type="pct"/>
            <w:vMerge w:val="restar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DW002</w:t>
            </w: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0.000295 </w:t>
            </w:r>
          </w:p>
        </w:tc>
        <w:tc>
          <w:tcPr>
            <w:tcW w:w="1015"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9</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0.000098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0.0000</w:t>
            </w:r>
            <w:r>
              <w:rPr>
                <w:color w:val="000000" w:themeColor="text1"/>
                <w:sz w:val="21"/>
                <w:szCs w:val="21"/>
                <w14:textFill>
                  <w14:solidFill>
                    <w14:schemeClr w14:val="tx1"/>
                  </w14:solidFill>
                </w14:textFill>
              </w:rPr>
              <w:t>98</w:t>
            </w:r>
            <w:r>
              <w:rPr>
                <w:rFonts w:hint="eastAsia"/>
                <w:color w:val="000000" w:themeColor="text1"/>
                <w:sz w:val="21"/>
                <w:szCs w:val="21"/>
                <w14:textFill>
                  <w14:solidFill>
                    <w14:schemeClr w14:val="tx1"/>
                  </w14:solidFill>
                </w14:textFill>
              </w:rPr>
              <w:t xml:space="preserve">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≤45</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0.0000</w:t>
            </w:r>
            <w:r>
              <w:rPr>
                <w:color w:val="000000" w:themeColor="text1"/>
                <w:sz w:val="21"/>
                <w:szCs w:val="21"/>
                <w14:textFill>
                  <w14:solidFill>
                    <w14:schemeClr w14:val="tx1"/>
                  </w14:solidFill>
                </w14:textFill>
              </w:rPr>
              <w:t>39</w:t>
            </w:r>
            <w:r>
              <w:rPr>
                <w:rFonts w:hint="eastAsia"/>
                <w:color w:val="000000" w:themeColor="text1"/>
                <w:sz w:val="21"/>
                <w:szCs w:val="21"/>
                <w14:textFill>
                  <w14:solidFill>
                    <w14:schemeClr w14:val="tx1"/>
                  </w14:solidFill>
                </w14:textFill>
              </w:rPr>
              <w:t xml:space="preserve">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0.000015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0.000015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w:t>
            </w:r>
          </w:p>
        </w:tc>
        <w:tc>
          <w:tcPr>
            <w:tcW w:w="801" w:type="pct"/>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703"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T</w:t>
            </w:r>
            <w:r>
              <w:rPr>
                <w:rFonts w:eastAsia="宋体"/>
                <w:color w:val="000000" w:themeColor="text1"/>
                <w:kern w:val="0"/>
                <w:sz w:val="21"/>
                <w:szCs w:val="21"/>
                <w14:textFill>
                  <w14:solidFill>
                    <w14:schemeClr w14:val="tx1"/>
                  </w14:solidFill>
                </w14:textFill>
              </w:rPr>
              <w:t>P</w:t>
            </w:r>
          </w:p>
        </w:tc>
        <w:tc>
          <w:tcPr>
            <w:tcW w:w="1094"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1016" w:type="pct"/>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0.000006 </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restart"/>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全厂排放口合计</w:t>
            </w:r>
          </w:p>
        </w:tc>
        <w:tc>
          <w:tcPr>
            <w:tcW w:w="2813" w:type="pct"/>
            <w:gridSpan w:val="3"/>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1015"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0.537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1015"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tcBorders>
              <w:bottom w:val="single" w:color="auto"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1015" w:type="pct"/>
            <w:tcBorders>
              <w:bottom w:val="single" w:color="auto"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tcBorders>
              <w:bottom w:val="single" w:color="auto" w:sz="12" w:space="0"/>
            </w:tcBorders>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tcBorders>
              <w:top w:val="single" w:color="auto" w:sz="4" w:space="0"/>
              <w:bottom w:val="single" w:color="auto"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1015" w:type="pct"/>
            <w:tcBorders>
              <w:top w:val="single" w:color="auto" w:sz="4" w:space="0"/>
              <w:bottom w:val="single" w:color="auto"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tcBorders>
              <w:bottom w:val="single" w:color="auto" w:sz="12" w:space="0"/>
            </w:tcBorders>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tcBorders>
              <w:top w:val="single" w:color="auto" w:sz="4" w:space="0"/>
              <w:bottom w:val="single" w:color="auto"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1015" w:type="pct"/>
            <w:tcBorders>
              <w:top w:val="single" w:color="auto" w:sz="4" w:space="0"/>
              <w:bottom w:val="single" w:color="auto"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2" w:type="pct"/>
            <w:gridSpan w:val="2"/>
            <w:vMerge w:val="continue"/>
            <w:tcBorders>
              <w:bottom w:val="single" w:color="auto" w:sz="12" w:space="0"/>
            </w:tcBorders>
            <w:vAlign w:val="center"/>
          </w:tcPr>
          <w:p>
            <w:pPr>
              <w:adjustRightInd w:val="0"/>
              <w:spacing w:line="240" w:lineRule="auto"/>
              <w:jc w:val="center"/>
              <w:textAlignment w:val="baseline"/>
              <w:rPr>
                <w:rFonts w:eastAsia="宋体"/>
                <w:color w:val="000000" w:themeColor="text1"/>
                <w:sz w:val="21"/>
                <w:szCs w:val="21"/>
                <w14:textFill>
                  <w14:solidFill>
                    <w14:schemeClr w14:val="tx1"/>
                  </w14:solidFill>
                </w14:textFill>
              </w:rPr>
            </w:pPr>
          </w:p>
        </w:tc>
        <w:tc>
          <w:tcPr>
            <w:tcW w:w="2813" w:type="pct"/>
            <w:gridSpan w:val="3"/>
            <w:tcBorders>
              <w:top w:val="single" w:color="auto" w:sz="4" w:space="0"/>
              <w:bottom w:val="single" w:color="auto" w:sz="12"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T</w:t>
            </w:r>
            <w:r>
              <w:rPr>
                <w:rFonts w:eastAsia="宋体"/>
                <w:color w:val="000000" w:themeColor="text1"/>
                <w:kern w:val="0"/>
                <w:sz w:val="21"/>
                <w:szCs w:val="21"/>
                <w14:textFill>
                  <w14:solidFill>
                    <w14:schemeClr w14:val="tx1"/>
                  </w14:solidFill>
                </w14:textFill>
              </w:rPr>
              <w:t>P</w:t>
            </w:r>
          </w:p>
        </w:tc>
        <w:tc>
          <w:tcPr>
            <w:tcW w:w="1015" w:type="pct"/>
            <w:tcBorders>
              <w:top w:val="single" w:color="auto" w:sz="4" w:space="0"/>
              <w:bottom w:val="single" w:color="auto"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r>
    </w:tbl>
    <w:p>
      <w:pPr>
        <w:ind w:firstLine="482"/>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（5）地表水环境影响评价自查</w:t>
      </w:r>
    </w:p>
    <w:p>
      <w:pPr>
        <w:pStyle w:val="272"/>
        <w:ind w:firstLine="480"/>
        <w:rPr>
          <w:rFonts w:ascii="Times New Roman" w:hAnsi="Times New Roman" w:eastAsia="宋体"/>
          <w:color w:val="000000" w:themeColor="text1"/>
          <w:szCs w:val="24"/>
          <w14:textFill>
            <w14:solidFill>
              <w14:schemeClr w14:val="tx1"/>
            </w14:solidFill>
          </w14:textFill>
        </w:rPr>
      </w:pPr>
      <w:bookmarkStart w:id="169" w:name="_Toc1626"/>
      <w:r>
        <w:rPr>
          <w:rFonts w:ascii="Times New Roman" w:hAnsi="Times New Roman" w:eastAsia="宋体"/>
          <w:color w:val="000000" w:themeColor="text1"/>
          <w:szCs w:val="24"/>
          <w14:textFill>
            <w14:solidFill>
              <w14:schemeClr w14:val="tx1"/>
            </w14:solidFill>
          </w14:textFill>
        </w:rPr>
        <w:t>本项目地表水环境影响评价自查内容详见表4.3-5。</w:t>
      </w:r>
      <w:bookmarkEnd w:id="169"/>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表4.3-5  地表水环境影响评价自查表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2"/>
        <w:gridCol w:w="1301"/>
        <w:gridCol w:w="112"/>
        <w:gridCol w:w="1159"/>
        <w:gridCol w:w="432"/>
        <w:gridCol w:w="523"/>
        <w:gridCol w:w="423"/>
        <w:gridCol w:w="339"/>
        <w:gridCol w:w="916"/>
        <w:gridCol w:w="397"/>
        <w:gridCol w:w="719"/>
        <w:gridCol w:w="45"/>
        <w:gridCol w:w="591"/>
        <w:gridCol w:w="762"/>
        <w:gridCol w:w="750"/>
        <w:gridCol w:w="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90" w:hRule="atLeast"/>
          <w:jc w:val="center"/>
        </w:trPr>
        <w:tc>
          <w:tcPr>
            <w:tcW w:w="1038" w:type="pct"/>
            <w:gridSpan w:val="2"/>
            <w:tcBorders>
              <w:top w:val="single" w:color="auto" w:sz="12" w:space="0"/>
            </w:tcBorders>
            <w:vAlign w:val="center"/>
          </w:tcPr>
          <w:p>
            <w:pPr>
              <w:pStyle w:val="296"/>
              <w:spacing w:line="240" w:lineRule="auto"/>
              <w:ind w:firstLine="0"/>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工作内容</w:t>
            </w:r>
          </w:p>
        </w:tc>
        <w:tc>
          <w:tcPr>
            <w:tcW w:w="3951" w:type="pct"/>
            <w:gridSpan w:val="13"/>
            <w:tcBorders>
              <w:top w:val="single" w:color="auto" w:sz="12" w:space="0"/>
            </w:tcBorders>
            <w:vAlign w:val="center"/>
          </w:tcPr>
          <w:p>
            <w:pPr>
              <w:pStyle w:val="296"/>
              <w:spacing w:line="240" w:lineRule="auto"/>
              <w:ind w:firstLine="0"/>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81" w:hRule="atLeast"/>
          <w:jc w:val="center"/>
        </w:trPr>
        <w:tc>
          <w:tcPr>
            <w:tcW w:w="321"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影响识别</w:t>
            </w: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影响类型</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水污染影响型</w:t>
            </w:r>
            <w:r>
              <w:rPr>
                <w:rFonts w:ascii="Segoe UI Symbol" w:hAnsi="Segoe UI Symbol" w:cs="Segoe UI Symbol"/>
                <w:color w:val="000000" w:themeColor="text1"/>
                <w:sz w:val="21"/>
                <w14:textFill>
                  <w14:solidFill>
                    <w14:schemeClr w14:val="tx1"/>
                  </w14:solidFill>
                </w14:textFill>
              </w:rPr>
              <w:t>☑</w:t>
            </w:r>
            <w:r>
              <w:rPr>
                <w:color w:val="000000" w:themeColor="text1"/>
                <w:sz w:val="21"/>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877"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水环境保护</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目标</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饮用水水源保护□；饮用水取水口□；涉水的自然保护区□；重要湿地□；重点保护与珍稀水生生物的栖息地□；重要水生生物的自然产卵场及索饵场、越冬场和洄游通道、天然渔场等渔业水体□；涉水的风景名胜区□；其他</w:t>
            </w:r>
            <w:r>
              <w:rPr>
                <w:rFonts w:ascii="Segoe UI Symbol" w:hAnsi="Segoe UI Symbol" w:cs="Segoe UI Symbol"/>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影响途径</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水污染影响型</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45"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直接排放□；间接排放</w:t>
            </w:r>
            <w:r>
              <w:rPr>
                <w:rFonts w:ascii="Segoe UI Symbol" w:hAnsi="Segoe UI Symbol" w:cs="Segoe UI Symbol"/>
                <w:color w:val="000000" w:themeColor="text1"/>
                <w:sz w:val="21"/>
                <w14:textFill>
                  <w14:solidFill>
                    <w14:schemeClr w14:val="tx1"/>
                  </w14:solidFill>
                </w14:textFill>
              </w:rPr>
              <w:t>☑</w:t>
            </w:r>
            <w:r>
              <w:rPr>
                <w:color w:val="000000" w:themeColor="text1"/>
                <w:sz w:val="21"/>
                <w14:textFill>
                  <w14:solidFill>
                    <w14:schemeClr w14:val="tx1"/>
                  </w14:solidFill>
                </w14:textFill>
              </w:rPr>
              <w:t>；其他□</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水温□；径流□；水域面积□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71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影响因子</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持久性污染物□；有毒有害污染物□；非持久性污染物</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；pH 值□；热污染□；富营养化□；其他□</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水温□；水位（水深）□；流速□；流量□；其他□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65" w:hRule="atLeast"/>
          <w:jc w:val="center"/>
        </w:trPr>
        <w:tc>
          <w:tcPr>
            <w:tcW w:w="1038" w:type="pct"/>
            <w:gridSpan w:val="2"/>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评价等级</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水污染影响型</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31" w:hRule="atLeast"/>
          <w:jc w:val="center"/>
        </w:trPr>
        <w:tc>
          <w:tcPr>
            <w:tcW w:w="103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一级□；二级□；三级A□；三级B</w:t>
            </w:r>
            <w:r>
              <w:rPr>
                <w:rFonts w:ascii="Segoe UI Symbol" w:hAnsi="Segoe UI Symbol" w:cs="Segoe UI Symbol"/>
                <w:color w:val="000000" w:themeColor="text1"/>
                <w:sz w:val="21"/>
                <w14:textFill>
                  <w14:solidFill>
                    <w14:schemeClr w14:val="tx1"/>
                  </w14:solidFill>
                </w14:textFill>
              </w:rPr>
              <w:t>☑</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一级□；二级□；三级□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83" w:hRule="atLeast"/>
          <w:jc w:val="center"/>
        </w:trPr>
        <w:tc>
          <w:tcPr>
            <w:tcW w:w="321"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现状调查</w:t>
            </w:r>
          </w:p>
        </w:tc>
        <w:tc>
          <w:tcPr>
            <w:tcW w:w="716"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区域污</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染源</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调查项目</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608"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27"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已建□；在建□；拟建□；其他□</w:t>
            </w:r>
          </w:p>
        </w:tc>
        <w:tc>
          <w:tcPr>
            <w:tcW w:w="925"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拟替代的污染源 □</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排污许可证□；环评□；环保验收 □；既有实测□；现场监测□；入河排放口数据□；其他□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41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受影响水体水环境质量</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调查时期</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丰水期□；平水期□；枯水期□；冰封期□春季□；夏季□；秋季□；冬季</w:t>
            </w:r>
            <w:r>
              <w:rPr>
                <w:color w:val="000000" w:themeColor="text1"/>
                <w:sz w:val="21"/>
                <w:szCs w:val="20"/>
                <w14:textFill>
                  <w14:solidFill>
                    <w14:schemeClr w14:val="tx1"/>
                  </w14:solidFill>
                </w14:textFill>
              </w:rPr>
              <w:sym w:font="Wingdings 2" w:char="F0A3"/>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生态环境保护主管部门</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；补充监测□；其他□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9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区域水资源开发利用状况</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未开发□；开发量40%以下□；开发量40%以上□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425"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水文情</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势调查</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调查时期</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9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丰水期□；平水期□；枯水期□；冰封期□春季□；夏季□；秋季□；冬季□</w:t>
            </w:r>
          </w:p>
        </w:tc>
        <w:tc>
          <w:tcPr>
            <w:tcW w:w="1799"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水行政主管部门□；补充监测□；其他□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11"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补充监测</w:t>
            </w: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监测时期</w:t>
            </w:r>
          </w:p>
        </w:tc>
        <w:tc>
          <w:tcPr>
            <w:tcW w:w="615"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监测因子</w:t>
            </w:r>
          </w:p>
        </w:tc>
        <w:tc>
          <w:tcPr>
            <w:tcW w:w="1184"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468"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2152" w:type="pct"/>
            <w:gridSpan w:val="7"/>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丰水期□；平水期□；枯水期□；冰封期□春季□；夏季□；秋季□；冬季□</w:t>
            </w:r>
          </w:p>
        </w:tc>
        <w:tc>
          <w:tcPr>
            <w:tcW w:w="615"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1184"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监测断面或点位个数（）个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130" w:hRule="atLeast"/>
          <w:jc w:val="center"/>
        </w:trPr>
        <w:tc>
          <w:tcPr>
            <w:tcW w:w="321"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现状评价</w:t>
            </w: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评价范围</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河流：长度（）km；湖库、河口及近岸海域：面积（</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）km</w:t>
            </w:r>
            <w:r>
              <w:rPr>
                <w:color w:val="000000" w:themeColor="text1"/>
                <w:sz w:val="2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评价因子</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（COD、BOD</w:t>
            </w:r>
            <w:r>
              <w:rPr>
                <w:color w:val="000000" w:themeColor="text1"/>
                <w:sz w:val="21"/>
                <w:vertAlign w:val="subscript"/>
                <w14:textFill>
                  <w14:solidFill>
                    <w14:schemeClr w14:val="tx1"/>
                  </w14:solidFill>
                </w14:textFill>
              </w:rPr>
              <w:t>5</w:t>
            </w:r>
            <w:r>
              <w:rPr>
                <w:color w:val="000000" w:themeColor="text1"/>
                <w:sz w:val="21"/>
                <w14:textFill>
                  <w14:solidFill>
                    <w14:schemeClr w14:val="tx1"/>
                  </w14:solidFill>
                </w14:textFill>
              </w:rPr>
              <w:t>、SS、氨氮、石油类</w:t>
            </w:r>
            <w:r>
              <w:rPr>
                <w:rFonts w:hint="eastAsia"/>
                <w:color w:val="000000" w:themeColor="text1"/>
                <w:sz w:val="21"/>
                <w14:textFill>
                  <w14:solidFill>
                    <w14:schemeClr w14:val="tx1"/>
                  </w14:solidFill>
                </w14:textFill>
              </w:rPr>
              <w:t>、动植物油、T</w:t>
            </w:r>
            <w:r>
              <w:rPr>
                <w:color w:val="000000" w:themeColor="text1"/>
                <w:sz w:val="21"/>
                <w14:textFill>
                  <w14:solidFill>
                    <w14:schemeClr w14:val="tx1"/>
                  </w14:solidFill>
                </w14:textFill>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37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评价标准</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河流、湖库、河口：Ⅰ类□；Ⅱ类□；Ⅲ类</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；Ⅳ类□；Ⅴ类□近岸海域：第一类□；第二类□；第三类□；第四类□；规划年评价标准（）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181"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评价时期</w:t>
            </w:r>
          </w:p>
        </w:tc>
        <w:tc>
          <w:tcPr>
            <w:tcW w:w="3951"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丰水期□；平水期□；枯水期□；冰封期□；春季□；夏季□；秋季</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；冬季□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181"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16"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评价结论</w:t>
            </w:r>
          </w:p>
        </w:tc>
        <w:tc>
          <w:tcPr>
            <w:tcW w:w="3538"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水环境功能区或水功能区、近岸海域环境功能区水质达标状况：达标□；不达标□；水环境控制单元或断面水质达标状况：达标</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不达标□；水环境保护目标质量状况：达标□；不达标□；对照断面、控制断面等代表性断面的水质状况：达标□；不达标□；底泥污染评价□；水资源与开发利用程度及其水文情势评价□；水环境质量回顾评价□；流域（区域）水资源（包括水能资源）与开发利用总体状况、生态流量管理要求与现状满足程度、建设项目占用水域空间的水流状况与河湖演变状况□。</w:t>
            </w:r>
          </w:p>
        </w:tc>
        <w:tc>
          <w:tcPr>
            <w:tcW w:w="413"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达标区</w:t>
            </w:r>
            <w:r>
              <w:rPr>
                <w:color w:val="000000" w:themeColor="text1"/>
                <w:sz w:val="21"/>
                <w:szCs w:val="20"/>
                <w14:textFill>
                  <w14:solidFill>
                    <w14:schemeClr w14:val="tx1"/>
                  </w14:solidFill>
                </w14:textFill>
              </w:rPr>
              <w:sym w:font="Wingdings 2" w:char="F052"/>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不达标区</w:t>
            </w:r>
            <w:r>
              <w:rPr>
                <w:color w:val="000000" w:themeColor="text1"/>
                <w:sz w:val="21"/>
                <w:szCs w:val="20"/>
                <w14:textFill>
                  <w14:solidFill>
                    <w14:schemeClr w14:val="tx1"/>
                  </w14:solidFill>
                </w14:textFill>
              </w:rPr>
              <w:sym w:font="Wingdings 2" w:char="F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54" w:hRule="atLeast"/>
          <w:jc w:val="center"/>
        </w:trPr>
        <w:tc>
          <w:tcPr>
            <w:tcW w:w="321"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预测与评价</w:t>
            </w: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预测范围</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河流：长度（）km；湖库、河口及近岸海域：面积（）km</w:t>
            </w:r>
            <w:r>
              <w:rPr>
                <w:color w:val="000000" w:themeColor="text1"/>
                <w:sz w:val="2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05"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预测因子</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74"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预测时期</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丰水期□；平水期□；枯水期□；冰封期□春季□；夏季□；秋季□；冬季□设计水文条件□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57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预测情景</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建设期□；生产运行期□；服务期满后□  正常工况□；非正常工况□</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污染控制和减缓措施方案□；区（流）域环境质量改善目标要求情景□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115"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预测方法</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数值解□：解析解□；其他□ 导则推荐模式□：其他□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83" w:hRule="atLeast"/>
          <w:jc w:val="center"/>
        </w:trPr>
        <w:tc>
          <w:tcPr>
            <w:tcW w:w="321" w:type="pct"/>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影响评价</w:t>
            </w: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水污染控制和水环境影响减缓措施有效性评价</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区（流）域水环境质量改善目标□；替代削减源□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1" w:type="pct"/>
          <w:trHeight w:val="283"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水环境影响</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w:t>
            </w:r>
          </w:p>
        </w:tc>
        <w:tc>
          <w:tcPr>
            <w:tcW w:w="3889" w:type="pct"/>
            <w:gridSpan w:val="1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排放口混合区外满足水环境管理要求□</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水环境功能区或水功能区、近岸海域环境功能区水质达标□</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满足水环境保护目标水域水环境质量要求□</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水环境控制单元或断面水质达标□</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满足重点水污染物排放总量控制指标要求，重点行业建设项目，主要污染物排放满足等量或减量替代要求□</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满足区（流）域水环境质量改善目标要求□</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水文要素影响型建设项目同时应包括水文情势变化评价、主要水文特征值影响评价、生态流量符合性评价□</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对于新设或调整入河（湖库、近岸海域）排放口的建设项目，应包括排放口设置的环境合理性评价□</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满足生态保护红线、水环境质量底线、资源利用上线和环境准入清单管理要求□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污染源</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排放量核算</w:t>
            </w:r>
          </w:p>
        </w:tc>
        <w:tc>
          <w:tcPr>
            <w:tcW w:w="1398" w:type="pct"/>
            <w:gridSpan w:val="4"/>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污染物名称</w:t>
            </w:r>
          </w:p>
        </w:tc>
        <w:tc>
          <w:tcPr>
            <w:tcW w:w="1332" w:type="pct"/>
            <w:gridSpan w:val="5"/>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排放浓度/（mg/L）</w:t>
            </w:r>
          </w:p>
        </w:tc>
        <w:tc>
          <w:tcPr>
            <w:tcW w:w="1171" w:type="pct"/>
            <w:gridSpan w:val="4"/>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COD</w:t>
            </w:r>
          </w:p>
        </w:tc>
        <w:tc>
          <w:tcPr>
            <w:tcW w:w="1332" w:type="pct"/>
            <w:gridSpan w:val="5"/>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1171" w:type="pct"/>
            <w:gridSpan w:val="4"/>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0.537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BOD</w:t>
            </w:r>
            <w:r>
              <w:rPr>
                <w:color w:val="000000" w:themeColor="text1"/>
                <w:sz w:val="21"/>
                <w:vertAlign w:val="subscript"/>
                <w14:textFill>
                  <w14:solidFill>
                    <w14:schemeClr w14:val="tx1"/>
                  </w14:solidFill>
                </w14:textFill>
              </w:rPr>
              <w:t>5</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t>
            </w:r>
            <w:r>
              <w:rPr>
                <w:color w:val="000000" w:themeColor="text1"/>
                <w:sz w:val="21"/>
                <w14:textFill>
                  <w14:solidFill>
                    <w14:schemeClr w14:val="tx1"/>
                  </w14:solidFill>
                </w14:textFill>
              </w:rPr>
              <w:t>H</w:t>
            </w:r>
            <w:r>
              <w:rPr>
                <w:color w:val="000000" w:themeColor="text1"/>
                <w:sz w:val="21"/>
                <w:vertAlign w:val="subscript"/>
                <w14:textFill>
                  <w14:solidFill>
                    <w14:schemeClr w14:val="tx1"/>
                  </w14:solidFill>
                </w14:textFill>
              </w:rPr>
              <w:t>3</w:t>
            </w:r>
            <w:r>
              <w:rPr>
                <w:color w:val="000000" w:themeColor="text1"/>
                <w:sz w:val="21"/>
                <w14:textFill>
                  <w14:solidFill>
                    <w14:schemeClr w14:val="tx1"/>
                  </w14:solidFill>
                </w14:textFill>
              </w:rPr>
              <w:t>-N</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石油类</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动植物油</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398" w:type="pct"/>
            <w:gridSpan w:val="4"/>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T</w:t>
            </w:r>
            <w:r>
              <w:rPr>
                <w:color w:val="000000" w:themeColor="text1"/>
                <w:sz w:val="21"/>
                <w14:textFill>
                  <w14:solidFill>
                    <w14:schemeClr w14:val="tx1"/>
                  </w14:solidFill>
                </w14:textFill>
              </w:rPr>
              <w:t>P</w:t>
            </w:r>
          </w:p>
        </w:tc>
        <w:tc>
          <w:tcPr>
            <w:tcW w:w="1332" w:type="pct"/>
            <w:gridSpan w:val="5"/>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71" w:type="pct"/>
            <w:gridSpan w:val="4"/>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替代源排放情况</w:t>
            </w:r>
          </w:p>
        </w:tc>
        <w:tc>
          <w:tcPr>
            <w:tcW w:w="639"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污染源名称</w:t>
            </w:r>
          </w:p>
        </w:tc>
        <w:tc>
          <w:tcPr>
            <w:tcW w:w="946"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排污许可证编号</w:t>
            </w:r>
          </w:p>
        </w:tc>
        <w:tc>
          <w:tcPr>
            <w:tcW w:w="724"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污染物名称</w:t>
            </w:r>
          </w:p>
        </w:tc>
        <w:tc>
          <w:tcPr>
            <w:tcW w:w="747"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排放量（t/a）</w:t>
            </w:r>
          </w:p>
        </w:tc>
        <w:tc>
          <w:tcPr>
            <w:tcW w:w="845"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639" w:type="pc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946" w:type="pct"/>
            <w:gridSpan w:val="4"/>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24"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47"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845"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生态流</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量确定</w:t>
            </w:r>
          </w:p>
        </w:tc>
        <w:tc>
          <w:tcPr>
            <w:tcW w:w="3900" w:type="pct"/>
            <w:gridSpan w:val="13"/>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生态流量：一般水期（）m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/s；鱼类繁殖期（）m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/s；其他（）m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/s</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生态水位：一般水期（）m；鱼类繁殖期（）m；其他（</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环保</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措施</w:t>
            </w:r>
          </w:p>
        </w:tc>
        <w:tc>
          <w:tcPr>
            <w:tcW w:w="3900" w:type="pct"/>
            <w:gridSpan w:val="13"/>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污水处理设施□；水文减缓设施□；生态流量保障设施□；区域削减□；依托其他工程措施</w:t>
            </w:r>
            <w:r>
              <w:rPr>
                <w:color w:val="000000" w:themeColor="text1"/>
                <w:sz w:val="21"/>
                <w:szCs w:val="20"/>
                <w14:textFill>
                  <w14:solidFill>
                    <w14:schemeClr w14:val="tx1"/>
                  </w14:solidFill>
                </w14:textFill>
              </w:rPr>
              <w:sym w:font="Wingdings 2" w:char="F052"/>
            </w:r>
            <w:r>
              <w:rPr>
                <w:color w:val="000000" w:themeColor="text1"/>
                <w:sz w:val="2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w:t>
            </w:r>
          </w:p>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计划</w:t>
            </w:r>
          </w:p>
        </w:tc>
        <w:tc>
          <w:tcPr>
            <w:tcW w:w="877" w:type="pct"/>
            <w:gridSpan w:val="2"/>
          </w:tcPr>
          <w:p>
            <w:pPr>
              <w:pStyle w:val="296"/>
              <w:spacing w:line="240" w:lineRule="auto"/>
              <w:ind w:firstLine="0"/>
              <w:rPr>
                <w:color w:val="000000" w:themeColor="text1"/>
                <w:sz w:val="21"/>
                <w14:textFill>
                  <w14:solidFill>
                    <w14:schemeClr w14:val="tx1"/>
                  </w14:solidFill>
                </w14:textFill>
              </w:rPr>
            </w:pPr>
          </w:p>
        </w:tc>
        <w:tc>
          <w:tcPr>
            <w:tcW w:w="1432" w:type="pct"/>
            <w:gridSpan w:val="5"/>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环境质量</w:t>
            </w:r>
          </w:p>
        </w:tc>
        <w:tc>
          <w:tcPr>
            <w:tcW w:w="1592" w:type="pct"/>
            <w:gridSpan w:val="6"/>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877"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监测方式</w:t>
            </w:r>
          </w:p>
        </w:tc>
        <w:tc>
          <w:tcPr>
            <w:tcW w:w="1432" w:type="pct"/>
            <w:gridSpan w:val="5"/>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手动□；自动□；无监测□</w:t>
            </w:r>
          </w:p>
        </w:tc>
        <w:tc>
          <w:tcPr>
            <w:tcW w:w="1592"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手动□；自动□；无监测□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877"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监测点位</w:t>
            </w:r>
          </w:p>
        </w:tc>
        <w:tc>
          <w:tcPr>
            <w:tcW w:w="1432" w:type="pct"/>
            <w:gridSpan w:val="5"/>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1592"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877"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监测因子</w:t>
            </w:r>
          </w:p>
        </w:tc>
        <w:tc>
          <w:tcPr>
            <w:tcW w:w="1432" w:type="pct"/>
            <w:gridSpan w:val="5"/>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1592" w:type="pct"/>
            <w:gridSpan w:val="6"/>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321" w:type="pct"/>
            <w:vMerge w:val="continue"/>
            <w:vAlign w:val="center"/>
          </w:tcPr>
          <w:p>
            <w:pPr>
              <w:pStyle w:val="296"/>
              <w:spacing w:line="240" w:lineRule="auto"/>
              <w:ind w:firstLine="0"/>
              <w:rPr>
                <w:color w:val="000000" w:themeColor="text1"/>
                <w:sz w:val="21"/>
                <w14:textFill>
                  <w14:solidFill>
                    <w14:schemeClr w14:val="tx1"/>
                  </w14:solidFill>
                </w14:textFill>
              </w:rPr>
            </w:pPr>
          </w:p>
        </w:tc>
        <w:tc>
          <w:tcPr>
            <w:tcW w:w="778" w:type="pct"/>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877" w:type="pct"/>
            <w:gridSpan w:val="2"/>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污染物排放清单</w:t>
            </w:r>
          </w:p>
        </w:tc>
        <w:tc>
          <w:tcPr>
            <w:tcW w:w="1432" w:type="pct"/>
            <w:gridSpan w:val="5"/>
            <w:vAlign w:val="center"/>
          </w:tcPr>
          <w:p>
            <w:pPr>
              <w:pStyle w:val="296"/>
              <w:spacing w:line="240" w:lineRule="auto"/>
              <w:ind w:firstLine="0"/>
              <w:rPr>
                <w:color w:val="000000" w:themeColor="text1"/>
                <w:sz w:val="21"/>
                <w14:textFill>
                  <w14:solidFill>
                    <w14:schemeClr w14:val="tx1"/>
                  </w14:solidFill>
                </w14:textFill>
              </w:rPr>
            </w:pPr>
            <w:r>
              <w:rPr>
                <w:rFonts w:ascii="Segoe UI Symbol" w:hAnsi="Segoe UI Symbol" w:cs="Segoe UI Symbol"/>
                <w:color w:val="000000" w:themeColor="text1"/>
                <w:sz w:val="21"/>
                <w14:textFill>
                  <w14:solidFill>
                    <w14:schemeClr w14:val="tx1"/>
                  </w14:solidFill>
                </w14:textFill>
              </w:rPr>
              <w:t>☑</w:t>
            </w:r>
          </w:p>
        </w:tc>
        <w:tc>
          <w:tcPr>
            <w:tcW w:w="1592" w:type="pct"/>
            <w:gridSpan w:val="6"/>
            <w:vAlign w:val="center"/>
          </w:tcPr>
          <w:p>
            <w:pPr>
              <w:pStyle w:val="296"/>
              <w:spacing w:line="240" w:lineRule="auto"/>
              <w:ind w:firstLine="0"/>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100" w:type="pct"/>
            <w:gridSpan w:val="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评价结论</w:t>
            </w:r>
          </w:p>
        </w:tc>
        <w:tc>
          <w:tcPr>
            <w:tcW w:w="3900" w:type="pct"/>
            <w:gridSpan w:val="13"/>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可以接受</w:t>
            </w:r>
            <w:r>
              <w:rPr>
                <w:rFonts w:ascii="Segoe UI Symbol" w:hAnsi="Segoe UI Symbol" w:cs="Segoe UI Symbol"/>
                <w:color w:val="000000" w:themeColor="text1"/>
                <w:sz w:val="21"/>
                <w14:textFill>
                  <w14:solidFill>
                    <w14:schemeClr w14:val="tx1"/>
                  </w14:solidFill>
                </w14:textFill>
              </w:rPr>
              <w:t>☑</w:t>
            </w:r>
            <w:r>
              <w:rPr>
                <w:color w:val="000000" w:themeColor="text1"/>
                <w:sz w:val="21"/>
                <w14:textFill>
                  <w14:solidFill>
                    <w14:schemeClr w14:val="tx1"/>
                  </w14:solidFill>
                </w14:textFill>
              </w:rPr>
              <w:t>；不可以接受□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000" w:type="pct"/>
            <w:gridSpan w:val="16"/>
            <w:tcBorders>
              <w:bottom w:val="single" w:color="auto" w:sz="12" w:space="0"/>
            </w:tcBorders>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注：“□”为勾选项，可√；“（）”为内容填写项；“备注”为其他补充内容。</w:t>
            </w:r>
          </w:p>
        </w:tc>
      </w:tr>
    </w:tbl>
    <w:p>
      <w:pPr>
        <w:pStyle w:val="179"/>
        <w:rPr>
          <w:rFonts w:eastAsia="宋体"/>
          <w:color w:val="000000" w:themeColor="text1"/>
          <w14:textFill>
            <w14:solidFill>
              <w14:schemeClr w14:val="tx1"/>
            </w14:solidFill>
          </w14:textFill>
        </w:rPr>
      </w:pPr>
      <w:bookmarkStart w:id="170" w:name="_Toc155271424"/>
      <w:r>
        <w:rPr>
          <w:rFonts w:eastAsia="宋体"/>
          <w:color w:val="000000" w:themeColor="text1"/>
          <w14:textFill>
            <w14:solidFill>
              <w14:schemeClr w14:val="tx1"/>
            </w14:solidFill>
          </w14:textFill>
        </w:rPr>
        <w:t>4.4运营期地下水环境影响</w:t>
      </w:r>
      <w:bookmarkEnd w:id="164"/>
      <w:bookmarkEnd w:id="165"/>
      <w:bookmarkEnd w:id="166"/>
      <w:r>
        <w:rPr>
          <w:rFonts w:eastAsia="宋体"/>
          <w:color w:val="000000" w:themeColor="text1"/>
          <w14:textFill>
            <w14:solidFill>
              <w14:schemeClr w14:val="tx1"/>
            </w14:solidFill>
          </w14:textFill>
        </w:rPr>
        <w:t>评价</w:t>
      </w:r>
      <w:bookmarkEnd w:id="170"/>
    </w:p>
    <w:p>
      <w:pPr>
        <w:keepNext/>
        <w:keepLines/>
        <w:adjustRightInd w:val="0"/>
        <w:outlineLvl w:val="2"/>
        <w:rPr>
          <w:rFonts w:eastAsia="宋体"/>
          <w:b/>
          <w:bCs/>
          <w:color w:val="000000" w:themeColor="text1"/>
          <w:szCs w:val="32"/>
          <w14:textFill>
            <w14:solidFill>
              <w14:schemeClr w14:val="tx1"/>
            </w14:solidFill>
          </w14:textFill>
        </w:rPr>
      </w:pPr>
      <w:bookmarkStart w:id="171" w:name="_Toc490235564"/>
      <w:bookmarkStart w:id="172" w:name="_Toc489281064"/>
      <w:bookmarkStart w:id="173" w:name="_Toc27636"/>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.4.1地下水污染源</w:t>
      </w:r>
      <w:r>
        <w:rPr>
          <w:rFonts w:hint="eastAsia" w:eastAsia="宋体"/>
          <w:b/>
          <w:bCs/>
          <w:color w:val="000000" w:themeColor="text1"/>
          <w:szCs w:val="32"/>
          <w14:textFill>
            <w14:solidFill>
              <w14:schemeClr w14:val="tx1"/>
            </w14:solidFill>
          </w14:textFill>
        </w:rPr>
        <w:t>及污染途径分析</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根据建设内容及工程分析，项目对地下水的影响主要为营运期可能发生废水、液态物料等事故滴漏下渗污染地下水。项目对地下水可能产生的污染</w:t>
      </w:r>
      <w:r>
        <w:rPr>
          <w:rFonts w:hint="eastAsia" w:eastAsia="宋体"/>
          <w:color w:val="000000" w:themeColor="text1"/>
          <w:lang w:eastAsia="zh-CN"/>
          <w14:textFill>
            <w14:solidFill>
              <w14:schemeClr w14:val="tx1"/>
            </w14:solidFill>
          </w14:textFill>
        </w:rPr>
        <w:t>途径</w:t>
      </w:r>
      <w:bookmarkStart w:id="310" w:name="_GoBack"/>
      <w:bookmarkEnd w:id="310"/>
      <w:r>
        <w:rPr>
          <w:rFonts w:hint="eastAsia" w:eastAsia="宋体"/>
          <w:color w:val="000000" w:themeColor="text1"/>
          <w14:textFill>
            <w14:solidFill>
              <w14:schemeClr w14:val="tx1"/>
            </w14:solidFill>
          </w14:textFill>
        </w:rPr>
        <w:t>包括：①正常工况下，废水输送、处理设施发生跑冒漏滴和事故性泄漏，废水泄漏后经包气带渗入含水层；②池体防渗措施出现故障，渗滤液渗入地下影响地下水。</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.4.2</w:t>
      </w:r>
      <w:r>
        <w:rPr>
          <w:rFonts w:hint="eastAsia" w:eastAsia="宋体"/>
          <w:b/>
          <w:bCs/>
          <w:color w:val="000000" w:themeColor="text1"/>
          <w:szCs w:val="32"/>
          <w14:textFill>
            <w14:solidFill>
              <w14:schemeClr w14:val="tx1"/>
            </w14:solidFill>
          </w14:textFill>
        </w:rPr>
        <w:t>地下水环境影响分析</w:t>
      </w:r>
    </w:p>
    <w:p>
      <w:pPr>
        <w:ind w:firstLine="480"/>
        <w:rPr>
          <w:rFonts w:eastAsia="宋体"/>
          <w:b/>
          <w:bCs/>
          <w:color w:val="000000" w:themeColor="text1"/>
          <w:szCs w:val="32"/>
          <w14:textFill>
            <w14:solidFill>
              <w14:schemeClr w14:val="tx1"/>
            </w14:solidFill>
          </w14:textFill>
        </w:rPr>
      </w:pPr>
      <w:r>
        <w:rPr>
          <w:rFonts w:eastAsia="宋体"/>
          <w:color w:val="000000" w:themeColor="text1"/>
          <w:szCs w:val="24"/>
          <w14:textFill>
            <w14:solidFill>
              <w14:schemeClr w14:val="tx1"/>
            </w14:solidFill>
          </w14:textFill>
        </w:rPr>
        <w:t>项目废水中主要污染物是COD、BOD</w:t>
      </w:r>
      <w:r>
        <w:rPr>
          <w:rFonts w:eastAsia="宋体"/>
          <w:color w:val="000000" w:themeColor="text1"/>
          <w:szCs w:val="24"/>
          <w:vertAlign w:val="subscript"/>
          <w14:textFill>
            <w14:solidFill>
              <w14:schemeClr w14:val="tx1"/>
            </w14:solidFill>
          </w14:textFill>
        </w:rPr>
        <w:t>5</w:t>
      </w:r>
      <w:r>
        <w:rPr>
          <w:rFonts w:eastAsia="宋体"/>
          <w:color w:val="000000" w:themeColor="text1"/>
          <w:szCs w:val="24"/>
          <w14:textFill>
            <w14:solidFill>
              <w14:schemeClr w14:val="tx1"/>
            </w14:solidFill>
          </w14:textFill>
        </w:rPr>
        <w:t>、SS、NH</w:t>
      </w:r>
      <w:r>
        <w:rPr>
          <w:rFonts w:eastAsia="宋体"/>
          <w:color w:val="000000" w:themeColor="text1"/>
          <w:szCs w:val="24"/>
          <w:vertAlign w:val="subscript"/>
          <w14:textFill>
            <w14:solidFill>
              <w14:schemeClr w14:val="tx1"/>
            </w14:solidFill>
          </w14:textFill>
        </w:rPr>
        <w:t>3</w:t>
      </w:r>
      <w:r>
        <w:rPr>
          <w:rFonts w:eastAsia="宋体"/>
          <w:color w:val="000000" w:themeColor="text1"/>
          <w:szCs w:val="24"/>
          <w14:textFill>
            <w14:solidFill>
              <w14:schemeClr w14:val="tx1"/>
            </w14:solidFill>
          </w14:textFill>
        </w:rPr>
        <w:t>-N</w:t>
      </w:r>
      <w:r>
        <w:rPr>
          <w:rFonts w:hint="eastAsia" w:eastAsia="宋体"/>
          <w:color w:val="000000" w:themeColor="text1"/>
          <w:szCs w:val="24"/>
          <w14:textFill>
            <w14:solidFill>
              <w14:schemeClr w14:val="tx1"/>
            </w14:solidFill>
          </w14:textFill>
        </w:rPr>
        <w:t>、动植物油、石油类、T</w:t>
      </w:r>
      <w:r>
        <w:rPr>
          <w:rFonts w:eastAsia="宋体"/>
          <w:color w:val="000000" w:themeColor="text1"/>
          <w:szCs w:val="24"/>
          <w14:textFill>
            <w14:solidFill>
              <w14:schemeClr w14:val="tx1"/>
            </w14:solidFill>
          </w14:textFill>
        </w:rPr>
        <w:t>P。查阅相关资料，废水中的COD、BOD</w:t>
      </w:r>
      <w:r>
        <w:rPr>
          <w:rFonts w:eastAsia="宋体"/>
          <w:color w:val="000000" w:themeColor="text1"/>
          <w:szCs w:val="24"/>
          <w:vertAlign w:val="subscript"/>
          <w14:textFill>
            <w14:solidFill>
              <w14:schemeClr w14:val="tx1"/>
            </w14:solidFill>
          </w14:textFill>
        </w:rPr>
        <w:t>5</w:t>
      </w:r>
      <w:r>
        <w:rPr>
          <w:rFonts w:eastAsia="宋体"/>
          <w:color w:val="000000" w:themeColor="text1"/>
          <w:szCs w:val="24"/>
          <w14:textFill>
            <w14:solidFill>
              <w14:schemeClr w14:val="tx1"/>
            </w14:solidFill>
          </w14:textFill>
        </w:rPr>
        <w:t>在粘性土中的吸附</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去除</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率为：包气带厚度为1.0m时，去除率达80—90%，当包气带厚度在2.0m时，去除率可达95%以上。这说明废水在下渗过程中，逐渐被包气带物质粘土所吸附降解，只有极少部分进入含水层，所以，在正常情况下时，</w:t>
      </w:r>
      <w:r>
        <w:rPr>
          <w:rFonts w:hint="eastAsia" w:eastAsia="宋体"/>
          <w:color w:val="000000" w:themeColor="text1"/>
          <w:szCs w:val="24"/>
          <w14:textFill>
            <w14:solidFill>
              <w14:schemeClr w14:val="tx1"/>
            </w14:solidFill>
          </w14:textFill>
        </w:rPr>
        <w:t>废水处理设施</w:t>
      </w:r>
      <w:r>
        <w:rPr>
          <w:rFonts w:eastAsia="宋体"/>
          <w:color w:val="000000" w:themeColor="text1"/>
          <w:szCs w:val="24"/>
          <w14:textFill>
            <w14:solidFill>
              <w14:schemeClr w14:val="tx1"/>
            </w14:solidFill>
          </w14:textFill>
        </w:rPr>
        <w:t>的废水收集、处理过程不会对评价区地下水环境产生显著影响。但若污水收集及处理构筑物发生渗漏时，对地下水有一定影响。当含水层上覆包气带厚度小于5m时，对污染物的吸附降解能力有限，污染物含量较大的污水下渗后在包气带中逐步达到过饱和，即包气带对COD等有机污染物的吸附达到饱和后，将造成各污染物逐渐下移，进入含水层而污染地下水，其污染范围和强度受地下水流场、废水下渗持续的时间、排放量和污染物浓度等因素控制，污染物浓度愈高，下渗量越大，下渗持续时间越长，影响地下水环境的范围将越大，地下水污染将越重。</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.4.3地下水防治措施</w:t>
      </w:r>
    </w:p>
    <w:p>
      <w:pPr>
        <w:adjustRightInd w:val="0"/>
        <w:snapToGrid w:val="0"/>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针对项目可能发生的地下水污染，地下水污染防治措施按照“源头控制、分区防治、应急响应”相结合的原则，从污染物的产生、入渗、扩散、应急响应全方位进行控制。</w:t>
      </w:r>
    </w:p>
    <w:p>
      <w:pPr>
        <w:adjustRightInd w:val="0"/>
        <w:snapToGrid w:val="0"/>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污染源控制措施</w:t>
      </w:r>
    </w:p>
    <w:p>
      <w:pPr>
        <w:adjustRightInd w:val="0"/>
        <w:snapToGrid w:val="0"/>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严格按照国家相关规范要求，对工艺、管道、设备、污水储存及处理构筑物采取相应的措施，以防止和降低污染物的跑、冒、漏、滴现象，将污染物泄漏的环境风险事故降到最低程度；新建管线敷设尽量采用“可视化”原则，即管道尽可能地上敷设，做到污染物“早发现、早处理”，以减少由于埋地管道泄漏而可能造成的地下水污染。</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分区防渗控制措施</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重点防渗区：</w:t>
      </w:r>
      <w:r>
        <w:rPr>
          <w:rFonts w:eastAsia="宋体"/>
          <w:bCs/>
          <w:color w:val="000000" w:themeColor="text1"/>
          <w14:textFill>
            <w14:solidFill>
              <w14:schemeClr w14:val="tx1"/>
            </w14:solidFill>
          </w14:textFill>
        </w:rPr>
        <w:t>危废暂存间</w:t>
      </w:r>
      <w:r>
        <w:rPr>
          <w:rFonts w:hint="eastAsia" w:eastAsia="宋体"/>
          <w:bCs/>
          <w:color w:val="000000" w:themeColor="text1"/>
          <w14:textFill>
            <w14:solidFill>
              <w14:schemeClr w14:val="tx1"/>
            </w14:solidFill>
          </w14:textFill>
        </w:rPr>
        <w:t>（1</w:t>
      </w:r>
      <w:r>
        <w:rPr>
          <w:rFonts w:eastAsia="宋体"/>
          <w:bCs/>
          <w:color w:val="000000" w:themeColor="text1"/>
          <w14:textFill>
            <w14:solidFill>
              <w14:schemeClr w14:val="tx1"/>
            </w14:solidFill>
          </w14:textFill>
        </w:rPr>
        <w:t>#</w:t>
      </w:r>
      <w:r>
        <w:rPr>
          <w:rFonts w:hint="eastAsia" w:eastAsia="宋体"/>
          <w:bCs/>
          <w:color w:val="000000" w:themeColor="text1"/>
          <w14:textFill>
            <w14:solidFill>
              <w14:schemeClr w14:val="tx1"/>
            </w14:solidFill>
          </w14:textFill>
        </w:rPr>
        <w:t>、2</w:t>
      </w:r>
      <w:r>
        <w:rPr>
          <w:rFonts w:eastAsia="宋体"/>
          <w:bCs/>
          <w:color w:val="000000" w:themeColor="text1"/>
          <w14:textFill>
            <w14:solidFill>
              <w14:schemeClr w14:val="tx1"/>
            </w14:solidFill>
          </w14:textFill>
        </w:rPr>
        <w:t>#</w:t>
      </w:r>
      <w:r>
        <w:rPr>
          <w:rFonts w:hint="eastAsia" w:eastAsia="宋体"/>
          <w:bCs/>
          <w:color w:val="000000" w:themeColor="text1"/>
          <w14:textFill>
            <w14:solidFill>
              <w14:schemeClr w14:val="tx1"/>
            </w14:solidFill>
          </w14:textFill>
        </w:rPr>
        <w:t>）</w:t>
      </w:r>
      <w:r>
        <w:rPr>
          <w:rFonts w:eastAsia="宋体"/>
          <w:bCs/>
          <w:color w:val="000000" w:themeColor="text1"/>
          <w14:textFill>
            <w14:solidFill>
              <w14:schemeClr w14:val="tx1"/>
            </w14:solidFill>
          </w14:textFill>
        </w:rPr>
        <w:t>、油品</w:t>
      </w:r>
      <w:r>
        <w:rPr>
          <w:rFonts w:hint="eastAsia" w:eastAsia="宋体"/>
          <w:bCs/>
          <w:color w:val="000000" w:themeColor="text1"/>
          <w14:textFill>
            <w14:solidFill>
              <w14:schemeClr w14:val="tx1"/>
            </w14:solidFill>
          </w14:textFill>
        </w:rPr>
        <w:t>库房、油漆库房、生产废水处理设施、涂装车间、</w:t>
      </w:r>
      <w:r>
        <w:rPr>
          <w:rFonts w:hint="eastAsia" w:eastAsia="宋体"/>
          <w:color w:val="000000" w:themeColor="text1"/>
          <w14:textFill>
            <w14:solidFill>
              <w14:schemeClr w14:val="tx1"/>
            </w14:solidFill>
          </w14:textFill>
        </w:rPr>
        <w:t>隔油沉淀设施（1</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）、生化池（1</w:t>
      </w:r>
      <w:r>
        <w:rPr>
          <w:rFonts w:eastAsia="宋体"/>
          <w:color w:val="000000" w:themeColor="text1"/>
          <w14:textFill>
            <w14:solidFill>
              <w14:schemeClr w14:val="tx1"/>
            </w14:solidFill>
          </w14:textFill>
        </w:rPr>
        <w:t>#、2#）</w:t>
      </w:r>
      <w:r>
        <w:rPr>
          <w:rFonts w:eastAsia="宋体"/>
          <w:bCs/>
          <w:color w:val="000000" w:themeColor="text1"/>
          <w14:textFill>
            <w14:solidFill>
              <w14:schemeClr w14:val="tx1"/>
            </w14:solidFill>
          </w14:textFill>
        </w:rPr>
        <w:t>。</w:t>
      </w:r>
      <w:r>
        <w:rPr>
          <w:rFonts w:eastAsia="宋体"/>
          <w:color w:val="000000" w:themeColor="text1"/>
          <w14:textFill>
            <w14:solidFill>
              <w14:schemeClr w14:val="tx1"/>
            </w14:solidFill>
          </w14:textFill>
        </w:rPr>
        <w:t>采用抗渗混凝土、高密度聚乙烯膜、钠基膨润土防水毯或其他防渗性能等效的材料，同时采取基础防渗，防渗层为至少1m厚黏土层（渗透系数不大于</w:t>
      </w:r>
      <w:r>
        <w:rPr>
          <w:rFonts w:eastAsia="宋体"/>
          <w:bCs/>
          <w:color w:val="000000" w:themeColor="text1"/>
          <w14:textFill>
            <w14:solidFill>
              <w14:schemeClr w14:val="tx1"/>
            </w14:solidFill>
          </w14:textFill>
        </w:rPr>
        <w:t>10</w:t>
      </w:r>
      <w:r>
        <w:rPr>
          <w:rFonts w:eastAsia="宋体"/>
          <w:bCs/>
          <w:color w:val="000000" w:themeColor="text1"/>
          <w:vertAlign w:val="superscript"/>
          <w14:textFill>
            <w14:solidFill>
              <w14:schemeClr w14:val="tx1"/>
            </w14:solidFill>
          </w14:textFill>
        </w:rPr>
        <w:t>-7</w:t>
      </w:r>
      <w:r>
        <w:rPr>
          <w:rFonts w:eastAsia="宋体"/>
          <w:bCs/>
          <w:color w:val="000000" w:themeColor="text1"/>
          <w14:textFill>
            <w14:solidFill>
              <w14:schemeClr w14:val="tx1"/>
            </w14:solidFill>
          </w14:textFill>
        </w:rPr>
        <w:t>cm/s</w:t>
      </w:r>
      <w:r>
        <w:rPr>
          <w:rFonts w:eastAsia="宋体"/>
          <w:color w:val="000000" w:themeColor="text1"/>
          <w14:textFill>
            <w14:solidFill>
              <w14:schemeClr w14:val="tx1"/>
            </w14:solidFill>
          </w14:textFill>
        </w:rPr>
        <w:t>），或者</w:t>
      </w:r>
      <w:r>
        <w:rPr>
          <w:rFonts w:hint="eastAsia" w:eastAsia="宋体"/>
          <w:color w:val="000000" w:themeColor="text1"/>
          <w14:textFill>
            <w14:solidFill>
              <w14:schemeClr w14:val="tx1"/>
            </w14:solidFill>
          </w14:textFill>
        </w:rPr>
        <w:t>至</w:t>
      </w:r>
      <w:r>
        <w:rPr>
          <w:rFonts w:eastAsia="宋体"/>
          <w:color w:val="000000" w:themeColor="text1"/>
          <w14:textFill>
            <w14:solidFill>
              <w14:schemeClr w14:val="tx1"/>
            </w14:solidFill>
          </w14:textFill>
        </w:rPr>
        <w:t>少2mm厚高密度聚乙烯膜等人工防渗材料（渗透系数不大于</w:t>
      </w:r>
      <w:r>
        <w:rPr>
          <w:rFonts w:eastAsia="宋体"/>
          <w:bCs/>
          <w:color w:val="000000" w:themeColor="text1"/>
          <w14:textFill>
            <w14:solidFill>
              <w14:schemeClr w14:val="tx1"/>
            </w14:solidFill>
          </w14:textFill>
        </w:rPr>
        <w:t>10</w:t>
      </w:r>
      <w:r>
        <w:rPr>
          <w:rFonts w:eastAsia="宋体"/>
          <w:bCs/>
          <w:color w:val="000000" w:themeColor="text1"/>
          <w:vertAlign w:val="superscript"/>
          <w14:textFill>
            <w14:solidFill>
              <w14:schemeClr w14:val="tx1"/>
            </w14:solidFill>
          </w14:textFill>
        </w:rPr>
        <w:t>-10</w:t>
      </w:r>
      <w:r>
        <w:rPr>
          <w:rFonts w:eastAsia="宋体"/>
          <w:bCs/>
          <w:color w:val="000000" w:themeColor="text1"/>
          <w14:textFill>
            <w14:solidFill>
              <w14:schemeClr w14:val="tx1"/>
            </w14:solidFill>
          </w14:textFill>
        </w:rPr>
        <w:t>cm/s</w:t>
      </w:r>
      <w:r>
        <w:rPr>
          <w:rFonts w:eastAsia="宋体"/>
          <w:color w:val="000000" w:themeColor="text1"/>
          <w14:textFill>
            <w14:solidFill>
              <w14:schemeClr w14:val="tx1"/>
            </w14:solidFill>
          </w14:textFill>
        </w:rPr>
        <w:t>），或其他防渗性能等效的材料。</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一般防渗区：</w:t>
      </w:r>
      <w:r>
        <w:rPr>
          <w:rFonts w:hint="eastAsia" w:eastAsia="宋体"/>
          <w:color w:val="000000" w:themeColor="text1"/>
          <w14:textFill>
            <w14:solidFill>
              <w14:schemeClr w14:val="tx1"/>
            </w14:solidFill>
          </w14:textFill>
        </w:rPr>
        <w:t>一般固废暂存间（1</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）、变压器房、空压机房</w:t>
      </w:r>
      <w:r>
        <w:rPr>
          <w:rFonts w:eastAsia="宋体"/>
          <w:color w:val="000000" w:themeColor="text1"/>
          <w14:textFill>
            <w14:solidFill>
              <w14:schemeClr w14:val="tx1"/>
            </w14:solidFill>
          </w14:textFill>
        </w:rPr>
        <w:t>。</w:t>
      </w:r>
      <w:r>
        <w:rPr>
          <w:rFonts w:eastAsia="宋体"/>
          <w:bCs/>
          <w:color w:val="000000" w:themeColor="text1"/>
          <w14:textFill>
            <w14:solidFill>
              <w14:schemeClr w14:val="tx1"/>
            </w14:solidFill>
          </w14:textFill>
        </w:rPr>
        <w:t>防渗技术要求为等效黏土防渗层Mb≥1.5m，渗透系数≤1×10</w:t>
      </w:r>
      <w:r>
        <w:rPr>
          <w:rFonts w:eastAsia="宋体"/>
          <w:bCs/>
          <w:color w:val="000000" w:themeColor="text1"/>
          <w:vertAlign w:val="superscript"/>
          <w14:textFill>
            <w14:solidFill>
              <w14:schemeClr w14:val="tx1"/>
            </w14:solidFill>
          </w14:textFill>
        </w:rPr>
        <w:t>-7</w:t>
      </w:r>
      <w:r>
        <w:rPr>
          <w:rFonts w:eastAsia="宋体"/>
          <w:bCs/>
          <w:color w:val="000000" w:themeColor="text1"/>
          <w14:textFill>
            <w14:solidFill>
              <w14:schemeClr w14:val="tx1"/>
            </w14:solidFill>
          </w14:textFill>
        </w:rPr>
        <w:t>cm/s</w:t>
      </w:r>
      <w:r>
        <w:rPr>
          <w:rFonts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简单防渗区：</w:t>
      </w:r>
      <w:r>
        <w:rPr>
          <w:rFonts w:hint="eastAsia" w:eastAsia="宋体"/>
          <w:color w:val="000000" w:themeColor="text1"/>
          <w14:textFill>
            <w14:solidFill>
              <w14:schemeClr w14:val="tx1"/>
            </w14:solidFill>
          </w14:textFill>
        </w:rPr>
        <w:t>生产车间、办公等其他区域，采用地面硬化处理</w:t>
      </w:r>
      <w:r>
        <w:rPr>
          <w:rFonts w:eastAsia="宋体"/>
          <w:color w:val="000000" w:themeColor="text1"/>
          <w14:textFill>
            <w14:solidFill>
              <w14:schemeClr w14:val="tx1"/>
            </w14:solidFill>
          </w14:textFill>
        </w:rPr>
        <w:t>。</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w:t>
      </w:r>
      <w:r>
        <w:rPr>
          <w:rFonts w:eastAsia="宋体"/>
          <w:color w:val="000000" w:themeColor="text1"/>
          <w14:textFill>
            <w14:solidFill>
              <w14:schemeClr w14:val="tx1"/>
            </w14:solidFill>
          </w14:textFill>
        </w:rPr>
        <w:t>管理措施</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除工程措施外，项目还需加强日常管理，避免发生事故造成影响，包括：</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①</w:t>
      </w:r>
      <w:r>
        <w:rPr>
          <w:rFonts w:eastAsia="宋体"/>
          <w:color w:val="000000" w:themeColor="text1"/>
          <w14:textFill>
            <w14:solidFill>
              <w14:schemeClr w14:val="tx1"/>
            </w14:solidFill>
          </w14:textFill>
        </w:rPr>
        <w:t>结合园区的地下水污染监控计划，加强对项目区域的日常检查，以便及时发现污染，及时控制。</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②</w:t>
      </w:r>
      <w:r>
        <w:rPr>
          <w:rFonts w:eastAsia="宋体"/>
          <w:color w:val="000000" w:themeColor="text1"/>
          <w14:textFill>
            <w14:solidFill>
              <w14:schemeClr w14:val="tx1"/>
            </w14:solidFill>
          </w14:textFill>
        </w:rPr>
        <w:t>一旦发现地下水污染事故，立即启动应急预案、采取应急措施控制地下水污染，并使污染得到治理。</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（4）地下水跟踪监测监测计划</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根据《环境影响评价技术导则 地下水环境》（HJ610-2016）的要求，三级评价的建设项目，一般不少于1个，应在建设项目场地下游布设1个。</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地下水环境跟踪监测报告的内容，一般应包括：</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①本项目所在场地及其影响区地下水环境跟踪监测数据，排放污染物的种类、数量、浓度。</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②生产设备、管廊或管线、贮存与运输装置、污染物贮存与处理装置、事故应急装置等设施的运行状况、跑冒滴漏记录、维护记录。</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4.4</w:t>
      </w:r>
      <w:r>
        <w:rPr>
          <w:rFonts w:hint="eastAsia" w:eastAsia="宋体"/>
          <w:b/>
          <w:bCs/>
          <w:color w:val="000000" w:themeColor="text1"/>
          <w:szCs w:val="32"/>
          <w14:textFill>
            <w14:solidFill>
              <w14:schemeClr w14:val="tx1"/>
            </w14:solidFill>
          </w14:textFill>
        </w:rPr>
        <w:t>地下水环境影响评价结论</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综上所述，</w:t>
      </w:r>
      <w:r>
        <w:rPr>
          <w:rFonts w:hint="eastAsia" w:eastAsia="宋体"/>
          <w:color w:val="000000" w:themeColor="text1"/>
          <w14:textFill>
            <w14:solidFill>
              <w14:schemeClr w14:val="tx1"/>
            </w14:solidFill>
          </w14:textFill>
        </w:rPr>
        <w:t>建设单位严格落实本次评价提出的</w:t>
      </w:r>
      <w:r>
        <w:rPr>
          <w:rFonts w:eastAsia="宋体"/>
          <w:color w:val="000000" w:themeColor="text1"/>
          <w14:textFill>
            <w14:solidFill>
              <w14:schemeClr w14:val="tx1"/>
            </w14:solidFill>
          </w14:textFill>
        </w:rPr>
        <w:t>地下水污染防治措施</w:t>
      </w:r>
      <w:r>
        <w:rPr>
          <w:rFonts w:hint="eastAsia" w:eastAsia="宋体"/>
          <w:color w:val="000000" w:themeColor="text1"/>
          <w14:textFill>
            <w14:solidFill>
              <w14:schemeClr w14:val="tx1"/>
            </w14:solidFill>
          </w14:textFill>
        </w:rPr>
        <w:t>后</w:t>
      </w:r>
      <w:r>
        <w:rPr>
          <w:rFonts w:eastAsia="宋体"/>
          <w:color w:val="000000" w:themeColor="text1"/>
          <w14:textFill>
            <w14:solidFill>
              <w14:schemeClr w14:val="tx1"/>
            </w14:solidFill>
          </w14:textFill>
        </w:rPr>
        <w:t>，不会对地下水环境造成明显不利影响。</w:t>
      </w:r>
    </w:p>
    <w:p>
      <w:pPr>
        <w:pStyle w:val="179"/>
        <w:rPr>
          <w:rFonts w:eastAsia="宋体"/>
          <w:color w:val="000000" w:themeColor="text1"/>
          <w14:textFill>
            <w14:solidFill>
              <w14:schemeClr w14:val="tx1"/>
            </w14:solidFill>
          </w14:textFill>
        </w:rPr>
      </w:pPr>
      <w:bookmarkStart w:id="174" w:name="_Toc155271425"/>
      <w:r>
        <w:rPr>
          <w:rFonts w:eastAsia="宋体"/>
          <w:color w:val="000000" w:themeColor="text1"/>
          <w14:textFill>
            <w14:solidFill>
              <w14:schemeClr w14:val="tx1"/>
            </w14:solidFill>
          </w14:textFill>
        </w:rPr>
        <w:t>4.5运营期声</w:t>
      </w:r>
      <w:bookmarkEnd w:id="171"/>
      <w:bookmarkEnd w:id="172"/>
      <w:bookmarkEnd w:id="173"/>
      <w:r>
        <w:rPr>
          <w:rFonts w:eastAsia="宋体"/>
          <w:color w:val="000000" w:themeColor="text1"/>
          <w14:textFill>
            <w14:solidFill>
              <w14:schemeClr w14:val="tx1"/>
            </w14:solidFill>
          </w14:textFill>
        </w:rPr>
        <w:t>环境影响预测与评价</w:t>
      </w:r>
      <w:bookmarkEnd w:id="174"/>
    </w:p>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（1）噪声源及源强</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本项目运营期噪声源主要来自</w:t>
      </w:r>
      <w:r>
        <w:rPr>
          <w:rFonts w:hint="eastAsia" w:eastAsia="宋体"/>
          <w:color w:val="000000" w:themeColor="text1"/>
          <w14:textFill>
            <w14:solidFill>
              <w14:schemeClr w14:val="tx1"/>
            </w14:solidFill>
          </w14:textFill>
        </w:rPr>
        <w:t>等离子切割机、激光切割机、卷板机</w:t>
      </w:r>
      <w:r>
        <w:rPr>
          <w:rFonts w:eastAsia="宋体"/>
          <w:color w:val="000000" w:themeColor="text1"/>
          <w14:textFill>
            <w14:solidFill>
              <w14:schemeClr w14:val="tx1"/>
            </w14:solidFill>
          </w14:textFill>
        </w:rPr>
        <w:t>等设备</w:t>
      </w:r>
      <w:r>
        <w:rPr>
          <w:rFonts w:hint="eastAsia" w:eastAsia="宋体"/>
          <w:color w:val="000000" w:themeColor="text1"/>
          <w14:textFill>
            <w14:solidFill>
              <w14:schemeClr w14:val="tx1"/>
            </w14:solidFill>
          </w14:textFill>
        </w:rPr>
        <w:t>，噪声值为7</w:t>
      </w:r>
      <w:r>
        <w:rPr>
          <w:rFonts w:eastAsia="宋体"/>
          <w:color w:val="000000" w:themeColor="text1"/>
          <w14:textFill>
            <w14:solidFill>
              <w14:schemeClr w14:val="tx1"/>
            </w14:solidFill>
          </w14:textFill>
        </w:rPr>
        <w:t>0~95dB(A)。</w:t>
      </w:r>
      <w:r>
        <w:rPr>
          <w:rFonts w:hint="eastAsia" w:eastAsia="宋体"/>
          <w:color w:val="000000" w:themeColor="text1"/>
          <w14:textFill>
            <w14:solidFill>
              <w14:schemeClr w14:val="tx1"/>
            </w14:solidFill>
          </w14:textFill>
        </w:rPr>
        <w:t>噪声源调查清单详见表2</w:t>
      </w:r>
      <w:r>
        <w:rPr>
          <w:rFonts w:eastAsia="宋体"/>
          <w:color w:val="000000" w:themeColor="text1"/>
          <w14:textFill>
            <w14:solidFill>
              <w14:schemeClr w14:val="tx1"/>
            </w14:solidFill>
          </w14:textFill>
        </w:rPr>
        <w:t>.4-12</w:t>
      </w:r>
      <w:r>
        <w:rPr>
          <w:rFonts w:hint="eastAsia" w:eastAsia="宋体"/>
          <w:color w:val="000000" w:themeColor="text1"/>
          <w14:textFill>
            <w14:solidFill>
              <w14:schemeClr w14:val="tx1"/>
            </w14:solidFill>
          </w14:textFill>
        </w:rPr>
        <w:t>和表2</w:t>
      </w:r>
      <w:r>
        <w:rPr>
          <w:rFonts w:eastAsia="宋体"/>
          <w:color w:val="000000" w:themeColor="text1"/>
          <w14:textFill>
            <w14:solidFill>
              <w14:schemeClr w14:val="tx1"/>
            </w14:solidFill>
          </w14:textFill>
        </w:rPr>
        <w:t>.4-13。</w:t>
      </w:r>
    </w:p>
    <w:p>
      <w:pPr>
        <w:ind w:firstLine="482"/>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（2）预测</w:t>
      </w:r>
      <w:r>
        <w:rPr>
          <w:rFonts w:hint="eastAsia" w:eastAsia="宋体"/>
          <w:b/>
          <w:color w:val="000000" w:themeColor="text1"/>
          <w14:textFill>
            <w14:solidFill>
              <w14:schemeClr w14:val="tx1"/>
            </w14:solidFill>
          </w14:textFill>
        </w:rPr>
        <w:t>方法</w:t>
      </w:r>
    </w:p>
    <w:p>
      <w:pPr>
        <w:ind w:firstLine="480" w:firstLineChars="200"/>
        <w:textAlignment w:val="baseline"/>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本评价采用《环境影响评价技术导则声环境》（HJ 2.4-2021）噪声预测模型模式。</w:t>
      </w:r>
    </w:p>
    <w:p>
      <w:pPr>
        <w:ind w:firstLine="480" w:firstLineChars="200"/>
        <w:textAlignment w:val="baseline"/>
        <w:rPr>
          <w:rFonts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rFonts w:eastAsia="宋体"/>
          <w:color w:val="000000" w:themeColor="text1"/>
          <w14:textFill>
            <w14:solidFill>
              <w14:schemeClr w14:val="tx1"/>
            </w14:solidFill>
          </w14:textFill>
        </w:rPr>
        <w:t>室内声源：项目所有设备均位于生产车间内。室内声源可采用等效室外声源声功率级法进行计算。设靠近开口处（或窗户）室内、室外某倍频带的声压级分别为L</w:t>
      </w:r>
      <w:r>
        <w:rPr>
          <w:rFonts w:eastAsia="宋体"/>
          <w:color w:val="000000" w:themeColor="text1"/>
          <w:vertAlign w:val="subscript"/>
          <w14:textFill>
            <w14:solidFill>
              <w14:schemeClr w14:val="tx1"/>
            </w14:solidFill>
          </w14:textFill>
        </w:rPr>
        <w:t>p1</w:t>
      </w:r>
      <w:r>
        <w:rPr>
          <w:rFonts w:eastAsia="宋体"/>
          <w:color w:val="000000" w:themeColor="text1"/>
          <w14:textFill>
            <w14:solidFill>
              <w14:schemeClr w14:val="tx1"/>
            </w14:solidFill>
          </w14:textFill>
        </w:rPr>
        <w:t>和L</w:t>
      </w:r>
      <w:r>
        <w:rPr>
          <w:rFonts w:eastAsia="宋体"/>
          <w:color w:val="000000" w:themeColor="text1"/>
          <w:vertAlign w:val="subscript"/>
          <w14:textFill>
            <w14:solidFill>
              <w14:schemeClr w14:val="tx1"/>
            </w14:solidFill>
          </w14:textFill>
        </w:rPr>
        <w:t>p2</w:t>
      </w:r>
      <w:r>
        <w:rPr>
          <w:rFonts w:eastAsia="宋体"/>
          <w:color w:val="000000" w:themeColor="text1"/>
          <w14:textFill>
            <w14:solidFill>
              <w14:schemeClr w14:val="tx1"/>
            </w14:solidFill>
          </w14:textFill>
        </w:rPr>
        <w:t>。若声源所在室内声场为近似扩散声场，则室外的倍频带声压级可按式近似求出：</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33" o:spt="75" type="#_x0000_t75" style="height:17.25pt;width:96.75pt;" o:ole="t" filled="f" o:preferrelative="t" stroked="f" coordsize="21600,21600">
            <v:path/>
            <v:fill on="f" focussize="0,0"/>
            <v:stroke on="f" joinstyle="miter"/>
            <v:imagedata r:id="rId51" o:title=""/>
            <o:lock v:ext="edit" aspectratio="t"/>
            <w10:wrap type="none"/>
            <w10:anchorlock/>
          </v:shape>
          <o:OLEObject Type="Embed" ProgID="Equation.3" ShapeID="_x0000_i1033" DrawAspect="Content" ObjectID="_1468075733" r:id="rId50">
            <o:LockedField>false</o:LockedField>
          </o:OLEObject>
        </w:objec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式中：L</w:t>
      </w:r>
      <w:r>
        <w:rPr>
          <w:rFonts w:eastAsia="宋体"/>
          <w:color w:val="000000" w:themeColor="text1"/>
          <w:vertAlign w:val="subscript"/>
          <w14:textFill>
            <w14:solidFill>
              <w14:schemeClr w14:val="tx1"/>
            </w14:solidFill>
          </w14:textFill>
        </w:rPr>
        <w:t>P1</w:t>
      </w:r>
      <w:r>
        <w:rPr>
          <w:rFonts w:eastAsia="宋体"/>
          <w:color w:val="000000" w:themeColor="text1"/>
          <w14:textFill>
            <w14:solidFill>
              <w14:schemeClr w14:val="tx1"/>
            </w14:solidFill>
          </w14:textFill>
        </w:rPr>
        <w:t>——靠近开口处（或窗户）室内某倍频带的声压级或A声级，dB；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w:t>
      </w:r>
      <w:r>
        <w:rPr>
          <w:rFonts w:eastAsia="宋体"/>
          <w:color w:val="000000" w:themeColor="text1"/>
          <w:vertAlign w:val="subscript"/>
          <w14:textFill>
            <w14:solidFill>
              <w14:schemeClr w14:val="tx1"/>
            </w14:solidFill>
          </w14:textFill>
        </w:rPr>
        <w:t>P2</w:t>
      </w:r>
      <w:r>
        <w:rPr>
          <w:rFonts w:eastAsia="宋体"/>
          <w:color w:val="000000" w:themeColor="text1"/>
          <w14:textFill>
            <w14:solidFill>
              <w14:schemeClr w14:val="tx1"/>
            </w14:solidFill>
          </w14:textFill>
        </w:rPr>
        <w:t>——靠近开口处（或窗户）室外某倍频带的声压级或A声级，dB；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TL——隔墙（或窗户）倍频带的隔声量，dB。</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也可根据下式计算某一室内声源靠近围栏结构处产生的倍频带声压级或A声级：</w:t>
      </w:r>
    </w:p>
    <w:p>
      <w:pPr>
        <w:jc w:val="center"/>
        <w:rPr>
          <w:rFonts w:eastAsia="宋体"/>
          <w:color w:val="000000" w:themeColor="text1"/>
          <w14:textFill>
            <w14:solidFill>
              <w14:schemeClr w14:val="tx1"/>
            </w14:solidFill>
          </w14:textFill>
        </w:rPr>
      </w:pPr>
      <m:oMathPara>
        <m:oMath>
          <m:sSub>
            <m:sSubPr>
              <m:ctrlPr>
                <w:rPr>
                  <w:rFonts w:ascii="Cambria Math" w:hAnsi="Cambria Math" w:eastAsia="宋体"/>
                  <w:color w:val="000000" w:themeColor="text1"/>
                  <w14:textFill>
                    <w14:solidFill>
                      <w14:schemeClr w14:val="tx1"/>
                    </w14:solidFill>
                  </w14:textFill>
                </w:rPr>
              </m:ctrlPr>
            </m:sSubPr>
            <m:e>
              <m:r>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P1</m:t>
              </m:r>
              <m:ctrlPr>
                <w:rPr>
                  <w:rFonts w:ascii="Cambria Math" w:hAnsi="Cambria Math" w:eastAsia="宋体"/>
                  <w:color w:val="000000" w:themeColor="text1"/>
                  <w14:textFill>
                    <w14:solidFill>
                      <w14:schemeClr w14:val="tx1"/>
                    </w14:solidFill>
                  </w14:textFill>
                </w:rPr>
              </m:ctrlPr>
            </m:sub>
          </m:sSub>
          <m:r>
            <m:rPr>
              <m:sty m:val="p"/>
            </m:rPr>
            <w:rPr>
              <w:rFonts w:ascii="Cambria Math" w:hAnsi="Cambria Math" w:eastAsia="宋体"/>
              <w:color w:val="000000" w:themeColor="text1"/>
              <w14:textFill>
                <w14:solidFill>
                  <w14:schemeClr w14:val="tx1"/>
                </w14:solidFill>
              </w14:textFill>
            </w:rPr>
            <m:t>=</m:t>
          </m:r>
          <m:sSub>
            <m:sSubPr>
              <m:ctrlPr>
                <w:rPr>
                  <w:rFonts w:ascii="Cambria Math" w:hAnsi="Cambria Math" w:eastAsia="宋体"/>
                  <w:color w:val="000000" w:themeColor="text1"/>
                  <w14:textFill>
                    <w14:solidFill>
                      <w14:schemeClr w14:val="tx1"/>
                    </w14:solidFill>
                  </w14:textFill>
                </w:rPr>
              </m:ctrlPr>
            </m:sSubPr>
            <m:e>
              <m:r>
                <m:rPr/>
                <w:rPr>
                  <w:rFonts w:ascii="Cambria Math" w:hAnsi="Cambria Math" w:eastAsia="宋体"/>
                  <w:color w:val="000000" w:themeColor="text1"/>
                  <w14:textFill>
                    <w14:solidFill>
                      <w14:schemeClr w14:val="tx1"/>
                    </w14:solidFill>
                  </w14:textFill>
                </w:rPr>
                <m:t>L</m:t>
              </m:r>
              <m:ctrlPr>
                <w:rPr>
                  <w:rFonts w:ascii="Cambria Math" w:hAnsi="Cambria Math" w:eastAsia="宋体"/>
                  <w:color w:val="000000" w:themeColor="text1"/>
                  <w14:textFill>
                    <w14:solidFill>
                      <w14:schemeClr w14:val="tx1"/>
                    </w14:solidFill>
                  </w14:textFill>
                </w:rPr>
              </m:ctrlPr>
            </m:e>
            <m:sub>
              <m:r>
                <m:rPr/>
                <w:rPr>
                  <w:rFonts w:ascii="Cambria Math" w:hAnsi="Cambria Math" w:eastAsia="宋体"/>
                  <w:color w:val="000000" w:themeColor="text1"/>
                  <w14:textFill>
                    <w14:solidFill>
                      <w14:schemeClr w14:val="tx1"/>
                    </w14:solidFill>
                  </w14:textFill>
                </w:rPr>
                <m:t>W</m:t>
              </m:r>
              <m:ctrlPr>
                <w:rPr>
                  <w:rFonts w:ascii="Cambria Math" w:hAnsi="Cambria Math" w:eastAsia="宋体"/>
                  <w:color w:val="000000" w:themeColor="text1"/>
                  <w14:textFill>
                    <w14:solidFill>
                      <w14:schemeClr w14:val="tx1"/>
                    </w14:solidFill>
                  </w14:textFill>
                </w:rPr>
              </m:ctrlPr>
            </m:sub>
          </m:sSub>
          <m:r>
            <m:rPr/>
            <w:rPr>
              <w:rFonts w:ascii="Cambria Math" w:hAnsi="Cambria Math" w:eastAsia="宋体"/>
              <w:color w:val="000000" w:themeColor="text1"/>
              <w14:textFill>
                <w14:solidFill>
                  <w14:schemeClr w14:val="tx1"/>
                </w14:solidFill>
              </w14:textFill>
            </w:rPr>
            <m:t>+10lg</m:t>
          </m:r>
          <m:d>
            <m:dPr>
              <m:ctrlPr>
                <w:rPr>
                  <w:rFonts w:ascii="Cambria Math" w:hAnsi="Cambria Math" w:eastAsia="宋体"/>
                  <w:i/>
                  <w:color w:val="000000" w:themeColor="text1"/>
                  <w14:textFill>
                    <w14:solidFill>
                      <w14:schemeClr w14:val="tx1"/>
                    </w14:solidFill>
                  </w14:textFill>
                </w:rPr>
              </m:ctrlPr>
            </m:dPr>
            <m:e>
              <m:f>
                <m:fPr>
                  <m:ctrlPr>
                    <w:rPr>
                      <w:rFonts w:ascii="Cambria Math" w:hAnsi="Cambria Math" w:eastAsia="宋体"/>
                      <w:i/>
                      <w:color w:val="000000" w:themeColor="text1"/>
                      <w14:textFill>
                        <w14:solidFill>
                          <w14:schemeClr w14:val="tx1"/>
                        </w14:solidFill>
                      </w14:textFill>
                    </w:rPr>
                  </m:ctrlPr>
                </m:fPr>
                <m:num>
                  <m:r>
                    <m:rPr/>
                    <w:rPr>
                      <w:rFonts w:ascii="Cambria Math" w:hAnsi="Cambria Math" w:eastAsia="宋体"/>
                      <w:color w:val="000000" w:themeColor="text1"/>
                      <w14:textFill>
                        <w14:solidFill>
                          <w14:schemeClr w14:val="tx1"/>
                        </w14:solidFill>
                      </w14:textFill>
                    </w:rPr>
                    <m:t>Q</m:t>
                  </m:r>
                  <m:ctrlPr>
                    <w:rPr>
                      <w:rFonts w:ascii="Cambria Math" w:hAnsi="Cambria Math" w:eastAsia="宋体"/>
                      <w:i/>
                      <w:color w:val="000000" w:themeColor="text1"/>
                      <w14:textFill>
                        <w14:solidFill>
                          <w14:schemeClr w14:val="tx1"/>
                        </w14:solidFill>
                      </w14:textFill>
                    </w:rPr>
                  </m:ctrlPr>
                </m:num>
                <m:den>
                  <m:r>
                    <m:rPr/>
                    <w:rPr>
                      <w:rFonts w:ascii="Cambria Math" w:hAnsi="Cambria Math" w:eastAsia="宋体"/>
                      <w:color w:val="000000" w:themeColor="text1"/>
                      <w14:textFill>
                        <w14:solidFill>
                          <w14:schemeClr w14:val="tx1"/>
                        </w14:solidFill>
                      </w14:textFill>
                    </w:rPr>
                    <m:t>4π</m:t>
                  </m:r>
                  <m:sSup>
                    <m:sSupPr>
                      <m:ctrlPr>
                        <w:rPr>
                          <w:rFonts w:ascii="Cambria Math" w:hAnsi="Cambria Math" w:eastAsia="宋体"/>
                          <w:i/>
                          <w:color w:val="000000" w:themeColor="text1"/>
                          <w14:textFill>
                            <w14:solidFill>
                              <w14:schemeClr w14:val="tx1"/>
                            </w14:solidFill>
                          </w14:textFill>
                        </w:rPr>
                      </m:ctrlPr>
                    </m:sSupPr>
                    <m:e>
                      <m:r>
                        <m:rPr/>
                        <w:rPr>
                          <w:rFonts w:ascii="Cambria Math" w:hAnsi="Cambria Math" w:eastAsia="宋体"/>
                          <w:color w:val="000000" w:themeColor="text1"/>
                          <w14:textFill>
                            <w14:solidFill>
                              <w14:schemeClr w14:val="tx1"/>
                            </w14:solidFill>
                          </w14:textFill>
                        </w:rPr>
                        <m:t>r</m:t>
                      </m:r>
                      <m:ctrlPr>
                        <w:rPr>
                          <w:rFonts w:ascii="Cambria Math" w:hAnsi="Cambria Math" w:eastAsia="宋体"/>
                          <w:i/>
                          <w:color w:val="000000" w:themeColor="text1"/>
                          <w14:textFill>
                            <w14:solidFill>
                              <w14:schemeClr w14:val="tx1"/>
                            </w14:solidFill>
                          </w14:textFill>
                        </w:rPr>
                      </m:ctrlPr>
                    </m:e>
                    <m:sup>
                      <m:r>
                        <m:rPr/>
                        <w:rPr>
                          <w:rFonts w:ascii="Cambria Math" w:hAnsi="Cambria Math" w:eastAsia="宋体"/>
                          <w:color w:val="000000" w:themeColor="text1"/>
                          <w14:textFill>
                            <w14:solidFill>
                              <w14:schemeClr w14:val="tx1"/>
                            </w14:solidFill>
                          </w14:textFill>
                        </w:rPr>
                        <m:t>2</m:t>
                      </m:r>
                      <m:ctrlPr>
                        <w:rPr>
                          <w:rFonts w:ascii="Cambria Math" w:hAnsi="Cambria Math" w:eastAsia="宋体"/>
                          <w:i/>
                          <w:color w:val="000000" w:themeColor="text1"/>
                          <w14:textFill>
                            <w14:solidFill>
                              <w14:schemeClr w14:val="tx1"/>
                            </w14:solidFill>
                          </w14:textFill>
                        </w:rPr>
                      </m:ctrlPr>
                    </m:sup>
                  </m:sSup>
                  <m:ctrlPr>
                    <w:rPr>
                      <w:rFonts w:ascii="Cambria Math" w:hAnsi="Cambria Math" w:eastAsia="宋体"/>
                      <w:i/>
                      <w:color w:val="000000" w:themeColor="text1"/>
                      <w14:textFill>
                        <w14:solidFill>
                          <w14:schemeClr w14:val="tx1"/>
                        </w14:solidFill>
                      </w14:textFill>
                    </w:rPr>
                  </m:ctrlPr>
                </m:den>
              </m:f>
              <m:r>
                <m:rPr/>
                <w:rPr>
                  <w:rFonts w:ascii="Cambria Math" w:hAnsi="Cambria Math" w:eastAsia="宋体"/>
                  <w:color w:val="000000" w:themeColor="text1"/>
                  <w14:textFill>
                    <w14:solidFill>
                      <w14:schemeClr w14:val="tx1"/>
                    </w14:solidFill>
                  </w14:textFill>
                </w:rPr>
                <m:t>+</m:t>
              </m:r>
              <m:f>
                <m:fPr>
                  <m:ctrlPr>
                    <w:rPr>
                      <w:rFonts w:ascii="Cambria Math" w:hAnsi="Cambria Math" w:eastAsia="宋体"/>
                      <w:i/>
                      <w:color w:val="000000" w:themeColor="text1"/>
                      <w14:textFill>
                        <w14:solidFill>
                          <w14:schemeClr w14:val="tx1"/>
                        </w14:solidFill>
                      </w14:textFill>
                    </w:rPr>
                  </m:ctrlPr>
                </m:fPr>
                <m:num>
                  <m:r>
                    <m:rPr/>
                    <w:rPr>
                      <w:rFonts w:ascii="Cambria Math" w:hAnsi="Cambria Math" w:eastAsia="宋体"/>
                      <w:color w:val="000000" w:themeColor="text1"/>
                      <w14:textFill>
                        <w14:solidFill>
                          <w14:schemeClr w14:val="tx1"/>
                        </w14:solidFill>
                      </w14:textFill>
                    </w:rPr>
                    <m:t>4</m:t>
                  </m:r>
                  <m:ctrlPr>
                    <w:rPr>
                      <w:rFonts w:ascii="Cambria Math" w:hAnsi="Cambria Math" w:eastAsia="宋体"/>
                      <w:i/>
                      <w:color w:val="000000" w:themeColor="text1"/>
                      <w14:textFill>
                        <w14:solidFill>
                          <w14:schemeClr w14:val="tx1"/>
                        </w14:solidFill>
                      </w14:textFill>
                    </w:rPr>
                  </m:ctrlPr>
                </m:num>
                <m:den>
                  <m:r>
                    <m:rPr/>
                    <w:rPr>
                      <w:rFonts w:ascii="Cambria Math" w:hAnsi="Cambria Math" w:eastAsia="宋体"/>
                      <w:color w:val="000000" w:themeColor="text1"/>
                      <w14:textFill>
                        <w14:solidFill>
                          <w14:schemeClr w14:val="tx1"/>
                        </w14:solidFill>
                      </w14:textFill>
                    </w:rPr>
                    <m:t>R</m:t>
                  </m:r>
                  <m:ctrlPr>
                    <w:rPr>
                      <w:rFonts w:ascii="Cambria Math" w:hAnsi="Cambria Math" w:eastAsia="宋体"/>
                      <w:i/>
                      <w:color w:val="000000" w:themeColor="text1"/>
                      <w14:textFill>
                        <w14:solidFill>
                          <w14:schemeClr w14:val="tx1"/>
                        </w14:solidFill>
                      </w14:textFill>
                    </w:rPr>
                  </m:ctrlPr>
                </m:den>
              </m:f>
              <m:ctrlPr>
                <w:rPr>
                  <w:rFonts w:ascii="Cambria Math" w:hAnsi="Cambria Math" w:eastAsia="宋体"/>
                  <w:i/>
                  <w:color w:val="000000" w:themeColor="text1"/>
                  <w14:textFill>
                    <w14:solidFill>
                      <w14:schemeClr w14:val="tx1"/>
                    </w14:solidFill>
                  </w14:textFill>
                </w:rPr>
              </m:ctrlPr>
            </m:e>
          </m:d>
        </m:oMath>
      </m:oMathPara>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式中：L</w:t>
      </w:r>
      <w:r>
        <w:rPr>
          <w:rFonts w:eastAsia="宋体"/>
          <w:color w:val="000000" w:themeColor="text1"/>
          <w:vertAlign w:val="subscript"/>
          <w14:textFill>
            <w14:solidFill>
              <w14:schemeClr w14:val="tx1"/>
            </w14:solidFill>
          </w14:textFill>
        </w:rPr>
        <w:t>P1</w:t>
      </w:r>
      <w:r>
        <w:rPr>
          <w:rFonts w:eastAsia="宋体"/>
          <w:color w:val="000000" w:themeColor="text1"/>
          <w14:textFill>
            <w14:solidFill>
              <w14:schemeClr w14:val="tx1"/>
            </w14:solidFill>
          </w14:textFill>
        </w:rPr>
        <w:t>——靠近开口处（或窗户）室内某倍频带的声压级或A声级，dB；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w:t>
      </w:r>
      <w:r>
        <w:rPr>
          <w:rFonts w:eastAsia="宋体"/>
          <w:color w:val="000000" w:themeColor="text1"/>
          <w:vertAlign w:val="subscript"/>
          <w14:textFill>
            <w14:solidFill>
              <w14:schemeClr w14:val="tx1"/>
            </w14:solidFill>
          </w14:textFill>
        </w:rPr>
        <w:t>W</w:t>
      </w:r>
      <w:r>
        <w:rPr>
          <w:rFonts w:eastAsia="宋体"/>
          <w:color w:val="000000" w:themeColor="text1"/>
          <w14:textFill>
            <w14:solidFill>
              <w14:schemeClr w14:val="tx1"/>
            </w14:solidFill>
          </w14:textFill>
        </w:rPr>
        <w:t>——点声源声功率级（A计权或倍频带），dB；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Q——指向性因数；通常对无指向性声源，当声源放在房间中心时，Q=1；当放在一面墙中心时，Q=2；当放在两面墙夹角处时，Q=4；当放在三面墙夹角处时，Q=8；</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R——房间常数；R=Sα/(1-α)，S为房间内表面面积，m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；α为平均吸声系数；</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r——声源到靠近围栏结构某点处的距离，m。</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然后按下式计算出所有室内声源在围护结构处产生的i倍频带叠加声压级：</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34" o:spt="75" type="#_x0000_t75" style="height:36pt;width:135.75pt;" o:ole="t" filled="f" o:preferrelative="t" stroked="f" coordsize="21600,21600">
            <v:path/>
            <v:fill on="f" focussize="0,0"/>
            <v:stroke on="f" joinstyle="miter"/>
            <v:imagedata r:id="rId53" o:title=""/>
            <o:lock v:ext="edit" aspectratio="t"/>
            <w10:wrap type="none"/>
            <w10:anchorlock/>
          </v:shape>
          <o:OLEObject Type="Embed" ProgID="Equation.3" ShapeID="_x0000_i1034" DrawAspect="Content" ObjectID="_1468075734" r:id="rId52">
            <o:LockedField>false</o:LockedField>
          </o:OLEObject>
        </w:objec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 xml:space="preserve">式中：Lpli（T）——靠近围护结构处室内N个声源i倍频带的叠加声压级，dB； </w:t>
      </w:r>
    </w:p>
    <w:p>
      <w:pPr>
        <w:ind w:firstLine="1159" w:firstLineChars="483"/>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 xml:space="preserve">Lplij——室内j声源i倍频带的声压级，dB； </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N——室内声源总数。</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在室内近似为扩散声场时，按下式计算出靠近室外围护结构处的声压级：</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35" o:spt="75" type="#_x0000_t75" style="height:17.25pt;width:150.75pt;" o:ole="t" filled="f" o:preferrelative="t" stroked="f" coordsize="21600,21600">
            <v:path/>
            <v:fill on="f" focussize="0,0"/>
            <v:stroke on="f" joinstyle="miter"/>
            <v:imagedata r:id="rId55" o:title=""/>
            <o:lock v:ext="edit" aspectratio="t"/>
            <w10:wrap type="none"/>
            <w10:anchorlock/>
          </v:shape>
          <o:OLEObject Type="Embed" ProgID="Equation.3" ShapeID="_x0000_i1035" DrawAspect="Content" ObjectID="_1468075735" r:id="rId54">
            <o:LockedField>false</o:LockedField>
          </o:OLEObject>
        </w:objec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式中：L</w:t>
      </w:r>
      <w:r>
        <w:rPr>
          <w:rFonts w:eastAsia="宋体"/>
          <w:color w:val="000000" w:themeColor="text1"/>
          <w:vertAlign w:val="subscript"/>
          <w14:textFill>
            <w14:solidFill>
              <w14:schemeClr w14:val="tx1"/>
            </w14:solidFill>
          </w14:textFill>
        </w:rPr>
        <w:t>p2i</w:t>
      </w:r>
      <w:r>
        <w:rPr>
          <w:rFonts w:eastAsia="宋体"/>
          <w:color w:val="000000" w:themeColor="text1"/>
          <w14:textFill>
            <w14:solidFill>
              <w14:schemeClr w14:val="tx1"/>
            </w14:solidFill>
          </w14:textFill>
        </w:rPr>
        <w:t>（T）——靠近围护结构处室外N个声源i倍频带的叠加声压级，dB；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w:t>
      </w:r>
      <w:r>
        <w:rPr>
          <w:rFonts w:eastAsia="宋体"/>
          <w:color w:val="000000" w:themeColor="text1"/>
          <w:vertAlign w:val="subscript"/>
          <w14:textFill>
            <w14:solidFill>
              <w14:schemeClr w14:val="tx1"/>
            </w14:solidFill>
          </w14:textFill>
        </w:rPr>
        <w:t>p1i</w:t>
      </w:r>
      <w:r>
        <w:rPr>
          <w:rFonts w:eastAsia="宋体"/>
          <w:color w:val="000000" w:themeColor="text1"/>
          <w14:textFill>
            <w14:solidFill>
              <w14:schemeClr w14:val="tx1"/>
            </w14:solidFill>
          </w14:textFill>
        </w:rPr>
        <w:t>（T）——靠近围护结构处室内N个声源i倍频带的叠加声压级，dB；</w:t>
      </w:r>
    </w:p>
    <w:p>
      <w:pPr>
        <w:ind w:firstLine="1200" w:firstLineChars="5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TLi——围护结构i倍频带的隔声量，dB。</w:t>
      </w:r>
    </w:p>
    <w:p>
      <w:pPr>
        <w:ind w:firstLine="480" w:firstLineChars="200"/>
        <w:textAlignment w:val="baseline"/>
        <w:rPr>
          <w:rFonts w:eastAsia="宋体"/>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w:t>
      </w:r>
      <w:r>
        <w:rPr>
          <w:rFonts w:eastAsia="宋体"/>
          <w:bCs/>
          <w:color w:val="000000" w:themeColor="text1"/>
          <w14:textFill>
            <w14:solidFill>
              <w14:schemeClr w14:val="tx1"/>
            </w14:solidFill>
          </w14:textFill>
        </w:rPr>
        <w:t>户外传播衰减计算：</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按下式将室外声源的声压级和透过面积换算成等效的室外声源，计算出中心位置位于透声面积（S）处的等效声源的倍频带声功率级。</w:t>
      </w:r>
    </w:p>
    <w:p>
      <w:pPr>
        <w:ind w:firstLine="480" w:firstLineChars="20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object>
          <v:shape id="_x0000_i1036" o:spt="75" type="#_x0000_t75" style="height:19.5pt;width:99pt;" o:ole="t" filled="f" o:preferrelative="t" stroked="f" coordsize="21600,21600">
            <v:path/>
            <v:fill on="f" focussize="0,0"/>
            <v:stroke on="f" joinstyle="miter"/>
            <v:imagedata r:id="rId57" o:title=""/>
            <o:lock v:ext="edit" aspectratio="t"/>
            <w10:wrap type="none"/>
            <w10:anchorlock/>
          </v:shape>
          <o:OLEObject Type="Embed" ProgID="Equation.3" ShapeID="_x0000_i1036" DrawAspect="Content" ObjectID="_1468075736" r:id="rId56">
            <o:LockedField>false</o:LockedField>
          </o:OLEObject>
        </w:objec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然后按室外声源预测方法计算预测点处的A声级。</w:t>
      </w:r>
    </w:p>
    <w:p>
      <w:pPr>
        <w:ind w:firstLine="480" w:firstLineChars="2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面声源的几何发散衰减：当预测点和面声源中心距离r处于以下条件时，可按下述方法近似计算：当r＜a/π时，几乎不衰减（Adiv≈0）；当a/π＜r＜b/π，距离加倍衰减3dB左右，类似线声源衰减特性[Adiv≈10lg（r/r0）]；当r＞b/π，距离加倍衰减趋近于6dB，类似点声源衰减特性[Adiv≈20lg（r/r0）]。</w:t>
      </w:r>
    </w:p>
    <w:p>
      <w:pPr>
        <w:ind w:firstLine="480" w:firstLineChars="2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户外声传播衰减包括几何发散（Adiv）、大气吸收（Aatm）、地面效应（Agr）、屏障屏蔽（Abar）、其它多方面效应（Amisc）引起的衰减。距声源点r处的A声级按下式计算：</w:t>
      </w:r>
    </w:p>
    <w:p>
      <w:pPr>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3371850" cy="266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371850" cy="266700"/>
                    </a:xfrm>
                    <a:prstGeom prst="rect">
                      <a:avLst/>
                    </a:prstGeom>
                    <a:noFill/>
                    <a:ln>
                      <a:noFill/>
                    </a:ln>
                  </pic:spPr>
                </pic:pic>
              </a:graphicData>
            </a:graphic>
          </wp:inline>
        </w:drawing>
      </w:r>
    </w:p>
    <w:p>
      <w:pPr>
        <w:ind w:firstLine="480" w:firstLineChars="2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1642110</wp:posOffset>
            </wp:positionH>
            <wp:positionV relativeFrom="paragraph">
              <wp:posOffset>306070</wp:posOffset>
            </wp:positionV>
            <wp:extent cx="1679575" cy="393065"/>
            <wp:effectExtent l="0" t="0" r="0" b="698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679575" cy="393065"/>
                    </a:xfrm>
                    <a:prstGeom prst="rect">
                      <a:avLst/>
                    </a:prstGeom>
                    <a:noFill/>
                    <a:ln>
                      <a:noFill/>
                    </a:ln>
                  </pic:spPr>
                </pic:pic>
              </a:graphicData>
            </a:graphic>
          </wp:anchor>
        </w:drawing>
      </w:r>
      <w:r>
        <w:rPr>
          <w:rFonts w:eastAsia="宋体"/>
          <w:color w:val="000000" w:themeColor="text1"/>
          <w14:textFill>
            <w14:solidFill>
              <w14:schemeClr w14:val="tx1"/>
            </w14:solidFill>
          </w14:textFill>
        </w:rPr>
        <w:t>影响预测的复合声压采用噪声叠加公式：</w:t>
      </w:r>
    </w:p>
    <w:p>
      <w:pPr>
        <w:ind w:firstLine="480" w:firstLineChars="2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式中：L——某点噪声总叠加值，dB(A)；</w:t>
      </w:r>
    </w:p>
    <w:p>
      <w:pPr>
        <w:ind w:firstLine="1200" w:firstLineChars="50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Li——第i声源的噪声值，dB(A)；</w:t>
      </w:r>
    </w:p>
    <w:p>
      <w:pPr>
        <w:pStyle w:val="35"/>
      </w:pPr>
      <w:r>
        <w:t>n——声源个数。</w:t>
      </w:r>
    </w:p>
    <w:p>
      <w:pPr>
        <w:ind w:firstLine="482"/>
        <w:rPr>
          <w:rFonts w:eastAsia="宋体"/>
          <w:color w:val="000000" w:themeColor="text1"/>
          <w:kern w:val="0"/>
          <w:szCs w:val="24"/>
          <w14:textFill>
            <w14:solidFill>
              <w14:schemeClr w14:val="tx1"/>
            </w14:solidFill>
          </w14:textFill>
        </w:rPr>
      </w:pPr>
      <w:r>
        <w:rPr>
          <w:rFonts w:eastAsia="宋体"/>
          <w:b/>
          <w:color w:val="000000" w:themeColor="text1"/>
          <w14:textFill>
            <w14:solidFill>
              <w14:schemeClr w14:val="tx1"/>
            </w14:solidFill>
          </w14:textFill>
        </w:rPr>
        <w:t>（4）</w:t>
      </w:r>
      <w:r>
        <w:rPr>
          <w:rFonts w:eastAsia="宋体"/>
          <w:b/>
          <w:bCs/>
          <w:color w:val="000000" w:themeColor="text1"/>
          <w:kern w:val="0"/>
          <w:szCs w:val="24"/>
          <w14:textFill>
            <w14:solidFill>
              <w14:schemeClr w14:val="tx1"/>
            </w14:solidFill>
          </w14:textFill>
        </w:rPr>
        <w:t>预测结果</w:t>
      </w:r>
    </w:p>
    <w:p>
      <w:pPr>
        <w:ind w:firstLine="480"/>
        <w:rPr>
          <w:rFonts w:eastAsia="宋体"/>
          <w:b/>
          <w:bCs/>
          <w:color w:val="000000" w:themeColor="text1"/>
          <w14:textFill>
            <w14:solidFill>
              <w14:schemeClr w14:val="tx1"/>
            </w14:solidFill>
          </w14:textFill>
        </w:rPr>
      </w:pPr>
      <w:r>
        <w:rPr>
          <w:rFonts w:hint="eastAsia" w:eastAsia="宋体"/>
          <w:snapToGrid w:val="0"/>
          <w:color w:val="000000" w:themeColor="text1"/>
          <w:szCs w:val="24"/>
          <w14:textFill>
            <w14:solidFill>
              <w14:schemeClr w14:val="tx1"/>
            </w14:solidFill>
          </w14:textFill>
        </w:rPr>
        <w:t>根据以上所给出的噪声预测模式及参数，可算得项目主要噪声设备对厂界的噪声贡献值</w:t>
      </w:r>
      <w:r>
        <w:rPr>
          <w:rFonts w:eastAsia="宋体"/>
          <w:snapToGrid w:val="0"/>
          <w:color w:val="000000" w:themeColor="text1"/>
          <w:szCs w:val="24"/>
          <w14:textFill>
            <w14:solidFill>
              <w14:schemeClr w14:val="tx1"/>
            </w14:solidFill>
          </w14:textFill>
        </w:rPr>
        <w:t>，预测结果见表4.5-1。</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表4.5-1  项目厂界噪声预测结果表单位dB(A)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977"/>
        <w:gridCol w:w="656"/>
        <w:gridCol w:w="1012"/>
        <w:gridCol w:w="2339"/>
        <w:gridCol w:w="2173"/>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8" w:type="pct"/>
            <w:gridSpan w:val="2"/>
            <w:vMerge w:val="restar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厂界</w:t>
            </w:r>
          </w:p>
        </w:tc>
        <w:tc>
          <w:tcPr>
            <w:tcW w:w="898" w:type="pct"/>
            <w:gridSpan w:val="2"/>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厂界坐标</w:t>
            </w:r>
          </w:p>
        </w:tc>
        <w:tc>
          <w:tcPr>
            <w:tcW w:w="1259" w:type="pct"/>
            <w:vMerge w:val="restar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噪声贡献值（dB（A））</w:t>
            </w:r>
          </w:p>
        </w:tc>
        <w:tc>
          <w:tcPr>
            <w:tcW w:w="1170" w:type="pct"/>
            <w:vMerge w:val="restar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标准要求</w:t>
            </w:r>
          </w:p>
        </w:tc>
        <w:tc>
          <w:tcPr>
            <w:tcW w:w="625" w:type="pct"/>
            <w:vMerge w:val="restar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8" w:type="pct"/>
            <w:gridSpan w:val="2"/>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353" w:type="pc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X</w:t>
            </w:r>
          </w:p>
        </w:tc>
        <w:tc>
          <w:tcPr>
            <w:tcW w:w="545" w:type="pc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Y</w:t>
            </w:r>
          </w:p>
        </w:tc>
        <w:tc>
          <w:tcPr>
            <w:tcW w:w="1259"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1170"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625"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1号地块</w:t>
            </w: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东厂界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6</w:t>
            </w:r>
            <w:r>
              <w:rPr>
                <w:rFonts w:eastAsia="宋体"/>
                <w:bCs/>
                <w:color w:val="000000" w:themeColor="text1"/>
                <w:sz w:val="21"/>
                <w:szCs w:val="21"/>
                <w14:textFill>
                  <w14:solidFill>
                    <w14:schemeClr w14:val="tx1"/>
                  </w14:solidFill>
                </w14:textFill>
              </w:rPr>
              <w:t>5</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昼间：43</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3</w:t>
            </w:r>
          </w:p>
        </w:tc>
        <w:tc>
          <w:tcPr>
            <w:tcW w:w="1170" w:type="pct"/>
            <w:vMerge w:val="restar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北侧厂界：</w:t>
            </w:r>
          </w:p>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昼间70</w:t>
            </w:r>
            <w:r>
              <w:rPr>
                <w:rFonts w:hint="eastAsia" w:eastAsia="宋体"/>
                <w:bCs/>
                <w:color w:val="000000" w:themeColor="text1"/>
                <w:sz w:val="21"/>
                <w:szCs w:val="21"/>
                <w14:textFill>
                  <w14:solidFill>
                    <w14:schemeClr w14:val="tx1"/>
                  </w14:solidFill>
                </w14:textFill>
              </w:rPr>
              <w:t>，夜间5</w:t>
            </w:r>
            <w:r>
              <w:rPr>
                <w:rFonts w:eastAsia="宋体"/>
                <w:bCs/>
                <w:color w:val="000000" w:themeColor="text1"/>
                <w:sz w:val="21"/>
                <w:szCs w:val="21"/>
                <w14:textFill>
                  <w14:solidFill>
                    <w14:schemeClr w14:val="tx1"/>
                  </w14:solidFill>
                </w14:textFill>
              </w:rPr>
              <w:t>5</w:t>
            </w:r>
          </w:p>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其他厂界：昼间6</w:t>
            </w:r>
            <w:r>
              <w:rPr>
                <w:rFonts w:eastAsia="宋体"/>
                <w:bCs/>
                <w:color w:val="000000" w:themeColor="text1"/>
                <w:sz w:val="21"/>
                <w:szCs w:val="21"/>
                <w14:textFill>
                  <w14:solidFill>
                    <w14:schemeClr w14:val="tx1"/>
                  </w14:solidFill>
                </w14:textFill>
              </w:rPr>
              <w:t>5</w:t>
            </w:r>
            <w:r>
              <w:rPr>
                <w:rFonts w:hint="eastAsia" w:eastAsia="宋体"/>
                <w:bCs/>
                <w:color w:val="000000" w:themeColor="text1"/>
                <w:sz w:val="21"/>
                <w:szCs w:val="21"/>
                <w14:textFill>
                  <w14:solidFill>
                    <w14:schemeClr w14:val="tx1"/>
                  </w14:solidFill>
                </w14:textFill>
              </w:rPr>
              <w:t>，夜间5</w:t>
            </w:r>
            <w:r>
              <w:rPr>
                <w:rFonts w:eastAsia="宋体"/>
                <w:bCs/>
                <w:color w:val="000000" w:themeColor="text1"/>
                <w:sz w:val="21"/>
                <w:szCs w:val="21"/>
                <w14:textFill>
                  <w14:solidFill>
                    <w14:schemeClr w14:val="tx1"/>
                  </w14:solidFill>
                </w14:textFill>
              </w:rPr>
              <w:t>5</w:t>
            </w: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南厂界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3</w:t>
            </w:r>
            <w:r>
              <w:rPr>
                <w:rFonts w:eastAsia="宋体"/>
                <w:bCs/>
                <w:color w:val="000000" w:themeColor="text1"/>
                <w:sz w:val="21"/>
                <w:szCs w:val="21"/>
                <w14:textFill>
                  <w14:solidFill>
                    <w14:schemeClr w14:val="tx1"/>
                  </w14:solidFill>
                </w14:textFill>
              </w:rPr>
              <w:t>35</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昼间：47</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7</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西厂界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9</w:t>
            </w:r>
            <w:r>
              <w:rPr>
                <w:rFonts w:eastAsia="宋体"/>
                <w:bCs/>
                <w:color w:val="000000" w:themeColor="text1"/>
                <w:sz w:val="21"/>
                <w:szCs w:val="21"/>
                <w14:textFill>
                  <w14:solidFill>
                    <w14:schemeClr w14:val="tx1"/>
                  </w14:solidFill>
                </w14:textFill>
              </w:rPr>
              <w:t>2</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昼间：42</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2</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北厂界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r>
              <w:rPr>
                <w:rFonts w:eastAsia="宋体"/>
                <w:bCs/>
                <w:color w:val="000000" w:themeColor="text1"/>
                <w:sz w:val="21"/>
                <w:szCs w:val="21"/>
                <w14:textFill>
                  <w14:solidFill>
                    <w14:schemeClr w14:val="tx1"/>
                  </w14:solidFill>
                </w14:textFill>
              </w:rPr>
              <w:t>38</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昼间：49</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9</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2号地块</w:t>
            </w: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东厂界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4</w:t>
            </w:r>
            <w:r>
              <w:rPr>
                <w:rFonts w:eastAsia="宋体"/>
                <w:bCs/>
                <w:color w:val="000000" w:themeColor="text1"/>
                <w:sz w:val="21"/>
                <w:szCs w:val="21"/>
                <w14:textFill>
                  <w14:solidFill>
                    <w14:schemeClr w14:val="tx1"/>
                  </w14:solidFill>
                </w14:textFill>
              </w:rPr>
              <w:t>5</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昼间：46</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6</w:t>
            </w:r>
          </w:p>
        </w:tc>
        <w:tc>
          <w:tcPr>
            <w:tcW w:w="1170" w:type="pct"/>
            <w:vMerge w:val="restar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西侧厂界：</w:t>
            </w:r>
          </w:p>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昼间70</w:t>
            </w:r>
            <w:r>
              <w:rPr>
                <w:rFonts w:hint="eastAsia" w:eastAsia="宋体"/>
                <w:bCs/>
                <w:color w:val="000000" w:themeColor="text1"/>
                <w:sz w:val="21"/>
                <w:szCs w:val="21"/>
                <w14:textFill>
                  <w14:solidFill>
                    <w14:schemeClr w14:val="tx1"/>
                  </w14:solidFill>
                </w14:textFill>
              </w:rPr>
              <w:t>，夜间5</w:t>
            </w:r>
            <w:r>
              <w:rPr>
                <w:rFonts w:eastAsia="宋体"/>
                <w:bCs/>
                <w:color w:val="000000" w:themeColor="text1"/>
                <w:sz w:val="21"/>
                <w:szCs w:val="21"/>
                <w14:textFill>
                  <w14:solidFill>
                    <w14:schemeClr w14:val="tx1"/>
                  </w14:solidFill>
                </w14:textFill>
              </w:rPr>
              <w:t>5</w:t>
            </w:r>
          </w:p>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其他厂界：昼间6</w:t>
            </w:r>
            <w:r>
              <w:rPr>
                <w:rFonts w:eastAsia="宋体"/>
                <w:bCs/>
                <w:color w:val="000000" w:themeColor="text1"/>
                <w:sz w:val="21"/>
                <w:szCs w:val="21"/>
                <w14:textFill>
                  <w14:solidFill>
                    <w14:schemeClr w14:val="tx1"/>
                  </w14:solidFill>
                </w14:textFill>
              </w:rPr>
              <w:t>5</w:t>
            </w:r>
            <w:r>
              <w:rPr>
                <w:rFonts w:hint="eastAsia" w:eastAsia="宋体"/>
                <w:bCs/>
                <w:color w:val="000000" w:themeColor="text1"/>
                <w:sz w:val="21"/>
                <w:szCs w:val="21"/>
                <w14:textFill>
                  <w14:solidFill>
                    <w14:schemeClr w14:val="tx1"/>
                  </w14:solidFill>
                </w14:textFill>
              </w:rPr>
              <w:t>，夜间5</w:t>
            </w:r>
            <w:r>
              <w:rPr>
                <w:rFonts w:eastAsia="宋体"/>
                <w:bCs/>
                <w:color w:val="000000" w:themeColor="text1"/>
                <w:sz w:val="21"/>
                <w:szCs w:val="21"/>
                <w14:textFill>
                  <w14:solidFill>
                    <w14:schemeClr w14:val="tx1"/>
                  </w14:solidFill>
                </w14:textFill>
              </w:rPr>
              <w:t>5</w:t>
            </w: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南厂界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6</w:t>
            </w:r>
            <w:r>
              <w:rPr>
                <w:rFonts w:eastAsia="宋体"/>
                <w:bCs/>
                <w:color w:val="000000" w:themeColor="text1"/>
                <w:sz w:val="21"/>
                <w:szCs w:val="21"/>
                <w14:textFill>
                  <w14:solidFill>
                    <w14:schemeClr w14:val="tx1"/>
                  </w14:solidFill>
                </w14:textFill>
              </w:rPr>
              <w:t>0</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昼间：40</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0</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西厂界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w:t>
            </w:r>
            <w:r>
              <w:rPr>
                <w:rFonts w:hint="eastAsia" w:eastAsia="宋体"/>
                <w:bCs/>
                <w:color w:val="000000" w:themeColor="text1"/>
                <w:sz w:val="21"/>
                <w:szCs w:val="21"/>
                <w14:textFill>
                  <w14:solidFill>
                    <w14:schemeClr w14:val="tx1"/>
                  </w14:solidFill>
                </w14:textFill>
              </w:rPr>
              <w:t>4</w:t>
            </w:r>
            <w:r>
              <w:rPr>
                <w:rFonts w:eastAsia="宋体"/>
                <w:bCs/>
                <w:color w:val="000000" w:themeColor="text1"/>
                <w:sz w:val="21"/>
                <w:szCs w:val="21"/>
                <w14:textFill>
                  <w14:solidFill>
                    <w14:schemeClr w14:val="tx1"/>
                  </w14:solidFill>
                </w14:textFill>
              </w:rPr>
              <w:t>5</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昼间：44</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4</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526"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北厂界</w:t>
            </w:r>
          </w:p>
        </w:tc>
        <w:tc>
          <w:tcPr>
            <w:tcW w:w="353"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6</w:t>
            </w:r>
            <w:r>
              <w:rPr>
                <w:rFonts w:eastAsia="宋体"/>
                <w:bCs/>
                <w:color w:val="000000" w:themeColor="text1"/>
                <w:sz w:val="21"/>
                <w:szCs w:val="21"/>
                <w14:textFill>
                  <w14:solidFill>
                    <w14:schemeClr w14:val="tx1"/>
                  </w14:solidFill>
                </w14:textFill>
              </w:rPr>
              <w:t>0</w:t>
            </w:r>
          </w:p>
        </w:tc>
        <w:tc>
          <w:tcPr>
            <w:tcW w:w="54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0</w:t>
            </w:r>
          </w:p>
        </w:tc>
        <w:tc>
          <w:tcPr>
            <w:tcW w:w="1259" w:type="pct"/>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昼间：47</w:t>
            </w:r>
            <w:r>
              <w:rPr>
                <w:rFonts w:hint="eastAsia" w:eastAsia="宋体"/>
                <w:bCs/>
                <w:color w:val="000000" w:themeColor="text1"/>
                <w:sz w:val="21"/>
                <w:szCs w:val="21"/>
                <w14:textFill>
                  <w14:solidFill>
                    <w14:schemeClr w14:val="tx1"/>
                  </w14:solidFill>
                </w14:textFill>
              </w:rPr>
              <w:t>，夜间：4</w:t>
            </w:r>
            <w:r>
              <w:rPr>
                <w:rFonts w:eastAsia="宋体"/>
                <w:bCs/>
                <w:color w:val="000000" w:themeColor="text1"/>
                <w:sz w:val="21"/>
                <w:szCs w:val="21"/>
                <w14:textFill>
                  <w14:solidFill>
                    <w14:schemeClr w14:val="tx1"/>
                  </w14:solidFill>
                </w14:textFill>
              </w:rPr>
              <w:t>7</w:t>
            </w:r>
          </w:p>
        </w:tc>
        <w:tc>
          <w:tcPr>
            <w:tcW w:w="1170" w:type="pct"/>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c>
          <w:tcPr>
            <w:tcW w:w="625" w:type="pct"/>
            <w:vAlign w:val="center"/>
          </w:tcPr>
          <w:p>
            <w:pPr>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达标</w:t>
            </w:r>
          </w:p>
        </w:tc>
      </w:tr>
    </w:tbl>
    <w:p>
      <w:pPr>
        <w:ind w:firstLine="480"/>
        <w:rPr>
          <w:rFonts w:eastAsia="宋体"/>
          <w:color w:val="000000" w:themeColor="text1"/>
          <w:szCs w:val="24"/>
          <w14:textFill>
            <w14:solidFill>
              <w14:schemeClr w14:val="tx1"/>
            </w14:solidFill>
          </w14:textFill>
        </w:rPr>
      </w:pPr>
      <w:r>
        <w:rPr>
          <w:rFonts w:eastAsia="宋体"/>
          <w:snapToGrid w:val="0"/>
          <w:color w:val="000000" w:themeColor="text1"/>
          <w:szCs w:val="24"/>
          <w14:textFill>
            <w14:solidFill>
              <w14:schemeClr w14:val="tx1"/>
            </w14:solidFill>
          </w14:textFill>
        </w:rPr>
        <w:t>由</w:t>
      </w:r>
      <w:r>
        <w:rPr>
          <w:rFonts w:hint="eastAsia" w:eastAsia="宋体"/>
          <w:snapToGrid w:val="0"/>
          <w:color w:val="000000" w:themeColor="text1"/>
          <w:szCs w:val="24"/>
          <w14:textFill>
            <w14:solidFill>
              <w14:schemeClr w14:val="tx1"/>
            </w14:solidFill>
          </w14:textFill>
        </w:rPr>
        <w:t>上表</w:t>
      </w:r>
      <w:r>
        <w:rPr>
          <w:rFonts w:eastAsia="宋体"/>
          <w:snapToGrid w:val="0"/>
          <w:color w:val="000000" w:themeColor="text1"/>
          <w:szCs w:val="24"/>
          <w14:textFill>
            <w14:solidFill>
              <w14:schemeClr w14:val="tx1"/>
            </w14:solidFill>
          </w14:textFill>
        </w:rPr>
        <w:t>可知，本项目通过</w:t>
      </w:r>
      <w:r>
        <w:rPr>
          <w:rFonts w:eastAsia="宋体"/>
          <w:color w:val="000000" w:themeColor="text1"/>
          <w:szCs w:val="24"/>
          <w14:textFill>
            <w14:solidFill>
              <w14:schemeClr w14:val="tx1"/>
            </w14:solidFill>
          </w14:textFill>
        </w:rPr>
        <w:t>厂房隔声、基础减振等措施后，</w:t>
      </w:r>
      <w:r>
        <w:rPr>
          <w:rFonts w:eastAsia="宋体"/>
          <w:snapToGrid w:val="0"/>
          <w:color w:val="000000" w:themeColor="text1"/>
          <w:szCs w:val="24"/>
          <w14:textFill>
            <w14:solidFill>
              <w14:schemeClr w14:val="tx1"/>
            </w14:solidFill>
          </w14:textFill>
        </w:rPr>
        <w:t>各厂界噪声预测值昼间、夜间均满足《工业企业厂界环境噪声排放标准》（GB 12348－2008）3类</w:t>
      </w:r>
      <w:r>
        <w:rPr>
          <w:rFonts w:hint="eastAsia" w:eastAsia="宋体"/>
          <w:snapToGrid w:val="0"/>
          <w:color w:val="000000" w:themeColor="text1"/>
          <w:szCs w:val="24"/>
          <w14:textFill>
            <w14:solidFill>
              <w14:schemeClr w14:val="tx1"/>
            </w14:solidFill>
          </w14:textFill>
        </w:rPr>
        <w:t>、4类</w:t>
      </w:r>
      <w:r>
        <w:rPr>
          <w:rFonts w:eastAsia="宋体"/>
          <w:snapToGrid w:val="0"/>
          <w:color w:val="000000" w:themeColor="text1"/>
          <w:szCs w:val="24"/>
          <w14:textFill>
            <w14:solidFill>
              <w14:schemeClr w14:val="tx1"/>
            </w14:solidFill>
          </w14:textFill>
        </w:rPr>
        <w:t>标准要求</w:t>
      </w:r>
      <w:r>
        <w:rPr>
          <w:rFonts w:eastAsia="宋体"/>
          <w:color w:val="000000" w:themeColor="text1"/>
          <w:szCs w:val="24"/>
          <w14:textFill>
            <w14:solidFill>
              <w14:schemeClr w14:val="tx1"/>
            </w14:solidFill>
          </w14:textFill>
        </w:rPr>
        <w:t>。</w:t>
      </w:r>
    </w:p>
    <w:p>
      <w:pPr>
        <w:pStyle w:val="179"/>
        <w:rPr>
          <w:rFonts w:eastAsia="宋体"/>
          <w:color w:val="000000" w:themeColor="text1"/>
          <w14:textFill>
            <w14:solidFill>
              <w14:schemeClr w14:val="tx1"/>
            </w14:solidFill>
          </w14:textFill>
        </w:rPr>
      </w:pPr>
      <w:bookmarkStart w:id="175" w:name="_Toc5526"/>
      <w:bookmarkStart w:id="176" w:name="_Toc489281065"/>
      <w:bookmarkStart w:id="177" w:name="_Toc490235565"/>
      <w:bookmarkStart w:id="178" w:name="_Toc155271426"/>
      <w:r>
        <w:rPr>
          <w:rFonts w:eastAsia="宋体"/>
          <w:color w:val="000000" w:themeColor="text1"/>
          <w14:textFill>
            <w14:solidFill>
              <w14:schemeClr w14:val="tx1"/>
            </w14:solidFill>
          </w14:textFill>
        </w:rPr>
        <w:t>4.6固体废物环境影响评价</w:t>
      </w:r>
      <w:bookmarkEnd w:id="175"/>
      <w:bookmarkEnd w:id="176"/>
      <w:bookmarkEnd w:id="177"/>
      <w:bookmarkEnd w:id="178"/>
    </w:p>
    <w:p>
      <w:pPr>
        <w:ind w:firstLine="480"/>
        <w:rPr>
          <w:rFonts w:eastAsia="宋体"/>
          <w:snapToGrid w:val="0"/>
          <w:color w:val="000000" w:themeColor="text1"/>
          <w:szCs w:val="24"/>
          <w14:textFill>
            <w14:solidFill>
              <w14:schemeClr w14:val="tx1"/>
            </w14:solidFill>
          </w14:textFill>
        </w:rPr>
      </w:pPr>
      <w:bookmarkStart w:id="179" w:name="_Toc18283"/>
      <w:r>
        <w:rPr>
          <w:rFonts w:eastAsia="宋体"/>
          <w:snapToGrid w:val="0"/>
          <w:color w:val="000000" w:themeColor="text1"/>
          <w:szCs w:val="24"/>
          <w14:textFill>
            <w14:solidFill>
              <w14:schemeClr w14:val="tx1"/>
            </w14:solidFill>
          </w14:textFill>
        </w:rPr>
        <w:t>根据工程分析，本项目运营期产生的固体废物主要包括一般工业固废、危险废物和生活垃圾。</w:t>
      </w:r>
    </w:p>
    <w:bookmarkEnd w:id="179"/>
    <w:p>
      <w:pPr>
        <w:ind w:firstLine="480"/>
        <w:rPr>
          <w:rFonts w:eastAsia="宋体"/>
          <w:color w:val="000000" w:themeColor="text1"/>
          <w14:textFill>
            <w14:solidFill>
              <w14:schemeClr w14:val="tx1"/>
            </w14:solidFill>
          </w14:textFill>
        </w:rPr>
      </w:pPr>
      <w:bookmarkStart w:id="180" w:name="_Toc19538"/>
      <w:bookmarkStart w:id="181" w:name="_Toc10316"/>
      <w:r>
        <w:rPr>
          <w:rFonts w:eastAsia="宋体"/>
          <w:color w:val="000000" w:themeColor="text1"/>
          <w14:textFill>
            <w14:solidFill>
              <w14:schemeClr w14:val="tx1"/>
            </w14:solidFill>
          </w14:textFill>
        </w:rPr>
        <w:t>（1）一般工业固体废物</w:t>
      </w:r>
      <w:bookmarkEnd w:id="180"/>
      <w:bookmarkEnd w:id="181"/>
      <w:bookmarkStart w:id="182" w:name="_Toc13604"/>
      <w:bookmarkStart w:id="183" w:name="_Toc8742"/>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一般工业固体废物主要包括边角料、焊渣、收尘灰、废包装材料、废钢砂、废水性漆包装桶、生化池污泥</w:t>
      </w:r>
      <w:r>
        <w:rPr>
          <w:rFonts w:hint="eastAsia" w:eastAsia="宋体"/>
          <w:color w:val="000000" w:themeColor="text1"/>
          <w14:textFill>
            <w14:solidFill>
              <w14:schemeClr w14:val="tx1"/>
            </w14:solidFill>
          </w14:textFill>
        </w:rPr>
        <w:t>等</w:t>
      </w:r>
      <w:r>
        <w:rPr>
          <w:rFonts w:eastAsia="宋体"/>
          <w:color w:val="000000" w:themeColor="text1"/>
          <w14:textFill>
            <w14:solidFill>
              <w14:schemeClr w14:val="tx1"/>
            </w14:solidFill>
          </w14:textFill>
        </w:rPr>
        <w:t>。项目在1号地块和2号地块分别设置一般固废暂存间（1#一般固废暂存间和2#一般固废暂存间），</w:t>
      </w:r>
      <w:r>
        <w:rPr>
          <w:rFonts w:eastAsia="宋体"/>
          <w:color w:val="000000" w:themeColor="text1"/>
          <w:szCs w:val="24"/>
          <w14:textFill>
            <w14:solidFill>
              <w14:schemeClr w14:val="tx1"/>
            </w14:solidFill>
          </w14:textFill>
        </w:rPr>
        <w:t>满足相应防渗漏、防雨淋、防扬尘等环境保护要求</w:t>
      </w:r>
      <w:r>
        <w:rPr>
          <w:rFonts w:eastAsia="宋体"/>
          <w:color w:val="000000" w:themeColor="text1"/>
          <w14:textFill>
            <w14:solidFill>
              <w14:schemeClr w14:val="tx1"/>
            </w14:solidFill>
          </w14:textFill>
        </w:rPr>
        <w:t>。生化池污泥委第三方有资质公司定期清掏，交环卫部门处理；其他一般工业固废分类收集暂存，定期外售物资回收部门综合利用。</w:t>
      </w:r>
      <w:bookmarkEnd w:id="182"/>
      <w:bookmarkEnd w:id="183"/>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（2）危险废物</w:t>
      </w:r>
      <w:bookmarkStart w:id="184" w:name="_Toc20117"/>
      <w:bookmarkStart w:id="185" w:name="_Toc28242"/>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本项目危险废物主要为废含油金属屑、废切削液、废润滑油、废油桶、废含油棉纱手套等。</w:t>
      </w:r>
      <w:r>
        <w:rPr>
          <w:rFonts w:eastAsia="宋体"/>
          <w:color w:val="000000" w:themeColor="text1"/>
          <w:szCs w:val="24"/>
          <w14:textFill>
            <w14:solidFill>
              <w14:schemeClr w14:val="tx1"/>
            </w14:solidFill>
          </w14:textFill>
        </w:rPr>
        <w:t>本项目共设置2间危废暂存间，分别为：1#危废暂存间位于1号地块的办公楼1层，面积约10m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；2#危废暂存间位于2号地块的办公楼1层，面积约10m</w:t>
      </w:r>
      <w:r>
        <w:rPr>
          <w:rFonts w:eastAsia="宋体"/>
          <w:color w:val="000000" w:themeColor="text1"/>
          <w:szCs w:val="24"/>
          <w:vertAlign w:val="superscript"/>
          <w14:textFill>
            <w14:solidFill>
              <w14:schemeClr w14:val="tx1"/>
            </w14:solidFill>
          </w14:textFill>
        </w:rPr>
        <w:t>2</w:t>
      </w:r>
      <w:r>
        <w:rPr>
          <w:rFonts w:eastAsia="宋体"/>
          <w:color w:val="000000" w:themeColor="text1"/>
          <w14:textFill>
            <w14:solidFill>
              <w14:schemeClr w14:val="tx1"/>
            </w14:solidFill>
          </w14:textFill>
        </w:rPr>
        <w:t>：危废暂存间将按照《危险废物贮存污染控制标准》</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GB18579-2023</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等相关要求，做好“防风、防雨、防晒、防渗、防腐、防漏”</w:t>
      </w:r>
      <w:r>
        <w:rPr>
          <w:rFonts w:hint="eastAsia" w:eastAsia="宋体"/>
          <w:color w:val="000000" w:themeColor="text1"/>
          <w14:textFill>
            <w14:solidFill>
              <w14:schemeClr w14:val="tx1"/>
            </w14:solidFill>
          </w14:textFill>
        </w:rPr>
        <w:t>六防措施</w:t>
      </w:r>
      <w:r>
        <w:rPr>
          <w:rFonts w:eastAsia="宋体"/>
          <w:color w:val="000000" w:themeColor="text1"/>
          <w14:textFill>
            <w14:solidFill>
              <w14:schemeClr w14:val="tx1"/>
            </w14:solidFill>
          </w14:textFill>
        </w:rPr>
        <w:t>，设置防漏托盘，并设置收集沟和收集井。对危险废物进行分区暂存，委托有资质单位处理。</w:t>
      </w:r>
      <w:bookmarkEnd w:id="184"/>
      <w:bookmarkEnd w:id="185"/>
    </w:p>
    <w:p>
      <w:pPr>
        <w:ind w:firstLine="480"/>
        <w:rPr>
          <w:rFonts w:eastAsia="宋体"/>
          <w:color w:val="000000" w:themeColor="text1"/>
          <w14:textFill>
            <w14:solidFill>
              <w14:schemeClr w14:val="tx1"/>
            </w14:solidFill>
          </w14:textFill>
        </w:rPr>
      </w:pPr>
      <w:bookmarkStart w:id="186" w:name="_Toc7880"/>
      <w:bookmarkStart w:id="187" w:name="_Toc2119"/>
      <w:r>
        <w:rPr>
          <w:rFonts w:eastAsia="宋体"/>
          <w:color w:val="000000" w:themeColor="text1"/>
          <w14:textFill>
            <w14:solidFill>
              <w14:schemeClr w14:val="tx1"/>
            </w14:solidFill>
          </w14:textFill>
        </w:rPr>
        <w:t>（3）生活垃圾</w:t>
      </w:r>
      <w:bookmarkEnd w:id="186"/>
      <w:bookmarkEnd w:id="187"/>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生活垃圾分类袋装收集后存放于垃圾桶，定期交环卫部门统一处理。餐厨垃圾和废油脂定期交由资质单位处理</w:t>
      </w:r>
      <w:r>
        <w:rPr>
          <w:rFonts w:hint="eastAsia"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综上所述，本项目运营期各类固体废弃物均通过合理方式进行了综合利用或妥善处置，不会对环境产生不利影响。</w:t>
      </w:r>
    </w:p>
    <w:p>
      <w:pPr>
        <w:pStyle w:val="179"/>
        <w:rPr>
          <w:rFonts w:eastAsia="宋体"/>
          <w:color w:val="000000" w:themeColor="text1"/>
          <w14:textFill>
            <w14:solidFill>
              <w14:schemeClr w14:val="tx1"/>
            </w14:solidFill>
          </w14:textFill>
        </w:rPr>
      </w:pPr>
      <w:bookmarkStart w:id="188" w:name="_Toc155271427"/>
      <w:r>
        <w:rPr>
          <w:rFonts w:hint="eastAsia" w:eastAsia="宋体"/>
          <w:color w:val="000000" w:themeColor="text1"/>
          <w14:textFill>
            <w14:solidFill>
              <w14:schemeClr w14:val="tx1"/>
            </w14:solidFill>
          </w14:textFill>
        </w:rPr>
        <w:t>4</w:t>
      </w:r>
      <w:r>
        <w:rPr>
          <w:rFonts w:eastAsia="宋体"/>
          <w:color w:val="000000" w:themeColor="text1"/>
          <w14:textFill>
            <w14:solidFill>
              <w14:schemeClr w14:val="tx1"/>
            </w14:solidFill>
          </w14:textFill>
        </w:rPr>
        <w:t>.7</w:t>
      </w:r>
      <w:r>
        <w:rPr>
          <w:rFonts w:hint="eastAsia" w:eastAsia="宋体"/>
          <w:color w:val="000000" w:themeColor="text1"/>
          <w14:textFill>
            <w14:solidFill>
              <w14:schemeClr w14:val="tx1"/>
            </w14:solidFill>
          </w14:textFill>
        </w:rPr>
        <w:t>土壤环境影响分析</w:t>
      </w:r>
      <w:bookmarkEnd w:id="188"/>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本项目1号地块不开展土壤环境影响评价工作。本次评价仅对2号地块进行土壤环境影响评价。</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.7.1</w:t>
      </w:r>
      <w:r>
        <w:rPr>
          <w:rFonts w:hint="eastAsia" w:eastAsia="宋体"/>
          <w:b/>
          <w:bCs/>
          <w:color w:val="000000" w:themeColor="text1"/>
          <w:szCs w:val="32"/>
          <w14:textFill>
            <w14:solidFill>
              <w14:schemeClr w14:val="tx1"/>
            </w14:solidFill>
          </w14:textFill>
        </w:rPr>
        <w:t>土壤环境影响途径</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项目造成土壤污染的途径有：</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（1）污染物随大气传输而迁移、扩散；</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（2）污染物随地表水流动、补给、渗入而迁移；</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（3）污染物通过灌溉在土壤中累积；</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（4）固体废物受自然降水淋溶作用，转移或渗入土壤；</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（5）固体废物受风力作用产生转移。</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废水经厂区隔油沉淀设施、生产废水处理设施和生化池处理达到《污水综合排放标准》（GB8978-1996）三级标准后排入园区污水管网进入双桥工业园区污水处理厂进行处理；危险废物暂存于危废暂存间后交有资质单位处理，一般工业固体废物外售物资回收部门处理，固废均不外排。因此不会受到雨水淋溶或风力作用而进入外环境。同时对涂装车间、危废暂存间、库房（油漆储存）、生产废水处理设施等建构筑物均采取了防腐、防渗措施，可有效的防止废水渗透到地下污染土壤。</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1号地块切割下料粉尘经滤筒除尘器处理后，通过1根20m高排气筒（DA001）排放；焊接烟尘通过移动式焊烟净化器处理后无组织排放。2号地块喷砂车间的喷砂粉尘经布袋除尘器处理后，通过1根15m高排气筒（DA002）排放；涂装废气经气旋喷淋+干式过滤+活性炭吸附浓缩+催化燃烧处理后，通过1根15m高排气筒（DA003）排放。</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相对而言，从污染途径分析，在废气处理过程中排放的有机废气沉降是可能引起土壤污染的主要途径。</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4</w:t>
      </w:r>
      <w:r>
        <w:rPr>
          <w:rFonts w:eastAsia="宋体"/>
          <w:b/>
          <w:bCs/>
          <w:color w:val="000000" w:themeColor="text1"/>
          <w:szCs w:val="32"/>
          <w14:textFill>
            <w14:solidFill>
              <w14:schemeClr w14:val="tx1"/>
            </w14:solidFill>
          </w14:textFill>
        </w:rPr>
        <w:t>.7.2</w:t>
      </w:r>
      <w:r>
        <w:rPr>
          <w:rFonts w:hint="eastAsia" w:eastAsia="宋体"/>
          <w:b/>
          <w:bCs/>
          <w:color w:val="000000" w:themeColor="text1"/>
          <w:szCs w:val="32"/>
          <w14:textFill>
            <w14:solidFill>
              <w14:schemeClr w14:val="tx1"/>
            </w14:solidFill>
          </w14:textFill>
        </w:rPr>
        <w:t>土壤环境预测及结论</w:t>
      </w:r>
    </w:p>
    <w:p>
      <w:pPr>
        <w:ind w:firstLine="480" w:firstLineChars="200"/>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（1）预测情形设置</w:t>
      </w:r>
    </w:p>
    <w:p>
      <w:pPr>
        <w:ind w:firstLine="480" w:firstLineChars="200"/>
        <w:rPr>
          <w:rFonts w:eastAsia="宋体"/>
          <w:bCs/>
          <w:color w:val="000000" w:themeColor="text1"/>
          <w:szCs w:val="32"/>
          <w14:textFill>
            <w14:solidFill>
              <w14:schemeClr w14:val="tx1"/>
            </w14:solidFill>
          </w14:textFill>
        </w:rPr>
      </w:pPr>
      <w:r>
        <w:rPr>
          <w:rFonts w:eastAsia="宋体"/>
          <w:bCs/>
          <w:color w:val="000000" w:themeColor="text1"/>
          <w:szCs w:val="32"/>
          <w14:textFill>
            <w14:solidFill>
              <w14:schemeClr w14:val="tx1"/>
            </w14:solidFill>
          </w14:textFill>
        </w:rPr>
        <w:t>大气污染物无组织及有组织正常排放情况下对下风向土壤环境的影响，预测废气中污染物通过大气沉降进入周边土壤中的累积影响程度。</w:t>
      </w:r>
    </w:p>
    <w:p>
      <w:pPr>
        <w:ind w:firstLine="480" w:firstLineChars="200"/>
        <w:rPr>
          <w:rFonts w:eastAsia="宋体"/>
          <w:bCs/>
          <w:color w:val="000000" w:themeColor="text1"/>
          <w:szCs w:val="32"/>
          <w14:textFill>
            <w14:solidFill>
              <w14:schemeClr w14:val="tx1"/>
            </w14:solidFill>
          </w14:textFill>
        </w:rPr>
      </w:pPr>
      <w:bookmarkStart w:id="189" w:name="_Toc24035166"/>
      <w:r>
        <w:rPr>
          <w:rFonts w:hint="eastAsia" w:eastAsia="宋体"/>
          <w:bCs/>
          <w:color w:val="000000" w:themeColor="text1"/>
          <w:szCs w:val="32"/>
          <w14:textFill>
            <w14:solidFill>
              <w14:schemeClr w14:val="tx1"/>
            </w14:solidFill>
          </w14:textFill>
        </w:rPr>
        <w:t>（2）</w:t>
      </w:r>
      <w:r>
        <w:rPr>
          <w:rFonts w:eastAsia="宋体"/>
          <w:bCs/>
          <w:color w:val="000000" w:themeColor="text1"/>
          <w:szCs w:val="32"/>
          <w14:textFill>
            <w14:solidFill>
              <w14:schemeClr w14:val="tx1"/>
            </w14:solidFill>
          </w14:textFill>
        </w:rPr>
        <w:t>预测与评价因子</w:t>
      </w:r>
      <w:bookmarkEnd w:id="189"/>
    </w:p>
    <w:p>
      <w:pPr>
        <w:ind w:firstLine="480" w:firstLineChars="200"/>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项目</w:t>
      </w:r>
      <w:r>
        <w:rPr>
          <w:rFonts w:eastAsia="宋体"/>
          <w:bCs/>
          <w:color w:val="000000" w:themeColor="text1"/>
          <w:szCs w:val="32"/>
          <w14:textFill>
            <w14:solidFill>
              <w14:schemeClr w14:val="tx1"/>
            </w14:solidFill>
          </w14:textFill>
        </w:rPr>
        <w:t>不涉及重金属的排放，选择项目特征有机污染物来进行预测分析。故</w:t>
      </w:r>
      <w:r>
        <w:rPr>
          <w:rFonts w:hint="eastAsia" w:eastAsia="宋体"/>
          <w:bCs/>
          <w:color w:val="000000" w:themeColor="text1"/>
          <w:szCs w:val="32"/>
          <w14:textFill>
            <w14:solidFill>
              <w14:schemeClr w14:val="tx1"/>
            </w14:solidFill>
          </w14:textFill>
        </w:rPr>
        <w:t>项目</w:t>
      </w:r>
      <w:r>
        <w:rPr>
          <w:rFonts w:eastAsia="宋体"/>
          <w:bCs/>
          <w:color w:val="000000" w:themeColor="text1"/>
          <w:szCs w:val="32"/>
          <w14:textFill>
            <w14:solidFill>
              <w14:schemeClr w14:val="tx1"/>
            </w14:solidFill>
          </w14:textFill>
        </w:rPr>
        <w:t>大气沉降预测和评价因子选取</w:t>
      </w:r>
      <w:r>
        <w:rPr>
          <w:rFonts w:hint="eastAsia" w:eastAsia="宋体"/>
          <w:bCs/>
          <w:color w:val="000000" w:themeColor="text1"/>
          <w:szCs w:val="32"/>
          <w14:textFill>
            <w14:solidFill>
              <w14:schemeClr w14:val="tx1"/>
            </w14:solidFill>
          </w14:textFill>
        </w:rPr>
        <w:t>甲苯、</w:t>
      </w:r>
      <w:r>
        <w:rPr>
          <w:rFonts w:eastAsia="宋体"/>
          <w:bCs/>
          <w:color w:val="000000" w:themeColor="text1"/>
          <w:szCs w:val="32"/>
          <w14:textFill>
            <w14:solidFill>
              <w14:schemeClr w14:val="tx1"/>
            </w14:solidFill>
          </w14:textFill>
        </w:rPr>
        <w:t>二甲苯。</w:t>
      </w:r>
    </w:p>
    <w:p>
      <w:pPr>
        <w:ind w:firstLine="480" w:firstLineChars="200"/>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（3）</w:t>
      </w:r>
      <w:r>
        <w:rPr>
          <w:rFonts w:eastAsia="宋体"/>
          <w:bCs/>
          <w:color w:val="000000" w:themeColor="text1"/>
          <w:szCs w:val="32"/>
          <w14:textFill>
            <w14:solidFill>
              <w14:schemeClr w14:val="tx1"/>
            </w14:solidFill>
          </w14:textFill>
        </w:rPr>
        <w:t>预测与评价方法</w:t>
      </w:r>
    </w:p>
    <w:p>
      <w:pPr>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项目为污染影响型，预测方法采用《环境影响评价技术导则 土壤环境（试行）》（HJ 964-2018）附录E推荐模型进行预测。具体计算公式如下：</w:t>
      </w:r>
    </w:p>
    <w:p>
      <w:pPr>
        <w:jc w:val="center"/>
        <w:rPr>
          <w:rFonts w:eastAsia="宋体"/>
          <w:color w:val="000000" w:themeColor="text1"/>
          <w:szCs w:val="24"/>
          <w14:textFill>
            <w14:solidFill>
              <w14:schemeClr w14:val="tx1"/>
            </w14:solidFill>
          </w14:textFill>
        </w:rPr>
      </w:pPr>
      <w:r>
        <w:rPr>
          <w:rFonts w:eastAsia="微软雅黑"/>
          <w:color w:val="000000" w:themeColor="text1"/>
          <w:szCs w:val="24"/>
          <w14:textFill>
            <w14:solidFill>
              <w14:schemeClr w14:val="tx1"/>
            </w14:solidFill>
          </w14:textFill>
        </w:rPr>
        <w:t>∆</w:t>
      </w:r>
      <w:r>
        <w:rPr>
          <w:rFonts w:eastAsia="宋体"/>
          <w:color w:val="000000" w:themeColor="text1"/>
          <w:szCs w:val="24"/>
          <w:vertAlign w:val="subscript"/>
          <w14:textFill>
            <w14:solidFill>
              <w14:schemeClr w14:val="tx1"/>
            </w14:solidFill>
          </w14:textFill>
        </w:rPr>
        <w:t>S</w:t>
      </w:r>
      <w:r>
        <w:rPr>
          <w:rFonts w:eastAsia="宋体"/>
          <w:color w:val="000000" w:themeColor="text1"/>
          <w:szCs w:val="24"/>
          <w14:textFill>
            <w14:solidFill>
              <w14:schemeClr w14:val="tx1"/>
            </w14:solidFill>
          </w14:textFill>
        </w:rPr>
        <w:t>=η*(Is</w:t>
      </w:r>
      <w:r>
        <w:rPr>
          <w:rFonts w:eastAsia="微软雅黑"/>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Ls</w:t>
      </w:r>
      <w:r>
        <w:rPr>
          <w:rFonts w:eastAsia="微软雅黑"/>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Rs)/(ρ</w:t>
      </w:r>
      <w:r>
        <w:rPr>
          <w:rFonts w:eastAsia="宋体"/>
          <w:color w:val="000000" w:themeColor="text1"/>
          <w:szCs w:val="24"/>
          <w:vertAlign w:val="subscript"/>
          <w14:textFill>
            <w14:solidFill>
              <w14:schemeClr w14:val="tx1"/>
            </w14:solidFill>
          </w14:textFill>
        </w:rPr>
        <w:t>b</w:t>
      </w:r>
      <w:r>
        <w:rPr>
          <w:rFonts w:eastAsia="宋体"/>
          <w:color w:val="000000" w:themeColor="text1"/>
          <w:szCs w:val="24"/>
          <w14:textFill>
            <w14:solidFill>
              <w14:schemeClr w14:val="tx1"/>
            </w14:solidFill>
          </w14:textFill>
        </w:rPr>
        <w:t>×A×D)</w:t>
      </w:r>
    </w:p>
    <w:p>
      <w:pPr>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式中：Δ</w:t>
      </w:r>
      <w:r>
        <w:rPr>
          <w:rFonts w:eastAsia="宋体"/>
          <w:color w:val="000000" w:themeColor="text1"/>
          <w:szCs w:val="24"/>
          <w:vertAlign w:val="subscript"/>
          <w14:textFill>
            <w14:solidFill>
              <w14:schemeClr w14:val="tx1"/>
            </w14:solidFill>
          </w14:textFill>
        </w:rPr>
        <w:t>S</w:t>
      </w:r>
      <w:r>
        <w:rPr>
          <w:rFonts w:eastAsia="宋体"/>
          <w:color w:val="000000" w:themeColor="text1"/>
          <w:szCs w:val="24"/>
          <w14:textFill>
            <w14:solidFill>
              <w14:schemeClr w14:val="tx1"/>
            </w14:solidFill>
          </w14:textFill>
        </w:rPr>
        <w:t>——单位质量表层土壤中某种物质的增量，g/kg；</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I</w:t>
      </w:r>
      <w:r>
        <w:rPr>
          <w:rFonts w:eastAsia="宋体"/>
          <w:color w:val="000000" w:themeColor="text1"/>
          <w:szCs w:val="24"/>
          <w:vertAlign w:val="subscript"/>
          <w14:textFill>
            <w14:solidFill>
              <w14:schemeClr w14:val="tx1"/>
            </w14:solidFill>
          </w14:textFill>
        </w:rPr>
        <w:t>S</w:t>
      </w:r>
      <w:r>
        <w:rPr>
          <w:rFonts w:eastAsia="宋体"/>
          <w:color w:val="000000" w:themeColor="text1"/>
          <w:szCs w:val="24"/>
          <w14:textFill>
            <w14:solidFill>
              <w14:schemeClr w14:val="tx1"/>
            </w14:solidFill>
          </w14:textFill>
        </w:rPr>
        <w:t>——预测评价范围内单位年份表层土壤中某种物质的输入量，g；</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L</w:t>
      </w:r>
      <w:r>
        <w:rPr>
          <w:rFonts w:eastAsia="宋体"/>
          <w:color w:val="000000" w:themeColor="text1"/>
          <w:szCs w:val="24"/>
          <w:vertAlign w:val="subscript"/>
          <w14:textFill>
            <w14:solidFill>
              <w14:schemeClr w14:val="tx1"/>
            </w14:solidFill>
          </w14:textFill>
        </w:rPr>
        <w:t>S</w:t>
      </w:r>
      <w:r>
        <w:rPr>
          <w:rFonts w:eastAsia="宋体"/>
          <w:color w:val="000000" w:themeColor="text1"/>
          <w:szCs w:val="24"/>
          <w14:textFill>
            <w14:solidFill>
              <w14:schemeClr w14:val="tx1"/>
            </w14:solidFill>
          </w14:textFill>
        </w:rPr>
        <w:t>——预测评价范围内单位年份表层土壤中某种物质经淋溶排出的量，g；</w:t>
      </w:r>
      <w:bookmarkStart w:id="190" w:name="_Toc24035167"/>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R</w:t>
      </w:r>
      <w:r>
        <w:rPr>
          <w:rFonts w:eastAsia="宋体"/>
          <w:color w:val="000000" w:themeColor="text1"/>
          <w:szCs w:val="24"/>
          <w:vertAlign w:val="subscript"/>
          <w14:textFill>
            <w14:solidFill>
              <w14:schemeClr w14:val="tx1"/>
            </w14:solidFill>
          </w14:textFill>
        </w:rPr>
        <w:t>S</w:t>
      </w:r>
      <w:r>
        <w:rPr>
          <w:rFonts w:eastAsia="宋体"/>
          <w:color w:val="000000" w:themeColor="text1"/>
          <w:szCs w:val="24"/>
          <w14:textFill>
            <w14:solidFill>
              <w14:schemeClr w14:val="tx1"/>
            </w14:solidFill>
          </w14:textFill>
        </w:rPr>
        <w:t>——预测评价范围内单位年份表层土壤中某种物质经径流排出的量，g；</w:t>
      </w:r>
      <w:bookmarkEnd w:id="190"/>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ρ</w:t>
      </w:r>
      <w:r>
        <w:rPr>
          <w:rFonts w:eastAsia="宋体"/>
          <w:color w:val="000000" w:themeColor="text1"/>
          <w:szCs w:val="24"/>
          <w:vertAlign w:val="subscript"/>
          <w14:textFill>
            <w14:solidFill>
              <w14:schemeClr w14:val="tx1"/>
            </w14:solidFill>
          </w14:textFill>
        </w:rPr>
        <w:t>b</w:t>
      </w:r>
      <w:r>
        <w:rPr>
          <w:rFonts w:eastAsia="宋体"/>
          <w:color w:val="000000" w:themeColor="text1"/>
          <w:szCs w:val="24"/>
          <w14:textFill>
            <w14:solidFill>
              <w14:schemeClr w14:val="tx1"/>
            </w14:solidFill>
          </w14:textFill>
        </w:rPr>
        <w:t>——表层土壤容重，kg/m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，根据监测结果土壤容重</w:t>
      </w:r>
      <w:r>
        <w:rPr>
          <w:rFonts w:eastAsia="宋体"/>
          <w:color w:val="000000" w:themeColor="text1"/>
          <w:szCs w:val="24"/>
          <w14:textFill>
            <w14:solidFill>
              <w14:schemeClr w14:val="tx1"/>
            </w14:solidFill>
          </w14:textFill>
        </w:rPr>
        <w:t>1880</w:t>
      </w:r>
      <w:r>
        <w:rPr>
          <w:rFonts w:hint="eastAsia" w:eastAsia="宋体"/>
          <w:color w:val="000000" w:themeColor="text1"/>
          <w:szCs w:val="24"/>
          <w14:textFill>
            <w14:solidFill>
              <w14:schemeClr w14:val="tx1"/>
            </w14:solidFill>
          </w14:textFill>
        </w:rPr>
        <w:t>kg</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m</w:t>
      </w:r>
      <w:r>
        <w:rPr>
          <w:rFonts w:eastAsia="宋体"/>
          <w:color w:val="000000" w:themeColor="text1"/>
          <w:szCs w:val="24"/>
          <w:vertAlign w:val="superscript"/>
          <w14:textFill>
            <w14:solidFill>
              <w14:schemeClr w14:val="tx1"/>
            </w14:solidFill>
          </w14:textFill>
        </w:rPr>
        <w:t>3</w:t>
      </w:r>
      <w:r>
        <w:rPr>
          <w:rFonts w:hint="eastAsia" w:eastAsia="宋体"/>
          <w:color w:val="000000" w:themeColor="text1"/>
          <w:szCs w:val="24"/>
          <w14:textFill>
            <w14:solidFill>
              <w14:schemeClr w14:val="tx1"/>
            </w14:solidFill>
          </w14:textFill>
        </w:rPr>
        <w:t>；</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A——预测评价范围，m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D——表层土壤深度，一般取0.2m，可根据实际情况适当调整；</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η——持续年份，a。</w:t>
      </w:r>
    </w:p>
    <w:p>
      <w:pPr>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单位质量土壤中某种物质的预测值可依据其增量叠加现状值进行计算，如式：</w:t>
      </w:r>
    </w:p>
    <w:p>
      <w:pPr>
        <w:jc w:val="center"/>
        <w:rPr>
          <w:rFonts w:eastAsia="宋体"/>
          <w:color w:val="000000" w:themeColor="text1"/>
          <w:sz w:val="28"/>
          <w:szCs w:val="28"/>
          <w:vertAlign w:val="subscript"/>
          <w14:textFill>
            <w14:solidFill>
              <w14:schemeClr w14:val="tx1"/>
            </w14:solidFill>
          </w14:textFill>
        </w:rPr>
      </w:pPr>
      <w:r>
        <w:rPr>
          <w:rFonts w:eastAsia="宋体"/>
          <w:color w:val="000000" w:themeColor="text1"/>
          <w:sz w:val="28"/>
          <w:szCs w:val="28"/>
          <w14:textFill>
            <w14:solidFill>
              <w14:schemeClr w14:val="tx1"/>
            </w14:solidFill>
          </w14:textFill>
        </w:rPr>
        <w:t>S=S</w:t>
      </w:r>
      <w:r>
        <w:rPr>
          <w:rFonts w:eastAsia="宋体"/>
          <w:color w:val="000000" w:themeColor="text1"/>
          <w:sz w:val="28"/>
          <w:szCs w:val="28"/>
          <w:vertAlign w:val="subscript"/>
          <w14:textFill>
            <w14:solidFill>
              <w14:schemeClr w14:val="tx1"/>
            </w14:solidFill>
          </w14:textFill>
        </w:rPr>
        <w:t>b</w:t>
      </w:r>
      <w:r>
        <w:rPr>
          <w:rFonts w:eastAsia="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w:t>
      </w:r>
      <w:r>
        <w:rPr>
          <w:rFonts w:eastAsia="宋体"/>
          <w:color w:val="000000" w:themeColor="text1"/>
          <w:sz w:val="28"/>
          <w:szCs w:val="28"/>
          <w:vertAlign w:val="subscript"/>
          <w14:textFill>
            <w14:solidFill>
              <w14:schemeClr w14:val="tx1"/>
            </w14:solidFill>
          </w14:textFill>
        </w:rPr>
        <w:t>S</w:t>
      </w:r>
    </w:p>
    <w:p>
      <w:pPr>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式中：S</w:t>
      </w:r>
      <w:r>
        <w:rPr>
          <w:rFonts w:eastAsia="宋体"/>
          <w:color w:val="000000" w:themeColor="text1"/>
          <w:szCs w:val="24"/>
          <w:vertAlign w:val="subscript"/>
          <w14:textFill>
            <w14:solidFill>
              <w14:schemeClr w14:val="tx1"/>
            </w14:solidFill>
          </w14:textFill>
        </w:rPr>
        <w:t>b</w:t>
      </w:r>
      <w:r>
        <w:rPr>
          <w:rFonts w:eastAsia="宋体"/>
          <w:color w:val="000000" w:themeColor="text1"/>
          <w:szCs w:val="24"/>
          <w14:textFill>
            <w14:solidFill>
              <w14:schemeClr w14:val="tx1"/>
            </w14:solidFill>
          </w14:textFill>
        </w:rPr>
        <w:t>——单位质量土壤中某种物质的现状值，g/kg；</w:t>
      </w:r>
    </w:p>
    <w:p>
      <w:pPr>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S——单位质量土壤中某种物质的预测值，g/kg；</w:t>
      </w:r>
    </w:p>
    <w:p>
      <w:pPr>
        <w:ind w:firstLine="480" w:firstLineChars="200"/>
        <w:jc w:val="left"/>
        <w:rPr>
          <w:rFonts w:eastAsia="宋体"/>
          <w:color w:val="000000" w:themeColor="text1"/>
          <w:szCs w:val="24"/>
          <w14:textFill>
            <w14:solidFill>
              <w14:schemeClr w14:val="tx1"/>
            </w14:solidFill>
          </w14:textFill>
        </w:rPr>
      </w:pPr>
      <w:bookmarkStart w:id="191" w:name="_Toc24035168"/>
      <w:r>
        <w:rPr>
          <w:rFonts w:hint="eastAsia" w:eastAsia="宋体"/>
          <w:color w:val="000000" w:themeColor="text1"/>
          <w:szCs w:val="24"/>
          <w14:textFill>
            <w14:solidFill>
              <w14:schemeClr w14:val="tx1"/>
            </w14:solidFill>
          </w14:textFill>
        </w:rPr>
        <w:t>（4）</w:t>
      </w:r>
      <w:r>
        <w:rPr>
          <w:rFonts w:eastAsia="宋体"/>
          <w:color w:val="000000" w:themeColor="text1"/>
          <w:szCs w:val="24"/>
          <w14:textFill>
            <w14:solidFill>
              <w14:schemeClr w14:val="tx1"/>
            </w14:solidFill>
          </w14:textFill>
        </w:rPr>
        <w:t>预测结果</w:t>
      </w:r>
      <w:bookmarkEnd w:id="191"/>
    </w:p>
    <w:p>
      <w:pPr>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通过大气沉降</w:t>
      </w:r>
      <w:r>
        <w:rPr>
          <w:rFonts w:hint="eastAsia" w:eastAsia="宋体"/>
          <w:color w:val="000000" w:themeColor="text1"/>
          <w:szCs w:val="24"/>
          <w14:textFill>
            <w14:solidFill>
              <w14:schemeClr w14:val="tx1"/>
            </w14:solidFill>
          </w14:textFill>
        </w:rPr>
        <w:t>甲苯、</w:t>
      </w:r>
      <w:r>
        <w:rPr>
          <w:rFonts w:eastAsia="宋体"/>
          <w:color w:val="000000" w:themeColor="text1"/>
          <w:szCs w:val="24"/>
          <w14:textFill>
            <w14:solidFill>
              <w14:schemeClr w14:val="tx1"/>
            </w14:solidFill>
          </w14:textFill>
        </w:rPr>
        <w:t>二甲苯对土壤环境预测结果，本评价预测采用最不利情况进行预测，即不考虑土壤中某种物质通过淋溶排出的量和通过径流排出的量，预测评价范围单位质量表层土壤中某种物质的增量及预测值。预测结果见表4.7-1。</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szCs w:val="24"/>
          <w14:textFill>
            <w14:solidFill>
              <w14:schemeClr w14:val="tx1"/>
            </w14:solidFill>
          </w14:textFill>
        </w:rPr>
        <w:t>表4.7-1  大气沉降对土壤环境影响预测结果</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51"/>
        <w:gridCol w:w="992"/>
        <w:gridCol w:w="949"/>
        <w:gridCol w:w="884"/>
        <w:gridCol w:w="809"/>
        <w:gridCol w:w="1294"/>
        <w:gridCol w:w="1294"/>
        <w:gridCol w:w="1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预测</w:t>
            </w:r>
          </w:p>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因子</w:t>
            </w:r>
          </w:p>
        </w:tc>
        <w:tc>
          <w:tcPr>
            <w:tcW w:w="851"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年输入量（g）</w:t>
            </w:r>
          </w:p>
        </w:tc>
        <w:tc>
          <w:tcPr>
            <w:tcW w:w="992"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预测评价范围</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m</w:t>
            </w:r>
            <w:r>
              <w:rPr>
                <w:rFonts w:eastAsia="宋体"/>
                <w:b/>
                <w:color w:val="000000" w:themeColor="text1"/>
                <w:sz w:val="21"/>
                <w:szCs w:val="21"/>
                <w:vertAlign w:val="superscript"/>
                <w14:textFill>
                  <w14:solidFill>
                    <w14:schemeClr w14:val="tx1"/>
                  </w14:solidFill>
                </w14:textFill>
              </w:rPr>
              <w:t>2</w:t>
            </w:r>
            <w:r>
              <w:rPr>
                <w:rFonts w:hint="eastAsia" w:eastAsia="宋体"/>
                <w:b/>
                <w:color w:val="000000" w:themeColor="text1"/>
                <w:sz w:val="21"/>
                <w:szCs w:val="21"/>
                <w14:textFill>
                  <w14:solidFill>
                    <w14:schemeClr w14:val="tx1"/>
                  </w14:solidFill>
                </w14:textFill>
              </w:rPr>
              <w:t>)</w:t>
            </w:r>
          </w:p>
        </w:tc>
        <w:tc>
          <w:tcPr>
            <w:tcW w:w="949"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表土容重</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kg/m</w:t>
            </w:r>
            <w:r>
              <w:rPr>
                <w:rFonts w:eastAsia="宋体"/>
                <w:b/>
                <w:color w:val="000000" w:themeColor="text1"/>
                <w:sz w:val="21"/>
                <w:szCs w:val="21"/>
                <w:vertAlign w:val="superscript"/>
                <w14:textFill>
                  <w14:solidFill>
                    <w14:schemeClr w14:val="tx1"/>
                  </w14:solidFill>
                </w14:textFill>
              </w:rPr>
              <w:t>3</w:t>
            </w:r>
            <w:r>
              <w:rPr>
                <w:rFonts w:hint="eastAsia" w:eastAsia="宋体"/>
                <w:b/>
                <w:color w:val="000000" w:themeColor="text1"/>
                <w:sz w:val="21"/>
                <w:szCs w:val="21"/>
                <w14:textFill>
                  <w14:solidFill>
                    <w14:schemeClr w14:val="tx1"/>
                  </w14:solidFill>
                </w14:textFill>
              </w:rPr>
              <w:t>)</w:t>
            </w:r>
          </w:p>
        </w:tc>
        <w:tc>
          <w:tcPr>
            <w:tcW w:w="884"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表层深度</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m</w:t>
            </w:r>
            <w:r>
              <w:rPr>
                <w:rFonts w:hint="eastAsia" w:eastAsia="宋体"/>
                <w:b/>
                <w:color w:val="000000" w:themeColor="text1"/>
                <w:sz w:val="21"/>
                <w:szCs w:val="21"/>
                <w14:textFill>
                  <w14:solidFill>
                    <w14:schemeClr w14:val="tx1"/>
                  </w14:solidFill>
                </w14:textFill>
              </w:rPr>
              <w:t>)</w:t>
            </w:r>
          </w:p>
        </w:tc>
        <w:tc>
          <w:tcPr>
            <w:tcW w:w="809"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持续年份</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a</w:t>
            </w:r>
            <w:r>
              <w:rPr>
                <w:rFonts w:hint="eastAsia" w:eastAsia="宋体"/>
                <w:b/>
                <w:color w:val="000000" w:themeColor="text1"/>
                <w:sz w:val="21"/>
                <w:szCs w:val="21"/>
                <w14:textFill>
                  <w14:solidFill>
                    <w14:schemeClr w14:val="tx1"/>
                  </w14:solidFill>
                </w14:textFill>
              </w:rPr>
              <w:t>)</w:t>
            </w:r>
          </w:p>
        </w:tc>
        <w:tc>
          <w:tcPr>
            <w:tcW w:w="1294"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增加值</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mg/kg</w:t>
            </w:r>
            <w:r>
              <w:rPr>
                <w:rFonts w:hint="eastAsia" w:eastAsia="宋体"/>
                <w:b/>
                <w:color w:val="000000" w:themeColor="text1"/>
                <w:sz w:val="21"/>
                <w:szCs w:val="21"/>
                <w14:textFill>
                  <w14:solidFill>
                    <w14:schemeClr w14:val="tx1"/>
                  </w14:solidFill>
                </w14:textFill>
              </w:rPr>
              <w:t>)</w:t>
            </w:r>
          </w:p>
        </w:tc>
        <w:tc>
          <w:tcPr>
            <w:tcW w:w="1294"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现状值</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mg/kg</w:t>
            </w:r>
            <w:r>
              <w:rPr>
                <w:rFonts w:hint="eastAsia" w:eastAsia="宋体"/>
                <w:b/>
                <w:color w:val="000000" w:themeColor="text1"/>
                <w:sz w:val="21"/>
                <w:szCs w:val="21"/>
                <w14:textFill>
                  <w14:solidFill>
                    <w14:schemeClr w14:val="tx1"/>
                  </w14:solidFill>
                </w14:textFill>
              </w:rPr>
              <w:t>)</w:t>
            </w:r>
          </w:p>
        </w:tc>
        <w:tc>
          <w:tcPr>
            <w:tcW w:w="1290"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预测值</w:t>
            </w:r>
            <w:r>
              <w:rPr>
                <w:rFonts w:hint="eastAsia" w:eastAsia="宋体"/>
                <w:b/>
                <w:color w:val="000000" w:themeColor="text1"/>
                <w:sz w:val="21"/>
                <w:szCs w:val="21"/>
                <w:lang w:eastAsia="zh-CN"/>
                <w14:textFill>
                  <w14:solidFill>
                    <w14:schemeClr w14:val="tx1"/>
                  </w14:solidFill>
                </w14:textFill>
              </w:rPr>
              <w:t>（</w:t>
            </w:r>
            <w:r>
              <w:rPr>
                <w:rFonts w:eastAsia="宋体"/>
                <w:b/>
                <w:color w:val="000000" w:themeColor="text1"/>
                <w:sz w:val="21"/>
                <w:szCs w:val="21"/>
                <w14:textFill>
                  <w14:solidFill>
                    <w14:schemeClr w14:val="tx1"/>
                  </w14:solidFill>
                </w14:textFill>
              </w:rPr>
              <w:t>mg/kg</w:t>
            </w:r>
            <w:r>
              <w:rPr>
                <w:rFonts w:hint="eastAsia" w:eastAsia="宋体"/>
                <w:b/>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甲苯</w:t>
            </w:r>
          </w:p>
        </w:tc>
        <w:tc>
          <w:tcPr>
            <w:tcW w:w="85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96000</w:t>
            </w:r>
          </w:p>
        </w:tc>
        <w:tc>
          <w:tcPr>
            <w:tcW w:w="992"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92512</w:t>
            </w:r>
          </w:p>
        </w:tc>
        <w:tc>
          <w:tcPr>
            <w:tcW w:w="94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880</w:t>
            </w:r>
          </w:p>
        </w:tc>
        <w:tc>
          <w:tcPr>
            <w:tcW w:w="884"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w:t>
            </w: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45.0973 </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.0013</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45.0997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92"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4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84"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135.2918 </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.0013</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135.2942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92"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4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84"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225.4863 </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.0013</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225.4887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二甲苯</w:t>
            </w:r>
          </w:p>
        </w:tc>
        <w:tc>
          <w:tcPr>
            <w:tcW w:w="85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82000</w:t>
            </w:r>
          </w:p>
        </w:tc>
        <w:tc>
          <w:tcPr>
            <w:tcW w:w="992"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92512</w:t>
            </w:r>
          </w:p>
        </w:tc>
        <w:tc>
          <w:tcPr>
            <w:tcW w:w="949"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880</w:t>
            </w:r>
          </w:p>
        </w:tc>
        <w:tc>
          <w:tcPr>
            <w:tcW w:w="884"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0.2</w:t>
            </w: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6.5478</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.0024</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16.5502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92"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4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84"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9.6434</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.0024</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49.6458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5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92"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949"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84"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09"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50</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8</w:t>
            </w:r>
            <w:r>
              <w:rPr>
                <w:rFonts w:eastAsia="宋体"/>
                <w:color w:val="000000" w:themeColor="text1"/>
                <w:sz w:val="21"/>
                <w:szCs w:val="21"/>
                <w14:textFill>
                  <w14:solidFill>
                    <w14:schemeClr w14:val="tx1"/>
                  </w14:solidFill>
                </w14:textFill>
              </w:rPr>
              <w:t>2.7389</w:t>
            </w:r>
          </w:p>
        </w:tc>
        <w:tc>
          <w:tcPr>
            <w:tcW w:w="129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.0024</w:t>
            </w:r>
          </w:p>
        </w:tc>
        <w:tc>
          <w:tcPr>
            <w:tcW w:w="1290"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82.7413 </w:t>
            </w:r>
          </w:p>
        </w:tc>
      </w:tr>
    </w:tbl>
    <w:p>
      <w:pPr>
        <w:ind w:firstLine="480" w:firstLineChars="200"/>
        <w:rPr>
          <w:rFonts w:eastAsia="宋体"/>
          <w:snapToGrid w:val="0"/>
          <w:color w:val="000000" w:themeColor="text1"/>
          <w14:textFill>
            <w14:solidFill>
              <w14:schemeClr w14:val="tx1"/>
            </w14:solidFill>
          </w14:textFill>
        </w:rPr>
      </w:pPr>
      <w:r>
        <w:rPr>
          <w:rFonts w:eastAsia="宋体"/>
          <w:color w:val="000000" w:themeColor="text1"/>
          <w:szCs w:val="24"/>
          <w14:textFill>
            <w14:solidFill>
              <w14:schemeClr w14:val="tx1"/>
            </w14:solidFill>
          </w14:textFill>
        </w:rPr>
        <w:t>由预测结果可知，10年、30年、50年的</w:t>
      </w:r>
      <w:r>
        <w:rPr>
          <w:rFonts w:hint="eastAsia" w:eastAsia="宋体"/>
          <w:color w:val="000000" w:themeColor="text1"/>
          <w:szCs w:val="24"/>
          <w14:textFill>
            <w14:solidFill>
              <w14:schemeClr w14:val="tx1"/>
            </w14:solidFill>
          </w14:textFill>
        </w:rPr>
        <w:t>甲苯、</w:t>
      </w:r>
      <w:r>
        <w:rPr>
          <w:rFonts w:eastAsia="宋体"/>
          <w:color w:val="000000" w:themeColor="text1"/>
          <w:szCs w:val="24"/>
          <w14:textFill>
            <w14:solidFill>
              <w14:schemeClr w14:val="tx1"/>
            </w14:solidFill>
          </w14:textFill>
        </w:rPr>
        <w:t>二甲苯增加值和预测值均低于</w:t>
      </w:r>
      <w:r>
        <w:rPr>
          <w:rFonts w:eastAsia="宋体"/>
          <w:snapToGrid w:val="0"/>
          <w:color w:val="000000" w:themeColor="text1"/>
          <w14:textFill>
            <w14:solidFill>
              <w14:schemeClr w14:val="tx1"/>
            </w14:solidFill>
          </w14:textFill>
        </w:rPr>
        <w:t>《土壤环境质量标准 建设用地土壤污染风险管控标准（试行）》（GB 36600-2018）标准中的“第二类用地筛选值”要求，项目大气污染沉降对土壤环境影响较小。</w:t>
      </w:r>
    </w:p>
    <w:p>
      <w:pPr>
        <w:ind w:firstLine="480" w:firstLineChars="200"/>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（5）土壤环境影响评价自查表</w:t>
      </w:r>
    </w:p>
    <w:p>
      <w:pPr>
        <w:spacing w:line="240" w:lineRule="auto"/>
        <w:jc w:val="center"/>
        <w:rPr>
          <w:rFonts w:eastAsia="宋体"/>
          <w:b/>
          <w:color w:val="000000" w:themeColor="text1"/>
          <w:szCs w:val="24"/>
          <w14:textFill>
            <w14:solidFill>
              <w14:schemeClr w14:val="tx1"/>
            </w14:solidFill>
          </w14:textFill>
        </w:rPr>
      </w:pPr>
      <w:r>
        <w:rPr>
          <w:rFonts w:hint="eastAsia" w:eastAsia="宋体"/>
          <w:b/>
          <w:color w:val="000000" w:themeColor="text1"/>
          <w:szCs w:val="24"/>
          <w14:textFill>
            <w14:solidFill>
              <w14:schemeClr w14:val="tx1"/>
            </w14:solidFill>
          </w14:textFill>
        </w:rPr>
        <w:t>表</w:t>
      </w:r>
      <w:r>
        <w:rPr>
          <w:rFonts w:eastAsia="宋体"/>
          <w:b/>
          <w:color w:val="000000" w:themeColor="text1"/>
          <w:szCs w:val="24"/>
          <w14:textFill>
            <w14:solidFill>
              <w14:schemeClr w14:val="tx1"/>
            </w14:solidFill>
          </w14:textFill>
        </w:rPr>
        <w:t xml:space="preserve">4.7-2  </w:t>
      </w:r>
      <w:r>
        <w:rPr>
          <w:rFonts w:hint="eastAsia" w:eastAsia="宋体"/>
          <w:b/>
          <w:color w:val="000000" w:themeColor="text1"/>
          <w:szCs w:val="24"/>
          <w14:textFill>
            <w14:solidFill>
              <w14:schemeClr w14:val="tx1"/>
            </w14:solidFill>
          </w14:textFill>
        </w:rPr>
        <w:t>土壤环境影响评价自查表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787"/>
        <w:gridCol w:w="1757"/>
        <w:gridCol w:w="333"/>
        <w:gridCol w:w="1183"/>
        <w:gridCol w:w="453"/>
        <w:gridCol w:w="888"/>
        <w:gridCol w:w="1198"/>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5" w:type="pct"/>
            <w:gridSpan w:val="2"/>
            <w:shd w:val="clear" w:color="auto" w:fill="auto"/>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工作内容</w:t>
            </w:r>
          </w:p>
        </w:tc>
        <w:tc>
          <w:tcPr>
            <w:tcW w:w="3128" w:type="pct"/>
            <w:gridSpan w:val="6"/>
            <w:shd w:val="clear" w:color="auto" w:fill="auto"/>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完成情况</w:t>
            </w:r>
          </w:p>
        </w:tc>
        <w:tc>
          <w:tcPr>
            <w:tcW w:w="667" w:type="pct"/>
            <w:shd w:val="clear" w:color="auto" w:fill="auto"/>
            <w:vAlign w:val="center"/>
          </w:tcPr>
          <w:p>
            <w:pPr>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影响识别</w:t>
            </w: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影响类型</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污染影响型</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；生态影响型</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；两者兼有</w:t>
            </w:r>
            <w:r>
              <w:rPr>
                <w:rFonts w:eastAsia="宋体"/>
                <w:color w:val="000000" w:themeColor="text1"/>
                <w:kern w:val="0"/>
                <w:sz w:val="21"/>
                <w:szCs w:val="21"/>
                <w14:textFill>
                  <w14:solidFill>
                    <w14:schemeClr w14:val="tx1"/>
                  </w14:solidFill>
                </w14:textFill>
              </w:rPr>
              <w:sym w:font="Wingdings 2" w:char="F0A3"/>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土壤利用类型</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建设用地</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；农用地</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；未利用地</w:t>
            </w:r>
            <w:r>
              <w:rPr>
                <w:rFonts w:eastAsia="宋体"/>
                <w:color w:val="000000" w:themeColor="text1"/>
                <w:kern w:val="0"/>
                <w:sz w:val="21"/>
                <w:szCs w:val="21"/>
                <w14:textFill>
                  <w14:solidFill>
                    <w14:schemeClr w14:val="tx1"/>
                  </w14:solidFill>
                </w14:textFill>
              </w:rPr>
              <w:sym w:font="Wingdings 2" w:char="F0A3"/>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土地利用类型图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占地规模</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（0.3056）hm</w:t>
            </w:r>
            <w:r>
              <w:rPr>
                <w:rFonts w:eastAsia="宋体"/>
                <w:color w:val="000000" w:themeColor="text1"/>
                <w:kern w:val="0"/>
                <w:sz w:val="21"/>
                <w:szCs w:val="21"/>
                <w:vertAlign w:val="superscript"/>
                <w14:textFill>
                  <w14:solidFill>
                    <w14:schemeClr w14:val="tx1"/>
                  </w14:solidFill>
                </w14:textFill>
              </w:rPr>
              <w:t>2</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敏感目标信息</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敏感目标（ / ）、方位（ / ）、距离（ / ）</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影响途径</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大气沉降</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；地面漫流</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；垂直入渗；地下水位</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；其他（  ）</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全部污染物</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特征因子</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甲苯、二甲苯</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所属土壤环境影响评价项目类别</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Ⅰ类</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；Ⅱ类；Ⅲ类</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；Ⅳ类</w:t>
            </w:r>
            <w:r>
              <w:rPr>
                <w:rFonts w:eastAsia="宋体"/>
                <w:color w:val="000000" w:themeColor="text1"/>
                <w:kern w:val="0"/>
                <w:sz w:val="21"/>
                <w:szCs w:val="21"/>
                <w14:textFill>
                  <w14:solidFill>
                    <w14:schemeClr w14:val="tx1"/>
                  </w14:solidFill>
                </w14:textFill>
              </w:rPr>
              <w:sym w:font="Wingdings 2" w:char="F0A3"/>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敏感程度</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敏感</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；较敏感</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；不敏感</w:t>
            </w:r>
            <w:r>
              <w:rPr>
                <w:rFonts w:ascii="Wingdings 2" w:hAnsi="Wingdings 2" w:eastAsia="宋体"/>
                <w:color w:val="000000" w:themeColor="text1"/>
                <w:kern w:val="0"/>
                <w:sz w:val="21"/>
                <w:szCs w:val="21"/>
                <w14:textFill>
                  <w14:solidFill>
                    <w14:schemeClr w14:val="tx1"/>
                  </w14:solidFill>
                </w14:textFill>
              </w:rPr>
              <w:t></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5"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评价工作等级</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一级</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；二级</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；三级</w:t>
            </w:r>
            <w:r>
              <w:rPr>
                <w:rFonts w:ascii="Wingdings 2" w:hAnsi="Wingdings 2" w:eastAsia="宋体"/>
                <w:color w:val="000000" w:themeColor="text1"/>
                <w:kern w:val="0"/>
                <w:sz w:val="21"/>
                <w:szCs w:val="21"/>
                <w14:textFill>
                  <w14:solidFill>
                    <w14:schemeClr w14:val="tx1"/>
                  </w14:solidFill>
                </w14:textFill>
              </w:rPr>
              <w:t></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现状调查内容</w:t>
            </w: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资料收集</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a）</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；b）</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；c）</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；d）</w:t>
            </w:r>
            <w:r>
              <w:rPr>
                <w:rFonts w:ascii="Wingdings 2" w:hAnsi="Wingdings 2" w:eastAsia="宋体"/>
                <w:color w:val="000000" w:themeColor="text1"/>
                <w:kern w:val="0"/>
                <w:sz w:val="21"/>
                <w:szCs w:val="21"/>
                <w14:textFill>
                  <w14:solidFill>
                    <w14:schemeClr w14:val="tx1"/>
                  </w14:solidFill>
                </w14:textFill>
              </w:rPr>
              <w:t></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理化特性</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同附录C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现状监测点位</w:t>
            </w:r>
          </w:p>
        </w:tc>
        <w:tc>
          <w:tcPr>
            <w:tcW w:w="946"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816"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占地范围内</w:t>
            </w:r>
          </w:p>
        </w:tc>
        <w:tc>
          <w:tcPr>
            <w:tcW w:w="722"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占地范围外</w:t>
            </w:r>
          </w:p>
        </w:tc>
        <w:tc>
          <w:tcPr>
            <w:tcW w:w="645"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深度</w:t>
            </w:r>
          </w:p>
        </w:tc>
        <w:tc>
          <w:tcPr>
            <w:tcW w:w="667"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点位布置图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46"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表层样点数</w:t>
            </w:r>
          </w:p>
        </w:tc>
        <w:tc>
          <w:tcPr>
            <w:tcW w:w="816"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w:t>
            </w:r>
          </w:p>
        </w:tc>
        <w:tc>
          <w:tcPr>
            <w:tcW w:w="722"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p>
        </w:tc>
        <w:tc>
          <w:tcPr>
            <w:tcW w:w="645"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0-0.2m</w:t>
            </w:r>
          </w:p>
        </w:tc>
        <w:tc>
          <w:tcPr>
            <w:tcW w:w="667"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46"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柱状样点数</w:t>
            </w:r>
          </w:p>
        </w:tc>
        <w:tc>
          <w:tcPr>
            <w:tcW w:w="816"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w:t>
            </w:r>
          </w:p>
        </w:tc>
        <w:tc>
          <w:tcPr>
            <w:tcW w:w="722"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645"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0~3</w:t>
            </w:r>
            <w:r>
              <w:rPr>
                <w:rFonts w:hint="eastAsia" w:eastAsia="宋体"/>
                <w:color w:val="000000" w:themeColor="text1"/>
                <w:kern w:val="0"/>
                <w:sz w:val="21"/>
                <w:szCs w:val="21"/>
                <w14:textFill>
                  <w14:solidFill>
                    <w14:schemeClr w14:val="tx1"/>
                  </w14:solidFill>
                </w14:textFill>
              </w:rPr>
              <w:t>m</w:t>
            </w:r>
          </w:p>
        </w:tc>
        <w:tc>
          <w:tcPr>
            <w:tcW w:w="667"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现状监测因子</w:t>
            </w:r>
          </w:p>
        </w:tc>
        <w:tc>
          <w:tcPr>
            <w:tcW w:w="3128" w:type="pct"/>
            <w:gridSpan w:val="6"/>
            <w:shd w:val="clear" w:color="auto" w:fill="auto"/>
            <w:vAlign w:val="center"/>
          </w:tcPr>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《土壤环境质量 建设用地土壤污染风险管控标准》（GB36600-2018）中Cd、Hg、As、Cu、Pb、Cr（六价）、Ni、挥发性有机物及半挥发性有机物共计45项基二期项目</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现状评价</w:t>
            </w: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评价因子</w:t>
            </w:r>
          </w:p>
        </w:tc>
        <w:tc>
          <w:tcPr>
            <w:tcW w:w="3128" w:type="pct"/>
            <w:gridSpan w:val="6"/>
            <w:shd w:val="clear" w:color="auto" w:fill="auto"/>
            <w:vAlign w:val="center"/>
          </w:tcPr>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《土壤环境质量 建设用地土壤污染风险管控标准》（GB36600-2018）中Cd、Hg、As、Cu、Pb、Cr（六价）、Ni、挥发性有机物及半挥发性有机物共计45项基二期项目</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评价标准</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GB 15618</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；GB 36600</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；表D.1</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；表D.2</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；其他（  ）</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现状评价结论</w:t>
            </w:r>
          </w:p>
        </w:tc>
        <w:tc>
          <w:tcPr>
            <w:tcW w:w="3128" w:type="pct"/>
            <w:gridSpan w:val="6"/>
            <w:shd w:val="clear" w:color="auto" w:fill="auto"/>
            <w:vAlign w:val="center"/>
          </w:tcPr>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满足《土壤环境质量 建设用地土壤污染风险管控标准》（GB36600-2018）建设用地土壤污染风险第二类用地筛选值要求，表明所在区域土壤环境现状较好。</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影响预测</w:t>
            </w: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预测因子</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预测方法</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附录E</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；附录F</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；其他（  ）</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预测分析内容</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影响范围（    ）</w:t>
            </w:r>
          </w:p>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影响程度（   ）</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预测结论</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达标结论：a）</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；b）</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；c）</w:t>
            </w:r>
            <w:r>
              <w:rPr>
                <w:rFonts w:eastAsia="宋体"/>
                <w:color w:val="000000" w:themeColor="text1"/>
                <w:kern w:val="0"/>
                <w:sz w:val="21"/>
                <w:szCs w:val="21"/>
                <w14:textFill>
                  <w14:solidFill>
                    <w14:schemeClr w14:val="tx1"/>
                  </w14:solidFill>
                </w14:textFill>
              </w:rPr>
              <w:sym w:font="Wingdings 2" w:char="F0A3"/>
            </w:r>
          </w:p>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不达标结论：a）</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；b）</w:t>
            </w:r>
            <w:r>
              <w:rPr>
                <w:rFonts w:eastAsia="宋体"/>
                <w:color w:val="000000" w:themeColor="text1"/>
                <w:kern w:val="0"/>
                <w:sz w:val="21"/>
                <w:szCs w:val="21"/>
                <w14:textFill>
                  <w14:solidFill>
                    <w14:schemeClr w14:val="tx1"/>
                  </w14:solidFill>
                </w14:textFill>
              </w:rPr>
              <w:sym w:font="Wingdings 2" w:char="F0A3"/>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防治措施</w:t>
            </w: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防控措施</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土壤环境质量现状保障</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；源头控制</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；过程防控</w:t>
            </w:r>
            <w:r>
              <w:rPr>
                <w:rFonts w:ascii="Wingdings 2" w:hAnsi="Wingdings 2" w:eastAsia="宋体"/>
                <w:color w:val="000000" w:themeColor="text1"/>
                <w:kern w:val="0"/>
                <w:sz w:val="21"/>
                <w:szCs w:val="21"/>
                <w14:textFill>
                  <w14:solidFill>
                    <w14:schemeClr w14:val="tx1"/>
                  </w14:solidFill>
                </w14:textFill>
              </w:rPr>
              <w:t></w:t>
            </w:r>
            <w:r>
              <w:rPr>
                <w:rFonts w:eastAsia="宋体"/>
                <w:color w:val="000000" w:themeColor="text1"/>
                <w:kern w:val="0"/>
                <w:sz w:val="21"/>
                <w:szCs w:val="21"/>
                <w14:textFill>
                  <w14:solidFill>
                    <w14:schemeClr w14:val="tx1"/>
                  </w14:solidFill>
                </w14:textFill>
              </w:rPr>
              <w:t>；其他（）</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跟踪监测</w:t>
            </w:r>
          </w:p>
        </w:tc>
        <w:tc>
          <w:tcPr>
            <w:tcW w:w="1125"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监测点数</w:t>
            </w:r>
          </w:p>
        </w:tc>
        <w:tc>
          <w:tcPr>
            <w:tcW w:w="881"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监测指标</w:t>
            </w:r>
          </w:p>
        </w:tc>
        <w:tc>
          <w:tcPr>
            <w:tcW w:w="1123"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监测频次</w:t>
            </w:r>
          </w:p>
        </w:tc>
        <w:tc>
          <w:tcPr>
            <w:tcW w:w="667" w:type="pct"/>
            <w:vMerge w:val="restar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1125"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881"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1123"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w:t>
            </w:r>
          </w:p>
        </w:tc>
        <w:tc>
          <w:tcPr>
            <w:tcW w:w="667"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3"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962"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信息公开指标</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c>
          <w:tcPr>
            <w:tcW w:w="667" w:type="pct"/>
            <w:vMerge w:val="continue"/>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5" w:type="pct"/>
            <w:gridSpan w:val="2"/>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评价结论</w:t>
            </w:r>
          </w:p>
        </w:tc>
        <w:tc>
          <w:tcPr>
            <w:tcW w:w="3128" w:type="pct"/>
            <w:gridSpan w:val="6"/>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项目对周边土壤环境影响较小。</w:t>
            </w:r>
          </w:p>
        </w:tc>
        <w:tc>
          <w:tcPr>
            <w:tcW w:w="667" w:type="pct"/>
            <w:shd w:val="clear" w:color="auto" w:fill="auto"/>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shd w:val="clear" w:color="auto" w:fill="auto"/>
            <w:vAlign w:val="center"/>
          </w:tcPr>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注1：“</w:t>
            </w:r>
            <w:r>
              <w:rPr>
                <w:rFonts w:eastAsia="宋体"/>
                <w:color w:val="000000" w:themeColor="text1"/>
                <w:kern w:val="0"/>
                <w:sz w:val="21"/>
                <w:szCs w:val="21"/>
                <w14:textFill>
                  <w14:solidFill>
                    <w14:schemeClr w14:val="tx1"/>
                  </w14:solidFill>
                </w14:textFill>
              </w:rPr>
              <w:sym w:font="Wingdings 2" w:char="F0A3"/>
            </w:r>
            <w:r>
              <w:rPr>
                <w:rFonts w:eastAsia="宋体"/>
                <w:color w:val="000000" w:themeColor="text1"/>
                <w:kern w:val="0"/>
                <w:sz w:val="21"/>
                <w:szCs w:val="21"/>
                <w14:textFill>
                  <w14:solidFill>
                    <w14:schemeClr w14:val="tx1"/>
                  </w14:solidFill>
                </w14:textFill>
              </w:rPr>
              <w:t>”为勾选项，可√；“（）”为内容填写项；“备注”为其他补充内容。</w:t>
            </w:r>
          </w:p>
          <w:p>
            <w:pPr>
              <w:adjustRightInd w:val="0"/>
              <w:snapToGrid w:val="0"/>
              <w:spacing w:line="240" w:lineRule="auto"/>
              <w:jc w:val="left"/>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注2：需要分别开展土壤环境影响评价工作的，分别填写自查表。</w:t>
            </w:r>
          </w:p>
        </w:tc>
      </w:tr>
    </w:tbl>
    <w:p>
      <w:pPr>
        <w:rPr>
          <w:rFonts w:eastAsia="宋体"/>
          <w:bCs/>
          <w:color w:val="000000" w:themeColor="text1"/>
          <w:szCs w:val="32"/>
          <w14:textFill>
            <w14:solidFill>
              <w14:schemeClr w14:val="tx1"/>
            </w14:solidFill>
          </w14:textFill>
        </w:rPr>
      </w:pPr>
    </w:p>
    <w:p>
      <w:pPr>
        <w:rPr>
          <w:rFonts w:eastAsia="宋体"/>
          <w:color w:val="000000" w:themeColor="text1"/>
          <w14:textFill>
            <w14:solidFill>
              <w14:schemeClr w14:val="tx1"/>
            </w14:solidFill>
          </w14:textFill>
        </w:rPr>
        <w:sectPr>
          <w:pgSz w:w="11906" w:h="16838"/>
          <w:pgMar w:top="1440" w:right="1274" w:bottom="1440" w:left="1560" w:header="851" w:footer="992" w:gutter="0"/>
          <w:cols w:space="425" w:num="1"/>
          <w:docGrid w:type="lines" w:linePitch="326" w:charSpace="0"/>
        </w:sectPr>
      </w:pPr>
    </w:p>
    <w:p>
      <w:pPr>
        <w:pStyle w:val="181"/>
        <w:rPr>
          <w:rFonts w:eastAsia="宋体"/>
          <w:b w:val="0"/>
          <w:bCs w:val="0"/>
          <w:color w:val="000000" w:themeColor="text1"/>
          <w:sz w:val="28"/>
          <w:szCs w:val="26"/>
          <w14:textFill>
            <w14:solidFill>
              <w14:schemeClr w14:val="tx1"/>
            </w14:solidFill>
          </w14:textFill>
        </w:rPr>
      </w:pPr>
      <w:bookmarkStart w:id="192" w:name="_Toc22618"/>
      <w:bookmarkStart w:id="193" w:name="_Toc155271428"/>
      <w:r>
        <w:rPr>
          <w:rFonts w:eastAsia="宋体"/>
          <w:color w:val="000000" w:themeColor="text1"/>
          <w14:textFill>
            <w14:solidFill>
              <w14:schemeClr w14:val="tx1"/>
            </w14:solidFill>
          </w14:textFill>
        </w:rPr>
        <w:t>5环境风险</w:t>
      </w:r>
      <w:bookmarkEnd w:id="192"/>
      <w:r>
        <w:rPr>
          <w:rFonts w:eastAsia="宋体"/>
          <w:color w:val="000000" w:themeColor="text1"/>
          <w14:textFill>
            <w14:solidFill>
              <w14:schemeClr w14:val="tx1"/>
            </w14:solidFill>
          </w14:textFill>
        </w:rPr>
        <w:t>评价</w:t>
      </w:r>
      <w:bookmarkEnd w:id="193"/>
      <w:bookmarkStart w:id="194" w:name="_Toc490235567"/>
      <w:bookmarkStart w:id="195" w:name="_Toc24962"/>
      <w:bookmarkStart w:id="196" w:name="_Toc489281067"/>
    </w:p>
    <w:bookmarkEnd w:id="194"/>
    <w:bookmarkEnd w:id="195"/>
    <w:bookmarkEnd w:id="196"/>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风险是指突发性事故对环境（或健康）的危害程度。环境风险评价就是对建设项目建设和运营期间发生的可预测突发性事件或事故（一般不包括人为破坏及自然灾害）所造成的对人身安全与环境的影响和损害进行评估，提出防范、应急与减缓措施。其根本目的是通过预测分析和应急措施，使建设项目事故率、损失和环境影响达到可接受水平。</w:t>
      </w:r>
    </w:p>
    <w:p>
      <w:pPr>
        <w:pStyle w:val="179"/>
        <w:rPr>
          <w:rFonts w:eastAsia="宋体"/>
          <w:color w:val="000000" w:themeColor="text1"/>
          <w14:textFill>
            <w14:solidFill>
              <w14:schemeClr w14:val="tx1"/>
            </w14:solidFill>
          </w14:textFill>
        </w:rPr>
      </w:pPr>
      <w:bookmarkStart w:id="197" w:name="_Toc423363581"/>
      <w:bookmarkStart w:id="198" w:name="_Toc23283559"/>
      <w:bookmarkStart w:id="199" w:name="_Toc155271429"/>
      <w:r>
        <w:rPr>
          <w:rFonts w:eastAsia="宋体"/>
          <w:color w:val="000000" w:themeColor="text1"/>
          <w14:textFill>
            <w14:solidFill>
              <w14:schemeClr w14:val="tx1"/>
            </w14:solidFill>
          </w14:textFill>
        </w:rPr>
        <w:t>5.1</w:t>
      </w:r>
      <w:bookmarkEnd w:id="197"/>
      <w:bookmarkEnd w:id="198"/>
      <w:r>
        <w:rPr>
          <w:rFonts w:eastAsia="宋体"/>
          <w:color w:val="000000" w:themeColor="text1"/>
          <w14:textFill>
            <w14:solidFill>
              <w14:schemeClr w14:val="tx1"/>
            </w14:solidFill>
          </w14:textFill>
        </w:rPr>
        <w:t>评价依据</w:t>
      </w:r>
      <w:bookmarkEnd w:id="199"/>
    </w:p>
    <w:p>
      <w:pPr>
        <w:keepNext/>
        <w:keepLines/>
        <w:adjustRightInd w:val="0"/>
        <w:outlineLvl w:val="2"/>
        <w:rPr>
          <w:rFonts w:eastAsia="宋体"/>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5.1.1风险调查</w:t>
      </w:r>
    </w:p>
    <w:p>
      <w:pPr>
        <w:adjustRightInd w:val="0"/>
        <w:snapToGrid w:val="0"/>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（1）物质危险性识别</w:t>
      </w:r>
    </w:p>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根据《建设项目环境风险评价技术导则》（HJ/T169-2018）附录中附录B.1</w:t>
      </w:r>
      <w:r>
        <w:rPr>
          <w:rFonts w:hint="eastAsia" w:eastAsia="宋体"/>
          <w:color w:val="000000" w:themeColor="text1"/>
          <w:szCs w:val="24"/>
          <w14:textFill>
            <w14:solidFill>
              <w14:schemeClr w14:val="tx1"/>
            </w14:solidFill>
          </w14:textFill>
        </w:rPr>
        <w:t>及</w:t>
      </w:r>
      <w:r>
        <w:rPr>
          <w:rFonts w:eastAsia="宋体"/>
          <w:color w:val="000000" w:themeColor="text1"/>
          <w:szCs w:val="24"/>
          <w14:textFill>
            <w14:solidFill>
              <w14:schemeClr w14:val="tx1"/>
            </w14:solidFill>
          </w14:textFill>
        </w:rPr>
        <w:t>《危险化学品重大危险源辨识》（GB18218-2018）的要求，项目主要危险物质为各类油漆、润滑油</w:t>
      </w:r>
      <w:r>
        <w:rPr>
          <w:rFonts w:hint="eastAsia" w:eastAsia="宋体"/>
          <w:color w:val="000000" w:themeColor="text1"/>
          <w:szCs w:val="24"/>
          <w14:textFill>
            <w14:solidFill>
              <w14:schemeClr w14:val="tx1"/>
            </w14:solidFill>
          </w14:textFill>
        </w:rPr>
        <w:t>、空压机油、切削液、天然气</w:t>
      </w:r>
      <w:r>
        <w:rPr>
          <w:rFonts w:eastAsia="宋体"/>
          <w:color w:val="000000" w:themeColor="text1"/>
          <w:szCs w:val="24"/>
          <w14:textFill>
            <w14:solidFill>
              <w14:schemeClr w14:val="tx1"/>
            </w14:solidFill>
          </w14:textFill>
        </w:rPr>
        <w:t>及项目所产生的危险废物（</w:t>
      </w:r>
      <w:r>
        <w:rPr>
          <w:rFonts w:hint="eastAsia" w:eastAsia="宋体"/>
          <w:color w:val="000000" w:themeColor="text1"/>
          <w:szCs w:val="24"/>
          <w14:textFill>
            <w14:solidFill>
              <w14:schemeClr w14:val="tx1"/>
            </w14:solidFill>
          </w14:textFill>
        </w:rPr>
        <w:t>废</w:t>
      </w:r>
      <w:r>
        <w:rPr>
          <w:rFonts w:eastAsia="宋体"/>
          <w:color w:val="000000" w:themeColor="text1"/>
          <w:szCs w:val="24"/>
          <w14:textFill>
            <w14:solidFill>
              <w14:schemeClr w14:val="tx1"/>
            </w14:solidFill>
          </w14:textFill>
        </w:rPr>
        <w:t>漆渣、</w:t>
      </w:r>
      <w:r>
        <w:rPr>
          <w:rFonts w:hint="eastAsia" w:eastAsia="宋体"/>
          <w:color w:val="000000" w:themeColor="text1"/>
          <w:szCs w:val="24"/>
          <w14:textFill>
            <w14:solidFill>
              <w14:schemeClr w14:val="tx1"/>
            </w14:solidFill>
          </w14:textFill>
        </w:rPr>
        <w:t>废切削液、</w:t>
      </w:r>
      <w:r>
        <w:rPr>
          <w:rFonts w:eastAsia="宋体"/>
          <w:color w:val="000000" w:themeColor="text1"/>
          <w:szCs w:val="24"/>
          <w14:textFill>
            <w14:solidFill>
              <w14:schemeClr w14:val="tx1"/>
            </w14:solidFill>
          </w14:textFill>
        </w:rPr>
        <w:t>废润滑油</w:t>
      </w:r>
      <w:r>
        <w:rPr>
          <w:rFonts w:hint="eastAsia" w:eastAsia="宋体"/>
          <w:color w:val="000000" w:themeColor="text1"/>
          <w:szCs w:val="24"/>
          <w14:textFill>
            <w14:solidFill>
              <w14:schemeClr w14:val="tx1"/>
            </w14:solidFill>
          </w14:textFill>
        </w:rPr>
        <w:t>、废空压机油）等</w:t>
      </w:r>
      <w:r>
        <w:rPr>
          <w:rFonts w:eastAsia="宋体"/>
          <w:color w:val="000000" w:themeColor="text1"/>
          <w:szCs w:val="24"/>
          <w14:textFill>
            <w14:solidFill>
              <w14:schemeClr w14:val="tx1"/>
            </w14:solidFill>
          </w14:textFill>
        </w:rPr>
        <w:t>。</w:t>
      </w:r>
    </w:p>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根据项目特点、原辅材料使用、生产工艺等情况</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确定</w:t>
      </w:r>
      <w:r>
        <w:rPr>
          <w:rFonts w:hint="eastAsia" w:eastAsia="宋体"/>
          <w:color w:val="000000" w:themeColor="text1"/>
          <w:szCs w:val="24"/>
          <w14:textFill>
            <w14:solidFill>
              <w14:schemeClr w14:val="tx1"/>
            </w14:solidFill>
          </w14:textFill>
        </w:rPr>
        <w:t>项目</w:t>
      </w:r>
      <w:r>
        <w:rPr>
          <w:rFonts w:eastAsia="宋体"/>
          <w:color w:val="000000" w:themeColor="text1"/>
          <w:szCs w:val="24"/>
          <w14:textFill>
            <w14:solidFill>
              <w14:schemeClr w14:val="tx1"/>
            </w14:solidFill>
          </w14:textFill>
        </w:rPr>
        <w:t>营运期涉及的主要危险物质暂存情况见表5.1-1。</w:t>
      </w:r>
    </w:p>
    <w:p>
      <w:pPr>
        <w:spacing w:line="240" w:lineRule="auto"/>
        <w:jc w:val="center"/>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表5.1-</w:t>
      </w:r>
      <w:r>
        <w:rPr>
          <w:rFonts w:hint="eastAsia" w:eastAsia="宋体"/>
          <w:b/>
          <w:color w:val="000000" w:themeColor="text1"/>
          <w:szCs w:val="24"/>
          <w14:textFill>
            <w14:solidFill>
              <w14:schemeClr w14:val="tx1"/>
            </w14:solidFill>
          </w14:textFill>
        </w:rPr>
        <w:t>1</w:t>
      </w:r>
      <w:r>
        <w:rPr>
          <w:rFonts w:eastAsia="宋体"/>
          <w:b/>
          <w:color w:val="000000" w:themeColor="text1"/>
          <w:szCs w:val="24"/>
          <w14:textFill>
            <w14:solidFill>
              <w14:schemeClr w14:val="tx1"/>
            </w14:solidFill>
          </w14:textFill>
        </w:rPr>
        <w:t xml:space="preserve"> 项目危险物质统计表</w:t>
      </w:r>
    </w:p>
    <w:tbl>
      <w:tblPr>
        <w:tblStyle w:val="89"/>
        <w:tblW w:w="90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5"/>
        <w:gridCol w:w="861"/>
        <w:gridCol w:w="862"/>
        <w:gridCol w:w="1276"/>
        <w:gridCol w:w="1478"/>
        <w:gridCol w:w="1273"/>
        <w:gridCol w:w="1154"/>
        <w:gridCol w:w="1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序号</w:t>
            </w:r>
          </w:p>
        </w:tc>
        <w:tc>
          <w:tcPr>
            <w:tcW w:w="1723" w:type="dxa"/>
            <w:gridSpan w:val="2"/>
            <w:vAlign w:val="center"/>
          </w:tcPr>
          <w:p>
            <w:pPr>
              <w:tabs>
                <w:tab w:val="center" w:pos="4153"/>
                <w:tab w:val="right" w:pos="8306"/>
              </w:tabs>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名称</w:t>
            </w:r>
          </w:p>
        </w:tc>
        <w:tc>
          <w:tcPr>
            <w:tcW w:w="1276"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储存位置</w:t>
            </w:r>
          </w:p>
        </w:tc>
        <w:tc>
          <w:tcPr>
            <w:tcW w:w="1478"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储存方式</w:t>
            </w:r>
          </w:p>
        </w:tc>
        <w:tc>
          <w:tcPr>
            <w:tcW w:w="1273"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最大储存量</w:t>
            </w:r>
          </w:p>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（t）</w:t>
            </w:r>
          </w:p>
        </w:tc>
        <w:tc>
          <w:tcPr>
            <w:tcW w:w="1154" w:type="dxa"/>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储存周期</w:t>
            </w:r>
          </w:p>
        </w:tc>
        <w:tc>
          <w:tcPr>
            <w:tcW w:w="1565" w:type="dxa"/>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切削液</w:t>
            </w:r>
          </w:p>
        </w:tc>
        <w:tc>
          <w:tcPr>
            <w:tcW w:w="127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1号地块油品库房</w:t>
            </w:r>
          </w:p>
        </w:tc>
        <w:tc>
          <w:tcPr>
            <w:tcW w:w="1478"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包装桶储存</w:t>
            </w: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润滑油</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空压机油</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4</w:t>
            </w:r>
          </w:p>
        </w:tc>
        <w:tc>
          <w:tcPr>
            <w:tcW w:w="86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环氧底漆</w:t>
            </w: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27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2号地块油漆库房</w:t>
            </w:r>
          </w:p>
        </w:tc>
        <w:tc>
          <w:tcPr>
            <w:tcW w:w="1478"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包装桶储存</w:t>
            </w: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.925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5</w:t>
            </w:r>
          </w:p>
        </w:tc>
        <w:tc>
          <w:tcPr>
            <w:tcW w:w="86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w:t>
            </w:r>
          </w:p>
        </w:tc>
        <w:tc>
          <w:tcPr>
            <w:tcW w:w="86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环氧云铁漆</w:t>
            </w: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.125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7</w:t>
            </w:r>
          </w:p>
        </w:tc>
        <w:tc>
          <w:tcPr>
            <w:tcW w:w="86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c>
          <w:tcPr>
            <w:tcW w:w="86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环氧面漆</w:t>
            </w: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9</w:t>
            </w:r>
          </w:p>
        </w:tc>
        <w:tc>
          <w:tcPr>
            <w:tcW w:w="86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0</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稀释剂</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1</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水性环氧富锌底漆</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.275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2</w:t>
            </w:r>
          </w:p>
        </w:tc>
        <w:tc>
          <w:tcPr>
            <w:tcW w:w="861"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水性环氧中间漆</w:t>
            </w: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甲组份</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.525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3</w:t>
            </w:r>
          </w:p>
        </w:tc>
        <w:tc>
          <w:tcPr>
            <w:tcW w:w="861"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862"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乙组份</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4</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水性透明封闭漆</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5</w:t>
            </w:r>
          </w:p>
        </w:tc>
        <w:tc>
          <w:tcPr>
            <w:tcW w:w="1723" w:type="dxa"/>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空压机油</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3个月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6</w:t>
            </w:r>
          </w:p>
        </w:tc>
        <w:tc>
          <w:tcPr>
            <w:tcW w:w="1723" w:type="dxa"/>
            <w:gridSpan w:val="2"/>
            <w:vAlign w:val="center"/>
          </w:tcPr>
          <w:p>
            <w:pPr>
              <w:tabs>
                <w:tab w:val="center" w:pos="4153"/>
                <w:tab w:val="right" w:pos="8306"/>
              </w:tabs>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废润滑油</w:t>
            </w:r>
          </w:p>
        </w:tc>
        <w:tc>
          <w:tcPr>
            <w:tcW w:w="127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1#危废</w:t>
            </w:r>
            <w:r>
              <w:rPr>
                <w:rFonts w:eastAsia="宋体"/>
                <w:color w:val="000000" w:themeColor="text1"/>
                <w:sz w:val="21"/>
                <w:szCs w:val="21"/>
                <w14:textFill>
                  <w14:solidFill>
                    <w14:schemeClr w14:val="tx1"/>
                  </w14:solidFill>
                </w14:textFill>
              </w:rPr>
              <w:t>暂存间</w:t>
            </w:r>
          </w:p>
        </w:tc>
        <w:tc>
          <w:tcPr>
            <w:tcW w:w="1478"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专用容器密封收集</w:t>
            </w: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w:t>
            </w:r>
          </w:p>
        </w:tc>
        <w:tc>
          <w:tcPr>
            <w:tcW w:w="1154"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6个月</w:t>
            </w:r>
          </w:p>
        </w:tc>
        <w:tc>
          <w:tcPr>
            <w:tcW w:w="156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7</w:t>
            </w:r>
          </w:p>
        </w:tc>
        <w:tc>
          <w:tcPr>
            <w:tcW w:w="1723" w:type="dxa"/>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废切削液</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0.75</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6个月</w:t>
            </w:r>
          </w:p>
        </w:tc>
        <w:tc>
          <w:tcPr>
            <w:tcW w:w="156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8</w:t>
            </w:r>
          </w:p>
        </w:tc>
        <w:tc>
          <w:tcPr>
            <w:tcW w:w="1723" w:type="dxa"/>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废空压机油</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6个月</w:t>
            </w:r>
          </w:p>
        </w:tc>
        <w:tc>
          <w:tcPr>
            <w:tcW w:w="156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19</w:t>
            </w:r>
          </w:p>
        </w:tc>
        <w:tc>
          <w:tcPr>
            <w:tcW w:w="1723" w:type="dxa"/>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废空压机油</w:t>
            </w:r>
          </w:p>
        </w:tc>
        <w:tc>
          <w:tcPr>
            <w:tcW w:w="1276"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2#危废暂存间</w:t>
            </w:r>
          </w:p>
        </w:tc>
        <w:tc>
          <w:tcPr>
            <w:tcW w:w="1478" w:type="dxa"/>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专用容器密封收集</w:t>
            </w: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.001</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6个月</w:t>
            </w:r>
          </w:p>
        </w:tc>
        <w:tc>
          <w:tcPr>
            <w:tcW w:w="1565" w:type="dxa"/>
          </w:tcPr>
          <w:p>
            <w:pPr>
              <w:spacing w:line="240" w:lineRule="auto"/>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r>
              <w:rPr>
                <w:rFonts w:eastAsia="宋体"/>
                <w:bCs/>
                <w:color w:val="000000" w:themeColor="text1"/>
                <w:sz w:val="21"/>
                <w:szCs w:val="21"/>
                <w14:textFill>
                  <w14:solidFill>
                    <w14:schemeClr w14:val="tx1"/>
                  </w14:solidFill>
                </w14:textFill>
              </w:rPr>
              <w:t>0</w:t>
            </w:r>
          </w:p>
        </w:tc>
        <w:tc>
          <w:tcPr>
            <w:tcW w:w="1723" w:type="dxa"/>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废漆渣</w:t>
            </w:r>
          </w:p>
        </w:tc>
        <w:tc>
          <w:tcPr>
            <w:tcW w:w="1276"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478" w:type="dxa"/>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3个月</w:t>
            </w:r>
          </w:p>
        </w:tc>
        <w:tc>
          <w:tcPr>
            <w:tcW w:w="1565" w:type="dxa"/>
          </w:tcPr>
          <w:p>
            <w:pPr>
              <w:jc w:val="center"/>
              <w:rPr>
                <w:color w:val="000000" w:themeColor="text1"/>
                <w14:textFill>
                  <w14:solidFill>
                    <w14:schemeClr w14:val="tx1"/>
                  </w14:solidFill>
                </w14:textFill>
              </w:rPr>
            </w:pPr>
            <w:r>
              <w:rPr>
                <w:rFonts w:eastAsia="宋体"/>
                <w:bCs/>
                <w:color w:val="000000" w:themeColor="text1"/>
                <w:sz w:val="21"/>
                <w:szCs w:val="21"/>
                <w14:textFill>
                  <w14:solidFill>
                    <w14:schemeClr w14:val="tx1"/>
                  </w14:solidFill>
                </w14:textFill>
              </w:rPr>
              <w:t>常温常压储存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45" w:type="dxa"/>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r>
              <w:rPr>
                <w:rFonts w:eastAsia="宋体"/>
                <w:bCs/>
                <w:color w:val="000000" w:themeColor="text1"/>
                <w:sz w:val="21"/>
                <w:szCs w:val="21"/>
                <w14:textFill>
                  <w14:solidFill>
                    <w14:schemeClr w14:val="tx1"/>
                  </w14:solidFill>
                </w14:textFill>
              </w:rPr>
              <w:t>1</w:t>
            </w:r>
          </w:p>
        </w:tc>
        <w:tc>
          <w:tcPr>
            <w:tcW w:w="1723" w:type="dxa"/>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天然气（甲烷计）</w:t>
            </w:r>
          </w:p>
        </w:tc>
        <w:tc>
          <w:tcPr>
            <w:tcW w:w="1276"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管道</w:t>
            </w:r>
          </w:p>
        </w:tc>
        <w:tc>
          <w:tcPr>
            <w:tcW w:w="1478"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1273" w:type="dxa"/>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.01</w:t>
            </w:r>
            <w:r>
              <w:rPr>
                <w:rFonts w:hint="eastAsia" w:eastAsia="宋体"/>
                <w:color w:val="000000" w:themeColor="text1"/>
                <w:sz w:val="21"/>
                <w:szCs w:val="21"/>
                <w14:textFill>
                  <w14:solidFill>
                    <w14:schemeClr w14:val="tx1"/>
                  </w14:solidFill>
                </w14:textFill>
              </w:rPr>
              <w:t>（在线量）</w:t>
            </w:r>
          </w:p>
        </w:tc>
        <w:tc>
          <w:tcPr>
            <w:tcW w:w="1154" w:type="dxa"/>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w:t>
            </w:r>
          </w:p>
        </w:tc>
        <w:tc>
          <w:tcPr>
            <w:tcW w:w="1565" w:type="dxa"/>
          </w:tcPr>
          <w:p>
            <w:pPr>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常温高压储存</w:t>
            </w:r>
          </w:p>
        </w:tc>
      </w:tr>
    </w:tbl>
    <w:p>
      <w:pPr>
        <w:adjustRightInd w:val="0"/>
        <w:snapToGrid w:val="0"/>
        <w:ind w:firstLine="48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（2）</w:t>
      </w:r>
      <w:r>
        <w:rPr>
          <w:rFonts w:hint="eastAsia" w:eastAsia="宋体"/>
          <w:b/>
          <w:bCs/>
          <w:color w:val="000000" w:themeColor="text1"/>
          <w:szCs w:val="24"/>
          <w14:textFill>
            <w14:solidFill>
              <w14:schemeClr w14:val="tx1"/>
            </w14:solidFill>
          </w14:textFill>
        </w:rPr>
        <w:t>生产过程</w:t>
      </w:r>
      <w:r>
        <w:rPr>
          <w:rFonts w:eastAsia="宋体"/>
          <w:b/>
          <w:bCs/>
          <w:color w:val="000000" w:themeColor="text1"/>
          <w:szCs w:val="24"/>
          <w14:textFill>
            <w14:solidFill>
              <w14:schemeClr w14:val="tx1"/>
            </w14:solidFill>
          </w14:textFill>
        </w:rPr>
        <w:t>风险识别</w:t>
      </w:r>
    </w:p>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项目生产过程中主要风险因素：</w:t>
      </w:r>
    </w:p>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w:t>
      </w:r>
      <w:r>
        <w:rPr>
          <w:rFonts w:hint="eastAsia" w:eastAsia="宋体"/>
          <w:color w:val="000000" w:themeColor="text1"/>
          <w:szCs w:val="24"/>
          <w14:textFill>
            <w14:solidFill>
              <w14:schemeClr w14:val="tx1"/>
            </w14:solidFill>
          </w14:textFill>
        </w:rPr>
        <w:t>油品、油漆</w:t>
      </w:r>
      <w:r>
        <w:rPr>
          <w:rFonts w:eastAsia="宋体"/>
          <w:color w:val="000000" w:themeColor="text1"/>
          <w:szCs w:val="24"/>
          <w14:textFill>
            <w14:solidFill>
              <w14:schemeClr w14:val="tx1"/>
            </w14:solidFill>
          </w14:textFill>
        </w:rPr>
        <w:t>在</w:t>
      </w:r>
      <w:r>
        <w:rPr>
          <w:rFonts w:hint="eastAsia" w:eastAsia="宋体"/>
          <w:color w:val="000000" w:themeColor="text1"/>
          <w:szCs w:val="24"/>
          <w14:textFill>
            <w14:solidFill>
              <w14:schemeClr w14:val="tx1"/>
            </w14:solidFill>
          </w14:textFill>
        </w:rPr>
        <w:t>使用</w:t>
      </w:r>
      <w:r>
        <w:rPr>
          <w:rFonts w:eastAsia="宋体"/>
          <w:color w:val="000000" w:themeColor="text1"/>
          <w:szCs w:val="24"/>
          <w14:textFill>
            <w14:solidFill>
              <w14:schemeClr w14:val="tx1"/>
            </w14:solidFill>
          </w14:textFill>
        </w:rPr>
        <w:t>过程中遇到明火</w:t>
      </w:r>
      <w:r>
        <w:rPr>
          <w:rFonts w:hint="eastAsia" w:eastAsia="宋体"/>
          <w:color w:val="000000" w:themeColor="text1"/>
          <w:szCs w:val="24"/>
          <w14:textFill>
            <w14:solidFill>
              <w14:schemeClr w14:val="tx1"/>
            </w14:solidFill>
          </w14:textFill>
        </w:rPr>
        <w:t>可能</w:t>
      </w:r>
      <w:r>
        <w:rPr>
          <w:rFonts w:eastAsia="宋体"/>
          <w:color w:val="000000" w:themeColor="text1"/>
          <w:szCs w:val="24"/>
          <w14:textFill>
            <w14:solidFill>
              <w14:schemeClr w14:val="tx1"/>
            </w14:solidFill>
          </w14:textFill>
        </w:rPr>
        <w:t>引发火灾</w:t>
      </w:r>
      <w:r>
        <w:rPr>
          <w:rFonts w:hint="eastAsia" w:eastAsia="宋体"/>
          <w:color w:val="000000" w:themeColor="text1"/>
          <w:szCs w:val="24"/>
          <w14:textFill>
            <w14:solidFill>
              <w14:schemeClr w14:val="tx1"/>
            </w14:solidFill>
          </w14:textFill>
        </w:rPr>
        <w:t>，造成财产损失、人员伤亡及环境污染</w:t>
      </w:r>
      <w:r>
        <w:rPr>
          <w:rFonts w:eastAsia="宋体"/>
          <w:color w:val="000000" w:themeColor="text1"/>
          <w:szCs w:val="24"/>
          <w14:textFill>
            <w14:solidFill>
              <w14:schemeClr w14:val="tx1"/>
            </w14:solidFill>
          </w14:textFill>
        </w:rPr>
        <w:t>。</w:t>
      </w:r>
    </w:p>
    <w:p>
      <w:pPr>
        <w:adjustRightInd w:val="0"/>
        <w:snapToGrid w:val="0"/>
        <w:ind w:firstLine="480"/>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（3）储运风险识别</w:t>
      </w:r>
    </w:p>
    <w:p>
      <w:pPr>
        <w:adjustRightInd w:val="0"/>
        <w:snapToGrid w:val="0"/>
        <w:ind w:firstLine="480"/>
        <w:rPr>
          <w:rFonts w:eastAsia="宋体"/>
          <w:color w:val="000000" w:themeColor="text1"/>
          <w:szCs w:val="24"/>
          <w14:textFill>
            <w14:solidFill>
              <w14:schemeClr w14:val="tx1"/>
            </w14:solidFill>
          </w14:textFill>
        </w:rPr>
      </w:pPr>
      <w:bookmarkStart w:id="200" w:name="_Toc453577943"/>
      <w:bookmarkStart w:id="201" w:name="_Toc23283560"/>
      <w:bookmarkStart w:id="202" w:name="_Toc423363587"/>
      <w:r>
        <w:rPr>
          <w:rFonts w:eastAsia="宋体"/>
          <w:color w:val="000000" w:themeColor="text1"/>
          <w:szCs w:val="24"/>
          <w14:textFill>
            <w14:solidFill>
              <w14:schemeClr w14:val="tx1"/>
            </w14:solidFill>
          </w14:textFill>
        </w:rPr>
        <w:t>储存：有毒有害原辅料储放过程中保管不严密，发生</w:t>
      </w:r>
      <w:r>
        <w:rPr>
          <w:rFonts w:hint="eastAsia" w:eastAsia="宋体"/>
          <w:color w:val="000000" w:themeColor="text1"/>
          <w:szCs w:val="24"/>
          <w14:textFill>
            <w14:solidFill>
              <w14:schemeClr w14:val="tx1"/>
            </w14:solidFill>
          </w14:textFill>
        </w:rPr>
        <w:t>泄漏</w:t>
      </w:r>
      <w:r>
        <w:rPr>
          <w:rFonts w:eastAsia="宋体"/>
          <w:color w:val="000000" w:themeColor="text1"/>
          <w:szCs w:val="24"/>
          <w14:textFill>
            <w14:solidFill>
              <w14:schemeClr w14:val="tx1"/>
            </w14:solidFill>
          </w14:textFill>
        </w:rPr>
        <w:t>，造成人体伤害</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环境污染。</w:t>
      </w:r>
    </w:p>
    <w:p>
      <w:pPr>
        <w:adjustRightInd w:val="0"/>
        <w:snapToGrid w:val="0"/>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运输：物料包装桶封口不严、装卸过程碰撞、运输过程颠簸导致桶口松散、与锐物接触等原因而发生泄漏，造成人体伤害及环境污染。</w:t>
      </w:r>
    </w:p>
    <w:p>
      <w:pPr>
        <w:keepNext/>
        <w:keepLines/>
        <w:adjustRightInd w:val="0"/>
        <w:outlineLvl w:val="2"/>
        <w:rPr>
          <w:rFonts w:eastAsia="宋体"/>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5.</w:t>
      </w:r>
      <w:bookmarkEnd w:id="200"/>
      <w:r>
        <w:rPr>
          <w:rFonts w:eastAsia="宋体"/>
          <w:b/>
          <w:bCs/>
          <w:color w:val="000000" w:themeColor="text1"/>
          <w:szCs w:val="32"/>
          <w14:textFill>
            <w14:solidFill>
              <w14:schemeClr w14:val="tx1"/>
            </w14:solidFill>
          </w14:textFill>
        </w:rPr>
        <w:t>1.2环境风险潜势</w:t>
      </w:r>
      <w:bookmarkEnd w:id="201"/>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（1）单元内存在的危险化学品为单一品种，则危险化学品的数量即为单元内危险物质的总量，若等于或超过相应的临界量，则定为重大危险源。</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（2）单元内存在的危险化学品为多品种时，则按下式计算，若满足下式，则定为重大危险源。</w:t>
      </w:r>
    </w:p>
    <w:p>
      <w:pPr>
        <w:jc w:val="center"/>
        <w:rPr>
          <w:rFonts w:eastAsia="宋体"/>
          <w:color w:val="000000" w:themeColor="text1"/>
          <w:kern w:val="28"/>
          <w:szCs w:val="24"/>
          <w:lang w:val="fr-FR"/>
          <w14:textFill>
            <w14:solidFill>
              <w14:schemeClr w14:val="tx1"/>
            </w14:solidFill>
          </w14:textFill>
        </w:rPr>
      </w:pPr>
      <w:r>
        <w:rPr>
          <w:rFonts w:eastAsia="宋体"/>
          <w:color w:val="000000" w:themeColor="text1"/>
          <w:szCs w:val="24"/>
          <w:lang w:val="fr-FR"/>
          <w14:textFill>
            <w14:solidFill>
              <w14:schemeClr w14:val="tx1"/>
            </w14:solidFill>
          </w14:textFill>
        </w:rPr>
        <w:t>Q</w:t>
      </w:r>
      <w:r>
        <w:rPr>
          <w:rFonts w:eastAsia="宋体"/>
          <w:color w:val="000000" w:themeColor="text1"/>
          <w:szCs w:val="24"/>
          <w:vertAlign w:val="subscript"/>
          <w:lang w:val="fr-FR"/>
          <w14:textFill>
            <w14:solidFill>
              <w14:schemeClr w14:val="tx1"/>
            </w14:solidFill>
          </w14:textFill>
        </w:rPr>
        <w:t>1</w:t>
      </w:r>
      <w:r>
        <w:rPr>
          <w:rFonts w:eastAsia="宋体"/>
          <w:color w:val="000000" w:themeColor="text1"/>
          <w:szCs w:val="24"/>
          <w:lang w:val="fr-FR"/>
          <w14:textFill>
            <w14:solidFill>
              <w14:schemeClr w14:val="tx1"/>
            </w14:solidFill>
          </w14:textFill>
        </w:rPr>
        <w:t>/Q</w:t>
      </w:r>
      <w:r>
        <w:rPr>
          <w:rFonts w:eastAsia="宋体"/>
          <w:color w:val="000000" w:themeColor="text1"/>
          <w:szCs w:val="24"/>
          <w:vertAlign w:val="subscript"/>
          <w:lang w:val="fr-FR"/>
          <w14:textFill>
            <w14:solidFill>
              <w14:schemeClr w14:val="tx1"/>
            </w14:solidFill>
          </w14:textFill>
        </w:rPr>
        <w:t>1</w:t>
      </w:r>
      <w:r>
        <w:rPr>
          <w:rFonts w:eastAsia="宋体"/>
          <w:color w:val="000000" w:themeColor="text1"/>
          <w:szCs w:val="24"/>
          <w:lang w:val="fr-FR"/>
          <w14:textFill>
            <w14:solidFill>
              <w14:schemeClr w14:val="tx1"/>
            </w14:solidFill>
          </w14:textFill>
        </w:rPr>
        <w:t>+ q</w:t>
      </w:r>
      <w:r>
        <w:rPr>
          <w:rFonts w:eastAsia="宋体"/>
          <w:color w:val="000000" w:themeColor="text1"/>
          <w:szCs w:val="24"/>
          <w:vertAlign w:val="subscript"/>
          <w:lang w:val="fr-FR"/>
          <w14:textFill>
            <w14:solidFill>
              <w14:schemeClr w14:val="tx1"/>
            </w14:solidFill>
          </w14:textFill>
        </w:rPr>
        <w:t>2</w:t>
      </w:r>
      <w:r>
        <w:rPr>
          <w:rFonts w:eastAsia="宋体"/>
          <w:color w:val="000000" w:themeColor="text1"/>
          <w:szCs w:val="24"/>
          <w:lang w:val="fr-FR"/>
          <w14:textFill>
            <w14:solidFill>
              <w14:schemeClr w14:val="tx1"/>
            </w14:solidFill>
          </w14:textFill>
        </w:rPr>
        <w:t>/Q</w:t>
      </w:r>
      <w:r>
        <w:rPr>
          <w:rFonts w:eastAsia="宋体"/>
          <w:color w:val="000000" w:themeColor="text1"/>
          <w:szCs w:val="24"/>
          <w:vertAlign w:val="subscript"/>
          <w:lang w:val="fr-FR"/>
          <w14:textFill>
            <w14:solidFill>
              <w14:schemeClr w14:val="tx1"/>
            </w14:solidFill>
          </w14:textFill>
        </w:rPr>
        <w:t>2</w:t>
      </w:r>
      <w:r>
        <w:rPr>
          <w:rFonts w:eastAsia="宋体"/>
          <w:color w:val="000000" w:themeColor="text1"/>
          <w:szCs w:val="24"/>
          <w:lang w:val="fr-FR"/>
          <w14:textFill>
            <w14:solidFill>
              <w14:schemeClr w14:val="tx1"/>
            </w14:solidFill>
          </w14:textFill>
        </w:rPr>
        <w:t>……+ q</w:t>
      </w:r>
      <w:r>
        <w:rPr>
          <w:rFonts w:eastAsia="宋体"/>
          <w:color w:val="000000" w:themeColor="text1"/>
          <w:szCs w:val="24"/>
          <w:vertAlign w:val="subscript"/>
          <w:lang w:val="fr-FR"/>
          <w14:textFill>
            <w14:solidFill>
              <w14:schemeClr w14:val="tx1"/>
            </w14:solidFill>
          </w14:textFill>
        </w:rPr>
        <w:t>n</w:t>
      </w:r>
      <w:r>
        <w:rPr>
          <w:rFonts w:eastAsia="宋体"/>
          <w:color w:val="000000" w:themeColor="text1"/>
          <w:szCs w:val="24"/>
          <w:lang w:val="fr-FR"/>
          <w14:textFill>
            <w14:solidFill>
              <w14:schemeClr w14:val="tx1"/>
            </w14:solidFill>
          </w14:textFill>
        </w:rPr>
        <w:t>/Q</w:t>
      </w:r>
      <w:r>
        <w:rPr>
          <w:rFonts w:eastAsia="宋体"/>
          <w:color w:val="000000" w:themeColor="text1"/>
          <w:szCs w:val="24"/>
          <w:vertAlign w:val="subscript"/>
          <w:lang w:val="fr-FR"/>
          <w14:textFill>
            <w14:solidFill>
              <w14:schemeClr w14:val="tx1"/>
            </w14:solidFill>
          </w14:textFill>
        </w:rPr>
        <w:t>n</w:t>
      </w:r>
      <w:r>
        <w:rPr>
          <w:rFonts w:eastAsia="宋体"/>
          <w:color w:val="000000" w:themeColor="text1"/>
          <w:szCs w:val="24"/>
          <w:lang w:val="fr-FR"/>
          <w14:textFill>
            <w14:solidFill>
              <w14:schemeClr w14:val="tx1"/>
            </w14:solidFill>
          </w14:textFill>
        </w:rPr>
        <w:t>≥1</w:t>
      </w:r>
    </w:p>
    <w:p>
      <w:pPr>
        <w:ind w:firstLine="480"/>
        <w:rPr>
          <w:rFonts w:eastAsia="宋体"/>
          <w:color w:val="000000" w:themeColor="text1"/>
          <w:kern w:val="28"/>
          <w:szCs w:val="24"/>
          <w14:textFill>
            <w14:solidFill>
              <w14:schemeClr w14:val="tx1"/>
            </w14:solidFill>
          </w14:textFill>
        </w:rPr>
      </w:pPr>
      <w:r>
        <w:rPr>
          <w:rFonts w:eastAsia="宋体"/>
          <w:color w:val="000000" w:themeColor="text1"/>
          <w:kern w:val="28"/>
          <w:szCs w:val="24"/>
          <w14:textFill>
            <w14:solidFill>
              <w14:schemeClr w14:val="tx1"/>
            </w14:solidFill>
          </w14:textFill>
        </w:rPr>
        <w:t>式中：q</w:t>
      </w:r>
      <w:r>
        <w:rPr>
          <w:rFonts w:eastAsia="宋体"/>
          <w:color w:val="000000" w:themeColor="text1"/>
          <w:kern w:val="28"/>
          <w:szCs w:val="24"/>
          <w:vertAlign w:val="subscript"/>
          <w14:textFill>
            <w14:solidFill>
              <w14:schemeClr w14:val="tx1"/>
            </w14:solidFill>
          </w14:textFill>
        </w:rPr>
        <w:t>1</w:t>
      </w:r>
      <w:r>
        <w:rPr>
          <w:rFonts w:eastAsia="宋体"/>
          <w:color w:val="000000" w:themeColor="text1"/>
          <w:kern w:val="28"/>
          <w:szCs w:val="24"/>
          <w14:textFill>
            <w14:solidFill>
              <w14:schemeClr w14:val="tx1"/>
            </w14:solidFill>
          </w14:textFill>
        </w:rPr>
        <w:t>，q</w:t>
      </w:r>
      <w:r>
        <w:rPr>
          <w:rFonts w:eastAsia="宋体"/>
          <w:color w:val="000000" w:themeColor="text1"/>
          <w:kern w:val="28"/>
          <w:szCs w:val="24"/>
          <w:vertAlign w:val="subscript"/>
          <w14:textFill>
            <w14:solidFill>
              <w14:schemeClr w14:val="tx1"/>
            </w14:solidFill>
          </w14:textFill>
        </w:rPr>
        <w:t>2</w:t>
      </w:r>
      <w:r>
        <w:rPr>
          <w:rFonts w:eastAsia="宋体"/>
          <w:color w:val="000000" w:themeColor="text1"/>
          <w:kern w:val="28"/>
          <w:szCs w:val="24"/>
          <w14:textFill>
            <w14:solidFill>
              <w14:schemeClr w14:val="tx1"/>
            </w14:solidFill>
          </w14:textFill>
        </w:rPr>
        <w:t>…，q</w:t>
      </w:r>
      <w:r>
        <w:rPr>
          <w:rFonts w:eastAsia="宋体"/>
          <w:color w:val="000000" w:themeColor="text1"/>
          <w:kern w:val="28"/>
          <w:szCs w:val="24"/>
          <w:vertAlign w:val="subscript"/>
          <w14:textFill>
            <w14:solidFill>
              <w14:schemeClr w14:val="tx1"/>
            </w14:solidFill>
          </w14:textFill>
        </w:rPr>
        <w:t>n</w:t>
      </w:r>
      <w:r>
        <w:rPr>
          <w:rFonts w:eastAsia="宋体"/>
          <w:color w:val="000000" w:themeColor="text1"/>
          <w:kern w:val="28"/>
          <w:szCs w:val="24"/>
          <w14:textFill>
            <w14:solidFill>
              <w14:schemeClr w14:val="tx1"/>
            </w14:solidFill>
          </w14:textFill>
        </w:rPr>
        <w:t>为每种危险物质实际存在量，t；</w:t>
      </w:r>
    </w:p>
    <w:p>
      <w:pPr>
        <w:ind w:firstLine="1080" w:firstLineChars="450"/>
        <w:rPr>
          <w:rFonts w:eastAsia="宋体"/>
          <w:color w:val="000000" w:themeColor="text1"/>
          <w:kern w:val="28"/>
          <w:szCs w:val="24"/>
          <w14:textFill>
            <w14:solidFill>
              <w14:schemeClr w14:val="tx1"/>
            </w14:solidFill>
          </w14:textFill>
        </w:rPr>
      </w:pPr>
      <w:r>
        <w:rPr>
          <w:rFonts w:eastAsia="宋体"/>
          <w:color w:val="000000" w:themeColor="text1"/>
          <w:kern w:val="28"/>
          <w:szCs w:val="24"/>
          <w14:textFill>
            <w14:solidFill>
              <w14:schemeClr w14:val="tx1"/>
            </w14:solidFill>
          </w14:textFill>
        </w:rPr>
        <w:t>Q</w:t>
      </w:r>
      <w:r>
        <w:rPr>
          <w:rFonts w:eastAsia="宋体"/>
          <w:color w:val="000000" w:themeColor="text1"/>
          <w:kern w:val="28"/>
          <w:szCs w:val="24"/>
          <w:vertAlign w:val="subscript"/>
          <w14:textFill>
            <w14:solidFill>
              <w14:schemeClr w14:val="tx1"/>
            </w14:solidFill>
          </w14:textFill>
        </w:rPr>
        <w:t>1</w:t>
      </w:r>
      <w:r>
        <w:rPr>
          <w:rFonts w:eastAsia="宋体"/>
          <w:color w:val="000000" w:themeColor="text1"/>
          <w:kern w:val="28"/>
          <w:szCs w:val="24"/>
          <w14:textFill>
            <w14:solidFill>
              <w14:schemeClr w14:val="tx1"/>
            </w14:solidFill>
          </w14:textFill>
        </w:rPr>
        <w:t>，Q</w:t>
      </w:r>
      <w:r>
        <w:rPr>
          <w:rFonts w:eastAsia="宋体"/>
          <w:color w:val="000000" w:themeColor="text1"/>
          <w:kern w:val="28"/>
          <w:szCs w:val="24"/>
          <w:vertAlign w:val="subscript"/>
          <w14:textFill>
            <w14:solidFill>
              <w14:schemeClr w14:val="tx1"/>
            </w14:solidFill>
          </w14:textFill>
        </w:rPr>
        <w:t>2</w:t>
      </w:r>
      <w:r>
        <w:rPr>
          <w:rFonts w:eastAsia="宋体"/>
          <w:color w:val="000000" w:themeColor="text1"/>
          <w:kern w:val="28"/>
          <w:szCs w:val="24"/>
          <w14:textFill>
            <w14:solidFill>
              <w14:schemeClr w14:val="tx1"/>
            </w14:solidFill>
          </w14:textFill>
        </w:rPr>
        <w:t>…Q</w:t>
      </w:r>
      <w:r>
        <w:rPr>
          <w:rFonts w:eastAsia="宋体"/>
          <w:color w:val="000000" w:themeColor="text1"/>
          <w:kern w:val="28"/>
          <w:szCs w:val="24"/>
          <w:vertAlign w:val="subscript"/>
          <w14:textFill>
            <w14:solidFill>
              <w14:schemeClr w14:val="tx1"/>
            </w14:solidFill>
          </w14:textFill>
        </w:rPr>
        <w:t>n</w:t>
      </w:r>
      <w:r>
        <w:rPr>
          <w:rFonts w:eastAsia="宋体"/>
          <w:color w:val="000000" w:themeColor="text1"/>
          <w:kern w:val="28"/>
          <w:szCs w:val="24"/>
          <w14:textFill>
            <w14:solidFill>
              <w14:schemeClr w14:val="tx1"/>
            </w14:solidFill>
          </w14:textFill>
        </w:rPr>
        <w:t>为与各危险物质相对应的生产场所或贮存区的临界量，t。</w:t>
      </w:r>
    </w:p>
    <w:p>
      <w:pPr>
        <w:pStyle w:val="272"/>
        <w:ind w:firstLine="480" w:firstLineChars="200"/>
        <w:rPr>
          <w:rFonts w:ascii="Times New Roman" w:hAnsi="Times New Roman"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根据工程分析和《建设项目环境风险评价技术导则》（HJ 169-2018）附录B可知，项</w:t>
      </w:r>
      <w:r>
        <w:rPr>
          <w:rFonts w:ascii="Times New Roman" w:hAnsi="Times New Roman" w:eastAsia="宋体"/>
          <w:color w:val="000000" w:themeColor="text1"/>
          <w:szCs w:val="24"/>
          <w14:textFill>
            <w14:solidFill>
              <w14:schemeClr w14:val="tx1"/>
            </w14:solidFill>
          </w14:textFill>
        </w:rPr>
        <w:t>目建成后可储存物质的量和各类物质的临界量如表5.1-2所示。</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表5.1-2  项目重点关注的危险物质存量及临界量</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3"/>
        <w:gridCol w:w="1229"/>
        <w:gridCol w:w="1229"/>
        <w:gridCol w:w="1817"/>
        <w:gridCol w:w="1650"/>
        <w:gridCol w:w="2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序号</w:t>
            </w:r>
          </w:p>
        </w:tc>
        <w:tc>
          <w:tcPr>
            <w:tcW w:w="1376" w:type="pct"/>
            <w:gridSpan w:val="2"/>
            <w:vAlign w:val="center"/>
          </w:tcPr>
          <w:p>
            <w:pPr>
              <w:tabs>
                <w:tab w:val="center" w:pos="4153"/>
                <w:tab w:val="right" w:pos="8306"/>
              </w:tabs>
              <w:adjustRightInd w:val="0"/>
              <w:snapToGrid w:val="0"/>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名称</w:t>
            </w:r>
          </w:p>
        </w:tc>
        <w:tc>
          <w:tcPr>
            <w:tcW w:w="1017"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最大储存量（t）</w:t>
            </w:r>
          </w:p>
        </w:tc>
        <w:tc>
          <w:tcPr>
            <w:tcW w:w="924" w:type="pct"/>
            <w:vAlign w:val="center"/>
          </w:tcPr>
          <w:p>
            <w:pPr>
              <w:adjustRightInd w:val="0"/>
              <w:snapToGrid w:val="0"/>
              <w:spacing w:line="240" w:lineRule="auto"/>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临界量（t）</w:t>
            </w:r>
          </w:p>
        </w:tc>
        <w:tc>
          <w:tcPr>
            <w:tcW w:w="1250" w:type="pct"/>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Q</w:t>
            </w:r>
            <w:r>
              <w:rPr>
                <w:rFonts w:hint="eastAsia" w:eastAsia="宋体"/>
                <w:b/>
                <w:bCs/>
                <w:color w:val="000000" w:themeColor="text1"/>
                <w:sz w:val="21"/>
                <w:szCs w:val="21"/>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切削液</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2500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润滑油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500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空压机油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500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4</w:t>
            </w:r>
          </w:p>
        </w:tc>
        <w:tc>
          <w:tcPr>
            <w:tcW w:w="688"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环氧底漆</w:t>
            </w: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.925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5</w:t>
            </w:r>
          </w:p>
        </w:tc>
        <w:tc>
          <w:tcPr>
            <w:tcW w:w="68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w:t>
            </w:r>
          </w:p>
        </w:tc>
        <w:tc>
          <w:tcPr>
            <w:tcW w:w="688"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环氧云铁漆</w:t>
            </w: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.125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7</w:t>
            </w:r>
          </w:p>
        </w:tc>
        <w:tc>
          <w:tcPr>
            <w:tcW w:w="68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c>
          <w:tcPr>
            <w:tcW w:w="688"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环氧面漆</w:t>
            </w: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主剂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9</w:t>
            </w:r>
          </w:p>
        </w:tc>
        <w:tc>
          <w:tcPr>
            <w:tcW w:w="68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固化剂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0</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稀释剂</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10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1</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水性环氧富锌底漆</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.275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2</w:t>
            </w:r>
          </w:p>
        </w:tc>
        <w:tc>
          <w:tcPr>
            <w:tcW w:w="688"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水性环氧中间漆</w:t>
            </w: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甲组份</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.525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3</w:t>
            </w:r>
          </w:p>
        </w:tc>
        <w:tc>
          <w:tcPr>
            <w:tcW w:w="688" w:type="pct"/>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68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乙组份</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4</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水性透明封闭漆</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5</w:t>
            </w:r>
          </w:p>
        </w:tc>
        <w:tc>
          <w:tcPr>
            <w:tcW w:w="1376" w:type="pct"/>
            <w:gridSpan w:val="2"/>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空压机油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6</w:t>
            </w:r>
          </w:p>
        </w:tc>
        <w:tc>
          <w:tcPr>
            <w:tcW w:w="1376" w:type="pct"/>
            <w:gridSpan w:val="2"/>
            <w:vAlign w:val="center"/>
          </w:tcPr>
          <w:p>
            <w:pPr>
              <w:tabs>
                <w:tab w:val="center" w:pos="4153"/>
                <w:tab w:val="right" w:pos="8306"/>
              </w:tabs>
              <w:adjustRightInd w:val="0"/>
              <w:snapToGrid w:val="0"/>
              <w:spacing w:line="240" w:lineRule="auto"/>
              <w:jc w:val="center"/>
              <w:rPr>
                <w:rFonts w:eastAsia="宋体"/>
                <w:bCs/>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废润滑油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w:t>
            </w:r>
          </w:p>
        </w:tc>
        <w:tc>
          <w:tcPr>
            <w:tcW w:w="92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7</w:t>
            </w:r>
          </w:p>
        </w:tc>
        <w:tc>
          <w:tcPr>
            <w:tcW w:w="1376" w:type="pct"/>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废切削液</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0.75</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w:t>
            </w:r>
            <w:r>
              <w:rPr>
                <w:rFonts w:eastAsia="宋体"/>
                <w:bCs/>
                <w:color w:val="000000" w:themeColor="text1"/>
                <w:sz w:val="21"/>
                <w:szCs w:val="21"/>
                <w14:textFill>
                  <w14:solidFill>
                    <w14:schemeClr w14:val="tx1"/>
                  </w14:solidFill>
                </w14:textFill>
              </w:rPr>
              <w:t>8</w:t>
            </w:r>
          </w:p>
        </w:tc>
        <w:tc>
          <w:tcPr>
            <w:tcW w:w="1376" w:type="pct"/>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废空压机油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.002</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w:t>
            </w: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19</w:t>
            </w:r>
          </w:p>
        </w:tc>
        <w:tc>
          <w:tcPr>
            <w:tcW w:w="1376" w:type="pct"/>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废空压机油</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.001</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500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0.0000004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r>
              <w:rPr>
                <w:rFonts w:eastAsia="宋体"/>
                <w:bCs/>
                <w:color w:val="000000" w:themeColor="text1"/>
                <w:sz w:val="21"/>
                <w:szCs w:val="21"/>
                <w14:textFill>
                  <w14:solidFill>
                    <w14:schemeClr w14:val="tx1"/>
                  </w14:solidFill>
                </w14:textFill>
              </w:rPr>
              <w:t>0</w:t>
            </w:r>
          </w:p>
        </w:tc>
        <w:tc>
          <w:tcPr>
            <w:tcW w:w="1376" w:type="pct"/>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废漆渣</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7</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5</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2</w:t>
            </w:r>
            <w:r>
              <w:rPr>
                <w:rFonts w:eastAsia="宋体"/>
                <w:bCs/>
                <w:color w:val="000000" w:themeColor="text1"/>
                <w:sz w:val="21"/>
                <w:szCs w:val="21"/>
                <w14:textFill>
                  <w14:solidFill>
                    <w14:schemeClr w14:val="tx1"/>
                  </w14:solidFill>
                </w14:textFill>
              </w:rPr>
              <w:t>1</w:t>
            </w:r>
          </w:p>
        </w:tc>
        <w:tc>
          <w:tcPr>
            <w:tcW w:w="1376" w:type="pct"/>
            <w:gridSpan w:val="2"/>
            <w:vAlign w:val="center"/>
          </w:tcPr>
          <w:p>
            <w:pPr>
              <w:pStyle w:val="5"/>
              <w:spacing w:before="0" w:after="0" w:line="240" w:lineRule="auto"/>
              <w:jc w:val="center"/>
              <w:rPr>
                <w:rFonts w:eastAsia="宋体"/>
                <w:b w:val="0"/>
                <w:color w:val="000000" w:themeColor="text1"/>
                <w:sz w:val="21"/>
                <w:szCs w:val="21"/>
                <w14:textFill>
                  <w14:solidFill>
                    <w14:schemeClr w14:val="tx1"/>
                  </w14:solidFill>
                </w14:textFill>
              </w:rPr>
            </w:pPr>
            <w:r>
              <w:rPr>
                <w:rFonts w:hint="eastAsia" w:eastAsia="宋体"/>
                <w:b w:val="0"/>
                <w:color w:val="000000" w:themeColor="text1"/>
                <w:sz w:val="21"/>
                <w:szCs w:val="21"/>
                <w14:textFill>
                  <w14:solidFill>
                    <w14:schemeClr w14:val="tx1"/>
                  </w14:solidFill>
                </w14:textFill>
              </w:rPr>
              <w:t>天然气</w:t>
            </w:r>
          </w:p>
        </w:tc>
        <w:tc>
          <w:tcPr>
            <w:tcW w:w="101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.01</w:t>
            </w:r>
          </w:p>
        </w:tc>
        <w:tc>
          <w:tcPr>
            <w:tcW w:w="924" w:type="pct"/>
            <w:vAlign w:val="center"/>
          </w:tcPr>
          <w:p>
            <w:pPr>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0</w:t>
            </w:r>
          </w:p>
        </w:tc>
        <w:tc>
          <w:tcPr>
            <w:tcW w:w="1250" w:type="pct"/>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750" w:type="pct"/>
            <w:gridSpan w:val="5"/>
            <w:vAlign w:val="center"/>
          </w:tcPr>
          <w:p>
            <w:pPr>
              <w:adjustRightInd w:val="0"/>
              <w:snapToGrid w:val="0"/>
              <w:spacing w:line="240" w:lineRule="auto"/>
              <w:jc w:val="center"/>
              <w:rPr>
                <w:rFonts w:eastAsia="宋体"/>
                <w:b/>
                <w:color w:val="000000" w:themeColor="text1"/>
                <w:kern w:val="0"/>
                <w:sz w:val="21"/>
                <w:szCs w:val="21"/>
                <w14:textFill>
                  <w14:solidFill>
                    <w14:schemeClr w14:val="tx1"/>
                  </w14:solidFill>
                </w14:textFill>
              </w:rPr>
            </w:pPr>
            <w:r>
              <w:rPr>
                <w:rFonts w:hint="eastAsia" w:eastAsia="宋体"/>
                <w:b/>
                <w:color w:val="000000" w:themeColor="text1"/>
                <w:kern w:val="0"/>
                <w:sz w:val="21"/>
                <w:szCs w:val="21"/>
                <w14:textFill>
                  <w14:solidFill>
                    <w14:schemeClr w14:val="tx1"/>
                  </w14:solidFill>
                </w14:textFill>
              </w:rPr>
              <w:t>合计</w:t>
            </w:r>
          </w:p>
        </w:tc>
        <w:tc>
          <w:tcPr>
            <w:tcW w:w="1250" w:type="pct"/>
          </w:tcPr>
          <w:p>
            <w:pPr>
              <w:spacing w:line="240" w:lineRule="auto"/>
              <w:jc w:val="center"/>
              <w:rPr>
                <w:color w:val="000000" w:themeColor="text1"/>
                <w:kern w:val="0"/>
                <w:szCs w:val="24"/>
                <w14:textFill>
                  <w14:solidFill>
                    <w14:schemeClr w14:val="tx1"/>
                  </w14:solidFill>
                </w14:textFill>
              </w:rPr>
            </w:pPr>
            <w:r>
              <w:rPr>
                <w:color w:val="000000" w:themeColor="text1"/>
                <w14:textFill>
                  <w14:solidFill>
                    <w14:schemeClr w14:val="tx1"/>
                  </w14:solidFill>
                </w14:textFill>
              </w:rPr>
              <w:t>0.3480</w:t>
            </w:r>
          </w:p>
        </w:tc>
      </w:tr>
    </w:tbl>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注：</w:t>
      </w:r>
      <w:r>
        <w:rPr>
          <w:rFonts w:hint="eastAsia" w:eastAsia="宋体"/>
          <w:color w:val="000000" w:themeColor="text1"/>
          <w:sz w:val="21"/>
          <w:szCs w:val="21"/>
          <w14:textFill>
            <w14:solidFill>
              <w14:schemeClr w14:val="tx1"/>
            </w14:solidFill>
          </w14:textFill>
        </w:rPr>
        <w:t>各类油漆</w:t>
      </w:r>
      <w:r>
        <w:rPr>
          <w:rFonts w:eastAsia="宋体"/>
          <w:color w:val="000000" w:themeColor="text1"/>
          <w:sz w:val="21"/>
          <w:szCs w:val="21"/>
          <w14:textFill>
            <w14:solidFill>
              <w14:schemeClr w14:val="tx1"/>
            </w14:solidFill>
          </w14:textFill>
        </w:rPr>
        <w:t>按《建设项目环境风险评价技术导则》（HJ169-2018）附录B中危险物质参照表B.2</w:t>
      </w:r>
      <w:r>
        <w:rPr>
          <w:rFonts w:hint="eastAsia" w:eastAsia="宋体"/>
          <w:color w:val="000000" w:themeColor="text1"/>
          <w:sz w:val="21"/>
          <w:szCs w:val="21"/>
          <w14:textFill>
            <w14:solidFill>
              <w14:schemeClr w14:val="tx1"/>
            </w14:solidFill>
          </w14:textFill>
        </w:rPr>
        <w:t>健康危险急性毒性物质（类别2，类别3）</w:t>
      </w:r>
      <w:r>
        <w:rPr>
          <w:rFonts w:eastAsia="宋体"/>
          <w:color w:val="000000" w:themeColor="text1"/>
          <w:sz w:val="21"/>
          <w:szCs w:val="21"/>
          <w14:textFill>
            <w14:solidFill>
              <w14:schemeClr w14:val="tx1"/>
            </w14:solidFill>
          </w14:textFill>
        </w:rPr>
        <w:t>考虑。</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由上表可知，本项目危险物质数量与临界量比值Q为0.3480，属于Q＜1等级，因此项目环境风险潜势为Ⅰ。</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5.1.3环境风险评价等级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根据《建设项目环境风险评价技术导则》（HJ 169-2018），环境风险评价工作等级需先根据建设项目涉及的物质及工艺系统危险性和所在地的环境敏感性确定环境风险潜势，再根据环境风险潜势来进行判定，具体见表5.1</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w:t>
      </w:r>
    </w:p>
    <w:p>
      <w:pPr>
        <w:spacing w:line="240" w:lineRule="auto"/>
        <w:jc w:val="center"/>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表5.1-3  环境风险评价工作等级划分</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1829"/>
        <w:gridCol w:w="1829"/>
        <w:gridCol w:w="1830"/>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12" w:space="0"/>
            </w:tcBorders>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环境风险潜势</w:t>
            </w:r>
          </w:p>
        </w:tc>
        <w:tc>
          <w:tcPr>
            <w:tcW w:w="1000" w:type="pct"/>
            <w:tcBorders>
              <w:top w:val="single" w:color="auto" w:sz="12" w:space="0"/>
            </w:tcBorders>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Ⅳ、Ⅳ</w:t>
            </w:r>
            <w:r>
              <w:rPr>
                <w:rFonts w:eastAsia="宋体"/>
                <w:b/>
                <w:bCs/>
                <w:color w:val="000000" w:themeColor="text1"/>
                <w:kern w:val="0"/>
                <w:sz w:val="21"/>
                <w:szCs w:val="21"/>
                <w:vertAlign w:val="superscript"/>
                <w14:textFill>
                  <w14:solidFill>
                    <w14:schemeClr w14:val="tx1"/>
                  </w14:solidFill>
                </w14:textFill>
              </w:rPr>
              <w:t>+</w:t>
            </w:r>
          </w:p>
        </w:tc>
        <w:tc>
          <w:tcPr>
            <w:tcW w:w="1000" w:type="pct"/>
            <w:tcBorders>
              <w:top w:val="single" w:color="auto" w:sz="12" w:space="0"/>
            </w:tcBorders>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Ⅲ</w:t>
            </w:r>
          </w:p>
        </w:tc>
        <w:tc>
          <w:tcPr>
            <w:tcW w:w="1000" w:type="pct"/>
            <w:tcBorders>
              <w:top w:val="single" w:color="auto" w:sz="12" w:space="0"/>
            </w:tcBorders>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Ⅱ</w:t>
            </w:r>
          </w:p>
        </w:tc>
        <w:tc>
          <w:tcPr>
            <w:tcW w:w="1000" w:type="pct"/>
            <w:tcBorders>
              <w:top w:val="single" w:color="auto" w:sz="12" w:space="0"/>
            </w:tcBorders>
          </w:tcPr>
          <w:p>
            <w:pPr>
              <w:spacing w:line="240" w:lineRule="auto"/>
              <w:jc w:val="center"/>
              <w:rPr>
                <w:rFonts w:eastAsia="宋体"/>
                <w:b/>
                <w:bCs/>
                <w:color w:val="000000" w:themeColor="text1"/>
                <w:kern w:val="0"/>
                <w:sz w:val="21"/>
                <w:szCs w:val="21"/>
                <w14:textFill>
                  <w14:solidFill>
                    <w14:schemeClr w14:val="tx1"/>
                  </w14:solidFill>
                </w14:textFill>
              </w:rPr>
            </w:pPr>
            <w:r>
              <w:rPr>
                <w:rFonts w:eastAsia="宋体"/>
                <w:b/>
                <w:bCs/>
                <w:color w:val="000000" w:themeColor="text1"/>
                <w:kern w:val="0"/>
                <w:sz w:val="21"/>
                <w:szCs w:val="2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评价工作等级</w:t>
            </w:r>
          </w:p>
        </w:tc>
        <w:tc>
          <w:tcPr>
            <w:tcW w:w="1000"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一</w:t>
            </w:r>
          </w:p>
        </w:tc>
        <w:tc>
          <w:tcPr>
            <w:tcW w:w="1000"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二</w:t>
            </w:r>
          </w:p>
        </w:tc>
        <w:tc>
          <w:tcPr>
            <w:tcW w:w="1000"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三</w:t>
            </w:r>
          </w:p>
        </w:tc>
        <w:tc>
          <w:tcPr>
            <w:tcW w:w="1000" w:type="pct"/>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简单分析</w:t>
            </w:r>
            <w:r>
              <w:rPr>
                <w:rFonts w:eastAsia="宋体"/>
                <w:color w:val="000000" w:themeColor="text1"/>
                <w:kern w:val="0"/>
                <w:sz w:val="21"/>
                <w:szCs w:val="21"/>
                <w:vertAlign w:val="superscript"/>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bottom w:val="single" w:color="auto" w:sz="12" w:space="0"/>
            </w:tcBorders>
          </w:tcPr>
          <w:p>
            <w:pPr>
              <w:spacing w:line="240" w:lineRule="auto"/>
              <w:jc w:val="left"/>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vertAlign w:val="superscript"/>
                <w14:textFill>
                  <w14:solidFill>
                    <w14:schemeClr w14:val="tx1"/>
                  </w14:solidFill>
                </w14:textFill>
              </w:rPr>
              <w:t>a</w:t>
            </w:r>
            <w:r>
              <w:rPr>
                <w:rFonts w:eastAsia="宋体"/>
                <w:color w:val="000000" w:themeColor="text1"/>
                <w:kern w:val="0"/>
                <w:sz w:val="18"/>
                <w:szCs w:val="18"/>
                <w14:textFill>
                  <w14:solidFill>
                    <w14:schemeClr w14:val="tx1"/>
                  </w14:solidFill>
                </w14:textFill>
              </w:rPr>
              <w:t>是相对于详细评价工作内容而言，在描述危险物质、环境英雄途径、环境危害后果、风险防范措施等方面给出定性的说明。</w:t>
            </w:r>
          </w:p>
        </w:tc>
      </w:tr>
    </w:tbl>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本项目风险潜势为Ⅰ，环境风险评价工作等级可仅开展简单分析。</w:t>
      </w:r>
    </w:p>
    <w:p>
      <w:pPr>
        <w:pStyle w:val="179"/>
        <w:rPr>
          <w:rFonts w:eastAsia="宋体"/>
          <w:color w:val="000000" w:themeColor="text1"/>
          <w14:textFill>
            <w14:solidFill>
              <w14:schemeClr w14:val="tx1"/>
            </w14:solidFill>
          </w14:textFill>
        </w:rPr>
      </w:pPr>
      <w:bookmarkStart w:id="203" w:name="_Toc155271430"/>
      <w:r>
        <w:rPr>
          <w:rFonts w:eastAsia="宋体"/>
          <w:color w:val="000000" w:themeColor="text1"/>
          <w14:textFill>
            <w14:solidFill>
              <w14:schemeClr w14:val="tx1"/>
            </w14:solidFill>
          </w14:textFill>
        </w:rPr>
        <w:t>5.2环境敏感目标调查</w:t>
      </w:r>
      <w:bookmarkEnd w:id="203"/>
    </w:p>
    <w:p>
      <w:pPr>
        <w:ind w:firstLine="480"/>
        <w:rPr>
          <w:rFonts w:eastAsia="宋体"/>
          <w:color w:val="000000" w:themeColor="text1"/>
          <w:szCs w:val="24"/>
          <w14:textFill>
            <w14:solidFill>
              <w14:schemeClr w14:val="tx1"/>
            </w14:solidFill>
          </w14:textFill>
        </w:rPr>
      </w:pPr>
      <w:r>
        <w:rPr>
          <w:rFonts w:eastAsia="宋体"/>
          <w:bCs/>
          <w:color w:val="000000" w:themeColor="text1"/>
          <w14:textFill>
            <w14:solidFill>
              <w14:schemeClr w14:val="tx1"/>
            </w14:solidFill>
          </w14:textFill>
        </w:rPr>
        <w:t>项目</w:t>
      </w:r>
      <w:r>
        <w:rPr>
          <w:rFonts w:hint="eastAsia" w:eastAsia="宋体"/>
          <w:bCs/>
          <w:color w:val="000000" w:themeColor="text1"/>
          <w14:textFill>
            <w14:solidFill>
              <w14:schemeClr w14:val="tx1"/>
            </w14:solidFill>
          </w14:textFill>
        </w:rPr>
        <w:t>各类油漆、油品</w:t>
      </w:r>
      <w:r>
        <w:rPr>
          <w:rFonts w:eastAsia="宋体"/>
          <w:bCs/>
          <w:color w:val="000000" w:themeColor="text1"/>
          <w14:textFill>
            <w14:solidFill>
              <w14:schemeClr w14:val="tx1"/>
            </w14:solidFill>
          </w14:textFill>
        </w:rPr>
        <w:t>在贮存过程中发生泄漏，进入地表水环境或者地下水，造成环境污染。项目</w:t>
      </w:r>
      <w:r>
        <w:rPr>
          <w:rFonts w:hint="eastAsia" w:eastAsia="宋体"/>
          <w:bCs/>
          <w:color w:val="000000" w:themeColor="text1"/>
          <w14:textFill>
            <w14:solidFill>
              <w14:schemeClr w14:val="tx1"/>
            </w14:solidFill>
          </w14:textFill>
        </w:rPr>
        <w:t>各类油漆、油品</w:t>
      </w:r>
      <w:r>
        <w:rPr>
          <w:rFonts w:eastAsia="宋体"/>
          <w:bCs/>
          <w:color w:val="000000" w:themeColor="text1"/>
          <w14:textFill>
            <w14:solidFill>
              <w14:schemeClr w14:val="tx1"/>
            </w14:solidFill>
          </w14:textFill>
        </w:rPr>
        <w:t>等物料均以桶装为主，在防泄漏措施完善的情况下，不会进入地表水。但若发生泄漏，同时发生火灾事故产生伴生/次生污染物，影响途径主要为环境空气，因此本次评价主要考虑环境空气保护目标。</w:t>
      </w:r>
    </w:p>
    <w:p>
      <w:pPr>
        <w:pStyle w:val="179"/>
        <w:rPr>
          <w:rFonts w:eastAsia="宋体"/>
          <w:color w:val="000000" w:themeColor="text1"/>
          <w14:textFill>
            <w14:solidFill>
              <w14:schemeClr w14:val="tx1"/>
            </w14:solidFill>
          </w14:textFill>
        </w:rPr>
      </w:pPr>
      <w:bookmarkStart w:id="204" w:name="_Toc23283561"/>
      <w:bookmarkStart w:id="205" w:name="_Toc155271431"/>
      <w:r>
        <w:rPr>
          <w:rFonts w:eastAsia="宋体"/>
          <w:color w:val="000000" w:themeColor="text1"/>
          <w14:textFill>
            <w14:solidFill>
              <w14:schemeClr w14:val="tx1"/>
            </w14:solidFill>
          </w14:textFill>
        </w:rPr>
        <w:t>5.3环境风险分析</w:t>
      </w:r>
      <w:bookmarkEnd w:id="204"/>
      <w:bookmarkEnd w:id="205"/>
    </w:p>
    <w:p>
      <w:pPr>
        <w:ind w:firstLine="480"/>
        <w:rPr>
          <w:rFonts w:eastAsia="宋体"/>
          <w:color w:val="000000" w:themeColor="text1"/>
          <w:szCs w:val="24"/>
          <w14:textFill>
            <w14:solidFill>
              <w14:schemeClr w14:val="tx1"/>
            </w14:solidFill>
          </w14:textFill>
        </w:rPr>
      </w:pPr>
      <w:bookmarkStart w:id="206" w:name="_Toc23283562"/>
      <w:r>
        <w:rPr>
          <w:rFonts w:eastAsia="宋体"/>
          <w:color w:val="000000" w:themeColor="text1"/>
          <w:szCs w:val="24"/>
          <w14:textFill>
            <w14:solidFill>
              <w14:schemeClr w14:val="tx1"/>
            </w14:solidFill>
          </w14:textFill>
        </w:rPr>
        <w:t>（1）</w:t>
      </w:r>
      <w:r>
        <w:rPr>
          <w:rFonts w:hint="eastAsia" w:eastAsia="宋体"/>
          <w:color w:val="000000" w:themeColor="text1"/>
          <w:szCs w:val="24"/>
          <w14:textFill>
            <w14:solidFill>
              <w14:schemeClr w14:val="tx1"/>
            </w14:solidFill>
          </w14:textFill>
        </w:rPr>
        <w:t>物料泄漏</w:t>
      </w:r>
      <w:r>
        <w:rPr>
          <w:rFonts w:eastAsia="宋体"/>
          <w:color w:val="000000" w:themeColor="text1"/>
          <w:szCs w:val="24"/>
          <w14:textFill>
            <w14:solidFill>
              <w14:schemeClr w14:val="tx1"/>
            </w14:solidFill>
          </w14:textFill>
        </w:rPr>
        <w:t>事故分析</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项目使用的</w:t>
      </w:r>
      <w:r>
        <w:rPr>
          <w:rFonts w:hint="eastAsia" w:eastAsia="宋体"/>
          <w:color w:val="000000" w:themeColor="text1"/>
          <w:szCs w:val="24"/>
          <w14:textFill>
            <w14:solidFill>
              <w14:schemeClr w14:val="tx1"/>
            </w14:solidFill>
          </w14:textFill>
        </w:rPr>
        <w:t>各类油漆、油品</w:t>
      </w:r>
      <w:r>
        <w:rPr>
          <w:rFonts w:eastAsia="宋体"/>
          <w:color w:val="000000" w:themeColor="text1"/>
          <w:szCs w:val="24"/>
          <w14:textFill>
            <w14:solidFill>
              <w14:schemeClr w14:val="tx1"/>
            </w14:solidFill>
          </w14:textFill>
        </w:rPr>
        <w:t>均为单桶桶装，储存于</w:t>
      </w:r>
      <w:r>
        <w:rPr>
          <w:rFonts w:hint="eastAsia" w:eastAsia="宋体"/>
          <w:color w:val="000000" w:themeColor="text1"/>
          <w:szCs w:val="24"/>
          <w14:textFill>
            <w14:solidFill>
              <w14:schemeClr w14:val="tx1"/>
            </w14:solidFill>
          </w14:textFill>
        </w:rPr>
        <w:t>油漆</w:t>
      </w:r>
      <w:r>
        <w:rPr>
          <w:rFonts w:eastAsia="宋体"/>
          <w:color w:val="000000" w:themeColor="text1"/>
          <w:szCs w:val="24"/>
          <w14:textFill>
            <w14:solidFill>
              <w14:schemeClr w14:val="tx1"/>
            </w14:solidFill>
          </w14:textFill>
        </w:rPr>
        <w:t>库房和</w:t>
      </w:r>
      <w:r>
        <w:rPr>
          <w:rFonts w:hint="eastAsia" w:eastAsia="宋体"/>
          <w:color w:val="000000" w:themeColor="text1"/>
          <w:szCs w:val="24"/>
          <w14:textFill>
            <w14:solidFill>
              <w14:schemeClr w14:val="tx1"/>
            </w14:solidFill>
          </w14:textFill>
        </w:rPr>
        <w:t>油品库房</w:t>
      </w:r>
      <w:r>
        <w:rPr>
          <w:rFonts w:eastAsia="宋体"/>
          <w:color w:val="000000" w:themeColor="text1"/>
          <w:szCs w:val="24"/>
          <w14:textFill>
            <w14:solidFill>
              <w14:schemeClr w14:val="tx1"/>
            </w14:solidFill>
          </w14:textFill>
        </w:rPr>
        <w:t>，堆放在专门设置的储存区内，通过人工送到用料工段。平时泄漏的概率几乎为零。</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若出现储存桶破损现象，部分物料发生泄漏，储存区地面采取了防渗防腐处理，能防止泄漏液体渗漏和腐蚀，储存区设置防渗漏托盘收集泄漏的物料。</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（2）火灾事故分析</w:t>
      </w:r>
    </w:p>
    <w:p>
      <w:pPr>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各类油漆、油品发生火灾事故时，将次/伴生一定的CO、CO</w:t>
      </w:r>
      <w:r>
        <w:rPr>
          <w:rFonts w:hint="eastAsia" w:eastAsia="宋体"/>
          <w:color w:val="000000" w:themeColor="text1"/>
          <w:szCs w:val="24"/>
          <w:vertAlign w:val="subscript"/>
          <w14:textFill>
            <w14:solidFill>
              <w14:schemeClr w14:val="tx1"/>
            </w14:solidFill>
          </w14:textFill>
        </w:rPr>
        <w:t>2</w:t>
      </w:r>
      <w:r>
        <w:rPr>
          <w:rFonts w:hint="eastAsia" w:eastAsia="宋体"/>
          <w:color w:val="000000" w:themeColor="text1"/>
          <w:szCs w:val="24"/>
          <w14:textFill>
            <w14:solidFill>
              <w14:schemeClr w14:val="tx1"/>
            </w14:solidFill>
          </w14:textFill>
        </w:rPr>
        <w:t>和烟尘等燃烧废气，将对大气环境和周边环境保护目标造成危害；本项目部分发生火灾、爆炸时采用泡沫、干粉、二氧化碳等灭火，故不会产生含油消防废水，对地表水危害较小</w:t>
      </w:r>
      <w:r>
        <w:rPr>
          <w:rFonts w:eastAsia="宋体"/>
          <w:color w:val="000000" w:themeColor="text1"/>
          <w:szCs w:val="24"/>
          <w14:textFill>
            <w14:solidFill>
              <w14:schemeClr w14:val="tx1"/>
            </w14:solidFill>
          </w14:textFill>
        </w:rPr>
        <w:t>。</w:t>
      </w:r>
    </w:p>
    <w:p>
      <w:pPr>
        <w:pStyle w:val="179"/>
        <w:rPr>
          <w:rFonts w:eastAsia="宋体"/>
          <w:color w:val="000000" w:themeColor="text1"/>
          <w14:textFill>
            <w14:solidFill>
              <w14:schemeClr w14:val="tx1"/>
            </w14:solidFill>
          </w14:textFill>
        </w:rPr>
      </w:pPr>
      <w:bookmarkStart w:id="207" w:name="_Toc155271432"/>
      <w:r>
        <w:rPr>
          <w:rFonts w:eastAsia="宋体"/>
          <w:color w:val="000000" w:themeColor="text1"/>
          <w14:textFill>
            <w14:solidFill>
              <w14:schemeClr w14:val="tx1"/>
            </w14:solidFill>
          </w14:textFill>
        </w:rPr>
        <w:t>5.4</w:t>
      </w:r>
      <w:bookmarkEnd w:id="206"/>
      <w:r>
        <w:rPr>
          <w:rFonts w:eastAsia="宋体"/>
          <w:color w:val="000000" w:themeColor="text1"/>
          <w14:textFill>
            <w14:solidFill>
              <w14:schemeClr w14:val="tx1"/>
            </w14:solidFill>
          </w14:textFill>
        </w:rPr>
        <w:t>风险防范措施及应急要求</w:t>
      </w:r>
      <w:bookmarkEnd w:id="207"/>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本项目涉及的环境风险物质为</w:t>
      </w:r>
      <w:r>
        <w:rPr>
          <w:rFonts w:hint="eastAsia" w:ascii="Times New Roman" w:hAnsi="Times New Roman" w:eastAsia="宋体"/>
          <w:color w:val="000000" w:themeColor="text1"/>
          <w:szCs w:val="24"/>
          <w14:textFill>
            <w14:solidFill>
              <w14:schemeClr w14:val="tx1"/>
            </w14:solidFill>
          </w14:textFill>
        </w:rPr>
        <w:t>各类油漆、油品</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主要</w:t>
      </w:r>
      <w:r>
        <w:rPr>
          <w:rFonts w:ascii="Times New Roman" w:hAnsi="Times New Roman" w:eastAsia="宋体"/>
          <w:color w:val="000000" w:themeColor="text1"/>
          <w:szCs w:val="24"/>
          <w14:textFill>
            <w14:solidFill>
              <w14:schemeClr w14:val="tx1"/>
            </w14:solidFill>
          </w14:textFill>
        </w:rPr>
        <w:t>采取以下风险防范措施</w:t>
      </w:r>
      <w:r>
        <w:rPr>
          <w:rFonts w:hint="eastAsia" w:ascii="Times New Roman" w:hAnsi="Times New Roman" w:eastAsia="宋体"/>
          <w:color w:val="000000" w:themeColor="text1"/>
          <w:szCs w:val="24"/>
          <w14:textFill>
            <w14:solidFill>
              <w14:schemeClr w14:val="tx1"/>
            </w14:solidFill>
          </w14:textFill>
        </w:rPr>
        <w:t>：</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（1）</w:t>
      </w:r>
      <w:r>
        <w:rPr>
          <w:rFonts w:hint="eastAsia" w:ascii="Times New Roman" w:hAnsi="Times New Roman" w:eastAsia="宋体"/>
          <w:color w:val="000000" w:themeColor="text1"/>
          <w:szCs w:val="24"/>
          <w14:textFill>
            <w14:solidFill>
              <w14:schemeClr w14:val="tx1"/>
            </w14:solidFill>
          </w14:textFill>
        </w:rPr>
        <w:t>油漆</w:t>
      </w:r>
      <w:r>
        <w:rPr>
          <w:rFonts w:ascii="Times New Roman" w:hAnsi="Times New Roman" w:eastAsia="宋体"/>
          <w:color w:val="000000" w:themeColor="text1"/>
          <w:szCs w:val="24"/>
          <w14:textFill>
            <w14:solidFill>
              <w14:schemeClr w14:val="tx1"/>
            </w14:solidFill>
          </w14:textFill>
        </w:rPr>
        <w:t>库房</w:t>
      </w:r>
      <w:r>
        <w:rPr>
          <w:rFonts w:hint="eastAsia" w:ascii="Times New Roman" w:hAnsi="Times New Roman" w:eastAsia="宋体"/>
          <w:color w:val="000000" w:themeColor="text1"/>
          <w:szCs w:val="24"/>
          <w14:textFill>
            <w14:solidFill>
              <w14:schemeClr w14:val="tx1"/>
            </w14:solidFill>
          </w14:textFill>
        </w:rPr>
        <w:t>、油品库房应设置在</w:t>
      </w:r>
      <w:r>
        <w:rPr>
          <w:rFonts w:ascii="Times New Roman" w:hAnsi="Times New Roman" w:eastAsia="宋体"/>
          <w:color w:val="000000" w:themeColor="text1"/>
          <w:szCs w:val="24"/>
          <w14:textFill>
            <w14:solidFill>
              <w14:schemeClr w14:val="tx1"/>
            </w14:solidFill>
          </w14:textFill>
        </w:rPr>
        <w:t>阴凉、干燥</w:t>
      </w:r>
      <w:r>
        <w:rPr>
          <w:rFonts w:hint="eastAsia" w:ascii="Times New Roman" w:hAnsi="Times New Roman" w:eastAsia="宋体"/>
          <w:color w:val="000000" w:themeColor="text1"/>
          <w:szCs w:val="24"/>
          <w14:textFill>
            <w14:solidFill>
              <w14:schemeClr w14:val="tx1"/>
            </w14:solidFill>
          </w14:textFill>
        </w:rPr>
        <w:t>的地方，要</w:t>
      </w:r>
      <w:r>
        <w:rPr>
          <w:rFonts w:ascii="Times New Roman" w:hAnsi="Times New Roman" w:eastAsia="宋体"/>
          <w:color w:val="000000" w:themeColor="text1"/>
          <w:szCs w:val="24"/>
          <w14:textFill>
            <w14:solidFill>
              <w14:schemeClr w14:val="tx1"/>
            </w14:solidFill>
          </w14:textFill>
        </w:rPr>
        <w:t>通风良好</w:t>
      </w:r>
      <w:r>
        <w:rPr>
          <w:rFonts w:hint="eastAsia" w:ascii="Times New Roman" w:hAnsi="Times New Roman" w:eastAsia="宋体"/>
          <w:color w:val="000000" w:themeColor="text1"/>
          <w:szCs w:val="24"/>
          <w14:textFill>
            <w14:solidFill>
              <w14:schemeClr w14:val="tx1"/>
            </w14:solidFill>
          </w14:textFill>
        </w:rPr>
        <w:t>；油漆</w:t>
      </w:r>
      <w:r>
        <w:rPr>
          <w:rFonts w:ascii="Times New Roman" w:hAnsi="Times New Roman" w:eastAsia="宋体"/>
          <w:color w:val="000000" w:themeColor="text1"/>
          <w:szCs w:val="24"/>
          <w14:textFill>
            <w14:solidFill>
              <w14:schemeClr w14:val="tx1"/>
            </w14:solidFill>
          </w14:textFill>
        </w:rPr>
        <w:t>库房</w:t>
      </w:r>
      <w:r>
        <w:rPr>
          <w:rFonts w:hint="eastAsia" w:ascii="Times New Roman" w:hAnsi="Times New Roman" w:eastAsia="宋体"/>
          <w:color w:val="000000" w:themeColor="text1"/>
          <w:szCs w:val="24"/>
          <w14:textFill>
            <w14:solidFill>
              <w14:schemeClr w14:val="tx1"/>
            </w14:solidFill>
          </w14:textFill>
        </w:rPr>
        <w:t>、油品库房地面和四周墙壁采取防渗防腐措施，门口设置漫坡；对各类油漆和油品储存容器底部设置防渗漏托盘；油漆</w:t>
      </w:r>
      <w:r>
        <w:rPr>
          <w:rFonts w:ascii="Times New Roman" w:hAnsi="Times New Roman" w:eastAsia="宋体"/>
          <w:color w:val="000000" w:themeColor="text1"/>
          <w:szCs w:val="24"/>
          <w14:textFill>
            <w14:solidFill>
              <w14:schemeClr w14:val="tx1"/>
            </w14:solidFill>
          </w14:textFill>
        </w:rPr>
        <w:t>库房</w:t>
      </w:r>
      <w:r>
        <w:rPr>
          <w:rFonts w:hint="eastAsia" w:ascii="Times New Roman" w:hAnsi="Times New Roman" w:eastAsia="宋体"/>
          <w:color w:val="000000" w:themeColor="text1"/>
          <w:szCs w:val="24"/>
          <w14:textFill>
            <w14:solidFill>
              <w14:schemeClr w14:val="tx1"/>
            </w14:solidFill>
          </w14:textFill>
        </w:rPr>
        <w:t>、油品库房应</w:t>
      </w:r>
      <w:r>
        <w:rPr>
          <w:rFonts w:ascii="Times New Roman" w:hAnsi="Times New Roman" w:eastAsia="宋体"/>
          <w:color w:val="000000" w:themeColor="text1"/>
          <w:szCs w:val="24"/>
          <w14:textFill>
            <w14:solidFill>
              <w14:schemeClr w14:val="tx1"/>
            </w14:solidFill>
          </w14:textFill>
        </w:rPr>
        <w:t>设置禁火标识</w:t>
      </w:r>
      <w:r>
        <w:rPr>
          <w:rFonts w:hint="eastAsia" w:ascii="Times New Roman" w:hAnsi="Times New Roman" w:eastAsia="宋体"/>
          <w:color w:val="000000" w:themeColor="text1"/>
          <w:szCs w:val="24"/>
          <w14:textFill>
            <w14:solidFill>
              <w14:schemeClr w14:val="tx1"/>
            </w14:solidFill>
          </w14:textFill>
        </w:rPr>
        <w:t>，严禁烟火</w:t>
      </w:r>
      <w:r>
        <w:rPr>
          <w:rFonts w:ascii="Times New Roman" w:hAnsi="Times New Roman" w:eastAsia="宋体"/>
          <w:color w:val="000000" w:themeColor="text1"/>
          <w:szCs w:val="24"/>
          <w14:textFill>
            <w14:solidFill>
              <w14:schemeClr w14:val="tx1"/>
            </w14:solidFill>
          </w14:textFill>
        </w:rPr>
        <w:t>。</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（2）危废暂存间做好“防风、防雨、防晒、防渗、防腐、防漏”六防措施，设置防渗漏托盘，并设置收集沟和收集井。</w:t>
      </w:r>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（3）企业建立安全生产岗位责任制，制定安全生产规章制度、安全操作规程，防止人为事故发生。</w:t>
      </w:r>
    </w:p>
    <w:p>
      <w:pPr>
        <w:pStyle w:val="272"/>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szCs w:val="24"/>
          <w14:textFill>
            <w14:solidFill>
              <w14:schemeClr w14:val="tx1"/>
            </w14:solidFill>
          </w14:textFill>
        </w:rPr>
        <w:t>厂区内发生火灾，火灾发现人员应第一时间通知火灾事故现场主管、应急指挥部，由应急指挥部指挥官召集应急小组进行火灾应急救援行动。在灭火过程中，采用泡沫灭火或干粉灭火、吸油毡吸附泄漏物时，还将伴生各种废灭火剂、废泡沫、废吸收材料等固体废物，统一收集存放于危废暂存间，交由相关有资质单位进行处置。</w:t>
      </w:r>
    </w:p>
    <w:p>
      <w:pPr>
        <w:ind w:firstLine="480"/>
        <w:rPr>
          <w:rFonts w:eastAsia="宋体"/>
          <w:color w:val="000000" w:themeColor="text1"/>
          <w:szCs w:val="24"/>
          <w14:textFill>
            <w14:solidFill>
              <w14:schemeClr w14:val="tx1"/>
            </w14:solidFill>
          </w14:textFill>
        </w:rPr>
      </w:pPr>
      <w:r>
        <w:rPr>
          <w:rFonts w:eastAsia="宋体"/>
          <w:color w:val="000000" w:themeColor="text1"/>
          <w:kern w:val="0"/>
          <w:szCs w:val="24"/>
          <w14:textFill>
            <w14:solidFill>
              <w14:schemeClr w14:val="tx1"/>
            </w14:solidFill>
          </w14:textFill>
        </w:rPr>
        <w:t>企业采取相应有效防范措施后，环境风险可防可控，事故状态下不会对周边环境造成大的影响。</w:t>
      </w:r>
    </w:p>
    <w:p>
      <w:pPr>
        <w:pStyle w:val="179"/>
        <w:rPr>
          <w:rFonts w:eastAsia="宋体"/>
          <w:color w:val="000000" w:themeColor="text1"/>
          <w14:textFill>
            <w14:solidFill>
              <w14:schemeClr w14:val="tx1"/>
            </w14:solidFill>
          </w14:textFill>
        </w:rPr>
      </w:pPr>
      <w:bookmarkStart w:id="208" w:name="_Toc155271433"/>
      <w:bookmarkStart w:id="209" w:name="_Toc23283563"/>
      <w:r>
        <w:rPr>
          <w:rFonts w:eastAsia="宋体"/>
          <w:color w:val="000000" w:themeColor="text1"/>
          <w14:textFill>
            <w14:solidFill>
              <w14:schemeClr w14:val="tx1"/>
            </w14:solidFill>
          </w14:textFill>
        </w:rPr>
        <w:t>5.5其他措施</w:t>
      </w:r>
      <w:bookmarkEnd w:id="208"/>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应制定全面的运行管理、维护保养制度和安全操作规程，并建立明确的岗位责任制，各类设施、设备应按照设计的工艺要求使用。</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运行管理人员上岗前应进行相关法律法规和专业技术、安全防护、紧急处理等理论知识和操作技能培训，熟悉各设施、设备的运行要求与技术指标，做到持证上岗。</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针对可能出现的情况，制订周密全面的应急措施方案，并指定专人负责。同时，定期进行模拟演练，根据演练过程中发现的新情况、新问题，及时修订和完善应急方案。</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采取以上各项环境风险防范措施后，能有效减少环境风险事故发生的概率，降低风险影响程度，达到项目区环境可接受水平。</w:t>
      </w:r>
    </w:p>
    <w:p>
      <w:pPr>
        <w:pStyle w:val="179"/>
        <w:rPr>
          <w:rFonts w:eastAsia="宋体"/>
          <w:color w:val="000000" w:themeColor="text1"/>
          <w14:textFill>
            <w14:solidFill>
              <w14:schemeClr w14:val="tx1"/>
            </w14:solidFill>
          </w14:textFill>
        </w:rPr>
      </w:pPr>
      <w:bookmarkStart w:id="210" w:name="_Toc155271434"/>
      <w:r>
        <w:rPr>
          <w:rFonts w:eastAsia="宋体"/>
          <w:color w:val="000000" w:themeColor="text1"/>
          <w14:textFill>
            <w14:solidFill>
              <w14:schemeClr w14:val="tx1"/>
            </w14:solidFill>
          </w14:textFill>
        </w:rPr>
        <w:t>5.6风险事故应急预案</w:t>
      </w:r>
      <w:bookmarkEnd w:id="209"/>
      <w:bookmarkEnd w:id="210"/>
    </w:p>
    <w:bookmarkEnd w:id="202"/>
    <w:p>
      <w:pPr>
        <w:ind w:firstLine="480"/>
        <w:rPr>
          <w:rFonts w:eastAsia="宋体"/>
          <w:color w:val="000000" w:themeColor="text1"/>
          <w:szCs w:val="24"/>
          <w14:textFill>
            <w14:solidFill>
              <w14:schemeClr w14:val="tx1"/>
            </w14:solidFill>
          </w14:textFill>
        </w:rPr>
      </w:pPr>
      <w:bookmarkStart w:id="211" w:name="_Toc23283564"/>
      <w:r>
        <w:rPr>
          <w:rFonts w:hint="eastAsia" w:eastAsia="宋体"/>
          <w:color w:val="000000" w:themeColor="text1"/>
          <w:szCs w:val="24"/>
          <w14:textFill>
            <w14:solidFill>
              <w14:schemeClr w14:val="tx1"/>
            </w14:solidFill>
          </w14:textFill>
        </w:rPr>
        <w:t>根据《建设项目环境风险评价技术导则》（H</w:t>
      </w:r>
      <w:r>
        <w:rPr>
          <w:rFonts w:eastAsia="宋体"/>
          <w:color w:val="000000" w:themeColor="text1"/>
          <w:szCs w:val="24"/>
          <w14:textFill>
            <w14:solidFill>
              <w14:schemeClr w14:val="tx1"/>
            </w14:solidFill>
          </w14:textFill>
        </w:rPr>
        <w:t>J 169-2018</w:t>
      </w:r>
      <w:r>
        <w:rPr>
          <w:rFonts w:hint="eastAsia" w:eastAsia="宋体"/>
          <w:color w:val="000000" w:themeColor="text1"/>
          <w:szCs w:val="24"/>
          <w14:textFill>
            <w14:solidFill>
              <w14:schemeClr w14:val="tx1"/>
            </w14:solidFill>
          </w14:textFill>
        </w:rPr>
        <w:t>），建设单位应制定环境风险事故应急预案，对项目应急预案的编制提出以下要求，以指导项目应急预案的编制工作，其主要内容见表</w:t>
      </w:r>
      <w:r>
        <w:rPr>
          <w:rFonts w:eastAsia="宋体"/>
          <w:color w:val="000000" w:themeColor="text1"/>
          <w:szCs w:val="24"/>
          <w14:textFill>
            <w14:solidFill>
              <w14:schemeClr w14:val="tx1"/>
            </w14:solidFill>
          </w14:textFill>
        </w:rPr>
        <w:t>5.6</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1</w:t>
      </w:r>
      <w:r>
        <w:rPr>
          <w:rFonts w:hint="eastAsia" w:eastAsia="宋体"/>
          <w:color w:val="000000" w:themeColor="text1"/>
          <w:szCs w:val="24"/>
          <w14:textFill>
            <w14:solidFill>
              <w14:schemeClr w14:val="tx1"/>
            </w14:solidFill>
          </w14:textFill>
        </w:rPr>
        <w:t>。</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表5.6-1  应急预案主要内容</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621"/>
        <w:gridCol w:w="6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886" w:type="pct"/>
            <w:shd w:val="clear" w:color="auto" w:fill="auto"/>
            <w:vAlign w:val="center"/>
          </w:tcPr>
          <w:p>
            <w:pPr>
              <w:pStyle w:val="47"/>
              <w:numPr>
                <w:ilvl w:val="0"/>
                <w:numId w:val="0"/>
              </w:num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3684" w:type="pct"/>
            <w:shd w:val="clear" w:color="auto" w:fill="auto"/>
            <w:vAlign w:val="center"/>
          </w:tcPr>
          <w:p>
            <w:pPr>
              <w:pStyle w:val="47"/>
              <w:numPr>
                <w:ilvl w:val="0"/>
                <w:numId w:val="0"/>
              </w:num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预案适用范围</w:t>
            </w:r>
          </w:p>
        </w:tc>
        <w:tc>
          <w:tcPr>
            <w:tcW w:w="3684"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本项目厂区全部范围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环境事件分类与分级</w:t>
            </w:r>
          </w:p>
        </w:tc>
        <w:tc>
          <w:tcPr>
            <w:tcW w:w="3684" w:type="pct"/>
            <w:shd w:val="clear" w:color="auto" w:fill="auto"/>
            <w:vAlign w:val="center"/>
          </w:tcPr>
          <w:p>
            <w:pPr>
              <w:pStyle w:val="47"/>
              <w:numPr>
                <w:ilvl w:val="0"/>
                <w:numId w:val="0"/>
              </w:num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依据</w:t>
            </w:r>
            <w:r>
              <w:rPr>
                <w:rFonts w:hint="eastAsia"/>
                <w:color w:val="000000" w:themeColor="text1"/>
                <w14:textFill>
                  <w14:solidFill>
                    <w14:schemeClr w14:val="tx1"/>
                  </w14:solidFill>
                </w14:textFill>
              </w:rPr>
              <w:t>风险物质</w:t>
            </w:r>
            <w:r>
              <w:rPr>
                <w:color w:val="000000" w:themeColor="text1"/>
                <w14:textFill>
                  <w14:solidFill>
                    <w14:schemeClr w14:val="tx1"/>
                  </w14:solidFill>
                </w14:textFill>
              </w:rPr>
              <w:t>事故的类别、危害程度的级别和从业人员的评估结果，可能发生的事故现场情况分析结果，设定预案的启动条件。</w:t>
            </w:r>
          </w:p>
          <w:p>
            <w:pPr>
              <w:pStyle w:val="47"/>
              <w:numPr>
                <w:ilvl w:val="0"/>
                <w:numId w:val="0"/>
              </w:numPr>
              <w:spacing w:line="240" w:lineRule="auto"/>
              <w:jc w:val="left"/>
              <w:rPr>
                <w:color w:val="000000" w:themeColor="text1"/>
                <w14:textFill>
                  <w14:solidFill>
                    <w14:schemeClr w14:val="tx1"/>
                  </w14:solidFill>
                </w14:textFill>
              </w:rPr>
            </w:pPr>
            <w:r>
              <w:rPr>
                <w:color w:val="000000" w:themeColor="text1"/>
                <w14:textFill>
                  <w14:solidFill>
                    <w14:schemeClr w14:val="tx1"/>
                  </w14:solidFill>
                </w14:textFill>
              </w:rPr>
              <w:t>对突发环境事件进行分类、分级，规定预案的级别及分级响应程序。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组织机构与职责</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⑴</w:t>
            </w:r>
            <w:r>
              <w:rPr>
                <w:color w:val="000000" w:themeColor="text1"/>
                <w:szCs w:val="21"/>
                <w14:textFill>
                  <w14:solidFill>
                    <w14:schemeClr w14:val="tx1"/>
                  </w14:solidFill>
                </w14:textFill>
              </w:rPr>
              <w:t>依据</w:t>
            </w:r>
            <w:r>
              <w:rPr>
                <w:rFonts w:hint="eastAsia"/>
                <w:color w:val="000000" w:themeColor="text1"/>
                <w:szCs w:val="21"/>
                <w14:textFill>
                  <w14:solidFill>
                    <w14:schemeClr w14:val="tx1"/>
                  </w14:solidFill>
                </w14:textFill>
              </w:rPr>
              <w:t>风险物质</w:t>
            </w:r>
            <w:r>
              <w:rPr>
                <w:color w:val="000000" w:themeColor="text1"/>
                <w:szCs w:val="21"/>
                <w14:textFill>
                  <w14:solidFill>
                    <w14:schemeClr w14:val="tx1"/>
                  </w14:solidFill>
                </w14:textFill>
              </w:rPr>
              <w:t>事故危害程度级别设置分级应急救援组织机构；</w:t>
            </w:r>
            <w:r>
              <w:rPr>
                <w:rFonts w:hint="eastAsia" w:ascii="宋体" w:hAnsi="宋体" w:cs="宋体"/>
                <w:color w:val="000000" w:themeColor="text1"/>
                <w:szCs w:val="21"/>
                <w14:textFill>
                  <w14:solidFill>
                    <w14:schemeClr w14:val="tx1"/>
                  </w14:solidFill>
                </w14:textFill>
              </w:rPr>
              <w:t>⑵</w:t>
            </w:r>
            <w:r>
              <w:rPr>
                <w:color w:val="000000" w:themeColor="text1"/>
                <w:szCs w:val="21"/>
                <w14:textFill>
                  <w14:solidFill>
                    <w14:schemeClr w14:val="tx1"/>
                  </w14:solidFill>
                </w14:textFill>
              </w:rPr>
              <w:t>组成人员及主要职责；</w:t>
            </w:r>
            <w:r>
              <w:rPr>
                <w:rFonts w:hint="eastAsia" w:ascii="宋体" w:hAnsi="宋体" w:cs="宋体"/>
                <w:color w:val="000000" w:themeColor="text1"/>
                <w:szCs w:val="21"/>
                <w14:textFill>
                  <w14:solidFill>
                    <w14:schemeClr w14:val="tx1"/>
                  </w14:solidFill>
                </w14:textFill>
              </w:rPr>
              <w:t>⑶</w:t>
            </w:r>
            <w:r>
              <w:rPr>
                <w:color w:val="000000" w:themeColor="text1"/>
                <w:szCs w:val="21"/>
                <w14:textFill>
                  <w14:solidFill>
                    <w14:schemeClr w14:val="tx1"/>
                  </w14:solidFill>
                </w14:textFill>
              </w:rPr>
              <w:t>制订事故应急救援预案；</w:t>
            </w:r>
            <w:r>
              <w:rPr>
                <w:rFonts w:hint="eastAsia" w:ascii="宋体" w:hAnsi="宋体" w:cs="宋体"/>
                <w:color w:val="000000" w:themeColor="text1"/>
                <w:szCs w:val="21"/>
                <w14:textFill>
                  <w14:solidFill>
                    <w14:schemeClr w14:val="tx1"/>
                  </w14:solidFill>
                </w14:textFill>
              </w:rPr>
              <w:t>⑷</w:t>
            </w:r>
            <w:r>
              <w:rPr>
                <w:color w:val="000000" w:themeColor="text1"/>
                <w:szCs w:val="21"/>
                <w14:textFill>
                  <w14:solidFill>
                    <w14:schemeClr w14:val="tx1"/>
                  </w14:solidFill>
                </w14:textFill>
              </w:rPr>
              <w:t>负责人员、资源配置、应急队伍的调动；</w:t>
            </w:r>
            <w:r>
              <w:rPr>
                <w:rFonts w:hint="eastAsia" w:ascii="宋体" w:hAnsi="宋体" w:cs="宋体"/>
                <w:color w:val="000000" w:themeColor="text1"/>
                <w:szCs w:val="21"/>
                <w14:textFill>
                  <w14:solidFill>
                    <w14:schemeClr w14:val="tx1"/>
                  </w14:solidFill>
                </w14:textFill>
              </w:rPr>
              <w:t>⑸</w:t>
            </w:r>
            <w:r>
              <w:rPr>
                <w:color w:val="000000" w:themeColor="text1"/>
                <w:szCs w:val="21"/>
                <w14:textFill>
                  <w14:solidFill>
                    <w14:schemeClr w14:val="tx1"/>
                  </w14:solidFill>
                </w14:textFill>
              </w:rPr>
              <w:t>确定现场指挥人员；</w:t>
            </w:r>
            <w:r>
              <w:rPr>
                <w:rFonts w:hint="eastAsia" w:ascii="宋体" w:hAnsi="宋体" w:cs="宋体"/>
                <w:color w:val="000000" w:themeColor="text1"/>
                <w:szCs w:val="21"/>
                <w14:textFill>
                  <w14:solidFill>
                    <w14:schemeClr w14:val="tx1"/>
                  </w14:solidFill>
                </w14:textFill>
              </w:rPr>
              <w:t>⑹</w:t>
            </w:r>
            <w:r>
              <w:rPr>
                <w:color w:val="000000" w:themeColor="text1"/>
                <w:szCs w:val="21"/>
                <w14:textFill>
                  <w14:solidFill>
                    <w14:schemeClr w14:val="tx1"/>
                  </w14:solidFill>
                </w14:textFill>
              </w:rPr>
              <w:t>协调事故现场有关工作；</w:t>
            </w:r>
            <w:r>
              <w:rPr>
                <w:rFonts w:hint="eastAsia" w:ascii="宋体" w:hAnsi="宋体" w:cs="宋体"/>
                <w:color w:val="000000" w:themeColor="text1"/>
                <w:szCs w:val="21"/>
                <w14:textFill>
                  <w14:solidFill>
                    <w14:schemeClr w14:val="tx1"/>
                  </w14:solidFill>
                </w14:textFill>
              </w:rPr>
              <w:t>⑺</w:t>
            </w:r>
            <w:r>
              <w:rPr>
                <w:color w:val="000000" w:themeColor="text1"/>
                <w:szCs w:val="21"/>
                <w14:textFill>
                  <w14:solidFill>
                    <w14:schemeClr w14:val="tx1"/>
                  </w14:solidFill>
                </w14:textFill>
              </w:rPr>
              <w:t>批准本预案的启动与终止；</w:t>
            </w:r>
            <w:r>
              <w:rPr>
                <w:rFonts w:hint="eastAsia" w:ascii="宋体" w:hAnsi="宋体" w:cs="宋体"/>
                <w:color w:val="000000" w:themeColor="text1"/>
                <w:szCs w:val="21"/>
                <w14:textFill>
                  <w14:solidFill>
                    <w14:schemeClr w14:val="tx1"/>
                  </w14:solidFill>
                </w14:textFill>
              </w:rPr>
              <w:t>⑻</w:t>
            </w:r>
            <w:r>
              <w:rPr>
                <w:color w:val="000000" w:themeColor="text1"/>
                <w:szCs w:val="21"/>
                <w14:textFill>
                  <w14:solidFill>
                    <w14:schemeClr w14:val="tx1"/>
                  </w14:solidFill>
                </w14:textFill>
              </w:rPr>
              <w:t>事故状态下各级人员的职责；</w:t>
            </w:r>
            <w:r>
              <w:rPr>
                <w:rFonts w:hint="eastAsia" w:ascii="宋体" w:hAnsi="宋体" w:cs="宋体"/>
                <w:color w:val="000000" w:themeColor="text1"/>
                <w:szCs w:val="21"/>
                <w14:textFill>
                  <w14:solidFill>
                    <w14:schemeClr w14:val="tx1"/>
                  </w14:solidFill>
                </w14:textFill>
              </w:rPr>
              <w:t>⑼</w:t>
            </w:r>
            <w:r>
              <w:rPr>
                <w:color w:val="000000" w:themeColor="text1"/>
                <w:szCs w:val="21"/>
                <w14:textFill>
                  <w14:solidFill>
                    <w14:schemeClr w14:val="tx1"/>
                  </w14:solidFill>
                </w14:textFill>
              </w:rPr>
              <w:t>事故信息的上报工作；</w:t>
            </w:r>
            <w:r>
              <w:rPr>
                <w:rFonts w:hint="eastAsia" w:ascii="宋体" w:hAnsi="宋体" w:cs="宋体"/>
                <w:color w:val="000000" w:themeColor="text1"/>
                <w:szCs w:val="21"/>
                <w14:textFill>
                  <w14:solidFill>
                    <w14:schemeClr w14:val="tx1"/>
                  </w14:solidFill>
                </w14:textFill>
              </w:rPr>
              <w:t>⑽</w:t>
            </w:r>
            <w:r>
              <w:rPr>
                <w:color w:val="000000" w:themeColor="text1"/>
                <w:szCs w:val="21"/>
                <w14:textFill>
                  <w14:solidFill>
                    <w14:schemeClr w14:val="tx1"/>
                  </w14:solidFill>
                </w14:textFill>
              </w:rPr>
              <w:t>接受政府的指令和调动；</w:t>
            </w:r>
            <w:r>
              <w:rPr>
                <w:rFonts w:hint="eastAsia" w:ascii="宋体" w:hAnsi="宋体" w:cs="宋体"/>
                <w:color w:val="000000" w:themeColor="text1"/>
                <w:szCs w:val="21"/>
                <w14:textFill>
                  <w14:solidFill>
                    <w14:schemeClr w14:val="tx1"/>
                  </w14:solidFill>
                </w14:textFill>
              </w:rPr>
              <w:t>⑾</w:t>
            </w:r>
            <w:r>
              <w:rPr>
                <w:color w:val="000000" w:themeColor="text1"/>
                <w:szCs w:val="21"/>
                <w14:textFill>
                  <w14:solidFill>
                    <w14:schemeClr w14:val="tx1"/>
                  </w14:solidFill>
                </w14:textFill>
              </w:rPr>
              <w:t>组织应急预案的演练；</w:t>
            </w:r>
            <w:r>
              <w:rPr>
                <w:rFonts w:hint="eastAsia" w:ascii="宋体" w:hAnsi="宋体" w:cs="宋体"/>
                <w:color w:val="000000" w:themeColor="text1"/>
                <w:szCs w:val="21"/>
                <w14:textFill>
                  <w14:solidFill>
                    <w14:schemeClr w14:val="tx1"/>
                  </w14:solidFill>
                </w14:textFill>
              </w:rPr>
              <w:t>⑿</w:t>
            </w:r>
            <w:r>
              <w:rPr>
                <w:color w:val="000000" w:themeColor="text1"/>
                <w:szCs w:val="21"/>
                <w14:textFill>
                  <w14:solidFill>
                    <w14:schemeClr w14:val="tx1"/>
                  </w14:solidFill>
                </w14:textFill>
              </w:rPr>
              <w:t>负责保护事故现场及相关数据。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监控和预警</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⑴</w:t>
            </w:r>
            <w:r>
              <w:rPr>
                <w:color w:val="000000" w:themeColor="text1"/>
                <w:szCs w:val="21"/>
                <w14:textFill>
                  <w14:solidFill>
                    <w14:schemeClr w14:val="tx1"/>
                  </w14:solidFill>
                </w14:textFill>
              </w:rPr>
              <w:t>24小时有效的报警装置；</w:t>
            </w:r>
            <w:r>
              <w:rPr>
                <w:rFonts w:hint="eastAsia" w:ascii="宋体" w:hAnsi="宋体" w:cs="宋体"/>
                <w:color w:val="000000" w:themeColor="text1"/>
                <w:szCs w:val="21"/>
                <w14:textFill>
                  <w14:solidFill>
                    <w14:schemeClr w14:val="tx1"/>
                  </w14:solidFill>
                </w14:textFill>
              </w:rPr>
              <w:t>⑵</w:t>
            </w:r>
            <w:r>
              <w:rPr>
                <w:color w:val="000000" w:themeColor="text1"/>
                <w:szCs w:val="21"/>
                <w14:textFill>
                  <w14:solidFill>
                    <w14:schemeClr w14:val="tx1"/>
                  </w14:solidFill>
                </w14:textFill>
              </w:rPr>
              <w:t>24小时有效的内部、外部通讯联络手段；</w:t>
            </w:r>
            <w:r>
              <w:rPr>
                <w:rFonts w:hint="eastAsia" w:ascii="宋体" w:hAnsi="宋体" w:cs="宋体"/>
                <w:color w:val="000000" w:themeColor="text1"/>
                <w:szCs w:val="21"/>
                <w14:textFill>
                  <w14:solidFill>
                    <w14:schemeClr w14:val="tx1"/>
                  </w14:solidFill>
                </w14:textFill>
              </w:rPr>
              <w:t>⑶</w:t>
            </w:r>
            <w:r>
              <w:rPr>
                <w:color w:val="000000" w:themeColor="text1"/>
                <w:szCs w:val="21"/>
                <w14:textFill>
                  <w14:solidFill>
                    <w14:schemeClr w14:val="tx1"/>
                  </w14:solidFill>
                </w14:textFill>
              </w:rPr>
              <w:t>运输</w:t>
            </w:r>
            <w:r>
              <w:rPr>
                <w:rFonts w:hint="eastAsia"/>
                <w:color w:val="000000" w:themeColor="text1"/>
                <w:szCs w:val="21"/>
                <w14:textFill>
                  <w14:solidFill>
                    <w14:schemeClr w14:val="tx1"/>
                  </w14:solidFill>
                </w14:textFill>
              </w:rPr>
              <w:t>风险物质</w:t>
            </w:r>
            <w:r>
              <w:rPr>
                <w:color w:val="000000" w:themeColor="text1"/>
                <w:szCs w:val="21"/>
                <w14:textFill>
                  <w14:solidFill>
                    <w14:schemeClr w14:val="tx1"/>
                  </w14:solidFill>
                </w14:textFill>
              </w:rPr>
              <w:t>的驾驶员、押运员报警及与本单位、生产厂家、托运方联系的方式、方法。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应急响应</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侦察监测，对事故性质、参数与后果进行评估，为指挥部门提供决策依据；事故现场、邻近区域、控制防火区域，控制和清除污染措施及相应设备；事故现场、工厂邻近区、受事故影响的区域人员及公众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应急保障</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危险目标周围可利用的安全、消防、个体防护设备、器材及其分布。应急设施，设备与器材等。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善后处置</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886" w:type="pct"/>
            <w:shd w:val="clear" w:color="auto" w:fill="auto"/>
            <w:vAlign w:val="center"/>
          </w:tcPr>
          <w:p>
            <w:pPr>
              <w:pStyle w:val="47"/>
              <w:numPr>
                <w:ilvl w:val="0"/>
                <w:numId w:val="0"/>
              </w:num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预案管理与演练</w:t>
            </w:r>
          </w:p>
        </w:tc>
        <w:tc>
          <w:tcPr>
            <w:tcW w:w="3684" w:type="pct"/>
            <w:shd w:val="clear" w:color="auto" w:fill="auto"/>
            <w:vAlign w:val="center"/>
          </w:tcPr>
          <w:p>
            <w:pPr>
              <w:pStyle w:val="47"/>
              <w:numPr>
                <w:ilvl w:val="0"/>
                <w:numId w:val="0"/>
              </w:numPr>
              <w:spacing w:line="24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依据对从业人员能力的评估和社区或周边人员素质的分析结果，确定培训内容，依据对从业人员能力的评估和周边人员素质的分析结果，确定演练内容。</w:t>
            </w:r>
          </w:p>
        </w:tc>
      </w:tr>
    </w:tbl>
    <w:p>
      <w:pPr>
        <w:pStyle w:val="179"/>
        <w:rPr>
          <w:rFonts w:eastAsia="宋体"/>
          <w:color w:val="000000" w:themeColor="text1"/>
          <w14:textFill>
            <w14:solidFill>
              <w14:schemeClr w14:val="tx1"/>
            </w14:solidFill>
          </w14:textFill>
        </w:rPr>
      </w:pPr>
      <w:bookmarkStart w:id="212" w:name="_Toc155271435"/>
      <w:r>
        <w:rPr>
          <w:rFonts w:eastAsia="宋体"/>
          <w:color w:val="000000" w:themeColor="text1"/>
          <w14:textFill>
            <w14:solidFill>
              <w14:schemeClr w14:val="tx1"/>
            </w14:solidFill>
          </w14:textFill>
        </w:rPr>
        <w:t>5.7结论</w:t>
      </w:r>
      <w:bookmarkEnd w:id="211"/>
      <w:bookmarkEnd w:id="212"/>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本项目运营期可能产生一定的风险影响，采取本环评提出的环境风险防范措施后，风险事故发生概率很低，对环境的影响可得到有效控制，对环境影响较小。因此，本项目风险水平是可以接受的。</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环境风险分析详见表5.7-1。</w:t>
      </w:r>
    </w:p>
    <w:p>
      <w:pPr>
        <w:pStyle w:val="272"/>
        <w:spacing w:line="240" w:lineRule="auto"/>
        <w:ind w:firstLine="0"/>
        <w:jc w:val="center"/>
        <w:rPr>
          <w:rFonts w:ascii="Times New Roman" w:hAnsi="Times New Roman" w:eastAsia="宋体"/>
          <w:b/>
          <w:color w:val="000000" w:themeColor="text1"/>
          <w:szCs w:val="24"/>
          <w14:textFill>
            <w14:solidFill>
              <w14:schemeClr w14:val="tx1"/>
            </w14:solidFill>
          </w14:textFill>
        </w:rPr>
      </w:pPr>
      <w:bookmarkStart w:id="213" w:name="_Toc28791"/>
      <w:r>
        <w:rPr>
          <w:rFonts w:ascii="Times New Roman" w:hAnsi="Times New Roman" w:eastAsia="宋体"/>
          <w:b/>
          <w:color w:val="000000" w:themeColor="text1"/>
          <w:szCs w:val="24"/>
          <w14:textFill>
            <w14:solidFill>
              <w14:schemeClr w14:val="tx1"/>
            </w14:solidFill>
          </w14:textFill>
        </w:rPr>
        <w:t>表5.7-1  环境风险简单分析内容表</w:t>
      </w:r>
      <w:bookmarkEnd w:id="213"/>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2"/>
        <w:gridCol w:w="1180"/>
        <w:gridCol w:w="2005"/>
        <w:gridCol w:w="900"/>
        <w:gridCol w:w="24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3" w:type="pct"/>
            <w:tcBorders>
              <w:top w:val="single" w:color="auto" w:sz="12" w:space="0"/>
            </w:tcBorders>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建设项目名称</w:t>
            </w:r>
          </w:p>
        </w:tc>
        <w:tc>
          <w:tcPr>
            <w:tcW w:w="3567" w:type="pct"/>
            <w:gridSpan w:val="4"/>
            <w:tcBorders>
              <w:top w:val="single" w:color="auto" w:sz="12" w:space="0"/>
            </w:tcBorders>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年产3万吨钢桥建设项目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3"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建设地点</w:t>
            </w:r>
          </w:p>
        </w:tc>
        <w:tc>
          <w:tcPr>
            <w:tcW w:w="3567" w:type="pct"/>
            <w:gridSpan w:val="4"/>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rFonts w:hint="eastAsia"/>
                <w:color w:val="000000" w:themeColor="text1"/>
                <w:sz w:val="21"/>
                <w:lang w:val="zh-CN"/>
                <w14:textFill>
                  <w14:solidFill>
                    <w14:schemeClr w14:val="tx1"/>
                  </w14:solidFill>
                </w14:textFill>
              </w:rPr>
              <w:t>重庆市大足区邮亭镇天堂村九组129号、重庆市大足区邮亭镇工业园区烈火村17组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3"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地理坐标</w:t>
            </w:r>
          </w:p>
        </w:tc>
        <w:tc>
          <w:tcPr>
            <w:tcW w:w="645"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经度</w:t>
            </w:r>
          </w:p>
        </w:tc>
        <w:tc>
          <w:tcPr>
            <w:tcW w:w="1096"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105°45′18.619″</w:t>
            </w:r>
          </w:p>
        </w:tc>
        <w:tc>
          <w:tcPr>
            <w:tcW w:w="492"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纬度</w:t>
            </w:r>
          </w:p>
        </w:tc>
        <w:tc>
          <w:tcPr>
            <w:tcW w:w="1334"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29°27′0.649″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3"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主要危险物质及分布</w:t>
            </w:r>
          </w:p>
        </w:tc>
        <w:tc>
          <w:tcPr>
            <w:tcW w:w="3567" w:type="pct"/>
            <w:gridSpan w:val="4"/>
            <w:vAlign w:val="center"/>
          </w:tcPr>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油品库房：空压机油、润滑油、切削液</w:t>
            </w:r>
          </w:p>
          <w:p>
            <w:pPr>
              <w:pStyle w:val="296"/>
              <w:overflowPunct w:val="0"/>
              <w:snapToGrid w:val="0"/>
              <w:spacing w:line="240" w:lineRule="auto"/>
              <w:ind w:firstLine="0"/>
              <w:jc w:val="left"/>
              <w:textAlignment w:val="center"/>
              <w:rPr>
                <w:color w:val="000000" w:themeColor="text1"/>
                <w:sz w:val="21"/>
                <w:lang w:val="zh-CN"/>
                <w14:textFill>
                  <w14:solidFill>
                    <w14:schemeClr w14:val="tx1"/>
                  </w14:solidFill>
                </w14:textFill>
              </w:rPr>
            </w:pPr>
            <w:r>
              <w:rPr>
                <w:rFonts w:hint="eastAsia"/>
                <w:color w:val="000000" w:themeColor="text1"/>
                <w:sz w:val="21"/>
                <w:lang w:val="zh-CN"/>
                <w14:textFill>
                  <w14:solidFill>
                    <w14:schemeClr w14:val="tx1"/>
                  </w14:solidFill>
                </w14:textFill>
              </w:rPr>
              <w:t>油漆库房：油漆、空压机油</w:t>
            </w:r>
          </w:p>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rFonts w:hint="eastAsia"/>
                <w:color w:val="000000" w:themeColor="text1"/>
                <w:sz w:val="21"/>
                <w:lang w:val="zh-CN"/>
                <w14:textFill>
                  <w14:solidFill>
                    <w14:schemeClr w14:val="tx1"/>
                  </w14:solidFill>
                </w14:textFill>
              </w:rPr>
              <w:t>危废暂存间：废空压机油、废润滑油、废切削液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33"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环境影响途径及危害后果（大气、地表水、地下水等）</w:t>
            </w:r>
          </w:p>
        </w:tc>
        <w:tc>
          <w:tcPr>
            <w:tcW w:w="3567" w:type="pct"/>
            <w:gridSpan w:val="4"/>
            <w:vAlign w:val="center"/>
          </w:tcPr>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大气：火灾，小范围内影响</w:t>
            </w:r>
          </w:p>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地下水、地表水：</w:t>
            </w:r>
            <w:r>
              <w:rPr>
                <w:rFonts w:hint="eastAsia"/>
                <w:color w:val="000000" w:themeColor="text1"/>
                <w:sz w:val="21"/>
                <w14:textFill>
                  <w14:solidFill>
                    <w14:schemeClr w14:val="tx1"/>
                  </w14:solidFill>
                </w14:textFill>
              </w:rPr>
              <w:t>各类油漆、油品</w:t>
            </w:r>
            <w:r>
              <w:rPr>
                <w:color w:val="000000" w:themeColor="text1"/>
                <w:sz w:val="21"/>
                <w14:textFill>
                  <w14:solidFill>
                    <w14:schemeClr w14:val="tx1"/>
                  </w14:solidFill>
                </w14:textFill>
              </w:rPr>
              <w:t>等渗漏，影响较小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3" w:type="pct"/>
            <w:vAlign w:val="center"/>
          </w:tcPr>
          <w:p>
            <w:pPr>
              <w:pStyle w:val="296"/>
              <w:overflowPunct w:val="0"/>
              <w:snapToGrid w:val="0"/>
              <w:spacing w:line="240" w:lineRule="auto"/>
              <w:ind w:firstLine="0"/>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拟采取风险防范措施</w:t>
            </w:r>
          </w:p>
        </w:tc>
        <w:tc>
          <w:tcPr>
            <w:tcW w:w="3567" w:type="pct"/>
            <w:gridSpan w:val="4"/>
            <w:vAlign w:val="center"/>
          </w:tcPr>
          <w:p>
            <w:pPr>
              <w:pStyle w:val="35"/>
              <w:spacing w:line="240" w:lineRule="auto"/>
              <w:ind w:firstLine="0" w:firstLineChars="0"/>
              <w:rPr>
                <w:sz w:val="21"/>
                <w:szCs w:val="21"/>
              </w:rPr>
            </w:pPr>
            <w:bookmarkStart w:id="214" w:name="_Toc23093"/>
            <w:r>
              <w:rPr>
                <w:sz w:val="21"/>
                <w:szCs w:val="21"/>
              </w:rPr>
              <w:t>（1）</w:t>
            </w:r>
            <w:r>
              <w:rPr>
                <w:rFonts w:hint="eastAsia"/>
                <w:sz w:val="21"/>
                <w:szCs w:val="21"/>
              </w:rPr>
              <w:t>油漆库房、油品库房应设置在</w:t>
            </w:r>
            <w:r>
              <w:rPr>
                <w:sz w:val="21"/>
                <w:szCs w:val="21"/>
              </w:rPr>
              <w:t>阴凉、干燥</w:t>
            </w:r>
            <w:r>
              <w:rPr>
                <w:rFonts w:hint="eastAsia"/>
                <w:sz w:val="21"/>
                <w:szCs w:val="21"/>
              </w:rPr>
              <w:t>的地方，要</w:t>
            </w:r>
            <w:r>
              <w:rPr>
                <w:sz w:val="21"/>
                <w:szCs w:val="21"/>
              </w:rPr>
              <w:t>通风良好</w:t>
            </w:r>
            <w:r>
              <w:rPr>
                <w:rFonts w:hint="eastAsia"/>
                <w:sz w:val="21"/>
                <w:szCs w:val="21"/>
              </w:rPr>
              <w:t>；油漆库房、油品库房地面和四周墙壁采取防渗防腐措施，门口设置漫坡；对各类油漆和油品储存容器底部设置防渗漏托盘；油漆库房、油品库房应</w:t>
            </w:r>
            <w:r>
              <w:rPr>
                <w:sz w:val="21"/>
                <w:szCs w:val="21"/>
              </w:rPr>
              <w:t>设置禁火标识</w:t>
            </w:r>
            <w:r>
              <w:rPr>
                <w:rFonts w:hint="eastAsia"/>
                <w:sz w:val="21"/>
                <w:szCs w:val="21"/>
              </w:rPr>
              <w:t>，严禁烟火</w:t>
            </w:r>
            <w:r>
              <w:rPr>
                <w:sz w:val="21"/>
                <w:szCs w:val="21"/>
              </w:rPr>
              <w:t>。</w:t>
            </w:r>
            <w:bookmarkEnd w:id="214"/>
          </w:p>
          <w:p>
            <w:pPr>
              <w:pStyle w:val="35"/>
              <w:spacing w:line="240" w:lineRule="auto"/>
              <w:ind w:firstLine="0" w:firstLineChars="0"/>
              <w:rPr>
                <w:sz w:val="21"/>
                <w:szCs w:val="21"/>
              </w:rPr>
            </w:pPr>
            <w:r>
              <w:rPr>
                <w:sz w:val="21"/>
                <w:szCs w:val="21"/>
              </w:rPr>
              <w:t>（2）</w:t>
            </w:r>
            <w:r>
              <w:rPr>
                <w:rFonts w:hint="eastAsia"/>
                <w:sz w:val="21"/>
                <w:szCs w:val="21"/>
              </w:rPr>
              <w:t>危废暂存间做好“防风、防雨、防晒、防渗、防腐、防漏”六防措施，设置防渗漏托盘，并设置收集沟和收集井</w:t>
            </w:r>
            <w:r>
              <w:rPr>
                <w:sz w:val="21"/>
                <w:szCs w:val="21"/>
              </w:rPr>
              <w:t>。</w:t>
            </w:r>
          </w:p>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（3）企业建立安全生产岗位责任制，制定安全生产规章制度、安全操作规程，防止人为事故发生</w:t>
            </w:r>
            <w:r>
              <w:rPr>
                <w:color w:val="000000" w:themeColor="text1"/>
                <w:kern w:val="2"/>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bottom w:val="single" w:color="auto" w:sz="12" w:space="0"/>
            </w:tcBorders>
            <w:vAlign w:val="center"/>
          </w:tcPr>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填表说明（列出项目相关信息及评价说明）：</w:t>
            </w:r>
          </w:p>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w:t>
            </w:r>
            <w:r>
              <w:rPr>
                <w:color w:val="000000" w:themeColor="text1"/>
                <w:sz w:val="21"/>
                <w14:textFill>
                  <w14:solidFill>
                    <w14:schemeClr w14:val="tx1"/>
                  </w14:solidFill>
                </w14:textFill>
              </w:rPr>
              <w:t>环境风险潜势为Ⅰ，开展简单分析。</w:t>
            </w:r>
          </w:p>
          <w:p>
            <w:pPr>
              <w:pStyle w:val="296"/>
              <w:overflowPunct w:val="0"/>
              <w:snapToGrid w:val="0"/>
              <w:spacing w:line="240" w:lineRule="auto"/>
              <w:ind w:firstLine="0"/>
              <w:jc w:val="left"/>
              <w:textAlignment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w:t>
            </w:r>
            <w:r>
              <w:rPr>
                <w:color w:val="000000" w:themeColor="text1"/>
                <w:sz w:val="21"/>
                <w14:textFill>
                  <w14:solidFill>
                    <w14:schemeClr w14:val="tx1"/>
                  </w14:solidFill>
                </w14:textFill>
              </w:rPr>
              <w:t>所用原材料均不构成重大危险源，生产过程中也不存在重大风险，对周围环境的风险影响较小，其环境风险是可控的。</w:t>
            </w:r>
            <w:r>
              <w:rPr>
                <w:rFonts w:hint="eastAsia"/>
                <w:color w:val="000000" w:themeColor="text1"/>
                <w:sz w:val="21"/>
                <w14:textFill>
                  <w14:solidFill>
                    <w14:schemeClr w14:val="tx1"/>
                  </w14:solidFill>
                </w14:textFill>
              </w:rPr>
              <w:t>本项目</w:t>
            </w:r>
            <w:r>
              <w:rPr>
                <w:color w:val="000000" w:themeColor="text1"/>
                <w:sz w:val="21"/>
                <w14:textFill>
                  <w14:solidFill>
                    <w14:schemeClr w14:val="tx1"/>
                  </w14:solidFill>
                </w14:textFill>
              </w:rPr>
              <w:t>应严格按照本评价提出的措施执行，降低危险事故的发生及影响的扩散</w:t>
            </w:r>
            <w:r>
              <w:rPr>
                <w:rFonts w:hint="eastAsia"/>
                <w:color w:val="000000" w:themeColor="text1"/>
                <w:sz w:val="21"/>
                <w14:textFill>
                  <w14:solidFill>
                    <w14:schemeClr w14:val="tx1"/>
                  </w14:solidFill>
                </w14:textFill>
              </w:rPr>
              <w:t>。</w:t>
            </w:r>
          </w:p>
        </w:tc>
      </w:tr>
    </w:tbl>
    <w:p>
      <w:pPr>
        <w:rPr>
          <w:rFonts w:eastAsia="宋体"/>
          <w:color w:val="000000" w:themeColor="text1"/>
          <w14:textFill>
            <w14:solidFill>
              <w14:schemeClr w14:val="tx1"/>
            </w14:solidFill>
          </w14:textFill>
        </w:rPr>
      </w:pPr>
    </w:p>
    <w:p>
      <w:pPr>
        <w:pStyle w:val="181"/>
        <w:jc w:val="both"/>
        <w:rPr>
          <w:rFonts w:eastAsia="宋体"/>
          <w:color w:val="000000" w:themeColor="text1"/>
          <w14:textFill>
            <w14:solidFill>
              <w14:schemeClr w14:val="tx1"/>
            </w14:solidFill>
          </w14:textFill>
        </w:rPr>
        <w:sectPr>
          <w:pgSz w:w="11906" w:h="16838"/>
          <w:pgMar w:top="709" w:right="1274" w:bottom="1440" w:left="1701" w:header="851" w:footer="992" w:gutter="0"/>
          <w:cols w:space="425" w:num="1"/>
          <w:docGrid w:type="lines" w:linePitch="326" w:charSpace="0"/>
        </w:sectPr>
      </w:pPr>
    </w:p>
    <w:p>
      <w:pPr>
        <w:pStyle w:val="181"/>
        <w:rPr>
          <w:rFonts w:eastAsia="宋体"/>
          <w:color w:val="000000" w:themeColor="text1"/>
          <w14:textFill>
            <w14:solidFill>
              <w14:schemeClr w14:val="tx1"/>
            </w14:solidFill>
          </w14:textFill>
        </w:rPr>
      </w:pPr>
      <w:bookmarkStart w:id="215" w:name="_Toc155271436"/>
      <w:r>
        <w:rPr>
          <w:rFonts w:eastAsia="宋体"/>
          <w:color w:val="000000" w:themeColor="text1"/>
          <w14:textFill>
            <w14:solidFill>
              <w14:schemeClr w14:val="tx1"/>
            </w14:solidFill>
          </w14:textFill>
        </w:rPr>
        <w:t>6环境保护措施及其可行性论证</w:t>
      </w:r>
      <w:bookmarkEnd w:id="215"/>
    </w:p>
    <w:p>
      <w:pPr>
        <w:pStyle w:val="179"/>
        <w:rPr>
          <w:rFonts w:eastAsia="宋体"/>
          <w:color w:val="000000" w:themeColor="text1"/>
          <w14:textFill>
            <w14:solidFill>
              <w14:schemeClr w14:val="tx1"/>
            </w14:solidFill>
          </w14:textFill>
        </w:rPr>
      </w:pPr>
      <w:bookmarkStart w:id="216" w:name="_Toc24247"/>
      <w:bookmarkStart w:id="217" w:name="_Toc155271437"/>
      <w:r>
        <w:rPr>
          <w:rFonts w:eastAsia="宋体"/>
          <w:color w:val="000000" w:themeColor="text1"/>
          <w14:textFill>
            <w14:solidFill>
              <w14:schemeClr w14:val="tx1"/>
            </w14:solidFill>
          </w14:textFill>
        </w:rPr>
        <w:t>6.1</w:t>
      </w:r>
      <w:bookmarkEnd w:id="216"/>
      <w:r>
        <w:rPr>
          <w:rFonts w:hint="eastAsia" w:eastAsia="宋体"/>
          <w:color w:val="000000" w:themeColor="text1"/>
          <w14:textFill>
            <w14:solidFill>
              <w14:schemeClr w14:val="tx1"/>
            </w14:solidFill>
          </w14:textFill>
        </w:rPr>
        <w:t>废气</w:t>
      </w:r>
      <w:r>
        <w:rPr>
          <w:rFonts w:eastAsia="宋体"/>
          <w:color w:val="000000" w:themeColor="text1"/>
          <w14:textFill>
            <w14:solidFill>
              <w14:schemeClr w14:val="tx1"/>
            </w14:solidFill>
          </w14:textFill>
        </w:rPr>
        <w:t>污染防治措施</w:t>
      </w:r>
      <w:bookmarkEnd w:id="217"/>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6.1.1</w:t>
      </w:r>
      <w:r>
        <w:rPr>
          <w:rFonts w:hint="eastAsia" w:eastAsia="宋体"/>
          <w:b/>
          <w:bCs/>
          <w:color w:val="000000" w:themeColor="text1"/>
          <w:szCs w:val="32"/>
          <w14:textFill>
            <w14:solidFill>
              <w14:schemeClr w14:val="tx1"/>
            </w14:solidFill>
          </w14:textFill>
        </w:rPr>
        <w:t>切割下料粉尘</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w:t>
      </w:r>
      <w:r>
        <w:rPr>
          <w:rFonts w:hint="eastAsia" w:eastAsia="宋体"/>
          <w:color w:val="000000" w:themeColor="text1"/>
          <w14:textFill>
            <w14:solidFill>
              <w14:schemeClr w14:val="tx1"/>
            </w14:solidFill>
          </w14:textFill>
        </w:rPr>
        <w:t>切割下料粉尘采用在工位</w:t>
      </w:r>
      <w:r>
        <w:rPr>
          <w:rFonts w:eastAsia="宋体"/>
          <w:color w:val="000000" w:themeColor="text1"/>
          <w14:textFill>
            <w14:solidFill>
              <w14:schemeClr w14:val="tx1"/>
            </w14:solidFill>
          </w14:textFill>
        </w:rPr>
        <w:t>设置集气罩，</w:t>
      </w:r>
      <w:r>
        <w:rPr>
          <w:rFonts w:hint="eastAsia" w:eastAsia="宋体"/>
          <w:color w:val="000000" w:themeColor="text1"/>
          <w14:textFill>
            <w14:solidFill>
              <w14:schemeClr w14:val="tx1"/>
            </w14:solidFill>
          </w14:textFill>
        </w:rPr>
        <w:t>切割下料粉尘</w:t>
      </w:r>
      <w:r>
        <w:rPr>
          <w:rFonts w:eastAsia="宋体"/>
          <w:color w:val="000000" w:themeColor="text1"/>
          <w14:textFill>
            <w14:solidFill>
              <w14:schemeClr w14:val="tx1"/>
            </w14:solidFill>
          </w14:textFill>
        </w:rPr>
        <w:t>经管道收集后经</w:t>
      </w:r>
      <w:r>
        <w:rPr>
          <w:rFonts w:hint="eastAsia" w:eastAsia="宋体"/>
          <w:color w:val="000000" w:themeColor="text1"/>
          <w14:textFill>
            <w14:solidFill>
              <w14:schemeClr w14:val="tx1"/>
            </w14:solidFill>
          </w14:textFill>
        </w:rPr>
        <w:t>滤筒</w:t>
      </w:r>
      <w:r>
        <w:rPr>
          <w:rFonts w:eastAsia="宋体"/>
          <w:color w:val="000000" w:themeColor="text1"/>
          <w14:textFill>
            <w14:solidFill>
              <w14:schemeClr w14:val="tx1"/>
            </w14:solidFill>
          </w14:textFill>
        </w:rPr>
        <w:t>除尘器处理后通过20m</w:t>
      </w:r>
      <w:r>
        <w:rPr>
          <w:rFonts w:hint="eastAsia" w:eastAsia="宋体"/>
          <w:color w:val="000000" w:themeColor="text1"/>
          <w14:textFill>
            <w14:solidFill>
              <w14:schemeClr w14:val="tx1"/>
            </w14:solidFill>
          </w14:textFill>
        </w:rPr>
        <w:t>高</w:t>
      </w:r>
      <w:r>
        <w:rPr>
          <w:rFonts w:eastAsia="宋体"/>
          <w:color w:val="000000" w:themeColor="text1"/>
          <w14:textFill>
            <w14:solidFill>
              <w14:schemeClr w14:val="tx1"/>
            </w14:solidFill>
          </w14:textFill>
        </w:rPr>
        <w:t>排气筒（DA001）排放。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参考</w:t>
      </w:r>
      <w:r>
        <w:rPr>
          <w:rFonts w:eastAsia="宋体"/>
          <w:color w:val="000000" w:themeColor="text1"/>
          <w14:textFill>
            <w14:solidFill>
              <w14:schemeClr w14:val="tx1"/>
            </w14:solidFill>
          </w14:textFill>
        </w:rPr>
        <w:t>《排放源统计调查产排污核算方法和系数手册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33-37，431-434机械行业系数手册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，本项目所采用的</w:t>
      </w:r>
      <w:r>
        <w:rPr>
          <w:rFonts w:hint="eastAsia" w:eastAsia="宋体"/>
          <w:color w:val="000000" w:themeColor="text1"/>
          <w14:textFill>
            <w14:solidFill>
              <w14:schemeClr w14:val="tx1"/>
            </w14:solidFill>
          </w14:textFill>
        </w:rPr>
        <w:t>滤筒</w:t>
      </w:r>
      <w:r>
        <w:rPr>
          <w:rFonts w:eastAsia="宋体"/>
          <w:color w:val="000000" w:themeColor="text1"/>
          <w14:textFill>
            <w14:solidFill>
              <w14:schemeClr w14:val="tx1"/>
            </w14:solidFill>
          </w14:textFill>
        </w:rPr>
        <w:t>除尘器属于可行技术，颗粒物处理效率为95%。</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含尘气体中的较粗的颗粒在管道内随气流滚动，在自重力的作用下直接落入集灰斗并储存起来，从而起到了预收的作用。细微的粉尘进入净化系统后也会减慢速度流向滤筒，被挡在滤筒的外表面，被过滤后的净化气体进入上箱体经出风口排出，由风机和排气筒排入大气。随着过滤工况的持续，积附在滤筒外表面的灰尘也随之增加，除尘器阻力逐渐增大，导致除尘效率有所降低。净化系统的控制系统通过压差的感应系统一直处于监控状态，当风阻到达一定值时，控制系统自动打开压缩空气电磁阀，通过过滤桶的喷嘴对滤筒进行反吹清灰（反吹是由脉冲系统按设定的脉冲程序，定时向电磁阀发出信号进行反吹工作），被清理的灰尘掉入下方的烟尘收集装置，完成一次的除尘净化过程，逐次反复这个过程，以达到较好的除尘的净化效果。滤筒采用PTFE覆膜滤筒，同时具有膜过滤和刚性机体过滤的特点。坚固的刚性过滤体能承受较高的工作压力，不需任何骨架支撑，并能受一定的机械冲击力，反吹时滤筒不变形，安装和更换滤筒极为方便。滤筒除尘器内置火星预分离器，防止大颗粒粉尘和火星破坏过滤元件，具有性能稳定，重复利用度高等特点。</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w:t>
      </w:r>
      <w:r>
        <w:rPr>
          <w:rFonts w:hint="eastAsia" w:eastAsia="宋体"/>
          <w:color w:val="000000" w:themeColor="text1"/>
          <w14:textFill>
            <w14:solidFill>
              <w14:schemeClr w14:val="tx1"/>
            </w14:solidFill>
          </w14:textFill>
        </w:rPr>
        <w:t>切割下料粉尘</w:t>
      </w:r>
      <w:r>
        <w:rPr>
          <w:rFonts w:eastAsia="宋体"/>
          <w:color w:val="000000" w:themeColor="text1"/>
          <w14:textFill>
            <w14:solidFill>
              <w14:schemeClr w14:val="tx1"/>
            </w14:solidFill>
          </w14:textFill>
        </w:rPr>
        <w:t>经</w:t>
      </w:r>
      <w:r>
        <w:rPr>
          <w:rFonts w:hint="eastAsia" w:eastAsia="宋体"/>
          <w:color w:val="000000" w:themeColor="text1"/>
          <w14:textFill>
            <w14:solidFill>
              <w14:schemeClr w14:val="tx1"/>
            </w14:solidFill>
          </w14:textFill>
        </w:rPr>
        <w:t>滤筒</w:t>
      </w:r>
      <w:r>
        <w:rPr>
          <w:rFonts w:eastAsia="宋体"/>
          <w:color w:val="000000" w:themeColor="text1"/>
          <w14:textFill>
            <w14:solidFill>
              <w14:schemeClr w14:val="tx1"/>
            </w14:solidFill>
          </w14:textFill>
        </w:rPr>
        <w:t>除尘器处理后通过15m</w:t>
      </w:r>
      <w:r>
        <w:rPr>
          <w:rFonts w:hint="eastAsia" w:eastAsia="宋体"/>
          <w:color w:val="000000" w:themeColor="text1"/>
          <w14:textFill>
            <w14:solidFill>
              <w14:schemeClr w14:val="tx1"/>
            </w14:solidFill>
          </w14:textFill>
        </w:rPr>
        <w:t>高</w:t>
      </w:r>
      <w:r>
        <w:rPr>
          <w:rFonts w:eastAsia="宋体"/>
          <w:color w:val="000000" w:themeColor="text1"/>
          <w14:textFill>
            <w14:solidFill>
              <w14:schemeClr w14:val="tx1"/>
            </w14:solidFill>
          </w14:textFill>
        </w:rPr>
        <w:t>排气筒（DA001）排放，排气筒粉尘排放速率、排放浓度均满足《大气污染物综合排放标准》（DB 50/418-2016）相关排放标准限值要求。</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6</w:t>
      </w:r>
      <w:r>
        <w:rPr>
          <w:rFonts w:eastAsia="宋体"/>
          <w:b/>
          <w:bCs/>
          <w:color w:val="000000" w:themeColor="text1"/>
          <w:szCs w:val="32"/>
          <w14:textFill>
            <w14:solidFill>
              <w14:schemeClr w14:val="tx1"/>
            </w14:solidFill>
          </w14:textFill>
        </w:rPr>
        <w:t>.1.2</w:t>
      </w:r>
      <w:r>
        <w:rPr>
          <w:rFonts w:hint="eastAsia" w:eastAsia="宋体"/>
          <w:b/>
          <w:bCs/>
          <w:color w:val="000000" w:themeColor="text1"/>
          <w:szCs w:val="32"/>
          <w14:textFill>
            <w14:solidFill>
              <w14:schemeClr w14:val="tx1"/>
            </w14:solidFill>
          </w14:textFill>
        </w:rPr>
        <w:t>焊接烟尘</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焊接主要采用埋弧焊、二氧化碳保护焊和手工电弧焊。由于焊接工件大，焊接工位不固定，且厂房上侧过桁车，难以实现集中收集。因此，企业拟采取移动式焊烟净化器处理焊接烟尘，然后在车间内无组织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参考</w:t>
      </w:r>
      <w:r>
        <w:rPr>
          <w:rFonts w:eastAsia="宋体"/>
          <w:color w:val="000000" w:themeColor="text1"/>
          <w14:textFill>
            <w14:solidFill>
              <w14:schemeClr w14:val="tx1"/>
            </w14:solidFill>
          </w14:textFill>
        </w:rPr>
        <w:t>《排放源统计调查产排污核算方法和系数手册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33-37，431-434机械行业系数手册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，本项目所采用的</w:t>
      </w:r>
      <w:r>
        <w:rPr>
          <w:rFonts w:hint="eastAsia" w:eastAsia="宋体"/>
          <w:color w:val="000000" w:themeColor="text1"/>
          <w14:textFill>
            <w14:solidFill>
              <w14:schemeClr w14:val="tx1"/>
            </w14:solidFill>
          </w14:textFill>
        </w:rPr>
        <w:t>移动式焊烟净化器</w:t>
      </w:r>
      <w:r>
        <w:rPr>
          <w:rFonts w:eastAsia="宋体"/>
          <w:color w:val="000000" w:themeColor="text1"/>
          <w14:textFill>
            <w14:solidFill>
              <w14:schemeClr w14:val="tx1"/>
            </w14:solidFill>
          </w14:textFill>
        </w:rPr>
        <w:t>属于可行技术，颗粒物处理效率为90%</w:t>
      </w:r>
      <w:r>
        <w:rPr>
          <w:rFonts w:hint="eastAsia" w:eastAsia="宋体"/>
          <w:color w:val="000000" w:themeColor="text1"/>
          <w14:textFill>
            <w14:solidFill>
              <w14:schemeClr w14:val="tx1"/>
            </w14:solidFill>
          </w14:textFill>
        </w:rPr>
        <w:t>。</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6</w:t>
      </w:r>
      <w:r>
        <w:rPr>
          <w:rFonts w:eastAsia="宋体"/>
          <w:b/>
          <w:bCs/>
          <w:color w:val="000000" w:themeColor="text1"/>
          <w:szCs w:val="32"/>
          <w14:textFill>
            <w14:solidFill>
              <w14:schemeClr w14:val="tx1"/>
            </w14:solidFill>
          </w14:textFill>
        </w:rPr>
        <w:t>.1.3</w:t>
      </w:r>
      <w:r>
        <w:rPr>
          <w:rFonts w:hint="eastAsia" w:eastAsia="宋体"/>
          <w:b/>
          <w:bCs/>
          <w:color w:val="000000" w:themeColor="text1"/>
          <w:szCs w:val="32"/>
          <w14:textFill>
            <w14:solidFill>
              <w14:schemeClr w14:val="tx1"/>
            </w14:solidFill>
          </w14:textFill>
        </w:rPr>
        <w:t>喷砂粉尘</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w:t>
      </w:r>
      <w:r>
        <w:rPr>
          <w:rFonts w:hint="eastAsia" w:eastAsia="宋体"/>
          <w:color w:val="000000" w:themeColor="text1"/>
          <w14:textFill>
            <w14:solidFill>
              <w14:schemeClr w14:val="tx1"/>
            </w14:solidFill>
          </w14:textFill>
        </w:rPr>
        <w:t>喷砂作业在密闭的喷砂车间内进行，在喷砂机设置集风管，喷砂车间的喷砂粉尘</w:t>
      </w:r>
      <w:r>
        <w:rPr>
          <w:rFonts w:eastAsia="宋体"/>
          <w:color w:val="000000" w:themeColor="text1"/>
          <w14:textFill>
            <w14:solidFill>
              <w14:schemeClr w14:val="tx1"/>
            </w14:solidFill>
          </w14:textFill>
        </w:rPr>
        <w:t>经管道收集后经布袋除尘器处理后通过15m</w:t>
      </w:r>
      <w:r>
        <w:rPr>
          <w:rFonts w:hint="eastAsia" w:eastAsia="宋体"/>
          <w:color w:val="000000" w:themeColor="text1"/>
          <w14:textFill>
            <w14:solidFill>
              <w14:schemeClr w14:val="tx1"/>
            </w14:solidFill>
          </w14:textFill>
        </w:rPr>
        <w:t>高</w:t>
      </w:r>
      <w:r>
        <w:rPr>
          <w:rFonts w:eastAsia="宋体"/>
          <w:color w:val="000000" w:themeColor="text1"/>
          <w14:textFill>
            <w14:solidFill>
              <w14:schemeClr w14:val="tx1"/>
            </w14:solidFill>
          </w14:textFill>
        </w:rPr>
        <w:t>排气筒（DA002）排放。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参考</w:t>
      </w:r>
      <w:r>
        <w:rPr>
          <w:rFonts w:eastAsia="宋体"/>
          <w:color w:val="000000" w:themeColor="text1"/>
          <w14:textFill>
            <w14:solidFill>
              <w14:schemeClr w14:val="tx1"/>
            </w14:solidFill>
          </w14:textFill>
        </w:rPr>
        <w:t>《排放源统计调查产排污核算方法和系数手册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33-37，431-434机械行业系数手册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，本项目所采用的布袋除尘器属于可行技术，颗粒物处理效率为95%。</w:t>
      </w:r>
      <w:r>
        <w:rPr>
          <w:rFonts w:hint="eastAsia" w:eastAsia="宋体"/>
          <w:color w:val="000000" w:themeColor="text1"/>
          <w14:textFill>
            <w14:solidFill>
              <w14:schemeClr w14:val="tx1"/>
            </w14:solidFill>
          </w14:textFill>
        </w:rPr>
        <w:t>经处理后的粉尘排放速率、排放浓度</w:t>
      </w:r>
      <w:r>
        <w:rPr>
          <w:rFonts w:eastAsia="宋体"/>
          <w:color w:val="000000" w:themeColor="text1"/>
          <w14:textFill>
            <w14:solidFill>
              <w14:schemeClr w14:val="tx1"/>
            </w14:solidFill>
          </w14:textFill>
        </w:rPr>
        <w:t>均满足《大气污染物综合排放标准》（DB 50/418-2016）相关排放标准限值要求</w:t>
      </w:r>
      <w:r>
        <w:rPr>
          <w:rFonts w:hint="eastAsia"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布袋除尘器也称为过滤式除尘器，是一种干式高效除尘器，它是利用纤维编制物制作的袋式过滤元件来捕集含尘气体中固体颗粒物的除尘装置。其作用原理是尘粒在绕过滤布纤维时因惯性力作用与纤维碰撞而被拦截。滤布材料是布袋除尘器的关键，性能良好的滤布，除特定的致密度和透气性外，还应有良好的耐腐蚀性、耐热性及较高的机械强度。目前国内布袋除尘器在矿山、水泥、冶金钢铁、粮食、机械、制药及家具等行业已经得到广泛的应用，都取得了很好的除尘效果。另外布袋除尘器除尘效率高，附属设备少，投资省，且性能稳定可靠，运行管理简便，特别适宜捕集细微而干燥的粉尘，所收的干尘便于处理和回收利用。同时布袋除尘器也属于推荐工艺。</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6</w:t>
      </w:r>
      <w:r>
        <w:rPr>
          <w:rFonts w:eastAsia="宋体"/>
          <w:b/>
          <w:bCs/>
          <w:color w:val="000000" w:themeColor="text1"/>
          <w:szCs w:val="32"/>
          <w14:textFill>
            <w14:solidFill>
              <w14:schemeClr w14:val="tx1"/>
            </w14:solidFill>
          </w14:textFill>
        </w:rPr>
        <w:t>.1.4</w:t>
      </w:r>
      <w:r>
        <w:rPr>
          <w:rFonts w:hint="eastAsia" w:eastAsia="宋体"/>
          <w:b/>
          <w:bCs/>
          <w:color w:val="000000" w:themeColor="text1"/>
          <w:szCs w:val="32"/>
          <w14:textFill>
            <w14:solidFill>
              <w14:schemeClr w14:val="tx1"/>
            </w14:solidFill>
          </w14:textFill>
        </w:rPr>
        <w:t>涂装废气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本项目在涂装过程中将产生废气，主要污染物为非甲烷总烃等含有机物废气。涂装废气经过“气旋喷淋+干式过滤+活性炭吸附浓缩+催化燃烧”处理后经15m高排气筒（DA00</w:t>
      </w:r>
      <w:r>
        <w:rPr>
          <w:rFonts w:eastAsia="宋体"/>
          <w:color w:val="000000" w:themeColor="text1"/>
          <w14:textFill>
            <w14:solidFill>
              <w14:schemeClr w14:val="tx1"/>
            </w14:solidFill>
          </w14:textFill>
        </w:rPr>
        <w:t>3</w:t>
      </w:r>
      <w:r>
        <w:rPr>
          <w:rFonts w:hint="eastAsia" w:eastAsia="宋体"/>
          <w:color w:val="000000" w:themeColor="text1"/>
          <w14:textFill>
            <w14:solidFill>
              <w14:schemeClr w14:val="tx1"/>
            </w14:solidFill>
          </w14:textFill>
        </w:rPr>
        <w:t>）排放。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（1）工艺原理</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喷漆废气经收集后进入气旋喷淋+干式过滤器，对喷漆废气中的漆雾颗粒进行处理。通过水喷淋和过滤材料的过滤作用，可较理想地完成对漆雾颗粒净化目的。喷漆废气经过滤材料去漆雾后与调漆、烘干等废气混合进入活性炭吸附装置进行处理。</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为了减小涂装废气中二甲苯、甲苯、非甲烷总烃对大气环境的影响，采用活性炭对喷漆过程中产生的二甲苯、非甲烷总烃进行吸附处理，去除率可达</w:t>
      </w:r>
      <w:r>
        <w:rPr>
          <w:rFonts w:eastAsia="宋体"/>
          <w:color w:val="000000" w:themeColor="text1"/>
          <w14:textFill>
            <w14:solidFill>
              <w14:schemeClr w14:val="tx1"/>
            </w14:solidFill>
          </w14:textFill>
        </w:rPr>
        <w:t>85</w:t>
      </w:r>
      <w:r>
        <w:rPr>
          <w:rFonts w:hint="eastAsia" w:eastAsia="宋体"/>
          <w:color w:val="000000" w:themeColor="text1"/>
          <w14:textFill>
            <w14:solidFill>
              <w14:schemeClr w14:val="tx1"/>
            </w14:solidFill>
          </w14:textFill>
        </w:rPr>
        <w:t>%，能保证污染物的达标排放。活性炭是一种多孔的含碳物质，其发达的空隙结构使它具有很大的表面积，炭粒中还有更细小的孔-毛细管，这种毛细管具有很强吸附能力，由于炭粒的表面积很大，所以能与气体（杂质）充分接触，当空气中的有毒气体与活性炭接触，活性炭孔周围强大的吸附力场会立即将有毒气体分子吸入孔内，所以活性炭具有极强的吸附能力。</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随着吸附时间的进行，当其中一个活性炭箱达到规定的吸附容量后，则系统会自动切换其他干净的碳箱替换该饱和碳箱。该饱和的碳箱则进入脱附流程。脱附方式采用热空气脱附，开始启动时热源来自电加热，当设备运行稳定后热源来自后端的CO设备，脱附温度控制在100℃左右，由温度传感器实时传递给PLC控制系统进行控制，无需认为操控，减少风险发生几率。</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脱附出来的废气具有气量小、浓度高等特点，可利用催化燃烧设备进行深度处理。VOCs污染物在炉膛内，经过催化剂和高温的共同作用下，被分解成CO</w:t>
      </w:r>
      <w:r>
        <w:rPr>
          <w:rFonts w:hint="eastAsia" w:eastAsia="宋体"/>
          <w:color w:val="000000" w:themeColor="text1"/>
          <w:vertAlign w:val="subscript"/>
          <w14:textFill>
            <w14:solidFill>
              <w14:schemeClr w14:val="tx1"/>
            </w14:solidFill>
          </w14:textFill>
        </w:rPr>
        <w:t>2</w:t>
      </w:r>
      <w:r>
        <w:rPr>
          <w:rFonts w:hint="eastAsia" w:eastAsia="宋体"/>
          <w:color w:val="000000" w:themeColor="text1"/>
          <w14:textFill>
            <w14:solidFill>
              <w14:schemeClr w14:val="tx1"/>
            </w14:solidFill>
          </w14:textFill>
        </w:rPr>
        <w:t>和H</w:t>
      </w:r>
      <w:r>
        <w:rPr>
          <w:rFonts w:hint="eastAsia" w:eastAsia="宋体"/>
          <w:color w:val="000000" w:themeColor="text1"/>
          <w:vertAlign w:val="subscript"/>
          <w14:textFill>
            <w14:solidFill>
              <w14:schemeClr w14:val="tx1"/>
            </w14:solidFill>
          </w14:textFill>
        </w:rPr>
        <w:t>2</w:t>
      </w:r>
      <w:r>
        <w:rPr>
          <w:rFonts w:hint="eastAsia" w:eastAsia="宋体"/>
          <w:color w:val="000000" w:themeColor="text1"/>
          <w14:textFill>
            <w14:solidFill>
              <w14:schemeClr w14:val="tx1"/>
            </w14:solidFill>
          </w14:textFill>
        </w:rPr>
        <w:t>O等无害物质，且分解属与放热反应，放热量随废气中的VOCs浓度增高而增高，且当浓度达到一定水平后，整套系统可处于热平衡状态，无需额外提供热量即可维持系统运行。</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本项目CO设备采用电加热方式，引燃温度在2</w:t>
      </w:r>
      <w:r>
        <w:rPr>
          <w:rFonts w:eastAsia="宋体"/>
          <w:color w:val="000000" w:themeColor="text1"/>
          <w14:textFill>
            <w14:solidFill>
              <w14:schemeClr w14:val="tx1"/>
            </w14:solidFill>
          </w14:textFill>
        </w:rPr>
        <w:t>00</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400</w:t>
      </w:r>
      <w:r>
        <w:rPr>
          <w:rFonts w:hint="eastAsia" w:eastAsia="宋体"/>
          <w:color w:val="000000" w:themeColor="text1"/>
          <w14:textFill>
            <w14:solidFill>
              <w14:schemeClr w14:val="tx1"/>
            </w14:solidFill>
          </w14:textFill>
        </w:rPr>
        <w:t>℃，在VOCs分解热不够维持系统运行时，则靠电加热来维持。</w:t>
      </w:r>
    </w:p>
    <w:p>
      <w:pPr>
        <w:spacing w:line="240" w:lineRule="auto"/>
        <w:jc w:val="center"/>
        <w:rPr>
          <w:rFonts w:eastAsia="宋体"/>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23815" cy="3259455"/>
            <wp:effectExtent l="0" t="0" r="635" b="0"/>
            <wp:docPr id="5" name="图片 7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9" descr="图片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48198" cy="3275279"/>
                    </a:xfrm>
                    <a:prstGeom prst="rect">
                      <a:avLst/>
                    </a:prstGeom>
                    <a:noFill/>
                    <a:ln>
                      <a:noFill/>
                    </a:ln>
                  </pic:spPr>
                </pic:pic>
              </a:graphicData>
            </a:graphic>
          </wp:inline>
        </w:drawing>
      </w:r>
    </w:p>
    <w:p>
      <w:pPr>
        <w:spacing w:line="240" w:lineRule="auto"/>
        <w:jc w:val="center"/>
        <w:rPr>
          <w:rFonts w:eastAsia="宋体"/>
          <w:b/>
          <w:color w:val="000000" w:themeColor="text1"/>
          <w14:textFill>
            <w14:solidFill>
              <w14:schemeClr w14:val="tx1"/>
            </w14:solidFill>
          </w14:textFill>
        </w:rPr>
      </w:pPr>
      <w:r>
        <w:rPr>
          <w:rFonts w:hint="eastAsia" w:eastAsia="宋体"/>
          <w:b/>
          <w:color w:val="000000" w:themeColor="text1"/>
          <w14:textFill>
            <w14:solidFill>
              <w14:schemeClr w14:val="tx1"/>
            </w14:solidFill>
          </w14:textFill>
        </w:rPr>
        <w:t>图6</w:t>
      </w:r>
      <w:r>
        <w:rPr>
          <w:rFonts w:eastAsia="宋体"/>
          <w:b/>
          <w:color w:val="000000" w:themeColor="text1"/>
          <w14:textFill>
            <w14:solidFill>
              <w14:schemeClr w14:val="tx1"/>
            </w14:solidFill>
          </w14:textFill>
        </w:rPr>
        <w:t>.1</w:t>
      </w:r>
      <w:r>
        <w:rPr>
          <w:rFonts w:hint="eastAsia" w:eastAsia="宋体"/>
          <w:b/>
          <w:color w:val="000000" w:themeColor="text1"/>
          <w14:textFill>
            <w14:solidFill>
              <w14:schemeClr w14:val="tx1"/>
            </w14:solidFill>
          </w14:textFill>
        </w:rPr>
        <w:t>-</w:t>
      </w:r>
      <w:r>
        <w:rPr>
          <w:rFonts w:eastAsia="宋体"/>
          <w:b/>
          <w:color w:val="000000" w:themeColor="text1"/>
          <w14:textFill>
            <w14:solidFill>
              <w14:schemeClr w14:val="tx1"/>
            </w14:solidFill>
          </w14:textFill>
        </w:rPr>
        <w:t xml:space="preserve">1  </w:t>
      </w:r>
      <w:r>
        <w:rPr>
          <w:rFonts w:hint="eastAsia" w:eastAsia="宋体"/>
          <w:b/>
          <w:color w:val="000000" w:themeColor="text1"/>
          <w14:textFill>
            <w14:solidFill>
              <w14:schemeClr w14:val="tx1"/>
            </w14:solidFill>
          </w14:textFill>
        </w:rPr>
        <w:t>活性炭吸附浓缩+催化燃烧工艺流程示意图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可行性分析</w:t>
      </w:r>
    </w:p>
    <w:p>
      <w:pPr>
        <w:adjustRightInd w:val="0"/>
        <w:snapToGrid w:val="0"/>
        <w:ind w:firstLine="480"/>
        <w:rPr>
          <w:rFonts w:eastAsia="宋体"/>
          <w:color w:val="000000" w:themeColor="text1"/>
          <w:szCs w:val="24"/>
          <w14:textFill>
            <w14:solidFill>
              <w14:schemeClr w14:val="tx1"/>
            </w14:solidFill>
          </w14:textFill>
        </w:rPr>
      </w:pPr>
      <w:r>
        <w:rPr>
          <w:rFonts w:hint="eastAsia" w:eastAsia="宋体"/>
          <w:color w:val="000000" w:themeColor="text1"/>
          <w14:textFill>
            <w14:solidFill>
              <w14:schemeClr w14:val="tx1"/>
            </w14:solidFill>
          </w14:textFill>
        </w:rPr>
        <w:t>参考</w:t>
      </w:r>
      <w:r>
        <w:rPr>
          <w:rFonts w:eastAsia="宋体"/>
          <w:color w:val="000000" w:themeColor="text1"/>
          <w14:textFill>
            <w14:solidFill>
              <w14:schemeClr w14:val="tx1"/>
            </w14:solidFill>
          </w14:textFill>
        </w:rPr>
        <w:t>《排放源统计调查产排污核算方法和系数手册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33-37，431-434机械行业系数手册</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w:t>
      </w:r>
      <w:r>
        <w:rPr>
          <w:rFonts w:eastAsia="宋体"/>
          <w:color w:val="000000" w:themeColor="text1"/>
          <w:szCs w:val="24"/>
          <w14:textFill>
            <w14:solidFill>
              <w14:schemeClr w14:val="tx1"/>
            </w14:solidFill>
          </w14:textFill>
        </w:rPr>
        <w:t>本项目</w:t>
      </w:r>
      <w:r>
        <w:rPr>
          <w:rFonts w:hint="eastAsia" w:eastAsia="宋体"/>
          <w:color w:val="000000" w:themeColor="text1"/>
          <w:szCs w:val="24"/>
          <w14:textFill>
            <w14:solidFill>
              <w14:schemeClr w14:val="tx1"/>
            </w14:solidFill>
          </w14:textFill>
        </w:rPr>
        <w:t>涂装废气采用“气旋喷淋+干式过滤+活性炭吸附浓缩+催化燃烧”属于可行技术</w:t>
      </w:r>
      <w:r>
        <w:rPr>
          <w:rFonts w:eastAsia="宋体"/>
          <w:color w:val="000000" w:themeColor="text1"/>
          <w:szCs w:val="24"/>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再结合《挥发性有机物治理实用手册</w:t>
      </w:r>
      <w:r>
        <w:rPr>
          <w:rFonts w:hint="eastAsia" w:eastAsia="宋体"/>
          <w:color w:val="000000" w:themeColor="text1"/>
          <w14:textFill>
            <w14:solidFill>
              <w14:schemeClr w14:val="tx1"/>
            </w14:solidFill>
          </w14:textFill>
        </w:rPr>
        <w:t>（第二版）</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（生态环境部大气环境司著）</w:t>
      </w:r>
      <w:r>
        <w:rPr>
          <w:rFonts w:eastAsia="宋体"/>
          <w:color w:val="000000" w:themeColor="text1"/>
          <w14:textFill>
            <w14:solidFill>
              <w14:schemeClr w14:val="tx1"/>
            </w14:solidFill>
          </w14:textFill>
        </w:rPr>
        <w:t>，VOCs治理技术适用范围（浓度、风量），详见图6.1-2。</w:t>
      </w:r>
    </w:p>
    <w:p>
      <w:pPr>
        <w:spacing w:line="240" w:lineRule="auto"/>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2360930</wp:posOffset>
                </wp:positionH>
                <wp:positionV relativeFrom="paragraph">
                  <wp:posOffset>995680</wp:posOffset>
                </wp:positionV>
                <wp:extent cx="1252220" cy="290195"/>
                <wp:effectExtent l="590550" t="190500" r="24130" b="14605"/>
                <wp:wrapNone/>
                <wp:docPr id="17" name="矩形标注 17"/>
                <wp:cNvGraphicFramePr/>
                <a:graphic xmlns:a="http://schemas.openxmlformats.org/drawingml/2006/main">
                  <a:graphicData uri="http://schemas.microsoft.com/office/word/2010/wordprocessingShape">
                    <wps:wsp>
                      <wps:cNvSpPr/>
                      <wps:spPr>
                        <a:xfrm>
                          <a:off x="0" y="0"/>
                          <a:ext cx="1252220" cy="290195"/>
                        </a:xfrm>
                        <a:prstGeom prst="wedgeRectCallout">
                          <a:avLst>
                            <a:gd name="adj1" fmla="val -96924"/>
                            <a:gd name="adj2" fmla="val -1160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left"/>
                              <w:rPr>
                                <w:rFonts w:ascii="宋体" w:hAnsi="宋体" w:eastAsia="宋体"/>
                                <w:b/>
                                <w:color w:val="FF0000"/>
                                <w:sz w:val="15"/>
                                <w:szCs w:val="15"/>
                              </w:rPr>
                            </w:pPr>
                            <w:r>
                              <w:rPr>
                                <w:rFonts w:hint="eastAsia" w:ascii="宋体" w:hAnsi="宋体" w:eastAsia="宋体"/>
                                <w:b/>
                                <w:color w:val="FF0000"/>
                                <w:sz w:val="15"/>
                                <w:szCs w:val="15"/>
                              </w:rPr>
                              <w:t>本项目</w:t>
                            </w:r>
                            <w:r>
                              <w:rPr>
                                <w:rFonts w:ascii="宋体" w:hAnsi="宋体" w:eastAsia="宋体"/>
                                <w:b/>
                                <w:color w:val="FF0000"/>
                                <w:sz w:val="15"/>
                                <w:szCs w:val="15"/>
                              </w:rPr>
                              <w:t>废气浓度、风量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5.9pt;margin-top:78.4pt;height:22.85pt;width:98.6pt;z-index:251667456;v-text-anchor:middle;mso-width-relative:page;mso-height-relative:page;" filled="f" stroked="t" coordsize="21600,21600" o:gfxdata="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6vNFQ2gAAAAsBAAAPAAAAAAAAAAEAIAAAACIAAABkcnMvZG93bnJldi54bWxQSwEC&#10;FAAUAAAACACHTuJADodLx50CAAAnBQAADgAAAAAAAAABACAAAAApAQAAZHJzL2Uyb0RvYy54bWxQ&#10;SwUGAAAAAAYABgBZAQAAOAYAAAAA&#10;" adj="-10136,-14276">
                <v:fill on="f" focussize="0,0"/>
                <v:stroke weight="2pt" color="#FF0000 [3204]" joinstyle="round"/>
                <v:imagedata o:title=""/>
                <o:lock v:ext="edit" aspectratio="f"/>
                <v:textbox>
                  <w:txbxContent>
                    <w:p>
                      <w:pPr>
                        <w:spacing w:line="240" w:lineRule="auto"/>
                        <w:jc w:val="left"/>
                        <w:rPr>
                          <w:rFonts w:ascii="宋体" w:hAnsi="宋体" w:eastAsia="宋体"/>
                          <w:b/>
                          <w:color w:val="FF0000"/>
                          <w:sz w:val="15"/>
                          <w:szCs w:val="15"/>
                        </w:rPr>
                      </w:pPr>
                      <w:r>
                        <w:rPr>
                          <w:rFonts w:hint="eastAsia" w:ascii="宋体" w:hAnsi="宋体" w:eastAsia="宋体"/>
                          <w:b/>
                          <w:color w:val="FF0000"/>
                          <w:sz w:val="15"/>
                          <w:szCs w:val="15"/>
                        </w:rPr>
                        <w:t>本项目</w:t>
                      </w:r>
                      <w:r>
                        <w:rPr>
                          <w:rFonts w:ascii="宋体" w:hAnsi="宋体" w:eastAsia="宋体"/>
                          <w:b/>
                          <w:color w:val="FF0000"/>
                          <w:sz w:val="15"/>
                          <w:szCs w:val="15"/>
                        </w:rPr>
                        <w:t>废气浓度、风量</w:t>
                      </w:r>
                    </w:p>
                  </w:txbxContent>
                </v:textbox>
              </v:shape>
            </w:pict>
          </mc:Fallback>
        </mc:AlternateContent>
      </w:r>
      <w:r>
        <w:rPr>
          <w:rFonts w:eastAsia="宋体"/>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1647190</wp:posOffset>
                </wp:positionH>
                <wp:positionV relativeFrom="paragraph">
                  <wp:posOffset>718820</wp:posOffset>
                </wp:positionV>
                <wp:extent cx="139700" cy="117475"/>
                <wp:effectExtent l="0" t="0" r="0" b="0"/>
                <wp:wrapNone/>
                <wp:docPr id="16" name="椭圆 16"/>
                <wp:cNvGraphicFramePr/>
                <a:graphic xmlns:a="http://schemas.openxmlformats.org/drawingml/2006/main">
                  <a:graphicData uri="http://schemas.microsoft.com/office/word/2010/wordprocessingShape">
                    <wps:wsp>
                      <wps:cNvSpPr/>
                      <wps:spPr>
                        <a:xfrm>
                          <a:off x="0" y="0"/>
                          <a:ext cx="139700" cy="1174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9.7pt;margin-top:56.6pt;height:9.25pt;width:11pt;z-index:251666432;v-text-anchor:middle;mso-width-relative:page;mso-height-relative:page;" fillcolor="#FF0000" filled="t" stroked="f" coordsize="21600,21600" o:gfxdata="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U1ib2gAAAAsBAAAPAAAAAAAAAAEAIAAAACIAAABkcnMvZG93bnJldi54bWxQSwECFAAU&#10;AAAACACHTuJAQ62sw2ECAAC4BAAADgAAAAAAAAABACAAAAApAQAAZHJzL2Uyb0RvYy54bWxQSwUG&#10;AAAAAAYABgBZAQAA/AUAAAAA&#10;">
                <v:fill on="t" focussize="0,0"/>
                <v:stroke on="f" weight="2pt"/>
                <v:imagedata o:title=""/>
                <o:lock v:ext="edit" aspectratio="f"/>
              </v:shape>
            </w:pict>
          </mc:Fallback>
        </mc:AlternateContent>
      </w:r>
      <w:r>
        <w:rPr>
          <w:rFonts w:eastAsia="宋体"/>
          <w:color w:val="000000" w:themeColor="text1"/>
          <w14:textFill>
            <w14:solidFill>
              <w14:schemeClr w14:val="tx1"/>
            </w14:solidFill>
          </w14:textFill>
        </w:rPr>
        <w:drawing>
          <wp:inline distT="0" distB="0" distL="0" distR="0">
            <wp:extent cx="4555490" cy="30537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1"/>
                    <a:stretch>
                      <a:fillRect/>
                    </a:stretch>
                  </pic:blipFill>
                  <pic:spPr>
                    <a:xfrm>
                      <a:off x="0" y="0"/>
                      <a:ext cx="4579183" cy="3069896"/>
                    </a:xfrm>
                    <a:prstGeom prst="rect">
                      <a:avLst/>
                    </a:prstGeom>
                  </pic:spPr>
                </pic:pic>
              </a:graphicData>
            </a:graphic>
          </wp:inline>
        </w:drawing>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图6.1-2  VOCs治理技术适用范围（浓度、风量）</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本项目废气风量70000m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/h，</w:t>
      </w:r>
      <w:r>
        <w:rPr>
          <w:rFonts w:hint="eastAsia" w:eastAsia="宋体"/>
          <w:color w:val="000000" w:themeColor="text1"/>
          <w14:textFill>
            <w14:solidFill>
              <w14:schemeClr w14:val="tx1"/>
            </w14:solidFill>
          </w14:textFill>
        </w:rPr>
        <w:t>非甲烷总烃</w:t>
      </w:r>
      <w:r>
        <w:rPr>
          <w:rFonts w:eastAsia="宋体"/>
          <w:color w:val="000000" w:themeColor="text1"/>
          <w14:textFill>
            <w14:solidFill>
              <w14:schemeClr w14:val="tx1"/>
            </w14:solidFill>
          </w14:textFill>
        </w:rPr>
        <w:t>产生浓度约167.63mg/m</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，不适宜直接进行催化燃烧处理。结合上图可知，本项目废气属于高风量、中低浓度废气，可选用吸附浓缩+脱附催化燃烧</w:t>
      </w:r>
      <w:r>
        <w:rPr>
          <w:rFonts w:hint="eastAsia" w:eastAsia="宋体"/>
          <w:color w:val="000000" w:themeColor="text1"/>
          <w14:textFill>
            <w14:solidFill>
              <w14:schemeClr w14:val="tx1"/>
            </w14:solidFill>
          </w14:textFill>
        </w:rPr>
        <w:t>，该有机废气处理工艺为可行技术。</w:t>
      </w:r>
    </w:p>
    <w:p>
      <w:pPr>
        <w:keepNext/>
        <w:keepLines/>
        <w:adjustRightInd w:val="0"/>
        <w:outlineLvl w:val="2"/>
        <w:rPr>
          <w:rFonts w:eastAsia="宋体"/>
          <w:b/>
          <w:bCs/>
          <w:color w:val="000000" w:themeColor="text1"/>
          <w:szCs w:val="32"/>
          <w14:textFill>
            <w14:solidFill>
              <w14:schemeClr w14:val="tx1"/>
            </w14:solidFill>
          </w14:textFill>
        </w:rPr>
      </w:pPr>
      <w:r>
        <w:rPr>
          <w:rFonts w:hint="eastAsia" w:eastAsia="宋体"/>
          <w:b/>
          <w:bCs/>
          <w:color w:val="000000" w:themeColor="text1"/>
          <w:szCs w:val="32"/>
          <w14:textFill>
            <w14:solidFill>
              <w14:schemeClr w14:val="tx1"/>
            </w14:solidFill>
          </w14:textFill>
        </w:rPr>
        <w:t>6</w:t>
      </w:r>
      <w:r>
        <w:rPr>
          <w:rFonts w:eastAsia="宋体"/>
          <w:b/>
          <w:bCs/>
          <w:color w:val="000000" w:themeColor="text1"/>
          <w:szCs w:val="32"/>
          <w14:textFill>
            <w14:solidFill>
              <w14:schemeClr w14:val="tx1"/>
            </w14:solidFill>
          </w14:textFill>
        </w:rPr>
        <w:t>.1.5</w:t>
      </w:r>
      <w:r>
        <w:rPr>
          <w:rFonts w:hint="eastAsia" w:eastAsia="宋体"/>
          <w:b/>
          <w:bCs/>
          <w:color w:val="000000" w:themeColor="text1"/>
          <w:szCs w:val="32"/>
          <w14:textFill>
            <w14:solidFill>
              <w14:schemeClr w14:val="tx1"/>
            </w14:solidFill>
          </w14:textFill>
        </w:rPr>
        <w:t>无组织废气防治措施</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项目无组织排放废气主要包括未被捕集的切割下料粉尘、焊接烟尘、喷砂粉尘和涂装废气。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主要采取以下防治措施：</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（1）切割下料粉尘和焊接烟尘</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切割下料和焊接过程产生的无组织粉尘主要通过加强车间通风，再加上粉尘在车间自然沉降，颗粒物散落范围小，对环境影响较小。</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（2）喷砂粉尘</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喷砂在密闭的喷砂车间内进行，无组织粉尘产生量少，对环境影响小。</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（3）涂装废气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加强涂装车间废气产生点的抽风系统设施的运行情况检查，避免出现非正常工况，增加无组织废气排放量，涂装车间的人员出入口，除人员进出外，一定要确保其处于常闭状态，尤其是在喷漆作业期间，以减少项目无组织排放的有机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在保证厂区原料供应的情况下，尽量减少原料的最大储存量；物料储存应密封储存，在每次取用完成后，特别是物料用完后，储存容器应立即密封储存，防止储存物料和储存容器内的残存物料挥发产生无组织的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对照《挥发性有机物无组织排放控制标准》（GB37822-2019）、《挥发性有机物治理实用手册（第二版）》，项目生产过程中采取了如下全过程控制措施，以减小减少挥发性有机物无组织排放。主要采取以下措施：</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a</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源头消减，项目2</w:t>
      </w:r>
      <w:r>
        <w:rPr>
          <w:rFonts w:eastAsia="宋体"/>
          <w:color w:val="000000" w:themeColor="text1"/>
          <w14:textFill>
            <w14:solidFill>
              <w14:schemeClr w14:val="tx1"/>
            </w14:solidFill>
          </w14:textFill>
        </w:rPr>
        <w:t>/3</w:t>
      </w:r>
      <w:r>
        <w:rPr>
          <w:rFonts w:hint="eastAsia" w:eastAsia="宋体"/>
          <w:color w:val="000000" w:themeColor="text1"/>
          <w14:textFill>
            <w14:solidFill>
              <w14:schemeClr w14:val="tx1"/>
            </w14:solidFill>
          </w14:textFill>
        </w:rPr>
        <w:t>产品采用水性漆喷涂，从源头上有效降低挥发性有机物产生量。</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b</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采用高压无气喷涂，有效提高了涂料的上漆率，减少了油漆的使用量，进而减少了有机废气的产生量。</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c</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油漆等物料储存时存放于库房（满足防风、防雨、防晒、防渗等要求），盛装油漆等物料的包装物在非取用状态是应加盖、封口，保持密闭。废漆渣、废活性炭等含VOCs废料（渣、液）以及VOCs物料废包装物等危险废物密封储存于危废暂存间。</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d</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项目调漆、喷漆、烘干过程均在密闭空间内进行，且设置有废气收集系统，调漆、喷漆、烘干过程中产生的废气经集中收集后经废气处理系统处理后达标排放。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⑥涂装废气收集处理系统与生产工艺设备同步运行；涂装废气收集处理系统发生故障或检修时，对应的生产工艺设备应停止运行，待检修完毕后同步投入使用。</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（4）危废暂存间有机废气</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各类危险废物（废油漆桶、漆渣等）在危废暂存间储存过程中产生的少量挥发性有机废气，为减少其无组织排放对周边环境的影响，项目拟设置抽风装置，将危废暂存间内有机废气经抽风装置收集</w:t>
      </w:r>
      <w:r>
        <w:rPr>
          <w:rFonts w:eastAsia="宋体"/>
          <w:color w:val="000000" w:themeColor="text1"/>
          <w:szCs w:val="24"/>
          <w14:textFill>
            <w14:solidFill>
              <w14:schemeClr w14:val="tx1"/>
            </w14:solidFill>
          </w14:textFill>
        </w:rPr>
        <w:t>引入涂装废气处理设施一同处理</w:t>
      </w:r>
      <w:r>
        <w:rPr>
          <w:rFonts w:hint="eastAsia" w:eastAsia="宋体"/>
          <w:color w:val="000000" w:themeColor="text1"/>
          <w14:textFill>
            <w14:solidFill>
              <w14:schemeClr w14:val="tx1"/>
            </w14:solidFill>
          </w14:textFill>
        </w:rPr>
        <w:t>。</w:t>
      </w:r>
    </w:p>
    <w:p>
      <w:pPr>
        <w:pStyle w:val="179"/>
        <w:rPr>
          <w:rFonts w:eastAsia="宋体"/>
          <w:color w:val="000000" w:themeColor="text1"/>
          <w14:textFill>
            <w14:solidFill>
              <w14:schemeClr w14:val="tx1"/>
            </w14:solidFill>
          </w14:textFill>
        </w:rPr>
      </w:pPr>
      <w:bookmarkStart w:id="218" w:name="_Toc490235582"/>
      <w:bookmarkStart w:id="219" w:name="_Toc11199"/>
      <w:bookmarkStart w:id="220" w:name="_Toc155271438"/>
      <w:r>
        <w:rPr>
          <w:rFonts w:eastAsia="宋体"/>
          <w:color w:val="000000" w:themeColor="text1"/>
          <w14:textFill>
            <w14:solidFill>
              <w14:schemeClr w14:val="tx1"/>
            </w14:solidFill>
          </w14:textFill>
        </w:rPr>
        <w:t>6.2废水污染防治措施</w:t>
      </w:r>
      <w:bookmarkEnd w:id="218"/>
      <w:bookmarkEnd w:id="219"/>
      <w:bookmarkEnd w:id="220"/>
    </w:p>
    <w:p>
      <w:pPr>
        <w:pStyle w:val="272"/>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w:t>
      </w:r>
      <w:r>
        <w:rPr>
          <w:rFonts w:hint="eastAsia" w:ascii="Times New Roman" w:hAnsi="Times New Roman" w:eastAsia="宋体"/>
          <w:color w:val="000000" w:themeColor="text1"/>
          <w:szCs w:val="24"/>
          <w14:textFill>
            <w14:solidFill>
              <w14:schemeClr w14:val="tx1"/>
            </w14:solidFill>
          </w14:textFill>
        </w:rPr>
        <w:t>废水主要包括生活污水、食堂废水、</w:t>
      </w:r>
      <w:r>
        <w:rPr>
          <w:rFonts w:eastAsia="宋体"/>
          <w:bCs/>
          <w:color w:val="000000" w:themeColor="text1"/>
          <w:szCs w:val="32"/>
          <w14:textFill>
            <w14:solidFill>
              <w14:schemeClr w14:val="tx1"/>
            </w14:solidFill>
          </w14:textFill>
        </w:rPr>
        <w:t>车间地面清洁废水、洗手废水、空压机冷凝水</w:t>
      </w:r>
      <w:r>
        <w:rPr>
          <w:rFonts w:hint="eastAsia" w:eastAsia="宋体"/>
          <w:bCs/>
          <w:color w:val="000000" w:themeColor="text1"/>
          <w:szCs w:val="32"/>
          <w14:textFill>
            <w14:solidFill>
              <w14:schemeClr w14:val="tx1"/>
            </w14:solidFill>
          </w14:textFill>
        </w:rPr>
        <w:t>、喷枪清洗废水和气旋喷淋废水</w:t>
      </w:r>
      <w:r>
        <w:rPr>
          <w:rFonts w:ascii="Times New Roman" w:hAnsi="Times New Roman" w:eastAsia="宋体"/>
          <w:color w:val="000000" w:themeColor="text1"/>
          <w:szCs w:val="24"/>
          <w14:textFill>
            <w14:solidFill>
              <w14:schemeClr w14:val="tx1"/>
            </w14:solidFill>
          </w14:textFill>
        </w:rPr>
        <w:t>。</w:t>
      </w:r>
    </w:p>
    <w:p>
      <w:pPr>
        <w:pStyle w:val="272"/>
        <w:ind w:firstLine="480"/>
        <w:rPr>
          <w:rFonts w:ascii="Times New Roman" w:hAnsi="Times New Roman" w:eastAsia="宋体"/>
          <w:bCs/>
          <w:color w:val="000000" w:themeColor="text1"/>
          <w:szCs w:val="32"/>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根据本项目生产废水的特点，2号地块的员工洗手废水、车间地面清洁废水、空压机冷凝水、</w:t>
      </w:r>
      <w:r>
        <w:rPr>
          <w:rFonts w:hint="eastAsia" w:eastAsia="宋体"/>
          <w:bCs/>
          <w:color w:val="000000" w:themeColor="text1"/>
          <w:szCs w:val="32"/>
          <w14:textFill>
            <w14:solidFill>
              <w14:schemeClr w14:val="tx1"/>
            </w14:solidFill>
          </w14:textFill>
        </w:rPr>
        <w:t>喷枪清洗废水和气旋喷淋废水进入生产废水处理设施预处理，处理工艺“隔油+混凝沉淀+气浮”，处理规模为</w:t>
      </w:r>
      <w:r>
        <w:rPr>
          <w:rFonts w:ascii="Times New Roman" w:hAnsi="Times New Roman" w:eastAsia="宋体"/>
          <w:bCs/>
          <w:color w:val="000000" w:themeColor="text1"/>
          <w:szCs w:val="32"/>
          <w14:textFill>
            <w14:solidFill>
              <w14:schemeClr w14:val="tx1"/>
            </w14:solidFill>
          </w14:textFill>
        </w:rPr>
        <w:t>5m</w:t>
      </w:r>
      <w:r>
        <w:rPr>
          <w:rFonts w:ascii="Times New Roman" w:hAnsi="Times New Roman" w:eastAsia="宋体"/>
          <w:bCs/>
          <w:color w:val="000000" w:themeColor="text1"/>
          <w:szCs w:val="32"/>
          <w:vertAlign w:val="superscript"/>
          <w14:textFill>
            <w14:solidFill>
              <w14:schemeClr w14:val="tx1"/>
            </w14:solidFill>
          </w14:textFill>
        </w:rPr>
        <w:t>3</w:t>
      </w:r>
      <w:r>
        <w:rPr>
          <w:rFonts w:ascii="Times New Roman" w:hAnsi="Times New Roman" w:eastAsia="宋体"/>
          <w:bCs/>
          <w:color w:val="000000" w:themeColor="text1"/>
          <w:szCs w:val="32"/>
          <w14:textFill>
            <w14:solidFill>
              <w14:schemeClr w14:val="tx1"/>
            </w14:solidFill>
          </w14:textFill>
        </w:rPr>
        <w:t>/d</w:t>
      </w:r>
      <w:r>
        <w:rPr>
          <w:rFonts w:hint="eastAsia" w:ascii="Times New Roman" w:hAnsi="Times New Roman" w:eastAsia="宋体"/>
          <w:bCs/>
          <w:color w:val="000000" w:themeColor="text1"/>
          <w:szCs w:val="32"/>
          <w14:textFill>
            <w14:solidFill>
              <w14:schemeClr w14:val="tx1"/>
            </w14:solidFill>
          </w14:textFill>
        </w:rPr>
        <w:t>；食堂废水经隔油沉淀设施预处理；1号地块车间地面清洁废水、洗手废水经隔油沉淀预处理。</w:t>
      </w:r>
    </w:p>
    <w:p>
      <w:pPr>
        <w:pStyle w:val="272"/>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1号地块的食堂废水、员工洗手废水、车间地面清洁废水分别经预处理后和生活污水一起排入</w:t>
      </w:r>
      <w:r>
        <w:rPr>
          <w:rFonts w:ascii="Times New Roman" w:hAnsi="Times New Roman" w:eastAsia="宋体"/>
          <w:bCs/>
          <w:color w:val="000000" w:themeColor="text1"/>
          <w:szCs w:val="32"/>
          <w14:textFill>
            <w14:solidFill>
              <w14:schemeClr w14:val="tx1"/>
            </w14:solidFill>
          </w14:textFill>
        </w:rPr>
        <w:t>1#生化池处理达《污水综合排放标准》（GB8978-1996）中三级标准后排入园区污水管网，进入</w:t>
      </w:r>
      <w:r>
        <w:rPr>
          <w:rFonts w:ascii="Times New Roman" w:hAnsi="Times New Roman" w:eastAsia="宋体"/>
          <w:color w:val="000000" w:themeColor="text1"/>
          <w14:textFill>
            <w14:solidFill>
              <w14:schemeClr w14:val="tx1"/>
            </w14:solidFill>
          </w14:textFill>
        </w:rPr>
        <w:t>双桥工业园区污水处理厂深度处理。</w:t>
      </w:r>
    </w:p>
    <w:p>
      <w:pPr>
        <w:pStyle w:val="272"/>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2号地块的食堂废水、员工洗手废水、车间地面清洁废水</w:t>
      </w:r>
      <w:r>
        <w:rPr>
          <w:rFonts w:hint="eastAsia" w:ascii="Times New Roman" w:hAnsi="Times New Roman" w:eastAsia="宋体"/>
          <w:color w:val="000000" w:themeColor="text1"/>
          <w:szCs w:val="24"/>
          <w14:textFill>
            <w14:solidFill>
              <w14:schemeClr w14:val="tx1"/>
            </w14:solidFill>
          </w14:textFill>
        </w:rPr>
        <w:t>、</w:t>
      </w:r>
      <w:r>
        <w:rPr>
          <w:rFonts w:hint="eastAsia" w:eastAsia="宋体"/>
          <w:bCs/>
          <w:color w:val="000000" w:themeColor="text1"/>
          <w:szCs w:val="32"/>
          <w14:textFill>
            <w14:solidFill>
              <w14:schemeClr w14:val="tx1"/>
            </w14:solidFill>
          </w14:textFill>
        </w:rPr>
        <w:t>喷枪清洗废水和气旋喷淋废水</w:t>
      </w:r>
      <w:r>
        <w:rPr>
          <w:rFonts w:ascii="Times New Roman" w:hAnsi="Times New Roman" w:eastAsia="宋体"/>
          <w:color w:val="000000" w:themeColor="text1"/>
          <w:szCs w:val="24"/>
          <w14:textFill>
            <w14:solidFill>
              <w14:schemeClr w14:val="tx1"/>
            </w14:solidFill>
          </w14:textFill>
        </w:rPr>
        <w:t>分别经预处理后和生活污水一起排入</w:t>
      </w:r>
      <w:r>
        <w:rPr>
          <w:rFonts w:hint="eastAsia" w:ascii="Times New Roman" w:hAnsi="Times New Roman" w:eastAsia="宋体"/>
          <w:bCs/>
          <w:color w:val="000000" w:themeColor="text1"/>
          <w:szCs w:val="32"/>
          <w14:textFill>
            <w14:solidFill>
              <w14:schemeClr w14:val="tx1"/>
            </w14:solidFill>
          </w14:textFill>
        </w:rPr>
        <w:t>2</w:t>
      </w:r>
      <w:r>
        <w:rPr>
          <w:rFonts w:ascii="Times New Roman" w:hAnsi="Times New Roman" w:eastAsia="宋体"/>
          <w:bCs/>
          <w:color w:val="000000" w:themeColor="text1"/>
          <w:szCs w:val="32"/>
          <w14:textFill>
            <w14:solidFill>
              <w14:schemeClr w14:val="tx1"/>
            </w14:solidFill>
          </w14:textFill>
        </w:rPr>
        <w:t>#生化池处理达《污水综合排放标准》（GB8978-1996）中三级标准后排入园区污水管网，进入</w:t>
      </w:r>
      <w:r>
        <w:rPr>
          <w:rFonts w:ascii="Times New Roman" w:hAnsi="Times New Roman" w:eastAsia="宋体"/>
          <w:color w:val="000000" w:themeColor="text1"/>
          <w14:textFill>
            <w14:solidFill>
              <w14:schemeClr w14:val="tx1"/>
            </w14:solidFill>
          </w14:textFill>
        </w:rPr>
        <w:t>双桥工业园区污水处理厂深度处理。</w:t>
      </w:r>
    </w:p>
    <w:p>
      <w:pPr>
        <w:pStyle w:val="272"/>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本项目生产废水经预处理后水质简单，不会对生化池的正常运行造成影响，由此可知，废水处理设施和生化池能确保本项目污废水达标排放。而且项目属于双桥工业园区污水处理厂的接管范围，区域污水管网完善，废水能接入污水处理厂；废水处理后满足污水处理厂的接管要求，废水量远低于污水处理厂剩余处理规模，接入双桥工业园区污水处理厂可行。</w:t>
      </w:r>
    </w:p>
    <w:p>
      <w:pPr>
        <w:pStyle w:val="179"/>
        <w:rPr>
          <w:rFonts w:eastAsia="宋体"/>
          <w:color w:val="000000" w:themeColor="text1"/>
          <w14:textFill>
            <w14:solidFill>
              <w14:schemeClr w14:val="tx1"/>
            </w14:solidFill>
          </w14:textFill>
        </w:rPr>
      </w:pPr>
      <w:bookmarkStart w:id="221" w:name="_Toc489281081"/>
      <w:bookmarkStart w:id="222" w:name="_Toc490235583"/>
      <w:bookmarkStart w:id="223" w:name="_Toc11859"/>
      <w:bookmarkStart w:id="224" w:name="_Toc155271439"/>
      <w:r>
        <w:rPr>
          <w:rFonts w:eastAsia="宋体"/>
          <w:color w:val="000000" w:themeColor="text1"/>
          <w14:textFill>
            <w14:solidFill>
              <w14:schemeClr w14:val="tx1"/>
            </w14:solidFill>
          </w14:textFill>
        </w:rPr>
        <w:t>6.3</w:t>
      </w:r>
      <w:bookmarkEnd w:id="221"/>
      <w:bookmarkEnd w:id="222"/>
      <w:bookmarkEnd w:id="223"/>
      <w:r>
        <w:rPr>
          <w:rFonts w:eastAsia="宋体"/>
          <w:color w:val="000000" w:themeColor="text1"/>
          <w14:textFill>
            <w14:solidFill>
              <w14:schemeClr w14:val="tx1"/>
            </w14:solidFill>
          </w14:textFill>
        </w:rPr>
        <w:t>噪声防治措施</w:t>
      </w:r>
      <w:bookmarkEnd w:id="224"/>
    </w:p>
    <w:p>
      <w:pPr>
        <w:ind w:firstLine="480"/>
        <w:rPr>
          <w:rFonts w:eastAsia="宋体"/>
          <w:color w:val="000000" w:themeColor="text1"/>
          <w14:textFill>
            <w14:solidFill>
              <w14:schemeClr w14:val="tx1"/>
            </w14:solidFill>
          </w14:textFill>
        </w:rPr>
      </w:pPr>
      <w:r>
        <w:rPr>
          <w:rFonts w:hint="eastAsia" w:eastAsia="宋体"/>
          <w:color w:val="000000" w:themeColor="text1"/>
          <w:kern w:val="0"/>
          <w:szCs w:val="24"/>
          <w14:textFill>
            <w14:solidFill>
              <w14:schemeClr w14:val="tx1"/>
            </w14:solidFill>
          </w14:textFill>
        </w:rPr>
        <w:t>本项目营运期噪声来自于等离子切割机、激光切割机、卷板机、钻床、焊机、废气处理设施风机、空压机等设备噪声，主要控制措施有：设备选用低噪声设备、建筑隔声、合理布局等；加强设备的维护和管理，加强厂区绿化，减弱噪声影响。采取上述措施后，在加上厂区范围的空间距离较大，经距离衰减后，厂界噪声能够满足《工业企业厂界环境噪声排放标准》（GB12348-2008）3类、4类标准要求</w:t>
      </w:r>
      <w:r>
        <w:rPr>
          <w:rFonts w:eastAsia="宋体"/>
          <w:color w:val="000000" w:themeColor="text1"/>
          <w14:textFill>
            <w14:solidFill>
              <w14:schemeClr w14:val="tx1"/>
            </w14:solidFill>
          </w14:textFill>
        </w:rPr>
        <w:t>。</w:t>
      </w:r>
    </w:p>
    <w:p>
      <w:pPr>
        <w:pStyle w:val="179"/>
        <w:rPr>
          <w:rFonts w:eastAsia="宋体"/>
          <w:color w:val="000000" w:themeColor="text1"/>
          <w14:textFill>
            <w14:solidFill>
              <w14:schemeClr w14:val="tx1"/>
            </w14:solidFill>
          </w14:textFill>
        </w:rPr>
      </w:pPr>
      <w:bookmarkStart w:id="225" w:name="_Toc155271440"/>
      <w:bookmarkStart w:id="226" w:name="_Toc30029"/>
      <w:bookmarkStart w:id="227" w:name="_Toc490235585"/>
      <w:bookmarkStart w:id="228" w:name="_Toc489281083"/>
      <w:r>
        <w:rPr>
          <w:rFonts w:eastAsia="宋体"/>
          <w:color w:val="000000" w:themeColor="text1"/>
          <w14:textFill>
            <w14:solidFill>
              <w14:schemeClr w14:val="tx1"/>
            </w14:solidFill>
          </w14:textFill>
        </w:rPr>
        <w:t>6.4固体废物污染防治措施</w:t>
      </w:r>
      <w:bookmarkEnd w:id="225"/>
      <w:bookmarkEnd w:id="226"/>
      <w:bookmarkEnd w:id="227"/>
      <w:bookmarkEnd w:id="228"/>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本项目运营期产生的固体废物主要包括一般工业固废、危险废物</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生活垃圾</w:t>
      </w:r>
      <w:r>
        <w:rPr>
          <w:rFonts w:hint="eastAsia" w:eastAsia="宋体"/>
          <w:color w:val="000000" w:themeColor="text1"/>
          <w:szCs w:val="24"/>
          <w14:textFill>
            <w14:solidFill>
              <w14:schemeClr w14:val="tx1"/>
            </w14:solidFill>
          </w14:textFill>
        </w:rPr>
        <w:t>和餐厨垃圾</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bookmarkStart w:id="229" w:name="_Toc11684"/>
      <w:r>
        <w:rPr>
          <w:rFonts w:eastAsia="宋体"/>
          <w:color w:val="000000" w:themeColor="text1"/>
          <w:szCs w:val="24"/>
          <w14:textFill>
            <w14:solidFill>
              <w14:schemeClr w14:val="tx1"/>
            </w14:solidFill>
          </w14:textFill>
        </w:rPr>
        <w:t>（1）一般工业固废：</w:t>
      </w:r>
      <w:r>
        <w:rPr>
          <w:rFonts w:hint="eastAsia" w:eastAsia="宋体"/>
          <w:color w:val="000000" w:themeColor="text1"/>
          <w:szCs w:val="24"/>
          <w14:textFill>
            <w14:solidFill>
              <w14:schemeClr w14:val="tx1"/>
            </w14:solidFill>
          </w14:textFill>
        </w:rPr>
        <w:t>主要包括边角料、焊渣、收尘灰、废包装材料、废钢砂、废水性漆包装桶、生化池污泥等。项目在1号地块和2号地块分别设置一般固废暂存间（1#一般固废暂存间和2#一般固废暂存间），</w:t>
      </w:r>
      <w:r>
        <w:rPr>
          <w:rFonts w:eastAsia="宋体"/>
          <w:color w:val="000000" w:themeColor="text1"/>
          <w:szCs w:val="24"/>
          <w14:textFill>
            <w14:solidFill>
              <w14:schemeClr w14:val="tx1"/>
            </w14:solidFill>
          </w14:textFill>
        </w:rPr>
        <w:t>满足相应防渗漏、防雨淋、防扬尘等环境保护要求</w:t>
      </w:r>
      <w:r>
        <w:rPr>
          <w:rFonts w:eastAsia="宋体"/>
          <w:color w:val="000000" w:themeColor="text1"/>
          <w14:textFill>
            <w14:solidFill>
              <w14:schemeClr w14:val="tx1"/>
            </w14:solidFill>
          </w14:textFill>
        </w:rPr>
        <w:t>。生化池污泥委第三方有资质公司定期清掏，交环卫部门处理；其他一般工业固废分类收集暂存，定期外售物资回收部门综合利用</w:t>
      </w:r>
      <w:r>
        <w:rPr>
          <w:rFonts w:hint="eastAsia" w:eastAsia="宋体"/>
          <w:color w:val="000000" w:themeColor="text1"/>
          <w14:textFill>
            <w14:solidFill>
              <w14:schemeClr w14:val="tx1"/>
            </w14:solidFill>
          </w14:textFill>
        </w:rPr>
        <w:t>。</w:t>
      </w:r>
    </w:p>
    <w:p>
      <w:pPr>
        <w:pStyle w:val="35"/>
      </w:pPr>
      <w:r>
        <w:t>（2）</w:t>
      </w:r>
      <w:bookmarkEnd w:id="229"/>
      <w:bookmarkStart w:id="230" w:name="_Toc14204"/>
      <w:r>
        <w:t>危险废物</w:t>
      </w:r>
      <w:bookmarkEnd w:id="230"/>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bookmarkStart w:id="231" w:name="_Toc24934"/>
      <w:r>
        <w:rPr>
          <w:rFonts w:ascii="Times New Roman" w:hAnsi="Times New Roman" w:cs="Times New Roman"/>
          <w:color w:val="000000" w:themeColor="text1"/>
          <w:sz w:val="24"/>
          <w:szCs w:val="24"/>
          <w14:textFill>
            <w14:solidFill>
              <w14:schemeClr w14:val="tx1"/>
            </w14:solidFill>
          </w14:textFill>
        </w:rPr>
        <w:t>本项目危险废物主要为废含油金属屑、废切削液、废润滑油、废油桶、废含油棉纱手套等。本项目共设置2间危废暂存间，分别为：1#危废暂存间位于1号地块的办公楼1层，面积约10m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；2#危废暂存间位于2号地块的办公楼1层，面积约10m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：危废暂存间将按照《危险废物贮存污染控制标准》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GB18579-2023</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等相关要求，做好“防风、防雨、防晒、防渗、防腐、防漏”六防措施，设置防漏托盘，并设置收集沟和收集井。对危险废物进行分区暂存，委托有资质单位处理</w:t>
      </w:r>
      <w:r>
        <w:rPr>
          <w:rFonts w:ascii="Times New Roman" w:hAnsi="Times New Roman" w:cs="Times New Roman"/>
          <w:color w:val="000000" w:themeColor="text1"/>
          <w:kern w:val="0"/>
          <w:sz w:val="24"/>
          <w:szCs w:val="24"/>
          <w14:textFill>
            <w14:solidFill>
              <w14:schemeClr w14:val="tx1"/>
            </w14:solidFill>
          </w14:textFill>
        </w:rPr>
        <w:t>。</w:t>
      </w:r>
      <w:bookmarkEnd w:id="231"/>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危废暂存间其他防治措施：</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贮存设施应根据危险废物的类别、数量、形态、物理化学性质和污染防治等要求设置必要的贮存分区，避免不相容的危险废物接触、混合。</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贮存设施或贮存分区内地面、墙面裙脚、解除危险废物的隔板和墙体等应采用坚固的建材建造，表面无裂缝。</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贮存设施应采取技术和管理措施防止无关人员进入。</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贮存设施运行期间，应按国家有关标准和规定建立危险废物管理台账并保存；建设单位应建立贮存设施环境管理制度、管理人员岗位职责制度、设施运行操作制度、人员岗位培训制度等。</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在贮存区贮存液态危险废物的，应具有液体泄漏堵截设施，堵截设施最小容积不应低于对应贮存区域最大液态废物容器容积或液态废物总储量1/10（二者取较大者）。</w:t>
      </w:r>
    </w:p>
    <w:p>
      <w:pPr>
        <w:pStyle w:val="35"/>
      </w:pPr>
      <w:r>
        <w:t>（3）生活垃圾</w:t>
      </w:r>
      <w:bookmarkStart w:id="232" w:name="_Toc20275"/>
    </w:p>
    <w:p>
      <w:pPr>
        <w:pStyle w:val="35"/>
      </w:pPr>
      <w:r>
        <w:rPr>
          <w:rFonts w:hint="eastAsia"/>
        </w:rPr>
        <w:t>生活垃圾分类袋装收集后存放于垃圾桶，定期交环卫部门统一处理。餐厨垃圾和废油脂定期交由资质单位处理</w:t>
      </w:r>
      <w:r>
        <w:t>。</w:t>
      </w:r>
      <w:bookmarkEnd w:id="232"/>
    </w:p>
    <w:p>
      <w:pPr>
        <w:ind w:firstLine="480"/>
        <w:rPr>
          <w:rFonts w:eastAsia="宋体"/>
          <w:color w:val="000000" w:themeColor="text1"/>
          <w:kern w:val="0"/>
          <w:szCs w:val="24"/>
          <w14:textFill>
            <w14:solidFill>
              <w14:schemeClr w14:val="tx1"/>
            </w14:solidFill>
          </w14:textFill>
        </w:rPr>
      </w:pPr>
      <w:r>
        <w:rPr>
          <w:rFonts w:eastAsia="宋体"/>
          <w:color w:val="000000" w:themeColor="text1"/>
          <w:kern w:val="0"/>
          <w:szCs w:val="24"/>
          <w14:textFill>
            <w14:solidFill>
              <w14:schemeClr w14:val="tx1"/>
            </w14:solidFill>
          </w14:textFill>
        </w:rPr>
        <w:t>综上所述，</w:t>
      </w:r>
      <w:r>
        <w:rPr>
          <w:rFonts w:hint="eastAsia" w:eastAsia="宋体"/>
          <w:color w:val="000000" w:themeColor="text1"/>
          <w:kern w:val="0"/>
          <w:szCs w:val="24"/>
          <w14:textFill>
            <w14:solidFill>
              <w14:schemeClr w14:val="tx1"/>
            </w14:solidFill>
          </w14:textFill>
        </w:rPr>
        <w:t>项目</w:t>
      </w:r>
      <w:r>
        <w:rPr>
          <w:rFonts w:eastAsia="宋体"/>
          <w:color w:val="000000" w:themeColor="text1"/>
          <w:kern w:val="0"/>
          <w:szCs w:val="24"/>
          <w14:textFill>
            <w14:solidFill>
              <w14:schemeClr w14:val="tx1"/>
            </w14:solidFill>
          </w14:textFill>
        </w:rPr>
        <w:t>固体废物经上述处理后，不会对环境造成二次污染。</w:t>
      </w:r>
    </w:p>
    <w:p>
      <w:pPr>
        <w:pStyle w:val="179"/>
        <w:rPr>
          <w:rFonts w:eastAsia="宋体"/>
          <w:color w:val="000000" w:themeColor="text1"/>
          <w14:textFill>
            <w14:solidFill>
              <w14:schemeClr w14:val="tx1"/>
            </w14:solidFill>
          </w14:textFill>
        </w:rPr>
      </w:pPr>
      <w:bookmarkStart w:id="233" w:name="_Toc155271441"/>
      <w:r>
        <w:rPr>
          <w:rFonts w:eastAsia="宋体"/>
          <w:color w:val="000000" w:themeColor="text1"/>
          <w14:textFill>
            <w14:solidFill>
              <w14:schemeClr w14:val="tx1"/>
            </w14:solidFill>
          </w14:textFill>
        </w:rPr>
        <w:t>6.5地下水防治措施</w:t>
      </w:r>
      <w:bookmarkEnd w:id="233"/>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按照</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源头控制、分区防治、污染监控、应急响应</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相结合的原则，从污染物的产生、入渗、扩散、应急响应全方位进行控制</w:t>
      </w:r>
      <w:r>
        <w:rPr>
          <w:rFonts w:ascii="Times New Roman" w:hAnsi="Times New Roman" w:cs="Times New Roman"/>
          <w:color w:val="000000" w:themeColor="text1"/>
          <w:kern w:val="0"/>
          <w:sz w:val="24"/>
          <w:szCs w:val="24"/>
          <w14:textFill>
            <w14:solidFill>
              <w14:schemeClr w14:val="tx1"/>
            </w14:solidFill>
          </w14:textFill>
        </w:rPr>
        <w:t>。</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分区防渗要求如下：</w:t>
      </w:r>
    </w:p>
    <w:p>
      <w:pPr>
        <w:ind w:firstLine="480" w:firstLineChars="20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重点防渗区：</w:t>
      </w:r>
      <w:r>
        <w:rPr>
          <w:rFonts w:hint="eastAsia" w:eastAsia="宋体"/>
          <w:bCs/>
          <w:color w:val="000000" w:themeColor="text1"/>
          <w14:textFill>
            <w14:solidFill>
              <w14:schemeClr w14:val="tx1"/>
            </w14:solidFill>
          </w14:textFill>
        </w:rPr>
        <w:t>危废暂存间（1#、2#）、油品库房、油漆库房、生产废水处理设施、涂装车间、隔油沉淀设施（1#、2#、3#）、生化池（1#、2#）</w:t>
      </w:r>
      <w:r>
        <w:rPr>
          <w:rFonts w:eastAsia="宋体"/>
          <w:bCs/>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采用抗渗混凝土、高密度聚乙烯膜、钠基膨润土防水毯或其他防渗性能等效的材料，同时采取基础防渗，防渗层为至少1m厚黏土层（渗透系数不大于</w:t>
      </w:r>
      <w:r>
        <w:rPr>
          <w:rFonts w:eastAsia="宋体"/>
          <w:bCs/>
          <w:color w:val="000000" w:themeColor="text1"/>
          <w:szCs w:val="24"/>
          <w14:textFill>
            <w14:solidFill>
              <w14:schemeClr w14:val="tx1"/>
            </w14:solidFill>
          </w14:textFill>
        </w:rPr>
        <w:t>10</w:t>
      </w:r>
      <w:r>
        <w:rPr>
          <w:rFonts w:eastAsia="宋体"/>
          <w:bCs/>
          <w:color w:val="000000" w:themeColor="text1"/>
          <w:szCs w:val="24"/>
          <w:vertAlign w:val="superscript"/>
          <w14:textFill>
            <w14:solidFill>
              <w14:schemeClr w14:val="tx1"/>
            </w14:solidFill>
          </w14:textFill>
        </w:rPr>
        <w:t>-7</w:t>
      </w:r>
      <w:r>
        <w:rPr>
          <w:rFonts w:eastAsia="宋体"/>
          <w:bCs/>
          <w:color w:val="000000" w:themeColor="text1"/>
          <w:szCs w:val="24"/>
          <w14:textFill>
            <w14:solidFill>
              <w14:schemeClr w14:val="tx1"/>
            </w14:solidFill>
          </w14:textFill>
        </w:rPr>
        <w:t>cm/s</w:t>
      </w:r>
      <w:r>
        <w:rPr>
          <w:rFonts w:eastAsia="宋体"/>
          <w:color w:val="000000" w:themeColor="text1"/>
          <w:szCs w:val="24"/>
          <w14:textFill>
            <w14:solidFill>
              <w14:schemeClr w14:val="tx1"/>
            </w14:solidFill>
          </w14:textFill>
        </w:rPr>
        <w:t>），或者少2mm厚高密度聚乙烯膜等人工防渗材料（渗透系数不大于</w:t>
      </w:r>
      <w:r>
        <w:rPr>
          <w:rFonts w:eastAsia="宋体"/>
          <w:bCs/>
          <w:color w:val="000000" w:themeColor="text1"/>
          <w:szCs w:val="24"/>
          <w14:textFill>
            <w14:solidFill>
              <w14:schemeClr w14:val="tx1"/>
            </w14:solidFill>
          </w14:textFill>
        </w:rPr>
        <w:t>10</w:t>
      </w:r>
      <w:r>
        <w:rPr>
          <w:rFonts w:eastAsia="宋体"/>
          <w:bCs/>
          <w:color w:val="000000" w:themeColor="text1"/>
          <w:szCs w:val="24"/>
          <w:vertAlign w:val="superscript"/>
          <w14:textFill>
            <w14:solidFill>
              <w14:schemeClr w14:val="tx1"/>
            </w14:solidFill>
          </w14:textFill>
        </w:rPr>
        <w:t>-10</w:t>
      </w:r>
      <w:r>
        <w:rPr>
          <w:rFonts w:eastAsia="宋体"/>
          <w:bCs/>
          <w:color w:val="000000" w:themeColor="text1"/>
          <w:szCs w:val="24"/>
          <w14:textFill>
            <w14:solidFill>
              <w14:schemeClr w14:val="tx1"/>
            </w14:solidFill>
          </w14:textFill>
        </w:rPr>
        <w:t>cm/s</w:t>
      </w:r>
      <w:r>
        <w:rPr>
          <w:rFonts w:eastAsia="宋体"/>
          <w:color w:val="000000" w:themeColor="text1"/>
          <w:szCs w:val="24"/>
          <w14:textFill>
            <w14:solidFill>
              <w14:schemeClr w14:val="tx1"/>
            </w14:solidFill>
          </w14:textFill>
        </w:rPr>
        <w:t>），或其他防渗性能等效的材料。</w:t>
      </w:r>
    </w:p>
    <w:p>
      <w:pPr>
        <w:ind w:firstLine="480" w:firstLineChars="20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一般防渗区：</w:t>
      </w:r>
      <w:r>
        <w:rPr>
          <w:rFonts w:hint="eastAsia" w:eastAsia="宋体"/>
          <w:color w:val="000000" w:themeColor="text1"/>
          <w:szCs w:val="24"/>
          <w14:textFill>
            <w14:solidFill>
              <w14:schemeClr w14:val="tx1"/>
            </w14:solidFill>
          </w14:textFill>
        </w:rPr>
        <w:t>一般固废暂存间（1#、2#）、变压器房、空压机房</w:t>
      </w:r>
      <w:r>
        <w:rPr>
          <w:rFonts w:eastAsia="宋体"/>
          <w:color w:val="000000" w:themeColor="text1"/>
          <w:szCs w:val="24"/>
          <w14:textFill>
            <w14:solidFill>
              <w14:schemeClr w14:val="tx1"/>
            </w14:solidFill>
          </w14:textFill>
        </w:rPr>
        <w:t>。</w:t>
      </w:r>
      <w:r>
        <w:rPr>
          <w:rFonts w:eastAsia="宋体"/>
          <w:bCs/>
          <w:color w:val="000000" w:themeColor="text1"/>
          <w:szCs w:val="24"/>
          <w14:textFill>
            <w14:solidFill>
              <w14:schemeClr w14:val="tx1"/>
            </w14:solidFill>
          </w14:textFill>
        </w:rPr>
        <w:t>防渗技术要求为等效黏土防渗层Mb≥1.5m，渗透系数≤1×10</w:t>
      </w:r>
      <w:r>
        <w:rPr>
          <w:rFonts w:eastAsia="宋体"/>
          <w:bCs/>
          <w:color w:val="000000" w:themeColor="text1"/>
          <w:szCs w:val="24"/>
          <w:vertAlign w:val="superscript"/>
          <w14:textFill>
            <w14:solidFill>
              <w14:schemeClr w14:val="tx1"/>
            </w14:solidFill>
          </w14:textFill>
        </w:rPr>
        <w:t>-7</w:t>
      </w:r>
      <w:r>
        <w:rPr>
          <w:rFonts w:eastAsia="宋体"/>
          <w:bCs/>
          <w:color w:val="000000" w:themeColor="text1"/>
          <w:szCs w:val="24"/>
          <w14:textFill>
            <w14:solidFill>
              <w14:schemeClr w14:val="tx1"/>
            </w14:solidFill>
          </w14:textFill>
        </w:rPr>
        <w:t>cm/s</w:t>
      </w:r>
      <w:r>
        <w:rPr>
          <w:rFonts w:eastAsia="宋体"/>
          <w:color w:val="000000" w:themeColor="text1"/>
          <w:szCs w:val="24"/>
          <w14:textFill>
            <w14:solidFill>
              <w14:schemeClr w14:val="tx1"/>
            </w14:solidFill>
          </w14:textFill>
        </w:rPr>
        <w:t>。</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简单防渗区：</w:t>
      </w:r>
      <w:r>
        <w:rPr>
          <w:rFonts w:hint="eastAsia"/>
          <w:color w:val="000000" w:themeColor="text1"/>
          <w:sz w:val="24"/>
          <w:szCs w:val="24"/>
          <w14:textFill>
            <w14:solidFill>
              <w14:schemeClr w14:val="tx1"/>
            </w14:solidFill>
          </w14:textFill>
        </w:rPr>
        <w:t>生产车间、办公等其他区域，采用地面硬化处理</w:t>
      </w:r>
      <w:r>
        <w:rPr>
          <w:rFonts w:ascii="Times New Roman" w:hAnsi="Times New Roman" w:cs="Times New Roman"/>
          <w:color w:val="000000" w:themeColor="text1"/>
          <w:kern w:val="0"/>
          <w:sz w:val="24"/>
          <w:szCs w:val="24"/>
          <w14:textFill>
            <w14:solidFill>
              <w14:schemeClr w14:val="tx1"/>
            </w14:solidFill>
          </w14:textFill>
        </w:rPr>
        <w:t>。</w:t>
      </w:r>
    </w:p>
    <w:p>
      <w:pPr>
        <w:pStyle w:val="46"/>
        <w:autoSpaceDE w:val="0"/>
        <w:autoSpaceDN w:val="0"/>
        <w:adjustRightInd w:val="0"/>
        <w:snapToGrid w:val="0"/>
        <w:spacing w:line="360" w:lineRule="auto"/>
        <w:ind w:firstLine="480" w:firstLineChars="200"/>
        <w:textAlignment w:val="baseline"/>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上述处理措施落实到位</w:t>
      </w:r>
      <w:r>
        <w:rPr>
          <w:rFonts w:hint="eastAsia" w:ascii="Times New Roman" w:hAnsi="Times New Roman" w:cs="Times New Roman"/>
          <w:color w:val="000000" w:themeColor="text1"/>
          <w:kern w:val="0"/>
          <w:sz w:val="24"/>
          <w:szCs w:val="24"/>
          <w14:textFill>
            <w14:solidFill>
              <w14:schemeClr w14:val="tx1"/>
            </w14:solidFill>
          </w14:textFill>
        </w:rPr>
        <w:t>后</w:t>
      </w:r>
      <w:r>
        <w:rPr>
          <w:rFonts w:ascii="Times New Roman" w:hAnsi="Times New Roman" w:cs="Times New Roman"/>
          <w:color w:val="000000" w:themeColor="text1"/>
          <w:kern w:val="0"/>
          <w:sz w:val="24"/>
          <w:szCs w:val="24"/>
          <w14:textFill>
            <w14:solidFill>
              <w14:schemeClr w14:val="tx1"/>
            </w14:solidFill>
          </w14:textFill>
        </w:rPr>
        <w:t>，能够有效阻隔污水对地下水污染的途径。</w:t>
      </w:r>
    </w:p>
    <w:p>
      <w:pPr>
        <w:pStyle w:val="179"/>
        <w:rPr>
          <w:rFonts w:eastAsia="宋体"/>
          <w:color w:val="000000" w:themeColor="text1"/>
          <w14:textFill>
            <w14:solidFill>
              <w14:schemeClr w14:val="tx1"/>
            </w14:solidFill>
          </w14:textFill>
        </w:rPr>
      </w:pPr>
      <w:bookmarkStart w:id="234" w:name="_Toc20654"/>
      <w:bookmarkStart w:id="235" w:name="_Toc155271442"/>
      <w:r>
        <w:rPr>
          <w:rFonts w:eastAsia="宋体"/>
          <w:color w:val="000000" w:themeColor="text1"/>
          <w14:textFill>
            <w14:solidFill>
              <w14:schemeClr w14:val="tx1"/>
            </w14:solidFill>
          </w14:textFill>
        </w:rPr>
        <w:t>6.6环保措施汇总</w:t>
      </w:r>
      <w:bookmarkEnd w:id="234"/>
      <w:bookmarkEnd w:id="235"/>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本项目总投资为2680万元，其中环保投资约为243万元，占项目总投资9.07%。污染防治措施及投资汇总见表6.6-1。</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表6.6-1  环境污染保护措施汇总表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655"/>
        <w:gridCol w:w="1887"/>
        <w:gridCol w:w="3198"/>
        <w:gridCol w:w="927"/>
        <w:gridCol w:w="1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bookmarkStart w:id="236" w:name="_Toc5855"/>
            <w:r>
              <w:rPr>
                <w:rFonts w:eastAsia="宋体"/>
                <w:b/>
                <w:bCs/>
                <w:color w:val="000000" w:themeColor="text1"/>
                <w:sz w:val="21"/>
                <w:szCs w:val="21"/>
                <w14:textFill>
                  <w14:solidFill>
                    <w14:schemeClr w14:val="tx1"/>
                  </w14:solidFill>
                </w14:textFill>
              </w:rPr>
              <w:t>类型</w:t>
            </w:r>
          </w:p>
        </w:tc>
        <w:tc>
          <w:tcPr>
            <w:tcW w:w="880"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排放源</w:t>
            </w:r>
          </w:p>
          <w:p>
            <w:pPr>
              <w:spacing w:line="240" w:lineRule="auto"/>
              <w:jc w:val="center"/>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w:t>
            </w:r>
            <w:r>
              <w:rPr>
                <w:rFonts w:eastAsia="宋体"/>
                <w:b/>
                <w:bCs/>
                <w:color w:val="000000" w:themeColor="text1"/>
                <w:sz w:val="21"/>
                <w:szCs w:val="21"/>
                <w14:textFill>
                  <w14:solidFill>
                    <w14:schemeClr w14:val="tx1"/>
                  </w14:solidFill>
                </w14:textFill>
              </w:rPr>
              <w:t>编号</w:t>
            </w:r>
            <w:r>
              <w:rPr>
                <w:rFonts w:hint="eastAsia" w:eastAsia="宋体"/>
                <w:b/>
                <w:bCs/>
                <w:color w:val="000000" w:themeColor="text1"/>
                <w:sz w:val="21"/>
                <w:szCs w:val="21"/>
                <w14:textFill>
                  <w14:solidFill>
                    <w14:schemeClr w14:val="tx1"/>
                  </w14:solidFill>
                </w14:textFill>
              </w:rPr>
              <w:t>）</w:t>
            </w:r>
          </w:p>
        </w:tc>
        <w:tc>
          <w:tcPr>
            <w:tcW w:w="1003"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污染物名称</w:t>
            </w:r>
          </w:p>
        </w:tc>
        <w:tc>
          <w:tcPr>
            <w:tcW w:w="1700"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防治措施</w:t>
            </w:r>
          </w:p>
        </w:tc>
        <w:tc>
          <w:tcPr>
            <w:tcW w:w="493"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治理投资</w:t>
            </w:r>
            <w:r>
              <w:rPr>
                <w:rFonts w:hint="eastAsia" w:eastAsia="宋体"/>
                <w:b/>
                <w:bCs/>
                <w:color w:val="000000" w:themeColor="text1"/>
                <w:sz w:val="21"/>
                <w:szCs w:val="21"/>
                <w14:textFill>
                  <w14:solidFill>
                    <w14:schemeClr w14:val="tx1"/>
                  </w14:solidFill>
                </w14:textFill>
              </w:rPr>
              <w:t>（</w:t>
            </w:r>
            <w:r>
              <w:rPr>
                <w:rFonts w:eastAsia="宋体"/>
                <w:b/>
                <w:bCs/>
                <w:color w:val="000000" w:themeColor="text1"/>
                <w:sz w:val="21"/>
                <w:szCs w:val="21"/>
                <w14:textFill>
                  <w14:solidFill>
                    <w14:schemeClr w14:val="tx1"/>
                  </w14:solidFill>
                </w14:textFill>
              </w:rPr>
              <w:t>万元</w:t>
            </w:r>
            <w:r>
              <w:rPr>
                <w:rFonts w:hint="eastAsia" w:eastAsia="宋体"/>
                <w:b/>
                <w:bCs/>
                <w:color w:val="000000" w:themeColor="text1"/>
                <w:sz w:val="21"/>
                <w:szCs w:val="21"/>
                <w14:textFill>
                  <w14:solidFill>
                    <w14:schemeClr w14:val="tx1"/>
                  </w14:solidFill>
                </w14:textFill>
              </w:rPr>
              <w:t>）</w:t>
            </w:r>
          </w:p>
        </w:tc>
        <w:tc>
          <w:tcPr>
            <w:tcW w:w="570" w:type="pct"/>
            <w:tcBorders>
              <w:top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预期治理效果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restar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大气</w:t>
            </w:r>
          </w:p>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污染物</w:t>
            </w:r>
          </w:p>
        </w:tc>
        <w:tc>
          <w:tcPr>
            <w:tcW w:w="880" w:type="pct"/>
            <w:vAlign w:val="center"/>
          </w:tcPr>
          <w:p>
            <w:pPr>
              <w:spacing w:line="240" w:lineRule="auto"/>
              <w:jc w:val="center"/>
              <w:textAlignment w:val="center"/>
              <w:rPr>
                <w:rFonts w:eastAsia="宋体"/>
                <w:snapToGrid w:val="0"/>
                <w:color w:val="000000" w:themeColor="text1"/>
                <w:sz w:val="21"/>
                <w:szCs w:val="21"/>
                <w14:textFill>
                  <w14:solidFill>
                    <w14:schemeClr w14:val="tx1"/>
                  </w14:solidFill>
                </w14:textFill>
              </w:rPr>
            </w:pPr>
            <w:r>
              <w:rPr>
                <w:rFonts w:hint="eastAsia" w:eastAsia="宋体"/>
                <w:snapToGrid w:val="0"/>
                <w:color w:val="000000" w:themeColor="text1"/>
                <w:sz w:val="21"/>
                <w:szCs w:val="21"/>
                <w14:textFill>
                  <w14:solidFill>
                    <w14:schemeClr w14:val="tx1"/>
                  </w14:solidFill>
                </w14:textFill>
              </w:rPr>
              <w:t>切割下料粉尘</w:t>
            </w:r>
          </w:p>
        </w:tc>
        <w:tc>
          <w:tcPr>
            <w:tcW w:w="1003"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颗粒物</w:t>
            </w:r>
          </w:p>
        </w:tc>
        <w:tc>
          <w:tcPr>
            <w:tcW w:w="1700" w:type="pct"/>
            <w:vAlign w:val="center"/>
          </w:tcPr>
          <w:p>
            <w:pPr>
              <w:pStyle w:val="29"/>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滤筒除尘器+</w:t>
            </w:r>
            <w:r>
              <w:rPr>
                <w:rFonts w:eastAsia="宋体"/>
                <w:bCs/>
                <w:color w:val="000000" w:themeColor="text1"/>
                <w:sz w:val="21"/>
                <w:szCs w:val="21"/>
                <w14:textFill>
                  <w14:solidFill>
                    <w14:schemeClr w14:val="tx1"/>
                  </w14:solidFill>
                </w14:textFill>
              </w:rPr>
              <w:t>20</w:t>
            </w:r>
            <w:r>
              <w:rPr>
                <w:rFonts w:hint="eastAsia" w:eastAsia="宋体"/>
                <w:bCs/>
                <w:color w:val="000000" w:themeColor="text1"/>
                <w:sz w:val="21"/>
                <w:szCs w:val="21"/>
                <w14:textFill>
                  <w14:solidFill>
                    <w14:schemeClr w14:val="tx1"/>
                  </w14:solidFill>
                </w14:textFill>
              </w:rPr>
              <w:t>m高排气筒</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w:t>
            </w:r>
            <w:r>
              <w:rPr>
                <w:rFonts w:ascii="Times New Roman" w:hAnsi="Times New Roman" w:eastAsia="宋体"/>
                <w:color w:val="000000" w:themeColor="text1"/>
                <w:kern w:val="2"/>
                <w:sz w:val="21"/>
                <w:szCs w:val="21"/>
                <w14:textFill>
                  <w14:solidFill>
                    <w14:schemeClr w14:val="tx1"/>
                  </w14:solidFill>
                </w14:textFill>
              </w:rPr>
              <w:t>0</w:t>
            </w:r>
          </w:p>
        </w:tc>
        <w:tc>
          <w:tcPr>
            <w:tcW w:w="570"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880" w:type="pct"/>
            <w:vAlign w:val="center"/>
          </w:tcPr>
          <w:p>
            <w:pPr>
              <w:spacing w:line="240" w:lineRule="auto"/>
              <w:jc w:val="center"/>
              <w:textAlignment w:val="center"/>
              <w:rPr>
                <w:rFonts w:eastAsia="宋体"/>
                <w:snapToGrid w:val="0"/>
                <w:color w:val="000000" w:themeColor="text1"/>
                <w:sz w:val="21"/>
                <w:szCs w:val="21"/>
                <w14:textFill>
                  <w14:solidFill>
                    <w14:schemeClr w14:val="tx1"/>
                  </w14:solidFill>
                </w14:textFill>
              </w:rPr>
            </w:pPr>
            <w:r>
              <w:rPr>
                <w:rFonts w:hint="eastAsia" w:eastAsia="宋体"/>
                <w:snapToGrid w:val="0"/>
                <w:color w:val="000000" w:themeColor="text1"/>
                <w:sz w:val="21"/>
                <w:szCs w:val="21"/>
                <w14:textFill>
                  <w14:solidFill>
                    <w14:schemeClr w14:val="tx1"/>
                  </w14:solidFill>
                </w14:textFill>
              </w:rPr>
              <w:t>焊接烟尘</w:t>
            </w:r>
          </w:p>
        </w:tc>
        <w:tc>
          <w:tcPr>
            <w:tcW w:w="1003"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颗粒物</w:t>
            </w:r>
          </w:p>
        </w:tc>
        <w:tc>
          <w:tcPr>
            <w:tcW w:w="1700" w:type="pct"/>
            <w:vAlign w:val="center"/>
          </w:tcPr>
          <w:p>
            <w:pPr>
              <w:pStyle w:val="29"/>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移动式焊烟净化器</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5</w:t>
            </w:r>
          </w:p>
        </w:tc>
        <w:tc>
          <w:tcPr>
            <w:tcW w:w="570"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880" w:type="pct"/>
            <w:vAlign w:val="center"/>
          </w:tcPr>
          <w:p>
            <w:pPr>
              <w:spacing w:line="240" w:lineRule="auto"/>
              <w:jc w:val="center"/>
              <w:textAlignment w:val="center"/>
              <w:rPr>
                <w:rFonts w:eastAsia="宋体"/>
                <w:snapToGrid w:val="0"/>
                <w:color w:val="000000" w:themeColor="text1"/>
                <w:sz w:val="21"/>
                <w:szCs w:val="21"/>
                <w14:textFill>
                  <w14:solidFill>
                    <w14:schemeClr w14:val="tx1"/>
                  </w14:solidFill>
                </w14:textFill>
              </w:rPr>
            </w:pPr>
            <w:r>
              <w:rPr>
                <w:rFonts w:hint="eastAsia" w:eastAsia="宋体"/>
                <w:snapToGrid w:val="0"/>
                <w:color w:val="000000" w:themeColor="text1"/>
                <w:sz w:val="21"/>
                <w:szCs w:val="21"/>
                <w14:textFill>
                  <w14:solidFill>
                    <w14:schemeClr w14:val="tx1"/>
                  </w14:solidFill>
                </w14:textFill>
              </w:rPr>
              <w:t>喷砂粉尘</w:t>
            </w:r>
          </w:p>
        </w:tc>
        <w:tc>
          <w:tcPr>
            <w:tcW w:w="1003"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颗粒物</w:t>
            </w:r>
          </w:p>
        </w:tc>
        <w:tc>
          <w:tcPr>
            <w:tcW w:w="1700" w:type="pct"/>
            <w:vAlign w:val="center"/>
          </w:tcPr>
          <w:p>
            <w:pPr>
              <w:pStyle w:val="29"/>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布袋除尘器+</w:t>
            </w:r>
            <w:r>
              <w:rPr>
                <w:rFonts w:eastAsia="宋体"/>
                <w:bCs/>
                <w:color w:val="000000" w:themeColor="text1"/>
                <w:sz w:val="21"/>
                <w:szCs w:val="21"/>
                <w14:textFill>
                  <w14:solidFill>
                    <w14:schemeClr w14:val="tx1"/>
                  </w14:solidFill>
                </w14:textFill>
              </w:rPr>
              <w:t>15</w:t>
            </w:r>
            <w:r>
              <w:rPr>
                <w:rFonts w:hint="eastAsia" w:eastAsia="宋体"/>
                <w:bCs/>
                <w:color w:val="000000" w:themeColor="text1"/>
                <w:sz w:val="21"/>
                <w:szCs w:val="21"/>
                <w14:textFill>
                  <w14:solidFill>
                    <w14:schemeClr w14:val="tx1"/>
                  </w14:solidFill>
                </w14:textFill>
              </w:rPr>
              <w:t>m高排气筒</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w:t>
            </w:r>
            <w:r>
              <w:rPr>
                <w:rFonts w:ascii="Times New Roman" w:hAnsi="Times New Roman" w:eastAsia="宋体"/>
                <w:color w:val="000000" w:themeColor="text1"/>
                <w:kern w:val="2"/>
                <w:sz w:val="21"/>
                <w:szCs w:val="21"/>
                <w14:textFill>
                  <w14:solidFill>
                    <w14:schemeClr w14:val="tx1"/>
                  </w14:solidFill>
                </w14:textFill>
              </w:rPr>
              <w:t>0</w:t>
            </w:r>
          </w:p>
        </w:tc>
        <w:tc>
          <w:tcPr>
            <w:tcW w:w="570"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880" w:type="pct"/>
            <w:vAlign w:val="center"/>
          </w:tcPr>
          <w:p>
            <w:pPr>
              <w:spacing w:line="240" w:lineRule="auto"/>
              <w:jc w:val="center"/>
              <w:textAlignment w:val="center"/>
              <w:rPr>
                <w:rFonts w:eastAsia="宋体"/>
                <w:snapToGrid w:val="0"/>
                <w:color w:val="000000" w:themeColor="text1"/>
                <w:sz w:val="21"/>
                <w:szCs w:val="21"/>
                <w14:textFill>
                  <w14:solidFill>
                    <w14:schemeClr w14:val="tx1"/>
                  </w14:solidFill>
                </w14:textFill>
              </w:rPr>
            </w:pPr>
            <w:r>
              <w:rPr>
                <w:rFonts w:hint="eastAsia" w:eastAsia="宋体"/>
                <w:snapToGrid w:val="0"/>
                <w:color w:val="000000" w:themeColor="text1"/>
                <w:sz w:val="21"/>
                <w:szCs w:val="21"/>
                <w14:textFill>
                  <w14:solidFill>
                    <w14:schemeClr w14:val="tx1"/>
                  </w14:solidFill>
                </w14:textFill>
              </w:rPr>
              <w:t>调漆、喷漆、晾干废气、危废暂存间废气</w:t>
            </w:r>
          </w:p>
        </w:tc>
        <w:tc>
          <w:tcPr>
            <w:tcW w:w="1003" w:type="pct"/>
            <w:vAlign w:val="center"/>
          </w:tcPr>
          <w:p>
            <w:pPr>
              <w:spacing w:line="240" w:lineRule="auto"/>
              <w:jc w:val="center"/>
              <w:textAlignment w:val="center"/>
              <w:rPr>
                <w:rFonts w:eastAsia="宋体"/>
                <w:snapToGrid w:val="0"/>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非甲烷总烃、</w:t>
            </w:r>
            <w:r>
              <w:rPr>
                <w:rFonts w:hint="eastAsia" w:eastAsia="宋体"/>
                <w:color w:val="000000" w:themeColor="text1"/>
                <w:kern w:val="0"/>
                <w:sz w:val="21"/>
                <w:szCs w:val="21"/>
                <w14:textFill>
                  <w14:solidFill>
                    <w14:schemeClr w14:val="tx1"/>
                  </w14:solidFill>
                </w14:textFill>
              </w:rPr>
              <w:t>甲苯、二甲苯、颗粒物</w:t>
            </w:r>
          </w:p>
        </w:tc>
        <w:tc>
          <w:tcPr>
            <w:tcW w:w="1700" w:type="pct"/>
            <w:vAlign w:val="center"/>
          </w:tcPr>
          <w:p>
            <w:pPr>
              <w:pStyle w:val="29"/>
              <w:spacing w:line="240" w:lineRule="auto"/>
              <w:jc w:val="center"/>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气旋喷淋+干式过滤+活性炭吸附浓缩+催化燃烧+</w:t>
            </w:r>
            <w:r>
              <w:rPr>
                <w:rFonts w:eastAsia="宋体"/>
                <w:bCs/>
                <w:color w:val="000000" w:themeColor="text1"/>
                <w:sz w:val="21"/>
                <w:szCs w:val="21"/>
                <w14:textFill>
                  <w14:solidFill>
                    <w14:schemeClr w14:val="tx1"/>
                  </w14:solidFill>
                </w14:textFill>
              </w:rPr>
              <w:t>15</w:t>
            </w:r>
            <w:r>
              <w:rPr>
                <w:rFonts w:hint="eastAsia" w:eastAsia="宋体"/>
                <w:bCs/>
                <w:color w:val="000000" w:themeColor="text1"/>
                <w:sz w:val="21"/>
                <w:szCs w:val="21"/>
                <w14:textFill>
                  <w14:solidFill>
                    <w14:schemeClr w14:val="tx1"/>
                  </w14:solidFill>
                </w14:textFill>
              </w:rPr>
              <w:t>m高排气筒</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120</w:t>
            </w:r>
          </w:p>
        </w:tc>
        <w:tc>
          <w:tcPr>
            <w:tcW w:w="570"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水污染物</w:t>
            </w:r>
          </w:p>
        </w:tc>
        <w:tc>
          <w:tcPr>
            <w:tcW w:w="880"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生活污水、食堂废水、地面清洁废水、洗手废水、气旋喷淋废水、喷枪清洗废水</w:t>
            </w:r>
          </w:p>
        </w:tc>
        <w:tc>
          <w:tcPr>
            <w:tcW w:w="1003" w:type="pct"/>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COD、BOD</w:t>
            </w:r>
            <w:r>
              <w:rPr>
                <w:rFonts w:eastAsia="宋体"/>
                <w:color w:val="000000" w:themeColor="text1"/>
                <w:sz w:val="21"/>
                <w:szCs w:val="21"/>
                <w:vertAlign w:val="subscript"/>
                <w14:textFill>
                  <w14:solidFill>
                    <w14:schemeClr w14:val="tx1"/>
                  </w14:solidFill>
                </w14:textFill>
              </w:rPr>
              <w:t>5</w:t>
            </w:r>
            <w:r>
              <w:rPr>
                <w:rFonts w:eastAsia="宋体"/>
                <w:color w:val="000000" w:themeColor="text1"/>
                <w:sz w:val="21"/>
                <w:szCs w:val="21"/>
                <w14:textFill>
                  <w14:solidFill>
                    <w14:schemeClr w14:val="tx1"/>
                  </w14:solidFill>
                </w14:textFill>
              </w:rPr>
              <w:t>、SS、NH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-N、石油类</w:t>
            </w:r>
            <w:r>
              <w:rPr>
                <w:rFonts w:hint="eastAsia" w:eastAsia="宋体"/>
                <w:color w:val="000000" w:themeColor="text1"/>
                <w:sz w:val="21"/>
                <w:szCs w:val="21"/>
                <w14:textFill>
                  <w14:solidFill>
                    <w14:schemeClr w14:val="tx1"/>
                  </w14:solidFill>
                </w14:textFill>
              </w:rPr>
              <w:t>、动植物油、T</w:t>
            </w:r>
            <w:r>
              <w:rPr>
                <w:rFonts w:eastAsia="宋体"/>
                <w:color w:val="000000" w:themeColor="text1"/>
                <w:sz w:val="21"/>
                <w:szCs w:val="21"/>
                <w14:textFill>
                  <w14:solidFill>
                    <w14:schemeClr w14:val="tx1"/>
                  </w14:solidFill>
                </w14:textFill>
              </w:rPr>
              <w:t>P</w:t>
            </w:r>
          </w:p>
        </w:tc>
        <w:tc>
          <w:tcPr>
            <w:tcW w:w="1700" w:type="pct"/>
            <w:vAlign w:val="center"/>
          </w:tcPr>
          <w:p>
            <w:pPr>
              <w:pStyle w:val="35"/>
              <w:spacing w:line="240" w:lineRule="auto"/>
              <w:ind w:firstLine="0" w:firstLineChars="0"/>
            </w:pPr>
            <w:r>
              <w:rPr>
                <w:rFonts w:hint="eastAsia"/>
              </w:rPr>
              <w:t>生产废水处理设施：混凝沉淀+气浮；生化池；隔油沉淀设施</w:t>
            </w:r>
            <w:r>
              <w:t>。</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60</w:t>
            </w:r>
          </w:p>
        </w:tc>
        <w:tc>
          <w:tcPr>
            <w:tcW w:w="5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restart"/>
            <w:tcBorders>
              <w:bottom w:val="single" w:color="auto" w:sz="4"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固体废物</w:t>
            </w:r>
          </w:p>
        </w:tc>
        <w:tc>
          <w:tcPr>
            <w:tcW w:w="880" w:type="pct"/>
            <w:tcBorders>
              <w:bottom w:val="single" w:color="auto" w:sz="4" w:space="0"/>
            </w:tcBorders>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一</w:t>
            </w:r>
            <w:r>
              <w:rPr>
                <w:rFonts w:eastAsia="宋体"/>
                <w:color w:val="000000" w:themeColor="text1"/>
                <w:sz w:val="21"/>
                <w:szCs w:val="21"/>
                <w14:textFill>
                  <w14:solidFill>
                    <w14:schemeClr w14:val="tx1"/>
                  </w14:solidFill>
                </w14:textFill>
              </w:rPr>
              <w:t>般</w:t>
            </w:r>
          </w:p>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固废</w:t>
            </w:r>
          </w:p>
        </w:tc>
        <w:tc>
          <w:tcPr>
            <w:tcW w:w="1003" w:type="pct"/>
            <w:tcBorders>
              <w:bottom w:val="single" w:color="auto" w:sz="4" w:space="0"/>
            </w:tcBorders>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边角料、焊渣、收尘灰、废包装材料、废钢砂、废水性漆包装桶、生化池污泥</w:t>
            </w:r>
          </w:p>
        </w:tc>
        <w:tc>
          <w:tcPr>
            <w:tcW w:w="1700" w:type="pct"/>
            <w:tcBorders>
              <w:bottom w:val="single" w:color="auto" w:sz="4" w:space="0"/>
            </w:tcBorders>
            <w:vAlign w:val="center"/>
          </w:tcPr>
          <w:p>
            <w:pPr>
              <w:pStyle w:val="35"/>
              <w:spacing w:line="240" w:lineRule="auto"/>
              <w:ind w:firstLine="0" w:firstLineChars="0"/>
            </w:pPr>
            <w:bookmarkStart w:id="237" w:name="_Toc12229"/>
            <w:r>
              <w:t>分类暂存于一般固废暂存间，定期外售给废旧物资回收公司</w:t>
            </w:r>
            <w:bookmarkEnd w:id="237"/>
          </w:p>
        </w:tc>
        <w:tc>
          <w:tcPr>
            <w:tcW w:w="493" w:type="pct"/>
            <w:tcBorders>
              <w:bottom w:val="single" w:color="auto" w:sz="4" w:space="0"/>
            </w:tcBorders>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w:t>
            </w:r>
          </w:p>
        </w:tc>
        <w:tc>
          <w:tcPr>
            <w:tcW w:w="570" w:type="pct"/>
            <w:vMerge w:val="restart"/>
            <w:tcBorders>
              <w:bottom w:val="single" w:color="auto" w:sz="4"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880" w:type="pct"/>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危险</w:t>
            </w:r>
          </w:p>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废物</w:t>
            </w:r>
          </w:p>
        </w:tc>
        <w:tc>
          <w:tcPr>
            <w:tcW w:w="1003" w:type="pct"/>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废含油金属屑、废切削液、废润滑油、废油桶、废含油棉纱手套、废空压机油、废油渣、废漆渣、废含油防护手套、废过滤棉、废活性炭、废催化剂、废油性漆包装桶</w:t>
            </w:r>
          </w:p>
        </w:tc>
        <w:tc>
          <w:tcPr>
            <w:tcW w:w="1700" w:type="pct"/>
            <w:vAlign w:val="center"/>
          </w:tcPr>
          <w:p>
            <w:pPr>
              <w:pStyle w:val="35"/>
              <w:spacing w:line="240" w:lineRule="auto"/>
              <w:ind w:firstLine="0" w:firstLineChars="0"/>
            </w:pPr>
            <w:bookmarkStart w:id="238" w:name="_Toc4598"/>
            <w:r>
              <w:t>收集后暂存于危废暂存间，</w:t>
            </w:r>
            <w:bookmarkEnd w:id="238"/>
            <w:r>
              <w:t>定期委托有危险废物经营资质的单位处置</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5</w:t>
            </w:r>
          </w:p>
        </w:tc>
        <w:tc>
          <w:tcPr>
            <w:tcW w:w="57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Merge w:val="continue"/>
            <w:vAlign w:val="center"/>
          </w:tcPr>
          <w:p>
            <w:pPr>
              <w:spacing w:line="240" w:lineRule="auto"/>
              <w:jc w:val="center"/>
              <w:rPr>
                <w:rFonts w:eastAsia="宋体"/>
                <w:b/>
                <w:bCs/>
                <w:color w:val="000000" w:themeColor="text1"/>
                <w:sz w:val="21"/>
                <w:szCs w:val="21"/>
                <w14:textFill>
                  <w14:solidFill>
                    <w14:schemeClr w14:val="tx1"/>
                  </w14:solidFill>
                </w14:textFill>
              </w:rPr>
            </w:pPr>
          </w:p>
        </w:tc>
        <w:tc>
          <w:tcPr>
            <w:tcW w:w="880"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生化垃圾</w:t>
            </w:r>
            <w:r>
              <w:rPr>
                <w:rFonts w:hint="eastAsia" w:eastAsia="宋体"/>
                <w:color w:val="000000" w:themeColor="text1"/>
                <w:kern w:val="0"/>
                <w:sz w:val="21"/>
                <w:szCs w:val="21"/>
                <w14:textFill>
                  <w14:solidFill>
                    <w14:schemeClr w14:val="tx1"/>
                  </w14:solidFill>
                </w14:textFill>
              </w:rPr>
              <w:t>、餐厨垃圾</w:t>
            </w:r>
          </w:p>
        </w:tc>
        <w:tc>
          <w:tcPr>
            <w:tcW w:w="1003" w:type="pct"/>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生化垃圾</w:t>
            </w:r>
            <w:r>
              <w:rPr>
                <w:rFonts w:hint="eastAsia" w:eastAsia="宋体"/>
                <w:color w:val="000000" w:themeColor="text1"/>
                <w:sz w:val="21"/>
                <w:szCs w:val="21"/>
                <w14:textFill>
                  <w14:solidFill>
                    <w14:schemeClr w14:val="tx1"/>
                  </w14:solidFill>
                </w14:textFill>
              </w:rPr>
              <w:t>、餐厨垃圾</w:t>
            </w:r>
          </w:p>
        </w:tc>
        <w:tc>
          <w:tcPr>
            <w:tcW w:w="1700" w:type="pct"/>
            <w:vAlign w:val="center"/>
          </w:tcPr>
          <w:p>
            <w:pPr>
              <w:pStyle w:val="35"/>
              <w:spacing w:line="240" w:lineRule="auto"/>
              <w:ind w:firstLine="0" w:firstLineChars="0"/>
            </w:pPr>
            <w:bookmarkStart w:id="239" w:name="_Toc3046"/>
            <w:r>
              <w:t>在厂区设垃圾桶，集中收集后交由环卫部门统一处理</w:t>
            </w:r>
            <w:bookmarkEnd w:id="239"/>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w:t>
            </w:r>
          </w:p>
        </w:tc>
        <w:tc>
          <w:tcPr>
            <w:tcW w:w="570" w:type="pct"/>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噪声</w:t>
            </w:r>
          </w:p>
        </w:tc>
        <w:tc>
          <w:tcPr>
            <w:tcW w:w="880" w:type="pct"/>
            <w:vAlign w:val="center"/>
          </w:tcPr>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生产</w:t>
            </w:r>
          </w:p>
          <w:p>
            <w:pPr>
              <w:spacing w:line="240" w:lineRule="auto"/>
              <w:jc w:val="center"/>
              <w:textAlignment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设备</w:t>
            </w:r>
          </w:p>
        </w:tc>
        <w:tc>
          <w:tcPr>
            <w:tcW w:w="1003" w:type="pct"/>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设备噪声</w:t>
            </w:r>
          </w:p>
        </w:tc>
        <w:tc>
          <w:tcPr>
            <w:tcW w:w="1700" w:type="pct"/>
            <w:vAlign w:val="center"/>
          </w:tcPr>
          <w:p>
            <w:pPr>
              <w:pStyle w:val="35"/>
              <w:spacing w:line="240" w:lineRule="auto"/>
              <w:ind w:firstLine="0" w:firstLineChars="0"/>
            </w:pPr>
            <w:bookmarkStart w:id="240" w:name="_Toc2215"/>
            <w:r>
              <w:t>选用低噪声设备、建筑隔声</w:t>
            </w:r>
            <w:bookmarkEnd w:id="240"/>
            <w:r>
              <w:rPr>
                <w:rFonts w:hint="eastAsia"/>
              </w:rPr>
              <w:t>等</w:t>
            </w:r>
          </w:p>
        </w:tc>
        <w:tc>
          <w:tcPr>
            <w:tcW w:w="493" w:type="pct"/>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10</w:t>
            </w:r>
          </w:p>
        </w:tc>
        <w:tc>
          <w:tcPr>
            <w:tcW w:w="570" w:type="pc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54" w:type="pct"/>
            <w:tcBorders>
              <w:bottom w:val="single" w:color="auto" w:sz="12" w:space="0"/>
            </w:tcBorders>
            <w:vAlign w:val="center"/>
          </w:tcPr>
          <w:p>
            <w:pPr>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合计</w:t>
            </w:r>
          </w:p>
        </w:tc>
        <w:tc>
          <w:tcPr>
            <w:tcW w:w="880" w:type="pct"/>
            <w:tcBorders>
              <w:bottom w:val="single" w:color="auto" w:sz="12" w:space="0"/>
            </w:tcBorders>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003" w:type="pct"/>
            <w:tcBorders>
              <w:bottom w:val="single" w:color="auto" w:sz="12" w:space="0"/>
            </w:tcBorders>
            <w:vAlign w:val="center"/>
          </w:tcPr>
          <w:p>
            <w:pPr>
              <w:spacing w:line="240" w:lineRule="auto"/>
              <w:jc w:val="center"/>
              <w:textAlignment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700" w:type="pct"/>
            <w:tcBorders>
              <w:bottom w:val="single" w:color="auto" w:sz="12" w:space="0"/>
            </w:tcBorders>
            <w:vAlign w:val="center"/>
          </w:tcPr>
          <w:p>
            <w:pPr>
              <w:pStyle w:val="35"/>
              <w:spacing w:line="240" w:lineRule="auto"/>
              <w:ind w:firstLine="0" w:firstLineChars="0"/>
            </w:pPr>
            <w:bookmarkStart w:id="241" w:name="_Toc2452"/>
            <w:r>
              <w:t>/</w:t>
            </w:r>
            <w:bookmarkEnd w:id="241"/>
          </w:p>
        </w:tc>
        <w:tc>
          <w:tcPr>
            <w:tcW w:w="493" w:type="pct"/>
            <w:tcBorders>
              <w:bottom w:val="single" w:color="auto" w:sz="12" w:space="0"/>
            </w:tcBorders>
            <w:vAlign w:val="center"/>
          </w:tcPr>
          <w:p>
            <w:pPr>
              <w:pStyle w:val="281"/>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243</w:t>
            </w:r>
          </w:p>
        </w:tc>
        <w:tc>
          <w:tcPr>
            <w:tcW w:w="570"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r>
    </w:tbl>
    <w:p>
      <w:pPr>
        <w:ind w:firstLine="480"/>
        <w:rPr>
          <w:rFonts w:eastAsia="宋体"/>
          <w:color w:val="000000" w:themeColor="text1"/>
          <w14:textFill>
            <w14:solidFill>
              <w14:schemeClr w14:val="tx1"/>
            </w14:solidFill>
          </w14:textFill>
        </w:rPr>
        <w:sectPr>
          <w:pgSz w:w="11906" w:h="16838"/>
          <w:pgMar w:top="1800" w:right="1276" w:bottom="1135" w:left="1440" w:header="720" w:footer="720" w:gutter="0"/>
          <w:cols w:space="720" w:num="1"/>
          <w:docGrid w:linePitch="326" w:charSpace="0"/>
        </w:sectPr>
      </w:pPr>
    </w:p>
    <w:p>
      <w:pPr>
        <w:pStyle w:val="181"/>
        <w:rPr>
          <w:rFonts w:eastAsia="宋体"/>
          <w:color w:val="000000" w:themeColor="text1"/>
          <w14:textFill>
            <w14:solidFill>
              <w14:schemeClr w14:val="tx1"/>
            </w14:solidFill>
          </w14:textFill>
        </w:rPr>
      </w:pPr>
      <w:bookmarkStart w:id="242" w:name="_Toc155271443"/>
      <w:r>
        <w:rPr>
          <w:rFonts w:eastAsia="宋体"/>
          <w:color w:val="000000" w:themeColor="text1"/>
          <w14:textFill>
            <w14:solidFill>
              <w14:schemeClr w14:val="tx1"/>
            </w14:solidFill>
          </w14:textFill>
        </w:rPr>
        <w:t>7环境影响经济损益分析</w:t>
      </w:r>
      <w:bookmarkEnd w:id="236"/>
      <w:bookmarkEnd w:id="242"/>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经济效益分析是建设项目环境影响评价的一个重要组成部分，是综合评价、判断建设项目的环保投资是否能够补偿或多大程度上补偿由于污染造成环境损失得重要依据。环境经济损益分析除了需计算用于处理、控制污染所需的投资和费用外，还要同时核算可能收到的经济效益和社会效益。</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经济损益分析的主要任务是衡量建设项目环保投资及所能收到的环境保护效果，通过环保设施技术可行性和经济合理性的论证分析及评价，更合理地选择环保设施，从而促进建设项目更好地实现环境效益、经济效益与社会效益的统一。</w:t>
      </w:r>
    </w:p>
    <w:p>
      <w:pPr>
        <w:pStyle w:val="179"/>
        <w:rPr>
          <w:rFonts w:eastAsia="宋体"/>
          <w:color w:val="000000" w:themeColor="text1"/>
          <w14:textFill>
            <w14:solidFill>
              <w14:schemeClr w14:val="tx1"/>
            </w14:solidFill>
          </w14:textFill>
        </w:rPr>
      </w:pPr>
      <w:bookmarkStart w:id="243" w:name="_Toc22141"/>
      <w:bookmarkStart w:id="244" w:name="_Toc155271444"/>
      <w:r>
        <w:rPr>
          <w:rFonts w:eastAsia="宋体"/>
          <w:color w:val="000000" w:themeColor="text1"/>
          <w14:textFill>
            <w14:solidFill>
              <w14:schemeClr w14:val="tx1"/>
            </w14:solidFill>
          </w14:textFill>
        </w:rPr>
        <w:t>7.1环境保护</w:t>
      </w:r>
      <w:bookmarkEnd w:id="243"/>
      <w:r>
        <w:rPr>
          <w:rFonts w:eastAsia="宋体"/>
          <w:color w:val="000000" w:themeColor="text1"/>
          <w14:textFill>
            <w14:solidFill>
              <w14:schemeClr w14:val="tx1"/>
            </w14:solidFill>
          </w14:textFill>
        </w:rPr>
        <w:t>费用的确定与计算</w:t>
      </w:r>
      <w:bookmarkEnd w:id="244"/>
    </w:p>
    <w:p>
      <w:pPr>
        <w:keepNext/>
        <w:keepLines/>
        <w:adjustRightInd w:val="0"/>
        <w:outlineLvl w:val="2"/>
        <w:rPr>
          <w:rFonts w:eastAsia="宋体"/>
          <w:b/>
          <w:bCs/>
          <w:color w:val="000000" w:themeColor="text1"/>
          <w:szCs w:val="32"/>
          <w14:textFill>
            <w14:solidFill>
              <w14:schemeClr w14:val="tx1"/>
            </w14:solidFill>
          </w14:textFill>
        </w:rPr>
      </w:pPr>
      <w:bookmarkStart w:id="245" w:name="_Toc490235592"/>
      <w:bookmarkStart w:id="246" w:name="_Toc2725"/>
      <w:bookmarkStart w:id="247" w:name="_Toc489281090"/>
      <w:r>
        <w:rPr>
          <w:rFonts w:eastAsia="宋体"/>
          <w:b/>
          <w:bCs/>
          <w:color w:val="000000" w:themeColor="text1"/>
          <w:szCs w:val="32"/>
          <w14:textFill>
            <w14:solidFill>
              <w14:schemeClr w14:val="tx1"/>
            </w14:solidFill>
          </w14:textFill>
        </w:rPr>
        <w:t>7.1.1</w:t>
      </w:r>
      <w:bookmarkEnd w:id="245"/>
      <w:bookmarkEnd w:id="246"/>
      <w:bookmarkEnd w:id="247"/>
      <w:r>
        <w:rPr>
          <w:rFonts w:eastAsia="宋体"/>
          <w:b/>
          <w:bCs/>
          <w:color w:val="000000" w:themeColor="text1"/>
          <w:szCs w:val="32"/>
          <w14:textFill>
            <w14:solidFill>
              <w14:schemeClr w14:val="tx1"/>
            </w14:solidFill>
          </w14:textFill>
        </w:rPr>
        <w:t>环保设施投资</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依据《建设项目环境保护设计规定》的有关内容，环保设施划分的基本原则是：凡属于污染治理、环境保护所需的设备、装置和项目设施，属生产工艺需要又为环境保护服务的设施均属环保设施。建设项目环境保护设施所包括的内容及投资分析列于表6.6-1，环保投资总额243万元。</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环保设施使用年限按10年计算，则环保投资为24.3万元/a。</w:t>
      </w:r>
    </w:p>
    <w:p>
      <w:pPr>
        <w:keepNext/>
        <w:keepLines/>
        <w:adjustRightInd w:val="0"/>
        <w:outlineLvl w:val="2"/>
        <w:rPr>
          <w:rFonts w:eastAsia="宋体"/>
          <w:b/>
          <w:bCs/>
          <w:color w:val="000000" w:themeColor="text1"/>
          <w:szCs w:val="32"/>
          <w14:textFill>
            <w14:solidFill>
              <w14:schemeClr w14:val="tx1"/>
            </w14:solidFill>
          </w14:textFill>
        </w:rPr>
      </w:pPr>
      <w:bookmarkStart w:id="248" w:name="_Toc489281091"/>
      <w:bookmarkStart w:id="249" w:name="_Toc32214"/>
      <w:bookmarkStart w:id="250" w:name="_Toc490235593"/>
      <w:r>
        <w:rPr>
          <w:rFonts w:eastAsia="宋体"/>
          <w:b/>
          <w:bCs/>
          <w:color w:val="000000" w:themeColor="text1"/>
          <w:szCs w:val="32"/>
          <w14:textFill>
            <w14:solidFill>
              <w14:schemeClr w14:val="tx1"/>
            </w14:solidFill>
          </w14:textFill>
        </w:rPr>
        <w:t>7.1.2</w:t>
      </w:r>
      <w:bookmarkEnd w:id="248"/>
      <w:bookmarkEnd w:id="249"/>
      <w:bookmarkEnd w:id="250"/>
      <w:r>
        <w:rPr>
          <w:rFonts w:eastAsia="宋体"/>
          <w:b/>
          <w:bCs/>
          <w:color w:val="000000" w:themeColor="text1"/>
          <w:szCs w:val="32"/>
          <w14:textFill>
            <w14:solidFill>
              <w14:schemeClr w14:val="tx1"/>
            </w14:solidFill>
          </w14:textFill>
        </w:rPr>
        <w:t>环保设施运行费用</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运行费用主要是指为了保证污染治理设施正常运行、确保达到污染控制水平所需的费用，主要包括人工费、水电费、药剂费、维护管理费用以及其他费用。由于运行费用较之环保设施投资费用具有较多的不确定因素，难以预测，参照国内外企业环保设施运行费的有关资料，环保设施的年运行费用按环保投资的10%进行估算，经估算，全厂污染治理设施的年运行费用约为24.3万元/a。</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7.1.3环保费用总值</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环保费用总值包括环保投资和环保设施运行维护费用，则全厂环境保护费用为48.6万元/a。</w:t>
      </w:r>
    </w:p>
    <w:p>
      <w:pPr>
        <w:pStyle w:val="179"/>
        <w:rPr>
          <w:rFonts w:eastAsia="宋体"/>
          <w:color w:val="000000" w:themeColor="text1"/>
          <w14:textFill>
            <w14:solidFill>
              <w14:schemeClr w14:val="tx1"/>
            </w14:solidFill>
          </w14:textFill>
        </w:rPr>
      </w:pPr>
      <w:bookmarkStart w:id="251" w:name="_Toc31545"/>
      <w:bookmarkStart w:id="252" w:name="_Toc489281092"/>
      <w:bookmarkStart w:id="253" w:name="_Toc490235594"/>
      <w:bookmarkStart w:id="254" w:name="_Toc155271445"/>
      <w:r>
        <w:rPr>
          <w:rFonts w:eastAsia="宋体"/>
          <w:color w:val="000000" w:themeColor="text1"/>
          <w14:textFill>
            <w14:solidFill>
              <w14:schemeClr w14:val="tx1"/>
            </w14:solidFill>
          </w14:textFill>
        </w:rPr>
        <w:t>7.</w:t>
      </w:r>
      <w:bookmarkEnd w:id="251"/>
      <w:bookmarkEnd w:id="252"/>
      <w:bookmarkEnd w:id="253"/>
      <w:r>
        <w:rPr>
          <w:rFonts w:eastAsia="宋体"/>
          <w:color w:val="000000" w:themeColor="text1"/>
          <w14:textFill>
            <w14:solidFill>
              <w14:schemeClr w14:val="tx1"/>
            </w14:solidFill>
          </w14:textFill>
        </w:rPr>
        <w:t>2环境效益分析</w:t>
      </w:r>
      <w:bookmarkEnd w:id="254"/>
    </w:p>
    <w:p>
      <w:pPr>
        <w:keepNext/>
        <w:keepLines/>
        <w:adjustRightInd w:val="0"/>
        <w:outlineLvl w:val="2"/>
        <w:rPr>
          <w:rFonts w:eastAsia="宋体"/>
          <w:b/>
          <w:bCs/>
          <w:color w:val="000000" w:themeColor="text1"/>
          <w:szCs w:val="32"/>
          <w14:textFill>
            <w14:solidFill>
              <w14:schemeClr w14:val="tx1"/>
            </w14:solidFill>
          </w14:textFill>
        </w:rPr>
      </w:pPr>
      <w:bookmarkStart w:id="255" w:name="_Toc489281093"/>
      <w:bookmarkStart w:id="256" w:name="_Toc11357"/>
      <w:bookmarkStart w:id="257" w:name="_Toc490235595"/>
      <w:r>
        <w:rPr>
          <w:rFonts w:eastAsia="宋体"/>
          <w:b/>
          <w:bCs/>
          <w:color w:val="000000" w:themeColor="text1"/>
          <w:szCs w:val="32"/>
          <w14:textFill>
            <w14:solidFill>
              <w14:schemeClr w14:val="tx1"/>
            </w14:solidFill>
          </w14:textFill>
        </w:rPr>
        <w:t>7.</w:t>
      </w:r>
      <w:bookmarkEnd w:id="255"/>
      <w:bookmarkEnd w:id="256"/>
      <w:bookmarkEnd w:id="257"/>
      <w:r>
        <w:rPr>
          <w:rFonts w:eastAsia="宋体"/>
          <w:b/>
          <w:bCs/>
          <w:color w:val="000000" w:themeColor="text1"/>
          <w:szCs w:val="32"/>
          <w14:textFill>
            <w14:solidFill>
              <w14:schemeClr w14:val="tx1"/>
            </w14:solidFill>
          </w14:textFill>
        </w:rPr>
        <w:t>2.1环境保护措施的经济效益</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本项目环境保护措施的经济效益大致可分为：</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1、市场经济价值（环境税）</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本项目废气处理系统设备先进，处理效果好，能较大程度地削减废气中污染物的排放量，从而大幅度降低排污费。</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2、改善环境质量的非货币收益</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（1）通过对本工程的废气、废水、噪声进行治理，达标排放；对固体废弃物进行处置，去向明确，不会产生二次污染，降低了对周围环境的影响。</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（2）通过对本工程废气、废气和噪声的排放源进行定期定期监测，即对其达标排放情况跟踪，可以及时发现异常情况，并得到必要的处理。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（3）对生产设备采取的降噪措施，可避免或很大程度地缓解噪声对人体的听力及正常生活的影响。</w:t>
      </w:r>
    </w:p>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32"/>
          <w14:textFill>
            <w14:solidFill>
              <w14:schemeClr w14:val="tx1"/>
            </w14:solidFill>
          </w14:textFill>
        </w:rPr>
        <w:t>7.2.2间接经济效益</w:t>
      </w:r>
    </w:p>
    <w:p>
      <w:pPr>
        <w:pStyle w:val="301"/>
        <w:ind w:firstLine="240"/>
      </w:pPr>
      <w:r>
        <w:t>间接经济效益是指环保设施实施后产生的社会效益，包括环境污染所造成损失的减少、人体健康水平的提高、污染达标后免交的排污费、罚款、赔偿费等，但大部分效益难以用货币量化。</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公司</w:t>
      </w:r>
      <w:r>
        <w:rPr>
          <w:rFonts w:eastAsia="宋体"/>
          <w:color w:val="000000" w:themeColor="text1"/>
          <w14:textFill>
            <w14:solidFill>
              <w14:schemeClr w14:val="tx1"/>
            </w14:solidFill>
          </w14:textFill>
        </w:rPr>
        <w:t>实行员工本地化，对缓解当地的就业压力，增加社会安定因素起到了积极作用。公司经济效益良好，在生产过程中产生的污染物能得到有效控制，不会对周围居民及社会环境造成不良影响。</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公司投入大量资金，采用先进的处理系统对废气、废水、噪声、固体废物的治理，表明了公司对环境保护的重视程度，这对于全面落实国家的环境保护政策，起到了</w:t>
      </w:r>
      <w:r>
        <w:rPr>
          <w:rFonts w:hint="eastAsia" w:eastAsia="宋体"/>
          <w:color w:val="000000" w:themeColor="text1"/>
          <w14:textFill>
            <w14:solidFill>
              <w14:schemeClr w14:val="tx1"/>
            </w14:solidFill>
          </w14:textFill>
        </w:rPr>
        <w:t>积极</w:t>
      </w:r>
      <w:r>
        <w:rPr>
          <w:rFonts w:eastAsia="宋体"/>
          <w:color w:val="000000" w:themeColor="text1"/>
          <w14:textFill>
            <w14:solidFill>
              <w14:schemeClr w14:val="tx1"/>
            </w14:solidFill>
          </w14:textFill>
        </w:rPr>
        <w:t>作用。符合国家</w:t>
      </w:r>
      <w:r>
        <w:rPr>
          <w:rFonts w:hint="eastAsia" w:eastAsia="宋体"/>
          <w:color w:val="000000" w:themeColor="text1"/>
          <w14:textFill>
            <w14:solidFill>
              <w14:schemeClr w14:val="tx1"/>
            </w14:solidFill>
          </w14:textFill>
        </w:rPr>
        <w:t>现行的</w:t>
      </w:r>
      <w:r>
        <w:rPr>
          <w:rFonts w:eastAsia="宋体"/>
          <w:color w:val="000000" w:themeColor="text1"/>
          <w14:textFill>
            <w14:solidFill>
              <w14:schemeClr w14:val="tx1"/>
            </w14:solidFill>
          </w14:textFill>
        </w:rPr>
        <w:t>产业政策和当地总体发展规划，生产过程中产生的污染物能得到有效控制，具有良好的社会效益。</w:t>
      </w:r>
    </w:p>
    <w:p>
      <w:pPr>
        <w:pStyle w:val="179"/>
        <w:rPr>
          <w:rFonts w:eastAsia="宋体"/>
          <w:color w:val="000000" w:themeColor="text1"/>
          <w14:textFill>
            <w14:solidFill>
              <w14:schemeClr w14:val="tx1"/>
            </w14:solidFill>
          </w14:textFill>
        </w:rPr>
      </w:pPr>
      <w:bookmarkStart w:id="258" w:name="_Toc155271446"/>
      <w:r>
        <w:rPr>
          <w:rFonts w:eastAsia="宋体"/>
          <w:color w:val="000000" w:themeColor="text1"/>
          <w14:textFill>
            <w14:solidFill>
              <w14:schemeClr w14:val="tx1"/>
            </w14:solidFill>
          </w14:textFill>
        </w:rPr>
        <w:t>7.3小结</w:t>
      </w:r>
      <w:bookmarkEnd w:id="258"/>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本项目环保投资额为243万元，占本项目总投资2680万元的9.07%。项目投资主要集中在废气、</w:t>
      </w:r>
      <w:r>
        <w:rPr>
          <w:rFonts w:hint="eastAsia" w:eastAsia="宋体"/>
          <w:color w:val="000000" w:themeColor="text1"/>
          <w14:textFill>
            <w14:solidFill>
              <w14:schemeClr w14:val="tx1"/>
            </w14:solidFill>
          </w14:textFill>
        </w:rPr>
        <w:t>废水</w:t>
      </w:r>
      <w:r>
        <w:rPr>
          <w:rFonts w:eastAsia="宋体"/>
          <w:color w:val="000000" w:themeColor="text1"/>
          <w14:textFill>
            <w14:solidFill>
              <w14:schemeClr w14:val="tx1"/>
            </w14:solidFill>
          </w14:textFill>
        </w:rPr>
        <w:t>、噪声防治等方面。</w:t>
      </w:r>
    </w:p>
    <w:p>
      <w:pPr>
        <w:ind w:firstLine="480"/>
        <w:rPr>
          <w:rFonts w:eastAsia="宋体"/>
          <w:color w:val="000000" w:themeColor="text1"/>
          <w:szCs w:val="24"/>
          <w14:textFill>
            <w14:solidFill>
              <w14:schemeClr w14:val="tx1"/>
            </w14:solidFill>
          </w14:textFill>
        </w:rPr>
        <w:sectPr>
          <w:pgSz w:w="11906" w:h="16838"/>
          <w:pgMar w:top="1800" w:right="1440" w:bottom="1276" w:left="1440" w:header="720" w:footer="720" w:gutter="0"/>
          <w:cols w:space="720" w:num="1"/>
          <w:docGrid w:linePitch="326" w:charSpace="0"/>
        </w:sectPr>
      </w:pPr>
    </w:p>
    <w:p>
      <w:pPr>
        <w:pStyle w:val="181"/>
        <w:rPr>
          <w:rFonts w:eastAsia="宋体"/>
          <w:color w:val="000000" w:themeColor="text1"/>
          <w14:textFill>
            <w14:solidFill>
              <w14:schemeClr w14:val="tx1"/>
            </w14:solidFill>
          </w14:textFill>
        </w:rPr>
      </w:pPr>
      <w:bookmarkStart w:id="259" w:name="_Toc155271447"/>
      <w:r>
        <w:rPr>
          <w:rFonts w:eastAsia="宋体"/>
          <w:color w:val="000000" w:themeColor="text1"/>
          <w14:textFill>
            <w14:solidFill>
              <w14:schemeClr w14:val="tx1"/>
            </w14:solidFill>
          </w14:textFill>
        </w:rPr>
        <w:t>8环境管理与监测计划</w:t>
      </w:r>
      <w:bookmarkEnd w:id="259"/>
    </w:p>
    <w:p>
      <w:pPr>
        <w:pStyle w:val="179"/>
        <w:rPr>
          <w:rFonts w:eastAsia="宋体"/>
          <w:color w:val="000000" w:themeColor="text1"/>
          <w14:textFill>
            <w14:solidFill>
              <w14:schemeClr w14:val="tx1"/>
            </w14:solidFill>
          </w14:textFill>
        </w:rPr>
      </w:pPr>
      <w:bookmarkStart w:id="260" w:name="_Toc155271448"/>
      <w:bookmarkStart w:id="261" w:name="_Toc29857"/>
      <w:r>
        <w:rPr>
          <w:rFonts w:eastAsia="宋体"/>
          <w:color w:val="000000" w:themeColor="text1"/>
          <w14:textFill>
            <w14:solidFill>
              <w14:schemeClr w14:val="tx1"/>
            </w14:solidFill>
          </w14:textFill>
        </w:rPr>
        <w:t>8.1环境管理</w:t>
      </w:r>
      <w:bookmarkEnd w:id="260"/>
      <w:bookmarkEnd w:id="261"/>
    </w:p>
    <w:p>
      <w:pPr>
        <w:keepNext/>
        <w:keepLines/>
        <w:adjustRightInd w:val="0"/>
        <w:outlineLvl w:val="2"/>
        <w:rPr>
          <w:rFonts w:eastAsia="宋体"/>
          <w:b/>
          <w:bCs/>
          <w:color w:val="000000" w:themeColor="text1"/>
          <w:szCs w:val="32"/>
          <w14:textFill>
            <w14:solidFill>
              <w14:schemeClr w14:val="tx1"/>
            </w14:solidFill>
          </w14:textFill>
        </w:rPr>
      </w:pPr>
      <w:bookmarkStart w:id="262" w:name="_Toc24432"/>
      <w:bookmarkStart w:id="263" w:name="_Toc490235609"/>
      <w:bookmarkStart w:id="264" w:name="_Toc489281107"/>
      <w:r>
        <w:rPr>
          <w:rFonts w:eastAsia="宋体"/>
          <w:b/>
          <w:bCs/>
          <w:color w:val="000000" w:themeColor="text1"/>
          <w:szCs w:val="32"/>
          <w14:textFill>
            <w14:solidFill>
              <w14:schemeClr w14:val="tx1"/>
            </w14:solidFill>
          </w14:textFill>
        </w:rPr>
        <w:t>8.1.1环境管理目的</w:t>
      </w:r>
      <w:bookmarkEnd w:id="262"/>
      <w:bookmarkEnd w:id="263"/>
      <w:bookmarkEnd w:id="264"/>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环境保护工作的任务就是保证在现代化建设中，合理利用自然资源，防止环境污染和生态破坏，为人民创造清洁适宜的生活和劳动环境，保护人民健康，促进经济发展。</w:t>
      </w:r>
    </w:p>
    <w:p>
      <w:pPr>
        <w:ind w:firstLine="480"/>
        <w:rPr>
          <w:rFonts w:eastAsia="宋体"/>
          <w:color w:val="000000" w:themeColor="text1"/>
          <w:szCs w:val="24"/>
          <w14:textFill>
            <w14:solidFill>
              <w14:schemeClr w14:val="tx1"/>
            </w14:solidFill>
          </w14:textFill>
        </w:rPr>
      </w:pPr>
      <w:r>
        <w:rPr>
          <w:rFonts w:eastAsia="宋体"/>
          <w:color w:val="000000" w:themeColor="text1"/>
          <w14:textFill>
            <w14:solidFill>
              <w14:schemeClr w14:val="tx1"/>
            </w14:solidFill>
          </w14:textFill>
        </w:rPr>
        <w:t>为了缓解建设项目生产运行对环境构成的影响，企业必须制订全面的、长期的环境</w:t>
      </w:r>
      <w:r>
        <w:rPr>
          <w:rFonts w:eastAsia="宋体"/>
          <w:color w:val="000000" w:themeColor="text1"/>
          <w:szCs w:val="24"/>
          <w14:textFill>
            <w14:solidFill>
              <w14:schemeClr w14:val="tx1"/>
            </w14:solidFill>
          </w14:textFill>
        </w:rPr>
        <w:t>管理计划。</w:t>
      </w:r>
    </w:p>
    <w:p>
      <w:pPr>
        <w:keepNext/>
        <w:keepLines/>
        <w:adjustRightInd w:val="0"/>
        <w:outlineLvl w:val="2"/>
        <w:rPr>
          <w:rFonts w:eastAsia="宋体"/>
          <w:b/>
          <w:bCs/>
          <w:color w:val="000000" w:themeColor="text1"/>
          <w:szCs w:val="24"/>
          <w14:textFill>
            <w14:solidFill>
              <w14:schemeClr w14:val="tx1"/>
            </w14:solidFill>
          </w14:textFill>
        </w:rPr>
      </w:pPr>
      <w:bookmarkStart w:id="265" w:name="_Toc192"/>
      <w:bookmarkStart w:id="266" w:name="_Toc490235610"/>
      <w:bookmarkStart w:id="267" w:name="_Toc489281108"/>
      <w:r>
        <w:rPr>
          <w:rFonts w:eastAsia="宋体"/>
          <w:b/>
          <w:bCs/>
          <w:color w:val="000000" w:themeColor="text1"/>
          <w:szCs w:val="24"/>
          <w14:textFill>
            <w14:solidFill>
              <w14:schemeClr w14:val="tx1"/>
            </w14:solidFill>
          </w14:textFill>
        </w:rPr>
        <w:t>8.1.2</w:t>
      </w:r>
      <w:bookmarkEnd w:id="265"/>
      <w:bookmarkEnd w:id="266"/>
      <w:bookmarkEnd w:id="267"/>
      <w:r>
        <w:rPr>
          <w:rFonts w:eastAsia="宋体"/>
          <w:b/>
          <w:bCs/>
          <w:color w:val="000000" w:themeColor="text1"/>
          <w:szCs w:val="24"/>
          <w14:textFill>
            <w14:solidFill>
              <w14:schemeClr w14:val="tx1"/>
            </w14:solidFill>
          </w14:textFill>
        </w:rPr>
        <w:t>环境保护机构</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由于本项目涉及2</w:t>
      </w:r>
      <w:r>
        <w:rPr>
          <w:rFonts w:hint="eastAsia" w:eastAsia="宋体"/>
          <w:color w:val="000000" w:themeColor="text1"/>
          <w:szCs w:val="24"/>
          <w:lang w:eastAsia="zh-CN"/>
          <w14:textFill>
            <w14:solidFill>
              <w14:schemeClr w14:val="tx1"/>
            </w14:solidFill>
          </w14:textFill>
        </w:rPr>
        <w:t>个</w:t>
      </w:r>
      <w:r>
        <w:rPr>
          <w:rFonts w:eastAsia="宋体"/>
          <w:color w:val="000000" w:themeColor="text1"/>
          <w:szCs w:val="24"/>
          <w14:textFill>
            <w14:solidFill>
              <w14:schemeClr w14:val="tx1"/>
            </w14:solidFill>
          </w14:textFill>
        </w:rPr>
        <w:t>地块，建设单位拟在1号地块设置1处生态环境保护机构，并分别在1号地块和2号地块设置兼职环保人员各至少一名，分别负责2个区域。并建立完善的环境管理制度。定期对兼职环保人员进行培训，确保环保设施的正常运行和污染物达标排放。</w:t>
      </w:r>
    </w:p>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8.1.3环保规章制度</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环境管理规章制度的建立完善，使环境保护</w:t>
      </w:r>
      <w:r>
        <w:rPr>
          <w:rFonts w:hint="eastAsia" w:eastAsia="宋体"/>
          <w:color w:val="000000" w:themeColor="text1"/>
          <w:szCs w:val="24"/>
          <w14:textFill>
            <w14:solidFill>
              <w14:schemeClr w14:val="tx1"/>
            </w14:solidFill>
          </w14:textFill>
        </w:rPr>
        <w:t>工作</w:t>
      </w:r>
      <w:r>
        <w:rPr>
          <w:rFonts w:eastAsia="宋体"/>
          <w:color w:val="000000" w:themeColor="text1"/>
          <w:szCs w:val="24"/>
          <w14:textFill>
            <w14:solidFill>
              <w14:schemeClr w14:val="tx1"/>
            </w14:solidFill>
          </w14:textFill>
        </w:rPr>
        <w:t>做到有章可循，有效防止各类污染事故的发生。建设单位应建立《环境保护管理制度</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建设项目环境保护管理规定</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环保设施操作规程</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环境污染事故管理规定</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环保台账管理制度》和《危险废物管理制度》等环境管理规章制度，具体内容如下：</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环境保护管理制度》是企业内部环境保护的基本规章制度。该制度规定企业的环境保护管理总则、组织机构与职责、防治污染、环境监测管理、环保科研、宣传教育与培训、奖励与处罚等方面的基本总则。</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（2）《建设项目环境保护管理规定》针对企业内部项目，严格按照国家有关政策制定本企业建设项目“三同时”的管理总则与细则。</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（3）《环保设备管理制度》包括遵守国家有关环境保护管理的规定，深入学习环境保护的科学知识，营造“治理环境，人人有责”的良好氛围，同时加强新技术应用，不断提高治理水平。</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环保设备由兼职环保人员负责及维护；</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兼职环保人员要认真填写污染治理设施运行台账并及时上报，做到不虚报、不谎报、不涂改；</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环保设施操作者、兼职环保人员要做到勤检查、勤维护，确保设备正常运行；</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任何人不许擅自关停环保设备、设施。一旦需要停机，必须报企业有关领导，经领导批准方可实施。</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（4）《环保设施操作规程》</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认真填写污染治理设施运行台账；</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操作人员必须进行上岗培训，熟练掌握操作规程，了解设施工作原理；</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设备开启操作程序、设备停机操作程序；生产运行期间，环保设施不得关停。如需检修、保养，必须经厂领导批准方可实施；</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规范排污口：在厂区“三废”及噪声排放点，设置明显标志，标志的设置应执行《环境保护图形标志排放口</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源</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w:t>
      </w:r>
      <w:r>
        <w:rPr>
          <w:rFonts w:hint="eastAsia" w:eastAsia="宋体"/>
          <w:color w:val="000000" w:themeColor="text1"/>
          <w:szCs w:val="24"/>
          <w:lang w:eastAsia="zh-CN"/>
          <w14:textFill>
            <w14:solidFill>
              <w14:schemeClr w14:val="tx1"/>
            </w14:solidFill>
          </w14:textFill>
        </w:rPr>
        <w:t>（</w:t>
      </w:r>
      <w:r>
        <w:rPr>
          <w:rFonts w:eastAsia="宋体"/>
          <w:color w:val="000000" w:themeColor="text1"/>
          <w:szCs w:val="24"/>
          <w14:textFill>
            <w14:solidFill>
              <w14:schemeClr w14:val="tx1"/>
            </w14:solidFill>
          </w14:textFill>
        </w:rPr>
        <w:t>GB15562.1-1995</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及《环境保护图形标志固体废物贮存</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处置</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场》</w:t>
      </w:r>
      <w:r>
        <w:rPr>
          <w:rFonts w:hint="eastAsia" w:eastAsia="宋体"/>
          <w:color w:val="000000" w:themeColor="text1"/>
          <w:szCs w:val="24"/>
          <w:lang w:eastAsia="zh-CN"/>
          <w14:textFill>
            <w14:solidFill>
              <w14:schemeClr w14:val="tx1"/>
            </w14:solidFill>
          </w14:textFill>
        </w:rPr>
        <w:t>（</w:t>
      </w:r>
      <w:r>
        <w:rPr>
          <w:rFonts w:eastAsia="宋体"/>
          <w:color w:val="000000" w:themeColor="text1"/>
          <w:szCs w:val="24"/>
          <w14:textFill>
            <w14:solidFill>
              <w14:schemeClr w14:val="tx1"/>
            </w14:solidFill>
          </w14:textFill>
        </w:rPr>
        <w:t>GB15562.1-1995</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中有关规定。</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（5）《环境污染事故管理规定》规定环境污染事故分级、分类、事故处理、事故报告和损失计算等方面的具体办法。</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（6）《危险废物管理制度》是对本项目产生的危险废物贮存、转移、处置方式的规定，应严格按照制度执行，加强对危险废物全过程的监管并进行危险废物的统计和汇总。</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（7）《环保台账管理制度》主要包括：</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环保设施建设台账：企业应从项目施工期开始，将各类环保设备的设计单位、进厂日期、规格型号、台数</w:t>
      </w:r>
      <w:r>
        <w:rPr>
          <w:rFonts w:hint="eastAsia" w:eastAsia="宋体"/>
          <w:color w:val="000000" w:themeColor="text1"/>
          <w:szCs w:val="24"/>
          <w14:textFill>
            <w14:solidFill>
              <w14:schemeClr w14:val="tx1"/>
            </w14:solidFill>
          </w14:textFill>
        </w:rPr>
        <w:t>，以及</w:t>
      </w:r>
      <w:r>
        <w:rPr>
          <w:rFonts w:eastAsia="宋体"/>
          <w:color w:val="000000" w:themeColor="text1"/>
          <w:szCs w:val="24"/>
          <w14:textFill>
            <w14:solidFill>
              <w14:schemeClr w14:val="tx1"/>
            </w14:solidFill>
          </w14:textFill>
        </w:rPr>
        <w:t>其它相关信息记入台账，以便于查阅。对各环保设施的检修次数、检修原因、检修时间等也应记入相应设备一览表中。</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污染物排放及治理台账，即日常记录台账。将日常各环保设施的运行时间、进出口浓度、处理效率、运行情况等记入台账，以便于核查和检查。</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企业环保基础台账，包括日常环保管理制度、环评文件及批复、试生产及竣工验收材料、奖惩记录、排污费缴纳、有关环保设施的投标和技术方案等。</w:t>
      </w:r>
    </w:p>
    <w:p>
      <w:pPr>
        <w:ind w:firstLine="480"/>
        <w:rPr>
          <w:rFonts w:eastAsia="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环保台账凭证，包括与污染物排放有关的材料，如耗水、用电等资源能源消耗。</w:t>
      </w:r>
    </w:p>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8.1.4企业信息公开</w:t>
      </w:r>
    </w:p>
    <w:p>
      <w:pPr>
        <w:pStyle w:val="275"/>
        <w:ind w:firstLine="480" w:firstLineChars="200"/>
        <w:rPr>
          <w:rFonts w:ascii="Times New Roman" w:hAnsi="Times New Roman" w:cs="Times New Roman"/>
          <w:color w:val="000000" w:themeColor="text1"/>
          <w:kern w:val="2"/>
          <w14:textFill>
            <w14:solidFill>
              <w14:schemeClr w14:val="tx1"/>
            </w14:solidFill>
          </w14:textFill>
        </w:rPr>
      </w:pPr>
      <w:bookmarkStart w:id="268" w:name="_Toc28978"/>
      <w:r>
        <w:rPr>
          <w:rFonts w:ascii="Times New Roman" w:hAnsi="Times New Roman" w:cs="Times New Roman"/>
          <w:color w:val="000000" w:themeColor="text1"/>
          <w:kern w:val="2"/>
          <w14:textFill>
            <w14:solidFill>
              <w14:schemeClr w14:val="tx1"/>
            </w14:solidFill>
          </w14:textFill>
        </w:rPr>
        <w:t>根据《企业事业单位环境信息公开办法》（环境保护部令第31号），排污单位应当通过其网站、企业事业单位环境信息公开平台或者当地报刊等便于公众知晓的方式公开环境信息，其具体公开的信息内容如下：</w:t>
      </w:r>
    </w:p>
    <w:p>
      <w:pPr>
        <w:pStyle w:val="327"/>
        <w:autoSpaceDE w:val="0"/>
        <w:autoSpaceDN w:val="0"/>
        <w:adjustRightInd w:val="0"/>
        <w:spacing w:line="360" w:lineRule="auto"/>
        <w:ind w:firstLine="480" w:firstLineChars="200"/>
        <w:textAlignment w:val="baseline"/>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基础信息，包括单位名称、组织机构代码、法定代表人、生产地址、联系方式，以及生产经营和管理服务的主要内容、产品及规模；</w:t>
      </w:r>
      <w:r>
        <w:rPr>
          <w:rFonts w:hint="eastAsia" w:ascii="宋体" w:hAnsi="宋体" w:cs="宋体"/>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排污信息，包括主要污染物及特征污染物的名称、排放方式、排放口数量和分布情况、排放浓度和总量、超标情况，以及执行的污染物排放标准、核定的排放总量；</w:t>
      </w: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防治污染设施的建设和运行情况；</w:t>
      </w: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建设项目环境影响评价及其他环境保护行政许可情况；</w:t>
      </w:r>
      <w:r>
        <w:rPr>
          <w:rFonts w:hint="eastAsia" w:ascii="宋体" w:hAnsi="宋体" w:cs="宋体"/>
          <w:color w:val="000000" w:themeColor="text1"/>
          <w:sz w:val="24"/>
          <w:szCs w:val="24"/>
          <w14:textFill>
            <w14:solidFill>
              <w14:schemeClr w14:val="tx1"/>
            </w14:solidFill>
          </w14:textFill>
        </w:rPr>
        <w:t>⑤</w:t>
      </w:r>
      <w:r>
        <w:rPr>
          <w:color w:val="000000" w:themeColor="text1"/>
          <w:sz w:val="24"/>
          <w:szCs w:val="24"/>
          <w14:textFill>
            <w14:solidFill>
              <w14:schemeClr w14:val="tx1"/>
            </w14:solidFill>
          </w14:textFill>
        </w:rPr>
        <w:t>突发环境事件应急预案；</w:t>
      </w:r>
      <w:r>
        <w:rPr>
          <w:rFonts w:hint="eastAsia" w:ascii="宋体" w:hAnsi="宋体" w:cs="宋体"/>
          <w:color w:val="000000" w:themeColor="text1"/>
          <w:sz w:val="24"/>
          <w:szCs w:val="24"/>
          <w14:textFill>
            <w14:solidFill>
              <w14:schemeClr w14:val="tx1"/>
            </w14:solidFill>
          </w14:textFill>
        </w:rPr>
        <w:t>⑥</w:t>
      </w:r>
      <w:r>
        <w:rPr>
          <w:color w:val="000000" w:themeColor="text1"/>
          <w:sz w:val="24"/>
          <w:szCs w:val="24"/>
          <w14:textFill>
            <w14:solidFill>
              <w14:schemeClr w14:val="tx1"/>
            </w14:solidFill>
          </w14:textFill>
        </w:rPr>
        <w:t>其他应当公开的环境信息。</w:t>
      </w:r>
    </w:p>
    <w:p>
      <w:pPr>
        <w:pStyle w:val="179"/>
        <w:rPr>
          <w:rFonts w:eastAsia="宋体"/>
          <w:color w:val="000000" w:themeColor="text1"/>
          <w14:textFill>
            <w14:solidFill>
              <w14:schemeClr w14:val="tx1"/>
            </w14:solidFill>
          </w14:textFill>
        </w:rPr>
      </w:pPr>
      <w:bookmarkStart w:id="269" w:name="_Toc155271449"/>
      <w:r>
        <w:rPr>
          <w:rFonts w:eastAsia="宋体"/>
          <w:color w:val="000000" w:themeColor="text1"/>
          <w14:textFill>
            <w14:solidFill>
              <w14:schemeClr w14:val="tx1"/>
            </w14:solidFill>
          </w14:textFill>
        </w:rPr>
        <w:t>8.2</w:t>
      </w:r>
      <w:bookmarkEnd w:id="268"/>
      <w:r>
        <w:rPr>
          <w:rFonts w:eastAsia="宋体"/>
          <w:color w:val="000000" w:themeColor="text1"/>
          <w14:textFill>
            <w14:solidFill>
              <w14:schemeClr w14:val="tx1"/>
            </w14:solidFill>
          </w14:textFill>
        </w:rPr>
        <w:t>监测计划</w:t>
      </w:r>
      <w:bookmarkEnd w:id="269"/>
    </w:p>
    <w:p>
      <w:pPr>
        <w:keepNext/>
        <w:keepLines/>
        <w:adjustRightInd w:val="0"/>
        <w:outlineLvl w:val="2"/>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8.2.1环境监测计划</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建设单位应定期委托有环境监测资质的单位对污染物排放口、厂界噪声等排放情况开展自行监测。监测结果需要记录归档，并定期向社会公布。</w:t>
      </w:r>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根据《固定污染源排污许可分类管理名录（2019年版）》，本项目属于“二十八、金属制品业，80、结构性金属制品制造，涉及通用工序简化管理的</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五十一、通用工序，111、表面处理，年使用10吨及以上有机溶剂的”，应实施排污许可简化管理。参考《排污单位自行监测技术指南 总则》（HJ819-2017）</w:t>
      </w:r>
      <w:r>
        <w:rPr>
          <w:rFonts w:hint="eastAsia" w:eastAsia="宋体"/>
          <w:color w:val="000000" w:themeColor="text1"/>
          <w:szCs w:val="24"/>
          <w14:textFill>
            <w14:solidFill>
              <w14:schemeClr w14:val="tx1"/>
            </w14:solidFill>
          </w14:textFill>
        </w:rPr>
        <w:t>、《排污许可证申请与核发技术规范 工业噪声》（H</w:t>
      </w:r>
      <w:r>
        <w:rPr>
          <w:rFonts w:eastAsia="宋体"/>
          <w:color w:val="000000" w:themeColor="text1"/>
          <w:szCs w:val="24"/>
          <w14:textFill>
            <w14:solidFill>
              <w14:schemeClr w14:val="tx1"/>
            </w14:solidFill>
          </w14:textFill>
        </w:rPr>
        <w:t>J 1303-2023</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和《排污单位自行监测技术指南 涂装》（HJ 1086-2020），本项目污染源监测计划见下表。</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表8.2-1  污染源监测计划一览表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611"/>
        <w:gridCol w:w="2029"/>
        <w:gridCol w:w="1306"/>
        <w:gridCol w:w="2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top w:val="single" w:color="auto" w:sz="12" w:space="0"/>
            </w:tcBorders>
            <w:vAlign w:val="center"/>
          </w:tcPr>
          <w:p>
            <w:pPr>
              <w:adjustRightIn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分类</w:t>
            </w:r>
          </w:p>
        </w:tc>
        <w:tc>
          <w:tcPr>
            <w:tcW w:w="1364" w:type="pct"/>
            <w:tcBorders>
              <w:top w:val="single" w:color="auto" w:sz="12" w:space="0"/>
            </w:tcBorders>
            <w:vAlign w:val="center"/>
          </w:tcPr>
          <w:p>
            <w:pPr>
              <w:adjustRightIn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采样口位置</w:t>
            </w:r>
          </w:p>
        </w:tc>
        <w:tc>
          <w:tcPr>
            <w:tcW w:w="1060" w:type="pct"/>
            <w:tcBorders>
              <w:top w:val="single" w:color="auto" w:sz="12" w:space="0"/>
            </w:tcBorders>
            <w:vAlign w:val="center"/>
          </w:tcPr>
          <w:p>
            <w:pPr>
              <w:adjustRightIn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主要监测指标</w:t>
            </w:r>
          </w:p>
        </w:tc>
        <w:tc>
          <w:tcPr>
            <w:tcW w:w="682" w:type="pct"/>
            <w:tcBorders>
              <w:top w:val="single" w:color="auto" w:sz="12" w:space="0"/>
            </w:tcBorders>
            <w:vAlign w:val="center"/>
          </w:tcPr>
          <w:p>
            <w:pPr>
              <w:adjustRightIn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监测频次</w:t>
            </w:r>
          </w:p>
        </w:tc>
        <w:tc>
          <w:tcPr>
            <w:tcW w:w="1515" w:type="pct"/>
            <w:tcBorders>
              <w:top w:val="single" w:color="auto" w:sz="12" w:space="0"/>
            </w:tcBorders>
            <w:vAlign w:val="center"/>
          </w:tcPr>
          <w:p>
            <w:pPr>
              <w:adjustRightInd w:val="0"/>
              <w:spacing w:line="240" w:lineRule="auto"/>
              <w:jc w:val="center"/>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有组织废气</w:t>
            </w: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DA001</w:t>
            </w:r>
            <w:r>
              <w:rPr>
                <w:rFonts w:hint="eastAsia" w:eastAsia="宋体"/>
                <w:color w:val="000000" w:themeColor="text1"/>
                <w:sz w:val="21"/>
                <w:szCs w:val="21"/>
                <w14:textFill>
                  <w14:solidFill>
                    <w14:schemeClr w14:val="tx1"/>
                  </w14:solidFill>
                </w14:textFill>
              </w:rPr>
              <w:t>（切割下料粉尘）</w:t>
            </w:r>
          </w:p>
        </w:tc>
        <w:tc>
          <w:tcPr>
            <w:tcW w:w="1060" w:type="pct"/>
            <w:vAlign w:val="center"/>
          </w:tcPr>
          <w:p>
            <w:pPr>
              <w:pStyle w:val="27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Merge w:val="restar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《大气污染物综合排放标准》（DB 50/418-2016）、《恶臭污染物排放标准》（GB 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DA002</w:t>
            </w:r>
            <w:r>
              <w:rPr>
                <w:rFonts w:hint="eastAsia" w:eastAsia="宋体"/>
                <w:color w:val="000000" w:themeColor="text1"/>
                <w:sz w:val="21"/>
                <w:szCs w:val="21"/>
                <w14:textFill>
                  <w14:solidFill>
                    <w14:schemeClr w14:val="tx1"/>
                  </w14:solidFill>
                </w14:textFill>
              </w:rPr>
              <w:t>（喷砂车间）</w:t>
            </w:r>
          </w:p>
        </w:tc>
        <w:tc>
          <w:tcPr>
            <w:tcW w:w="1060" w:type="pct"/>
            <w:vAlign w:val="center"/>
          </w:tcPr>
          <w:p>
            <w:pPr>
              <w:pStyle w:val="27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D</w:t>
            </w:r>
            <w:r>
              <w:rPr>
                <w:rFonts w:eastAsia="宋体"/>
                <w:color w:val="000000" w:themeColor="text1"/>
                <w:sz w:val="21"/>
                <w:szCs w:val="21"/>
                <w14:textFill>
                  <w14:solidFill>
                    <w14:schemeClr w14:val="tx1"/>
                  </w14:solidFill>
                </w14:textFill>
              </w:rPr>
              <w:t>A003</w:t>
            </w:r>
            <w:r>
              <w:rPr>
                <w:rFonts w:hint="eastAsia" w:eastAsia="宋体"/>
                <w:color w:val="000000" w:themeColor="text1"/>
                <w:sz w:val="21"/>
                <w:szCs w:val="21"/>
                <w14:textFill>
                  <w14:solidFill>
                    <w14:schemeClr w14:val="tx1"/>
                  </w14:solidFill>
                </w14:textFill>
              </w:rPr>
              <w:t>（涂装废气）</w:t>
            </w:r>
          </w:p>
        </w:tc>
        <w:tc>
          <w:tcPr>
            <w:tcW w:w="1060" w:type="pct"/>
            <w:vAlign w:val="center"/>
          </w:tcPr>
          <w:p>
            <w:pPr>
              <w:pStyle w:val="27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颗粒物、非甲烷总烃、甲苯、二甲苯、臭气浓度</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无组织废气</w:t>
            </w: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1号地块厂区边界</w:t>
            </w:r>
          </w:p>
        </w:tc>
        <w:tc>
          <w:tcPr>
            <w:tcW w:w="1060" w:type="pct"/>
            <w:vAlign w:val="center"/>
          </w:tcPr>
          <w:p>
            <w:pPr>
              <w:pStyle w:val="27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2号地块厂区边界</w:t>
            </w:r>
          </w:p>
        </w:tc>
        <w:tc>
          <w:tcPr>
            <w:tcW w:w="1060" w:type="pct"/>
            <w:vAlign w:val="center"/>
          </w:tcPr>
          <w:p>
            <w:pPr>
              <w:pStyle w:val="27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颗粒物、非甲烷总烃、甲苯、二甲苯、臭气浓度</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1次/半年</w:t>
            </w:r>
          </w:p>
        </w:tc>
        <w:tc>
          <w:tcPr>
            <w:tcW w:w="1515"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2号地块厂区内</w:t>
            </w:r>
          </w:p>
        </w:tc>
        <w:tc>
          <w:tcPr>
            <w:tcW w:w="1060" w:type="pct"/>
            <w:vAlign w:val="center"/>
          </w:tcPr>
          <w:p>
            <w:pPr>
              <w:pStyle w:val="27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非甲烷总烃</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1次/半年</w:t>
            </w:r>
          </w:p>
        </w:tc>
        <w:tc>
          <w:tcPr>
            <w:tcW w:w="1515"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《挥发性有机物无组织排放控制标准》（GB 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restar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废水</w:t>
            </w: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1#生化池排放口（1号地块）</w:t>
            </w:r>
          </w:p>
        </w:tc>
        <w:tc>
          <w:tcPr>
            <w:tcW w:w="1060"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COD、BOD</w:t>
            </w:r>
            <w:r>
              <w:rPr>
                <w:rFonts w:eastAsia="宋体"/>
                <w:color w:val="000000" w:themeColor="text1"/>
                <w:sz w:val="21"/>
                <w:szCs w:val="21"/>
                <w:vertAlign w:val="subscript"/>
                <w14:textFill>
                  <w14:solidFill>
                    <w14:schemeClr w14:val="tx1"/>
                  </w14:solidFill>
                </w14:textFill>
              </w:rPr>
              <w:t>5</w:t>
            </w:r>
            <w:r>
              <w:rPr>
                <w:rFonts w:eastAsia="宋体"/>
                <w:color w:val="000000" w:themeColor="text1"/>
                <w:sz w:val="21"/>
                <w:szCs w:val="21"/>
                <w14:textFill>
                  <w14:solidFill>
                    <w14:schemeClr w14:val="tx1"/>
                  </w14:solidFill>
                </w14:textFill>
              </w:rPr>
              <w:t>、氨氮、SS、石油类</w:t>
            </w:r>
            <w:r>
              <w:rPr>
                <w:rFonts w:hint="eastAsia" w:eastAsia="宋体"/>
                <w:color w:val="000000" w:themeColor="text1"/>
                <w:sz w:val="21"/>
                <w:szCs w:val="21"/>
                <w14:textFill>
                  <w14:solidFill>
                    <w14:schemeClr w14:val="tx1"/>
                  </w14:solidFill>
                </w14:textFill>
              </w:rPr>
              <w:t>、动植物油、T</w:t>
            </w:r>
            <w:r>
              <w:rPr>
                <w:rFonts w:eastAsia="宋体"/>
                <w:color w:val="000000" w:themeColor="text1"/>
                <w:sz w:val="21"/>
                <w:szCs w:val="21"/>
                <w14:textFill>
                  <w14:solidFill>
                    <w14:schemeClr w14:val="tx1"/>
                  </w14:solidFill>
                </w14:textFill>
              </w:rPr>
              <w:t>P</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《污水综合排放标准》（GB8978-1996）三级标准</w:t>
            </w:r>
            <w:r>
              <w:rPr>
                <w:rFonts w:hint="eastAsia" w:eastAsia="宋体"/>
                <w:color w:val="000000" w:themeColor="text1"/>
                <w:sz w:val="21"/>
                <w:szCs w:val="21"/>
                <w14:textFill>
                  <w14:solidFill>
                    <w14:schemeClr w14:val="tx1"/>
                  </w14:solidFill>
                </w14:textFill>
              </w:rPr>
              <w:t>（其中NH</w:t>
            </w:r>
            <w:r>
              <w:rPr>
                <w:rFonts w:hint="eastAsia" w:eastAsia="宋体"/>
                <w:color w:val="000000" w:themeColor="text1"/>
                <w:sz w:val="21"/>
                <w:szCs w:val="21"/>
                <w:vertAlign w:val="subscript"/>
                <w14:textFill>
                  <w14:solidFill>
                    <w14:schemeClr w14:val="tx1"/>
                  </w14:solidFill>
                </w14:textFill>
              </w:rPr>
              <w:t>3</w:t>
            </w:r>
            <w:r>
              <w:rPr>
                <w:rFonts w:hint="eastAsia" w:eastAsia="宋体"/>
                <w:color w:val="000000" w:themeColor="text1"/>
                <w:sz w:val="21"/>
                <w:szCs w:val="21"/>
                <w14:textFill>
                  <w14:solidFill>
                    <w14:schemeClr w14:val="tx1"/>
                  </w14:solidFill>
                </w14:textFill>
              </w:rPr>
              <w:t>-N、TP参照《污水排入城镇下水道水质标准》（GB/T 31962-2015）B及标准）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Merge w:val="continue"/>
            <w:vAlign w:val="center"/>
          </w:tcPr>
          <w:p>
            <w:pPr>
              <w:adjustRightInd w:val="0"/>
              <w:spacing w:line="240" w:lineRule="auto"/>
              <w:jc w:val="center"/>
              <w:rPr>
                <w:rFonts w:eastAsia="宋体"/>
                <w:color w:val="000000" w:themeColor="text1"/>
                <w:sz w:val="21"/>
                <w:szCs w:val="21"/>
                <w14:textFill>
                  <w14:solidFill>
                    <w14:schemeClr w14:val="tx1"/>
                  </w14:solidFill>
                </w14:textFill>
              </w:rPr>
            </w:pPr>
          </w:p>
        </w:tc>
        <w:tc>
          <w:tcPr>
            <w:tcW w:w="1364"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2#生化池排放口（2号地块）</w:t>
            </w:r>
          </w:p>
        </w:tc>
        <w:tc>
          <w:tcPr>
            <w:tcW w:w="1060"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COD、BOD</w:t>
            </w:r>
            <w:r>
              <w:rPr>
                <w:rFonts w:eastAsia="宋体"/>
                <w:color w:val="000000" w:themeColor="text1"/>
                <w:sz w:val="21"/>
                <w:szCs w:val="21"/>
                <w:vertAlign w:val="subscript"/>
                <w14:textFill>
                  <w14:solidFill>
                    <w14:schemeClr w14:val="tx1"/>
                  </w14:solidFill>
                </w14:textFill>
              </w:rPr>
              <w:t>5</w:t>
            </w:r>
            <w:r>
              <w:rPr>
                <w:rFonts w:eastAsia="宋体"/>
                <w:color w:val="000000" w:themeColor="text1"/>
                <w:sz w:val="21"/>
                <w:szCs w:val="21"/>
                <w14:textFill>
                  <w14:solidFill>
                    <w14:schemeClr w14:val="tx1"/>
                  </w14:solidFill>
                </w14:textFill>
              </w:rPr>
              <w:t>、氨氮、SS、石油类</w:t>
            </w:r>
            <w:r>
              <w:rPr>
                <w:rFonts w:hint="eastAsia" w:eastAsia="宋体"/>
                <w:color w:val="000000" w:themeColor="text1"/>
                <w:sz w:val="21"/>
                <w:szCs w:val="21"/>
                <w14:textFill>
                  <w14:solidFill>
                    <w14:schemeClr w14:val="tx1"/>
                  </w14:solidFill>
                </w14:textFill>
              </w:rPr>
              <w:t>、动植物油、T</w:t>
            </w:r>
            <w:r>
              <w:rPr>
                <w:rFonts w:eastAsia="宋体"/>
                <w:color w:val="000000" w:themeColor="text1"/>
                <w:sz w:val="21"/>
                <w:szCs w:val="21"/>
                <w14:textFill>
                  <w14:solidFill>
                    <w14:schemeClr w14:val="tx1"/>
                  </w14:solidFill>
                </w14:textFill>
              </w:rPr>
              <w:t>P</w:t>
            </w:r>
          </w:p>
        </w:tc>
        <w:tc>
          <w:tcPr>
            <w:tcW w:w="682"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1次/年</w:t>
            </w:r>
          </w:p>
        </w:tc>
        <w:tc>
          <w:tcPr>
            <w:tcW w:w="1515" w:type="pct"/>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《污水综合排放标准》（GB8978-1996）三级标准</w:t>
            </w:r>
            <w:r>
              <w:rPr>
                <w:rFonts w:hint="eastAsia" w:eastAsia="宋体"/>
                <w:color w:val="000000" w:themeColor="text1"/>
                <w:sz w:val="21"/>
                <w:szCs w:val="21"/>
                <w14:textFill>
                  <w14:solidFill>
                    <w14:schemeClr w14:val="tx1"/>
                  </w14:solidFill>
                </w14:textFill>
              </w:rPr>
              <w:t>（其中NH</w:t>
            </w:r>
            <w:r>
              <w:rPr>
                <w:rFonts w:hint="eastAsia" w:eastAsia="宋体"/>
                <w:color w:val="000000" w:themeColor="text1"/>
                <w:sz w:val="21"/>
                <w:szCs w:val="21"/>
                <w:vertAlign w:val="subscript"/>
                <w14:textFill>
                  <w14:solidFill>
                    <w14:schemeClr w14:val="tx1"/>
                  </w14:solidFill>
                </w14:textFill>
              </w:rPr>
              <w:t>3</w:t>
            </w:r>
            <w:r>
              <w:rPr>
                <w:rFonts w:hint="eastAsia" w:eastAsia="宋体"/>
                <w:color w:val="000000" w:themeColor="text1"/>
                <w:sz w:val="21"/>
                <w:szCs w:val="21"/>
                <w14:textFill>
                  <w14:solidFill>
                    <w14:schemeClr w14:val="tx1"/>
                  </w14:solidFill>
                </w14:textFill>
              </w:rPr>
              <w:t>-N、TP参照《污水排入城镇下水道水质标准》（GB/T 31962-2015）B及标准）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噪声</w:t>
            </w:r>
          </w:p>
        </w:tc>
        <w:tc>
          <w:tcPr>
            <w:tcW w:w="1364"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厂界噪声</w:t>
            </w:r>
          </w:p>
        </w:tc>
        <w:tc>
          <w:tcPr>
            <w:tcW w:w="1060"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噪声</w:t>
            </w:r>
          </w:p>
        </w:tc>
        <w:tc>
          <w:tcPr>
            <w:tcW w:w="682"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1次/季度</w:t>
            </w:r>
          </w:p>
        </w:tc>
        <w:tc>
          <w:tcPr>
            <w:tcW w:w="1515" w:type="pct"/>
            <w:tcBorders>
              <w:bottom w:val="single" w:color="auto" w:sz="12" w:space="0"/>
            </w:tcBorders>
            <w:vAlign w:val="center"/>
          </w:tcPr>
          <w:p>
            <w:pPr>
              <w:adjustRightIn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《工业企业厂界环境噪声排放标准》(GB12348-2008)3类</w:t>
            </w:r>
            <w:r>
              <w:rPr>
                <w:rFonts w:hint="eastAsia" w:eastAsia="宋体"/>
                <w:color w:val="000000" w:themeColor="text1"/>
                <w:sz w:val="21"/>
                <w:szCs w:val="21"/>
                <w14:textFill>
                  <w14:solidFill>
                    <w14:schemeClr w14:val="tx1"/>
                  </w14:solidFill>
                </w14:textFill>
              </w:rPr>
              <w:t>、4类</w:t>
            </w:r>
          </w:p>
        </w:tc>
      </w:tr>
    </w:tbl>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环保主管人员应对监测结果进行统计汇总，上报企业有关领导和上级主管部门。对有异常的监测结果，应及时反馈和解决。</w:t>
      </w:r>
    </w:p>
    <w:p>
      <w:pPr>
        <w:keepNext/>
        <w:keepLines/>
        <w:adjustRightInd w:val="0"/>
        <w:outlineLvl w:val="2"/>
        <w:rPr>
          <w:rFonts w:eastAsia="宋体"/>
          <w:b/>
          <w:bCs/>
          <w:color w:val="000000" w:themeColor="text1"/>
          <w:szCs w:val="32"/>
          <w14:textFill>
            <w14:solidFill>
              <w14:schemeClr w14:val="tx1"/>
            </w14:solidFill>
          </w14:textFill>
        </w:rPr>
      </w:pPr>
      <w:bookmarkStart w:id="270" w:name="_Toc490235614"/>
      <w:bookmarkStart w:id="271" w:name="_Toc489281112"/>
      <w:bookmarkStart w:id="272" w:name="_Toc9691"/>
      <w:r>
        <w:rPr>
          <w:rFonts w:eastAsia="宋体"/>
          <w:b/>
          <w:bCs/>
          <w:color w:val="000000" w:themeColor="text1"/>
          <w:szCs w:val="32"/>
          <w14:textFill>
            <w14:solidFill>
              <w14:schemeClr w14:val="tx1"/>
            </w14:solidFill>
          </w14:textFill>
        </w:rPr>
        <w:t>8.2.2排污口规整</w:t>
      </w:r>
      <w:bookmarkEnd w:id="270"/>
      <w:bookmarkEnd w:id="271"/>
      <w:bookmarkEnd w:id="272"/>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按重庆市环境保护局《关于印发重庆市排污口规范化清理整治实施方案的通知》（渝环发〔2012〕26号）的要求，本项目应对排污口进行规范化设置。</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（1）废水排污口规范设置要求</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本项目1号地块和2号地块各设置1个废水排污口。</w:t>
      </w:r>
      <w:r>
        <w:rPr>
          <w:rFonts w:hint="eastAsia" w:eastAsia="宋体"/>
          <w:color w:val="000000" w:themeColor="text1"/>
          <w14:textFill>
            <w14:solidFill>
              <w14:schemeClr w14:val="tx1"/>
            </w14:solidFill>
          </w14:textFill>
        </w:rPr>
        <w:t>排污口需具备采样和流量测定条件，按照《污染源监测技术规范》设置采样点。排污口可以矩形、园管形或梯形，使其水深不低于0.1米，流速不小于0.05米/秒，间歇性排放的除外</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设置规范的、便于测量流量、流速的测流段。测流段直线长度应是其水面宽度6倍以上，最小1.5倍以上。</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废气排污口规范设置要求在排气筒上设置永久采样孔和采样监测平台；采样口位置应选择垂直管段，在距弯头、变径管下游方向不小于6倍直径距离处。采样孔内径应不小于80mm，采样孔管长应不大于50mm。不使用时应用盖板、管堵或管帽封闭。</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（3）排污口立标要求：</w:t>
      </w:r>
    </w:p>
    <w:p>
      <w:pPr>
        <w:ind w:left="480" w:left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①排污口必须按照国家颁布的有关污染物强制性排放标准的要求，设置排污口标志牌。</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②标志牌设置应距污染物排污口（源）及固体废物贮存（处置）场或采样、监测点附近且醒目处，并能长久保留。</w:t>
      </w:r>
    </w:p>
    <w:p>
      <w:pPr>
        <w:ind w:firstLine="480" w:firstLineChars="20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③标志牌制作和规格参照《关于印发排污口标志牌技术规格的通知》（环办〔2003〕95号）执行。</w:t>
      </w:r>
    </w:p>
    <w:p>
      <w:pPr>
        <w:pStyle w:val="179"/>
        <w:rPr>
          <w:rFonts w:eastAsia="宋体"/>
          <w:color w:val="000000" w:themeColor="text1"/>
          <w14:textFill>
            <w14:solidFill>
              <w14:schemeClr w14:val="tx1"/>
            </w14:solidFill>
          </w14:textFill>
        </w:rPr>
      </w:pPr>
      <w:bookmarkStart w:id="273" w:name="_Toc155271450"/>
      <w:bookmarkStart w:id="274" w:name="_Toc345"/>
      <w:r>
        <w:rPr>
          <w:rFonts w:eastAsia="宋体"/>
          <w:color w:val="000000" w:themeColor="text1"/>
          <w14:textFill>
            <w14:solidFill>
              <w14:schemeClr w14:val="tx1"/>
            </w14:solidFill>
          </w14:textFill>
        </w:rPr>
        <w:t>8.3</w:t>
      </w:r>
      <w:r>
        <w:rPr>
          <w:rFonts w:hint="eastAsia" w:eastAsia="宋体"/>
          <w:color w:val="000000" w:themeColor="text1"/>
          <w14:textFill>
            <w14:solidFill>
              <w14:schemeClr w14:val="tx1"/>
            </w14:solidFill>
          </w14:textFill>
        </w:rPr>
        <w:t>污染物排放管理</w:t>
      </w:r>
      <w:bookmarkEnd w:id="273"/>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8.3.1</w:t>
      </w:r>
      <w:r>
        <w:rPr>
          <w:rFonts w:hint="eastAsia" w:eastAsia="宋体"/>
          <w:b/>
          <w:bCs/>
          <w:color w:val="000000" w:themeColor="text1"/>
          <w:szCs w:val="32"/>
          <w14:textFill>
            <w14:solidFill>
              <w14:schemeClr w14:val="tx1"/>
            </w14:solidFill>
          </w14:textFill>
        </w:rPr>
        <w:t>污染物排放清单</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（1）工程组成、总量指标集风险防范措施</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表8.3-1  工程组成、总量指标及风险防范措施</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268"/>
        <w:gridCol w:w="851"/>
        <w:gridCol w:w="1278"/>
        <w:gridCol w:w="1677"/>
        <w:gridCol w:w="1304"/>
        <w:gridCol w:w="1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2268" w:type="dxa"/>
            <w:vAlign w:val="center"/>
          </w:tcPr>
          <w:p>
            <w:pPr>
              <w:adjustRightInd w:val="0"/>
              <w:snapToGrid w:val="0"/>
              <w:spacing w:line="240" w:lineRule="auto"/>
              <w:jc w:val="center"/>
              <w:rPr>
                <w:rFonts w:eastAsia="宋体"/>
                <w:b/>
                <w:sz w:val="21"/>
                <w:szCs w:val="21"/>
              </w:rPr>
            </w:pPr>
            <w:r>
              <w:rPr>
                <w:rFonts w:eastAsia="宋体"/>
                <w:b/>
                <w:sz w:val="21"/>
                <w:szCs w:val="21"/>
              </w:rPr>
              <w:t>工程组成</w:t>
            </w:r>
          </w:p>
        </w:tc>
        <w:tc>
          <w:tcPr>
            <w:tcW w:w="851" w:type="dxa"/>
            <w:vAlign w:val="center"/>
          </w:tcPr>
          <w:p>
            <w:pPr>
              <w:adjustRightInd w:val="0"/>
              <w:snapToGrid w:val="0"/>
              <w:spacing w:line="240" w:lineRule="auto"/>
              <w:jc w:val="center"/>
              <w:rPr>
                <w:rFonts w:eastAsia="宋体"/>
                <w:b/>
                <w:sz w:val="21"/>
                <w:szCs w:val="21"/>
              </w:rPr>
            </w:pPr>
            <w:r>
              <w:rPr>
                <w:rFonts w:eastAsia="宋体"/>
                <w:b/>
                <w:sz w:val="21"/>
                <w:szCs w:val="21"/>
              </w:rPr>
              <w:t>原辅料</w:t>
            </w:r>
          </w:p>
        </w:tc>
        <w:tc>
          <w:tcPr>
            <w:tcW w:w="1278" w:type="dxa"/>
            <w:vAlign w:val="center"/>
          </w:tcPr>
          <w:p>
            <w:pPr>
              <w:adjustRightInd w:val="0"/>
              <w:snapToGrid w:val="0"/>
              <w:spacing w:line="240" w:lineRule="auto"/>
              <w:jc w:val="center"/>
              <w:rPr>
                <w:rFonts w:eastAsia="宋体"/>
                <w:b/>
                <w:sz w:val="21"/>
                <w:szCs w:val="21"/>
              </w:rPr>
            </w:pPr>
            <w:r>
              <w:rPr>
                <w:rFonts w:eastAsia="宋体"/>
                <w:b/>
                <w:sz w:val="21"/>
                <w:szCs w:val="21"/>
              </w:rPr>
              <w:t>废水污染物排放总量（t/a）</w:t>
            </w:r>
          </w:p>
        </w:tc>
        <w:tc>
          <w:tcPr>
            <w:tcW w:w="1677" w:type="dxa"/>
            <w:vAlign w:val="center"/>
          </w:tcPr>
          <w:p>
            <w:pPr>
              <w:adjustRightInd w:val="0"/>
              <w:snapToGrid w:val="0"/>
              <w:spacing w:line="240" w:lineRule="auto"/>
              <w:jc w:val="center"/>
              <w:rPr>
                <w:rFonts w:eastAsia="宋体"/>
                <w:b/>
                <w:sz w:val="21"/>
                <w:szCs w:val="21"/>
              </w:rPr>
            </w:pPr>
            <w:r>
              <w:rPr>
                <w:rFonts w:eastAsia="宋体"/>
                <w:b/>
                <w:sz w:val="21"/>
                <w:szCs w:val="21"/>
              </w:rPr>
              <w:t>废气污染物排放总量</w:t>
            </w:r>
          </w:p>
        </w:tc>
        <w:tc>
          <w:tcPr>
            <w:tcW w:w="1304" w:type="dxa"/>
            <w:vAlign w:val="center"/>
          </w:tcPr>
          <w:p>
            <w:pPr>
              <w:adjustRightInd w:val="0"/>
              <w:snapToGrid w:val="0"/>
              <w:spacing w:line="240" w:lineRule="auto"/>
              <w:jc w:val="center"/>
              <w:rPr>
                <w:rFonts w:eastAsia="宋体"/>
                <w:b/>
                <w:sz w:val="21"/>
                <w:szCs w:val="21"/>
              </w:rPr>
            </w:pPr>
            <w:r>
              <w:rPr>
                <w:rFonts w:eastAsia="宋体"/>
                <w:b/>
                <w:sz w:val="21"/>
                <w:szCs w:val="21"/>
              </w:rPr>
              <w:t>固体废物污染物</w:t>
            </w:r>
          </w:p>
          <w:p>
            <w:pPr>
              <w:adjustRightInd w:val="0"/>
              <w:snapToGrid w:val="0"/>
              <w:spacing w:line="240" w:lineRule="auto"/>
              <w:jc w:val="center"/>
              <w:rPr>
                <w:rFonts w:eastAsia="宋体"/>
                <w:b/>
                <w:sz w:val="21"/>
                <w:szCs w:val="21"/>
              </w:rPr>
            </w:pPr>
            <w:r>
              <w:rPr>
                <w:rFonts w:eastAsia="宋体"/>
                <w:b/>
                <w:sz w:val="21"/>
                <w:szCs w:val="21"/>
              </w:rPr>
              <w:t>排放总量</w:t>
            </w:r>
          </w:p>
        </w:tc>
        <w:tc>
          <w:tcPr>
            <w:tcW w:w="1978" w:type="dxa"/>
            <w:vAlign w:val="center"/>
          </w:tcPr>
          <w:p>
            <w:pPr>
              <w:adjustRightInd w:val="0"/>
              <w:snapToGrid w:val="0"/>
              <w:spacing w:line="240" w:lineRule="auto"/>
              <w:jc w:val="center"/>
              <w:rPr>
                <w:rFonts w:eastAsia="宋体"/>
                <w:b/>
                <w:sz w:val="21"/>
                <w:szCs w:val="21"/>
              </w:rPr>
            </w:pPr>
            <w:r>
              <w:rPr>
                <w:rFonts w:eastAsia="宋体"/>
                <w:b/>
                <w:sz w:val="21"/>
                <w:szCs w:val="21"/>
              </w:rPr>
              <w:t>主要风险防范措施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68" w:type="dxa"/>
            <w:vAlign w:val="center"/>
          </w:tcPr>
          <w:p>
            <w:pPr>
              <w:widowControl w:val="0"/>
              <w:adjustRightInd w:val="0"/>
              <w:snapToGrid w:val="0"/>
              <w:spacing w:line="240" w:lineRule="auto"/>
              <w:jc w:val="center"/>
              <w:rPr>
                <w:rFonts w:eastAsia="宋体"/>
                <w:sz w:val="21"/>
                <w:szCs w:val="21"/>
              </w:rPr>
            </w:pPr>
            <w:r>
              <w:rPr>
                <w:rFonts w:eastAsia="宋体"/>
                <w:sz w:val="21"/>
                <w:szCs w:val="21"/>
              </w:rPr>
              <w:t>项目</w:t>
            </w:r>
            <w:r>
              <w:rPr>
                <w:rFonts w:hint="eastAsia" w:eastAsia="宋体"/>
                <w:sz w:val="21"/>
                <w:szCs w:val="21"/>
              </w:rPr>
              <w:t>1号地块</w:t>
            </w:r>
            <w:r>
              <w:rPr>
                <w:rFonts w:eastAsia="宋体"/>
                <w:sz w:val="21"/>
                <w:szCs w:val="21"/>
              </w:rPr>
              <w:t>位于</w:t>
            </w:r>
            <w:r>
              <w:rPr>
                <w:rFonts w:hint="eastAsia" w:eastAsia="宋体"/>
                <w:sz w:val="21"/>
                <w:szCs w:val="21"/>
              </w:rPr>
              <w:t>重庆市大足区邮亭镇天堂村九组129号</w:t>
            </w:r>
            <w:r>
              <w:rPr>
                <w:rFonts w:eastAsia="宋体"/>
                <w:sz w:val="21"/>
                <w:szCs w:val="21"/>
              </w:rPr>
              <w:t>，</w:t>
            </w:r>
            <w:r>
              <w:rPr>
                <w:rFonts w:hint="eastAsia" w:eastAsia="宋体"/>
                <w:sz w:val="21"/>
                <w:szCs w:val="21"/>
              </w:rPr>
              <w:t>建设办公楼、1~6#生产车间及其配套设施，主要用于钢板下料、焊接等工序，设置有食堂、住宿；2号地块位于重庆市大足区邮亭镇工业园区烈火村17组，建有涂装车间、喷砂车间、办公楼及其配套设施，主要用于钢桥涂装、喷砂等工序，设置有食堂、住宿</w:t>
            </w:r>
            <w:r>
              <w:rPr>
                <w:rFonts w:eastAsia="宋体"/>
                <w:sz w:val="21"/>
                <w:szCs w:val="21"/>
              </w:rPr>
              <w:t>。</w:t>
            </w:r>
            <w:r>
              <w:rPr>
                <w:rFonts w:hint="eastAsia" w:eastAsia="宋体"/>
                <w:sz w:val="21"/>
                <w:szCs w:val="21"/>
              </w:rPr>
              <w:t>项目年产钢桥3万吨，总投资2</w:t>
            </w:r>
            <w:r>
              <w:rPr>
                <w:rFonts w:eastAsia="宋体"/>
                <w:sz w:val="21"/>
                <w:szCs w:val="21"/>
              </w:rPr>
              <w:t>680</w:t>
            </w:r>
            <w:r>
              <w:rPr>
                <w:rFonts w:hint="eastAsia" w:eastAsia="宋体"/>
                <w:sz w:val="21"/>
                <w:szCs w:val="21"/>
              </w:rPr>
              <w:t>万元。</w:t>
            </w:r>
          </w:p>
        </w:tc>
        <w:tc>
          <w:tcPr>
            <w:tcW w:w="851" w:type="dxa"/>
            <w:vAlign w:val="center"/>
          </w:tcPr>
          <w:p>
            <w:pPr>
              <w:widowControl w:val="0"/>
              <w:adjustRightInd w:val="0"/>
              <w:snapToGrid w:val="0"/>
              <w:spacing w:line="240" w:lineRule="auto"/>
              <w:jc w:val="center"/>
              <w:rPr>
                <w:rFonts w:eastAsia="宋体"/>
                <w:sz w:val="21"/>
                <w:szCs w:val="21"/>
              </w:rPr>
            </w:pPr>
            <w:r>
              <w:rPr>
                <w:rFonts w:eastAsia="宋体"/>
                <w:sz w:val="21"/>
                <w:szCs w:val="21"/>
              </w:rPr>
              <w:t>详见表2.1-7</w:t>
            </w:r>
            <w:r>
              <w:rPr>
                <w:rFonts w:hint="eastAsia" w:eastAsia="宋体"/>
                <w:sz w:val="21"/>
                <w:szCs w:val="21"/>
              </w:rPr>
              <w:t>和2</w:t>
            </w:r>
            <w:r>
              <w:rPr>
                <w:rFonts w:eastAsia="宋体"/>
                <w:sz w:val="21"/>
                <w:szCs w:val="21"/>
              </w:rPr>
              <w:t>.1-8</w:t>
            </w:r>
            <w:r>
              <w:rPr>
                <w:rFonts w:hint="eastAsia" w:eastAsia="宋体"/>
                <w:sz w:val="21"/>
                <w:szCs w:val="21"/>
              </w:rPr>
              <w:t>。</w:t>
            </w:r>
          </w:p>
        </w:tc>
        <w:tc>
          <w:tcPr>
            <w:tcW w:w="1278" w:type="dxa"/>
            <w:vAlign w:val="center"/>
          </w:tcPr>
          <w:p>
            <w:pPr>
              <w:widowControl w:val="0"/>
              <w:adjustRightInd w:val="0"/>
              <w:snapToGrid w:val="0"/>
              <w:spacing w:line="240" w:lineRule="auto"/>
              <w:jc w:val="center"/>
              <w:rPr>
                <w:rFonts w:eastAsia="宋体"/>
                <w:sz w:val="21"/>
                <w:szCs w:val="21"/>
              </w:rPr>
            </w:pPr>
            <w:r>
              <w:rPr>
                <w:rFonts w:hint="eastAsia" w:eastAsia="宋体"/>
                <w:sz w:val="21"/>
                <w:szCs w:val="21"/>
              </w:rPr>
              <w:t>1号地块和2号地块的废水分别处理达</w:t>
            </w:r>
            <w:r>
              <w:rPr>
                <w:rFonts w:eastAsia="宋体"/>
                <w:sz w:val="21"/>
                <w:szCs w:val="21"/>
              </w:rPr>
              <w:t>《污水综合排放标准》（GB8978-1996）三级标准后</w:t>
            </w:r>
            <w:r>
              <w:rPr>
                <w:rFonts w:hint="eastAsia" w:eastAsia="宋体"/>
                <w:sz w:val="21"/>
                <w:szCs w:val="21"/>
              </w:rPr>
              <w:t>经</w:t>
            </w:r>
            <w:r>
              <w:rPr>
                <w:rFonts w:eastAsia="宋体"/>
                <w:sz w:val="21"/>
                <w:szCs w:val="21"/>
              </w:rPr>
              <w:t>市政污水管网进入双桥工业园区污水处理厂处理达标后，外排苦水河。</w:t>
            </w:r>
          </w:p>
          <w:p>
            <w:pPr>
              <w:widowControl w:val="0"/>
              <w:adjustRightInd w:val="0"/>
              <w:snapToGrid w:val="0"/>
              <w:spacing w:line="240" w:lineRule="auto"/>
              <w:jc w:val="center"/>
              <w:rPr>
                <w:rFonts w:eastAsia="宋体"/>
                <w:sz w:val="21"/>
                <w:szCs w:val="21"/>
              </w:rPr>
            </w:pPr>
            <w:r>
              <w:rPr>
                <w:rFonts w:eastAsia="宋体"/>
                <w:sz w:val="21"/>
                <w:szCs w:val="21"/>
              </w:rPr>
              <w:t>COD：0.537</w:t>
            </w:r>
            <w:r>
              <w:rPr>
                <w:rFonts w:hint="eastAsia" w:eastAsia="宋体"/>
                <w:sz w:val="21"/>
                <w:szCs w:val="21"/>
              </w:rPr>
              <w:t>、</w:t>
            </w:r>
            <w:r>
              <w:rPr>
                <w:rFonts w:eastAsia="宋体"/>
                <w:sz w:val="21"/>
                <w:szCs w:val="21"/>
              </w:rPr>
              <w:t>NH</w:t>
            </w:r>
            <w:r>
              <w:rPr>
                <w:rFonts w:eastAsia="宋体"/>
                <w:sz w:val="21"/>
                <w:szCs w:val="21"/>
                <w:vertAlign w:val="subscript"/>
              </w:rPr>
              <w:t>3</w:t>
            </w:r>
            <w:r>
              <w:rPr>
                <w:rFonts w:eastAsia="宋体"/>
                <w:sz w:val="21"/>
                <w:szCs w:val="21"/>
              </w:rPr>
              <w:t>-N：0.072</w:t>
            </w:r>
          </w:p>
        </w:tc>
        <w:tc>
          <w:tcPr>
            <w:tcW w:w="1677" w:type="dxa"/>
            <w:vAlign w:val="center"/>
          </w:tcPr>
          <w:p>
            <w:pPr>
              <w:widowControl w:val="0"/>
              <w:adjustRightInd w:val="0"/>
              <w:snapToGrid w:val="0"/>
              <w:spacing w:line="240" w:lineRule="auto"/>
              <w:jc w:val="center"/>
              <w:rPr>
                <w:rFonts w:eastAsia="宋体"/>
                <w:sz w:val="21"/>
                <w:szCs w:val="21"/>
              </w:rPr>
            </w:pPr>
            <w:r>
              <w:rPr>
                <w:rFonts w:eastAsia="宋体"/>
                <w:sz w:val="21"/>
                <w:szCs w:val="21"/>
              </w:rPr>
              <w:t>有组织废气：</w:t>
            </w:r>
          </w:p>
          <w:p>
            <w:pPr>
              <w:widowControl w:val="0"/>
              <w:adjustRightInd w:val="0"/>
              <w:snapToGrid w:val="0"/>
              <w:spacing w:line="240" w:lineRule="auto"/>
              <w:jc w:val="center"/>
              <w:rPr>
                <w:rFonts w:eastAsia="宋体"/>
                <w:sz w:val="21"/>
                <w:szCs w:val="21"/>
              </w:rPr>
            </w:pPr>
            <w:r>
              <w:rPr>
                <w:rFonts w:eastAsia="宋体"/>
                <w:sz w:val="21"/>
                <w:szCs w:val="21"/>
              </w:rPr>
              <w:t>颗粒物：6.21t/a</w:t>
            </w:r>
          </w:p>
          <w:p>
            <w:pPr>
              <w:widowControl w:val="0"/>
              <w:adjustRightInd w:val="0"/>
              <w:snapToGrid w:val="0"/>
              <w:spacing w:line="240" w:lineRule="auto"/>
              <w:jc w:val="center"/>
              <w:rPr>
                <w:rFonts w:eastAsia="宋体"/>
                <w:sz w:val="21"/>
                <w:szCs w:val="21"/>
              </w:rPr>
            </w:pPr>
            <w:r>
              <w:rPr>
                <w:rFonts w:hint="eastAsia" w:eastAsia="宋体"/>
                <w:sz w:val="21"/>
                <w:szCs w:val="21"/>
              </w:rPr>
              <w:t>甲苯：0</w:t>
            </w:r>
            <w:r>
              <w:rPr>
                <w:rFonts w:eastAsia="宋体"/>
                <w:sz w:val="21"/>
                <w:szCs w:val="21"/>
              </w:rPr>
              <w:t>.437</w:t>
            </w:r>
            <w:r>
              <w:rPr>
                <w:rFonts w:hint="eastAsia" w:eastAsia="宋体"/>
                <w:sz w:val="21"/>
                <w:szCs w:val="21"/>
              </w:rPr>
              <w:t>t</w:t>
            </w:r>
            <w:r>
              <w:rPr>
                <w:rFonts w:eastAsia="宋体"/>
                <w:sz w:val="21"/>
                <w:szCs w:val="21"/>
              </w:rPr>
              <w:t>/</w:t>
            </w:r>
            <w:r>
              <w:rPr>
                <w:rFonts w:hint="eastAsia" w:eastAsia="宋体"/>
                <w:sz w:val="21"/>
                <w:szCs w:val="21"/>
              </w:rPr>
              <w:t>a</w:t>
            </w:r>
          </w:p>
          <w:p>
            <w:pPr>
              <w:widowControl w:val="0"/>
              <w:adjustRightInd w:val="0"/>
              <w:snapToGrid w:val="0"/>
              <w:spacing w:line="240" w:lineRule="auto"/>
              <w:jc w:val="center"/>
              <w:rPr>
                <w:rFonts w:eastAsia="宋体"/>
                <w:sz w:val="21"/>
                <w:szCs w:val="21"/>
              </w:rPr>
            </w:pPr>
            <w:r>
              <w:rPr>
                <w:rFonts w:eastAsia="宋体"/>
                <w:sz w:val="21"/>
                <w:szCs w:val="21"/>
              </w:rPr>
              <w:t>二甲苯：0.160t/a</w:t>
            </w:r>
          </w:p>
          <w:p>
            <w:pPr>
              <w:widowControl w:val="0"/>
              <w:adjustRightInd w:val="0"/>
              <w:snapToGrid w:val="0"/>
              <w:spacing w:line="240" w:lineRule="auto"/>
              <w:jc w:val="center"/>
              <w:rPr>
                <w:rFonts w:eastAsia="宋体"/>
                <w:sz w:val="21"/>
                <w:szCs w:val="21"/>
              </w:rPr>
            </w:pPr>
            <w:r>
              <w:rPr>
                <w:rFonts w:eastAsia="宋体"/>
                <w:sz w:val="21"/>
                <w:szCs w:val="21"/>
              </w:rPr>
              <w:t>非甲烷总烃：3.331t/a</w:t>
            </w:r>
            <w:r>
              <w:rPr>
                <w:rFonts w:hint="eastAsia" w:eastAsia="宋体"/>
                <w:sz w:val="21"/>
                <w:szCs w:val="21"/>
              </w:rPr>
              <w:t>。</w:t>
            </w:r>
          </w:p>
        </w:tc>
        <w:tc>
          <w:tcPr>
            <w:tcW w:w="1304" w:type="dxa"/>
            <w:vAlign w:val="center"/>
          </w:tcPr>
          <w:p>
            <w:pPr>
              <w:widowControl w:val="0"/>
              <w:adjustRightInd w:val="0"/>
              <w:snapToGrid w:val="0"/>
              <w:spacing w:line="240" w:lineRule="auto"/>
              <w:jc w:val="center"/>
              <w:rPr>
                <w:rFonts w:eastAsia="宋体"/>
                <w:sz w:val="21"/>
                <w:szCs w:val="21"/>
              </w:rPr>
            </w:pPr>
            <w:r>
              <w:rPr>
                <w:rFonts w:eastAsia="宋体"/>
                <w:sz w:val="21"/>
                <w:szCs w:val="21"/>
              </w:rPr>
              <w:t>危险废物产生量：49.641t/a</w:t>
            </w:r>
          </w:p>
          <w:p>
            <w:pPr>
              <w:widowControl w:val="0"/>
              <w:adjustRightInd w:val="0"/>
              <w:snapToGrid w:val="0"/>
              <w:spacing w:line="240" w:lineRule="auto"/>
              <w:jc w:val="center"/>
              <w:rPr>
                <w:rFonts w:eastAsia="宋体"/>
                <w:sz w:val="21"/>
                <w:szCs w:val="21"/>
              </w:rPr>
            </w:pPr>
            <w:r>
              <w:rPr>
                <w:rFonts w:hint="eastAsia" w:eastAsia="宋体"/>
                <w:sz w:val="21"/>
                <w:szCs w:val="21"/>
              </w:rPr>
              <w:t>一般固废产生量：1</w:t>
            </w:r>
            <w:r>
              <w:rPr>
                <w:rFonts w:eastAsia="宋体"/>
                <w:sz w:val="21"/>
                <w:szCs w:val="21"/>
              </w:rPr>
              <w:t>786.711</w:t>
            </w:r>
            <w:r>
              <w:rPr>
                <w:rFonts w:hint="eastAsia" w:eastAsia="宋体"/>
                <w:sz w:val="21"/>
                <w:szCs w:val="21"/>
              </w:rPr>
              <w:t>t</w:t>
            </w:r>
            <w:r>
              <w:rPr>
                <w:rFonts w:eastAsia="宋体"/>
                <w:sz w:val="21"/>
                <w:szCs w:val="21"/>
              </w:rPr>
              <w:t>/</w:t>
            </w:r>
            <w:r>
              <w:rPr>
                <w:rFonts w:hint="eastAsia" w:eastAsia="宋体"/>
                <w:sz w:val="21"/>
                <w:szCs w:val="21"/>
              </w:rPr>
              <w:t>a</w:t>
            </w:r>
          </w:p>
        </w:tc>
        <w:tc>
          <w:tcPr>
            <w:tcW w:w="1978" w:type="dxa"/>
            <w:vAlign w:val="center"/>
          </w:tcPr>
          <w:p>
            <w:pPr>
              <w:widowControl w:val="0"/>
              <w:adjustRightInd w:val="0"/>
              <w:snapToGrid w:val="0"/>
              <w:spacing w:line="240" w:lineRule="auto"/>
              <w:jc w:val="center"/>
              <w:rPr>
                <w:rFonts w:eastAsia="宋体"/>
                <w:sz w:val="21"/>
                <w:szCs w:val="21"/>
              </w:rPr>
            </w:pPr>
            <w:r>
              <w:rPr>
                <w:rFonts w:hint="eastAsia" w:eastAsia="宋体"/>
                <w:sz w:val="21"/>
                <w:szCs w:val="21"/>
              </w:rPr>
              <w:t>油漆库房、油品库房应设置在阴凉、干燥的地方，要通风良好；油漆库房、油品库房地面和四周墙壁采取防渗防腐措施，门口设置漫坡；对各类油漆和油品储存容器底部设置防渗漏托盘；油漆库房、油品库房应设置禁火标识，严禁烟火。危废暂存间做好“防风、防雨、防晒、防渗、防腐、防漏”六防措施，设置防渗漏托盘，并设置收集沟和收集井。</w:t>
            </w:r>
          </w:p>
        </w:tc>
      </w:tr>
    </w:tbl>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废气污染物</w:t>
      </w:r>
      <w:r>
        <w:rPr>
          <w:rFonts w:hint="eastAsia" w:eastAsia="宋体"/>
          <w:color w:val="000000" w:themeColor="text1"/>
          <w14:textFill>
            <w14:solidFill>
              <w14:schemeClr w14:val="tx1"/>
            </w14:solidFill>
          </w14:textFill>
        </w:rPr>
        <w:t>排放清单</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表8.3-2  废气污染物排放清单及执行标准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0"/>
        <w:gridCol w:w="785"/>
        <w:gridCol w:w="1265"/>
        <w:gridCol w:w="1694"/>
        <w:gridCol w:w="1156"/>
        <w:gridCol w:w="954"/>
        <w:gridCol w:w="1156"/>
        <w:gridCol w:w="954"/>
        <w:gridCol w:w="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restart"/>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排气筒</w:t>
            </w:r>
          </w:p>
        </w:tc>
        <w:tc>
          <w:tcPr>
            <w:tcW w:w="417" w:type="pct"/>
            <w:vMerge w:val="restart"/>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污染源</w:t>
            </w:r>
          </w:p>
        </w:tc>
        <w:tc>
          <w:tcPr>
            <w:tcW w:w="672" w:type="pct"/>
            <w:vMerge w:val="restart"/>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w:t>
            </w:r>
          </w:p>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因子</w:t>
            </w:r>
          </w:p>
        </w:tc>
        <w:tc>
          <w:tcPr>
            <w:tcW w:w="900" w:type="pct"/>
            <w:vMerge w:val="restart"/>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排放标准及标准号</w:t>
            </w:r>
          </w:p>
        </w:tc>
        <w:tc>
          <w:tcPr>
            <w:tcW w:w="1121" w:type="pct"/>
            <w:gridSpan w:val="2"/>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执行标准</w:t>
            </w:r>
          </w:p>
        </w:tc>
        <w:tc>
          <w:tcPr>
            <w:tcW w:w="1529" w:type="pct"/>
            <w:gridSpan w:val="3"/>
            <w:tcBorders>
              <w:top w:val="single" w:color="auto" w:sz="12" w:space="0"/>
            </w:tcBorders>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0" w:hRule="atLeast"/>
          <w:jc w:val="center"/>
        </w:trPr>
        <w:tc>
          <w:tcPr>
            <w:tcW w:w="361" w:type="pct"/>
            <w:vMerge w:val="continue"/>
            <w:vAlign w:val="center"/>
          </w:tcPr>
          <w:p>
            <w:pPr>
              <w:snapToGrid w:val="0"/>
              <w:spacing w:line="240" w:lineRule="auto"/>
              <w:jc w:val="center"/>
              <w:rPr>
                <w:rFonts w:eastAsia="宋体"/>
                <w:b/>
                <w:bCs/>
                <w:color w:val="000000" w:themeColor="text1"/>
                <w:sz w:val="21"/>
                <w:szCs w:val="21"/>
                <w14:textFill>
                  <w14:solidFill>
                    <w14:schemeClr w14:val="tx1"/>
                  </w14:solidFill>
                </w14:textFill>
              </w:rPr>
            </w:pPr>
          </w:p>
        </w:tc>
        <w:tc>
          <w:tcPr>
            <w:tcW w:w="417" w:type="pct"/>
            <w:vMerge w:val="continue"/>
            <w:vAlign w:val="center"/>
          </w:tcPr>
          <w:p>
            <w:pPr>
              <w:snapToGrid w:val="0"/>
              <w:spacing w:line="240" w:lineRule="auto"/>
              <w:jc w:val="center"/>
              <w:rPr>
                <w:rFonts w:eastAsia="宋体"/>
                <w:b/>
                <w:bCs/>
                <w:color w:val="000000" w:themeColor="text1"/>
                <w:sz w:val="21"/>
                <w:szCs w:val="21"/>
                <w14:textFill>
                  <w14:solidFill>
                    <w14:schemeClr w14:val="tx1"/>
                  </w14:solidFill>
                </w14:textFill>
              </w:rPr>
            </w:pPr>
          </w:p>
        </w:tc>
        <w:tc>
          <w:tcPr>
            <w:tcW w:w="672" w:type="pct"/>
            <w:vMerge w:val="continue"/>
            <w:vAlign w:val="center"/>
          </w:tcPr>
          <w:p>
            <w:pPr>
              <w:snapToGrid w:val="0"/>
              <w:spacing w:line="240" w:lineRule="auto"/>
              <w:jc w:val="center"/>
              <w:rPr>
                <w:rFonts w:eastAsia="宋体"/>
                <w:b/>
                <w:bCs/>
                <w:color w:val="000000" w:themeColor="text1"/>
                <w:sz w:val="21"/>
                <w:szCs w:val="21"/>
                <w14:textFill>
                  <w14:solidFill>
                    <w14:schemeClr w14:val="tx1"/>
                  </w14:solidFill>
                </w14:textFill>
              </w:rPr>
            </w:pPr>
          </w:p>
        </w:tc>
        <w:tc>
          <w:tcPr>
            <w:tcW w:w="900" w:type="pct"/>
            <w:vMerge w:val="continue"/>
            <w:vAlign w:val="center"/>
          </w:tcPr>
          <w:p>
            <w:pPr>
              <w:snapToGrid w:val="0"/>
              <w:spacing w:line="240" w:lineRule="auto"/>
              <w:jc w:val="center"/>
              <w:rPr>
                <w:rFonts w:eastAsia="宋体"/>
                <w:b/>
                <w:bCs/>
                <w:color w:val="000000" w:themeColor="text1"/>
                <w:sz w:val="21"/>
                <w:szCs w:val="21"/>
                <w14:textFill>
                  <w14:solidFill>
                    <w14:schemeClr w14:val="tx1"/>
                  </w14:solidFill>
                </w14:textFill>
              </w:rPr>
            </w:pPr>
          </w:p>
        </w:tc>
        <w:tc>
          <w:tcPr>
            <w:tcW w:w="614" w:type="pct"/>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浓度</w:t>
            </w:r>
          </w:p>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（mg/m</w:t>
            </w:r>
            <w:r>
              <w:rPr>
                <w:rFonts w:eastAsia="宋体"/>
                <w:b/>
                <w:bCs/>
                <w:color w:val="000000" w:themeColor="text1"/>
                <w:sz w:val="21"/>
                <w:szCs w:val="21"/>
                <w:vertAlign w:val="superscript"/>
                <w14:textFill>
                  <w14:solidFill>
                    <w14:schemeClr w14:val="tx1"/>
                  </w14:solidFill>
                </w14:textFill>
              </w:rPr>
              <w:t>3</w:t>
            </w:r>
            <w:r>
              <w:rPr>
                <w:rFonts w:eastAsia="宋体"/>
                <w:b/>
                <w:bCs/>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速率限值（kg/h）</w:t>
            </w:r>
          </w:p>
        </w:tc>
        <w:tc>
          <w:tcPr>
            <w:tcW w:w="614" w:type="pct"/>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浓度</w:t>
            </w:r>
          </w:p>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（mg/m</w:t>
            </w:r>
            <w:r>
              <w:rPr>
                <w:rFonts w:eastAsia="宋体"/>
                <w:b/>
                <w:bCs/>
                <w:color w:val="000000" w:themeColor="text1"/>
                <w:sz w:val="21"/>
                <w:szCs w:val="21"/>
                <w:vertAlign w:val="superscript"/>
                <w14:textFill>
                  <w14:solidFill>
                    <w14:schemeClr w14:val="tx1"/>
                  </w14:solidFill>
                </w14:textFill>
              </w:rPr>
              <w:t>3</w:t>
            </w:r>
            <w:r>
              <w:rPr>
                <w:rFonts w:eastAsia="宋体"/>
                <w:b/>
                <w:bCs/>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速率</w:t>
            </w:r>
          </w:p>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（kg/h）</w:t>
            </w:r>
          </w:p>
        </w:tc>
        <w:tc>
          <w:tcPr>
            <w:tcW w:w="408" w:type="pct"/>
            <w:vAlign w:val="center"/>
          </w:tcPr>
          <w:p>
            <w:pPr>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总量控制（t/a）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DA001</w:t>
            </w:r>
          </w:p>
        </w:tc>
        <w:tc>
          <w:tcPr>
            <w:tcW w:w="41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切割下料</w:t>
            </w: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w:t>
            </w:r>
          </w:p>
        </w:tc>
        <w:tc>
          <w:tcPr>
            <w:tcW w:w="900" w:type="pct"/>
            <w:vMerge w:val="restar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《大气污染物综合排放标准》（DB 50/418-2016）、《恶臭污染物排放标准》（GB 14554-93）</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.9</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.77</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.271</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D</w:t>
            </w:r>
            <w:r>
              <w:rPr>
                <w:rFonts w:eastAsia="宋体"/>
                <w:color w:val="000000" w:themeColor="text1"/>
                <w:sz w:val="21"/>
                <w:szCs w:val="21"/>
                <w14:textFill>
                  <w14:solidFill>
                    <w14:schemeClr w14:val="tx1"/>
                  </w14:solidFill>
                </w14:textFill>
              </w:rPr>
              <w:t>A002</w:t>
            </w:r>
          </w:p>
        </w:tc>
        <w:tc>
          <w:tcPr>
            <w:tcW w:w="41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喷砂</w:t>
            </w: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.59</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.662</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restar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D</w:t>
            </w:r>
            <w:r>
              <w:rPr>
                <w:rFonts w:eastAsia="宋体"/>
                <w:color w:val="000000" w:themeColor="text1"/>
                <w:sz w:val="21"/>
                <w:szCs w:val="21"/>
                <w14:textFill>
                  <w14:solidFill>
                    <w14:schemeClr w14:val="tx1"/>
                  </w14:solidFill>
                </w14:textFill>
              </w:rPr>
              <w:t>A003</w:t>
            </w:r>
          </w:p>
        </w:tc>
        <w:tc>
          <w:tcPr>
            <w:tcW w:w="417" w:type="pct"/>
            <w:vMerge w:val="restar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涂装</w:t>
            </w: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.5</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.47</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.383</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417" w:type="pct"/>
            <w:vMerge w:val="continue"/>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非甲烷总烃</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9.05</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.333</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417" w:type="pct"/>
            <w:vMerge w:val="continue"/>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甲苯</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.1</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.75</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.192</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417" w:type="pct"/>
            <w:vMerge w:val="continue"/>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二甲苯</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.07</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.075</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1"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417" w:type="pct"/>
            <w:vMerge w:val="continue"/>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臭气浓度</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000</w:t>
            </w:r>
            <w:r>
              <w:rPr>
                <w:rFonts w:hint="eastAsia" w:eastAsia="宋体"/>
                <w:color w:val="000000" w:themeColor="text1"/>
                <w:sz w:val="21"/>
                <w:szCs w:val="21"/>
                <w14:textFill>
                  <w14:solidFill>
                    <w14:schemeClr w14:val="tx1"/>
                  </w14:solidFill>
                </w14:textFill>
              </w:rPr>
              <w:t>（无量纲）</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1号地块厂区边界</w:t>
            </w:r>
          </w:p>
        </w:tc>
        <w:tc>
          <w:tcPr>
            <w:tcW w:w="672" w:type="pct"/>
            <w:vAlign w:val="center"/>
          </w:tcPr>
          <w:p>
            <w:pPr>
              <w:pStyle w:val="364"/>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颗粒物</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restar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2号地块厂区边界</w:t>
            </w:r>
          </w:p>
        </w:tc>
        <w:tc>
          <w:tcPr>
            <w:tcW w:w="672" w:type="pct"/>
            <w:vAlign w:val="center"/>
          </w:tcPr>
          <w:p>
            <w:pPr>
              <w:pStyle w:val="364"/>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颗粒物</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非甲烷总烃</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.0</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甲苯</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.4</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二甲苯</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.2</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72" w:type="pc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臭气浓度</w:t>
            </w: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（无量纲）</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restar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2号地块厂区内无组织</w:t>
            </w:r>
          </w:p>
        </w:tc>
        <w:tc>
          <w:tcPr>
            <w:tcW w:w="672" w:type="pct"/>
            <w:vMerge w:val="restart"/>
            <w:vAlign w:val="center"/>
          </w:tcPr>
          <w:p>
            <w:pPr>
              <w:pStyle w:val="364"/>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非甲烷总烃</w:t>
            </w:r>
          </w:p>
        </w:tc>
        <w:tc>
          <w:tcPr>
            <w:tcW w:w="900" w:type="pct"/>
            <w:vMerge w:val="restart"/>
            <w:vAlign w:val="center"/>
          </w:tcPr>
          <w:p>
            <w:pPr>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《挥发性有机物无组织排放控制标准》（GB 37822-2019）</w:t>
            </w:r>
          </w:p>
        </w:tc>
        <w:tc>
          <w:tcPr>
            <w:tcW w:w="61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10（监测点处1h平均浓度值）</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778" w:type="pct"/>
            <w:gridSpan w:val="2"/>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72" w:type="pct"/>
            <w:vMerge w:val="continue"/>
            <w:vAlign w:val="center"/>
          </w:tcPr>
          <w:p>
            <w:pPr>
              <w:pStyle w:val="364"/>
              <w:rPr>
                <w:color w:val="000000" w:themeColor="text1"/>
                <w:sz w:val="21"/>
                <w:szCs w:val="21"/>
                <w:lang w:eastAsia="zh-CN"/>
                <w14:textFill>
                  <w14:solidFill>
                    <w14:schemeClr w14:val="tx1"/>
                  </w14:solidFill>
                </w14:textFill>
              </w:rPr>
            </w:pPr>
          </w:p>
        </w:tc>
        <w:tc>
          <w:tcPr>
            <w:tcW w:w="900" w:type="pct"/>
            <w:vMerge w:val="continue"/>
            <w:vAlign w:val="center"/>
          </w:tcPr>
          <w:p>
            <w:pPr>
              <w:snapToGrid w:val="0"/>
              <w:spacing w:line="240" w:lineRule="auto"/>
              <w:jc w:val="center"/>
              <w:rPr>
                <w:rFonts w:eastAsia="宋体"/>
                <w:color w:val="000000" w:themeColor="text1"/>
                <w:sz w:val="21"/>
                <w:szCs w:val="21"/>
                <w14:textFill>
                  <w14:solidFill>
                    <w14:schemeClr w14:val="tx1"/>
                  </w14:solidFill>
                </w14:textFill>
              </w:rPr>
            </w:pPr>
          </w:p>
        </w:tc>
        <w:tc>
          <w:tcPr>
            <w:tcW w:w="614" w:type="pct"/>
            <w:vAlign w:val="center"/>
          </w:tcPr>
          <w:p>
            <w:pPr>
              <w:pStyle w:val="27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30（监控点位任意一次浓度值）</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614"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507"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c>
          <w:tcPr>
            <w:tcW w:w="408" w:type="pct"/>
            <w:vAlign w:val="center"/>
          </w:tcPr>
          <w:p>
            <w:pPr>
              <w:snapToGrid w:val="0"/>
              <w:spacing w:line="240" w:lineRule="auto"/>
              <w:jc w:val="center"/>
              <w:textAlignment w:val="baseline"/>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w:t>
            </w:r>
          </w:p>
        </w:tc>
      </w:tr>
    </w:tbl>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3</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废水污染物</w:t>
      </w:r>
      <w:r>
        <w:rPr>
          <w:rFonts w:hint="eastAsia" w:eastAsia="宋体"/>
          <w:color w:val="000000" w:themeColor="text1"/>
          <w14:textFill>
            <w14:solidFill>
              <w14:schemeClr w14:val="tx1"/>
            </w14:solidFill>
          </w14:textFill>
        </w:rPr>
        <w:t>排放清单</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表8.3-3  废水污染物排放清单及执行标准</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541"/>
        <w:gridCol w:w="965"/>
        <w:gridCol w:w="956"/>
        <w:gridCol w:w="923"/>
        <w:gridCol w:w="1187"/>
        <w:gridCol w:w="956"/>
        <w:gridCol w:w="818"/>
        <w:gridCol w:w="957"/>
        <w:gridCol w:w="110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restart"/>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污水类型</w:t>
            </w:r>
          </w:p>
        </w:tc>
        <w:tc>
          <w:tcPr>
            <w:tcW w:w="530" w:type="pct"/>
            <w:vMerge w:val="restart"/>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污染因子</w:t>
            </w:r>
          </w:p>
        </w:tc>
        <w:tc>
          <w:tcPr>
            <w:tcW w:w="988" w:type="pct"/>
            <w:gridSpan w:val="2"/>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产生情况</w:t>
            </w:r>
          </w:p>
        </w:tc>
        <w:tc>
          <w:tcPr>
            <w:tcW w:w="648" w:type="pct"/>
            <w:vMerge w:val="restart"/>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治理措施</w:t>
            </w:r>
          </w:p>
        </w:tc>
        <w:tc>
          <w:tcPr>
            <w:tcW w:w="933" w:type="pct"/>
            <w:gridSpan w:val="2"/>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厂区排放情况</w:t>
            </w:r>
          </w:p>
        </w:tc>
        <w:tc>
          <w:tcPr>
            <w:tcW w:w="1064" w:type="pct"/>
            <w:gridSpan w:val="2"/>
            <w:tcBorders>
              <w:top w:val="single" w:color="000000" w:sz="12" w:space="0"/>
            </w:tcBorders>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排入环境的情况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p>
        </w:tc>
        <w:tc>
          <w:tcPr>
            <w:tcW w:w="530" w:type="pct"/>
            <w:vMerge w:val="continue"/>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p>
        </w:tc>
        <w:tc>
          <w:tcPr>
            <w:tcW w:w="480"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浓度</w:t>
            </w:r>
            <w:r>
              <w:rPr>
                <w:rFonts w:hint="eastAsia" w:eastAsia="宋体"/>
                <w:b/>
                <w:bCs/>
                <w:color w:val="000000" w:themeColor="text1"/>
                <w:sz w:val="21"/>
                <w:szCs w:val="21"/>
                <w14:textFill>
                  <w14:solidFill>
                    <w14:schemeClr w14:val="tx1"/>
                  </w14:solidFill>
                </w14:textFill>
              </w:rPr>
              <w:t>（</w:t>
            </w:r>
            <w:r>
              <w:rPr>
                <w:rFonts w:eastAsia="宋体"/>
                <w:b/>
                <w:bCs/>
                <w:color w:val="000000" w:themeColor="text1"/>
                <w:sz w:val="21"/>
                <w:szCs w:val="21"/>
                <w14:textFill>
                  <w14:solidFill>
                    <w14:schemeClr w14:val="tx1"/>
                  </w14:solidFill>
                </w14:textFill>
              </w:rPr>
              <w:t>mg/L</w:t>
            </w:r>
            <w:r>
              <w:rPr>
                <w:rFonts w:hint="eastAsia" w:eastAsia="宋体"/>
                <w:b/>
                <w:bCs/>
                <w:color w:val="000000" w:themeColor="text1"/>
                <w:sz w:val="21"/>
                <w:szCs w:val="21"/>
                <w:lang w:eastAsia="zh-CN"/>
                <w14:textFill>
                  <w14:solidFill>
                    <w14:schemeClr w14:val="tx1"/>
                  </w14:solidFill>
                </w14:textFill>
              </w:rPr>
              <w:t>）</w:t>
            </w:r>
          </w:p>
        </w:tc>
        <w:tc>
          <w:tcPr>
            <w:tcW w:w="508"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产生量（t/a）</w:t>
            </w:r>
          </w:p>
        </w:tc>
        <w:tc>
          <w:tcPr>
            <w:tcW w:w="648" w:type="pct"/>
            <w:vMerge w:val="continue"/>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p>
        </w:tc>
        <w:tc>
          <w:tcPr>
            <w:tcW w:w="481"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浓度</w:t>
            </w:r>
            <w:r>
              <w:rPr>
                <w:rFonts w:hint="eastAsia" w:eastAsia="宋体"/>
                <w:b/>
                <w:bCs/>
                <w:color w:val="000000" w:themeColor="text1"/>
                <w:sz w:val="21"/>
                <w:szCs w:val="21"/>
                <w14:textFill>
                  <w14:solidFill>
                    <w14:schemeClr w14:val="tx1"/>
                  </w14:solidFill>
                </w14:textFill>
              </w:rPr>
              <w:t>（</w:t>
            </w:r>
            <w:r>
              <w:rPr>
                <w:rFonts w:eastAsia="宋体"/>
                <w:b/>
                <w:bCs/>
                <w:color w:val="000000" w:themeColor="text1"/>
                <w:sz w:val="21"/>
                <w:szCs w:val="21"/>
                <w14:textFill>
                  <w14:solidFill>
                    <w14:schemeClr w14:val="tx1"/>
                  </w14:solidFill>
                </w14:textFill>
              </w:rPr>
              <w:t>mg/L</w:t>
            </w:r>
            <w:r>
              <w:rPr>
                <w:rFonts w:hint="eastAsia" w:eastAsia="宋体"/>
                <w:b/>
                <w:bCs/>
                <w:color w:val="000000" w:themeColor="text1"/>
                <w:sz w:val="21"/>
                <w:szCs w:val="21"/>
                <w:lang w:eastAsia="zh-CN"/>
                <w14:textFill>
                  <w14:solidFill>
                    <w14:schemeClr w14:val="tx1"/>
                  </w14:solidFill>
                </w14:textFill>
              </w:rPr>
              <w:t>）</w:t>
            </w:r>
          </w:p>
        </w:tc>
        <w:tc>
          <w:tcPr>
            <w:tcW w:w="452"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排放量（t/a）</w:t>
            </w:r>
          </w:p>
        </w:tc>
        <w:tc>
          <w:tcPr>
            <w:tcW w:w="458"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浓度</w:t>
            </w:r>
            <w:r>
              <w:rPr>
                <w:rFonts w:hint="eastAsia" w:eastAsia="宋体"/>
                <w:b/>
                <w:bCs/>
                <w:color w:val="000000" w:themeColor="text1"/>
                <w:sz w:val="21"/>
                <w:szCs w:val="21"/>
                <w14:textFill>
                  <w14:solidFill>
                    <w14:schemeClr w14:val="tx1"/>
                  </w14:solidFill>
                </w14:textFill>
              </w:rPr>
              <w:t>（</w:t>
            </w:r>
            <w:r>
              <w:rPr>
                <w:rFonts w:eastAsia="宋体"/>
                <w:b/>
                <w:bCs/>
                <w:color w:val="000000" w:themeColor="text1"/>
                <w:sz w:val="21"/>
                <w:szCs w:val="21"/>
                <w14:textFill>
                  <w14:solidFill>
                    <w14:schemeClr w14:val="tx1"/>
                  </w14:solidFill>
                </w14:textFill>
              </w:rPr>
              <w:t>mg/L</w:t>
            </w:r>
            <w:r>
              <w:rPr>
                <w:rFonts w:hint="eastAsia" w:eastAsia="宋体"/>
                <w:b/>
                <w:bCs/>
                <w:color w:val="000000" w:themeColor="text1"/>
                <w:sz w:val="21"/>
                <w:szCs w:val="21"/>
                <w:lang w:eastAsia="zh-CN"/>
                <w14:textFill>
                  <w14:solidFill>
                    <w14:schemeClr w14:val="tx1"/>
                  </w14:solidFill>
                </w14:textFill>
              </w:rPr>
              <w:t>）</w:t>
            </w:r>
          </w:p>
        </w:tc>
        <w:tc>
          <w:tcPr>
            <w:tcW w:w="606" w:type="pct"/>
            <w:vAlign w:val="center"/>
          </w:tcPr>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排放量</w:t>
            </w:r>
          </w:p>
          <w:p>
            <w:pPr>
              <w:autoSpaceDE w:val="0"/>
              <w:autoSpaceDN w:val="0"/>
              <w:adjustRightInd w:val="0"/>
              <w:snapToGrid w:val="0"/>
              <w:spacing w:line="240" w:lineRule="auto"/>
              <w:jc w:val="center"/>
              <w:textAlignment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1号地块生活污水、生产废水</w:t>
            </w: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480"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483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3.563 </w:t>
            </w:r>
          </w:p>
        </w:tc>
        <w:tc>
          <w:tcPr>
            <w:tcW w:w="648"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隔油沉淀、生化池</w:t>
            </w: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290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2.142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60</w:t>
            </w:r>
          </w:p>
        </w:tc>
        <w:tc>
          <w:tcPr>
            <w:tcW w:w="606"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0.443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193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1.426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132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0.972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0.148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325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2.400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145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1.071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20</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0.148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45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0.329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26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0.194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8</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0.059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0.009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18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0.130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0.013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3</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T</w:t>
            </w:r>
            <w:r>
              <w:rPr>
                <w:rFonts w:eastAsia="宋体"/>
                <w:color w:val="000000" w:themeColor="text1"/>
                <w:kern w:val="0"/>
                <w:sz w:val="21"/>
                <w:szCs w:val="21"/>
                <w14:textFill>
                  <w14:solidFill>
                    <w14:schemeClr w14:val="tx1"/>
                  </w14:solidFill>
                </w14:textFill>
              </w:rPr>
              <w:t>P</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0.043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0.043 </w:t>
            </w:r>
          </w:p>
        </w:tc>
        <w:tc>
          <w:tcPr>
            <w:tcW w:w="458" w:type="pct"/>
            <w:vAlign w:val="center"/>
          </w:tcPr>
          <w:p>
            <w:pPr>
              <w:adjustRightInd w:val="0"/>
              <w:snapToGrid w:val="0"/>
              <w:spacing w:line="240" w:lineRule="auto"/>
              <w:jc w:val="center"/>
              <w:rPr>
                <w:rFonts w:eastAsia="宋体"/>
                <w:bCs/>
                <w:color w:val="000000" w:themeColor="text1"/>
                <w:sz w:val="21"/>
                <w:szCs w:val="21"/>
                <w14:textFill>
                  <w14:solidFill>
                    <w14:schemeClr w14:val="tx1"/>
                  </w14:solidFill>
                </w14:textFill>
              </w:rPr>
            </w:pPr>
            <w:r>
              <w:rPr>
                <w:rFonts w:eastAsia="宋体"/>
                <w:bCs/>
                <w:color w:val="000000" w:themeColor="text1"/>
                <w:sz w:val="21"/>
                <w:szCs w:val="21"/>
                <w14:textFill>
                  <w14:solidFill>
                    <w14:schemeClr w14:val="tx1"/>
                  </w14:solidFill>
                </w14:textFill>
              </w:rPr>
              <w:t>1</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0.004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2号地块生活污水、生产废水</w:t>
            </w: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480"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602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0.948 </w:t>
            </w:r>
          </w:p>
        </w:tc>
        <w:tc>
          <w:tcPr>
            <w:tcW w:w="648" w:type="pct"/>
            <w:vMerge w:val="restart"/>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混凝沉淀+气浮、隔油沉淀、生化池</w:t>
            </w: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326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0.513 </w:t>
            </w:r>
          </w:p>
        </w:tc>
        <w:tc>
          <w:tcPr>
            <w:tcW w:w="458"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606"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 xml:space="preserve">0.094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101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0.158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69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0.108 </w:t>
            </w:r>
          </w:p>
        </w:tc>
        <w:tc>
          <w:tcPr>
            <w:tcW w:w="45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0.031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523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0.823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216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0.340 </w:t>
            </w:r>
          </w:p>
        </w:tc>
        <w:tc>
          <w:tcPr>
            <w:tcW w:w="45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23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0.037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14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0.022 </w:t>
            </w:r>
          </w:p>
        </w:tc>
        <w:tc>
          <w:tcPr>
            <w:tcW w:w="45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5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0.007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0.003 </w:t>
            </w:r>
          </w:p>
        </w:tc>
        <w:tc>
          <w:tcPr>
            <w:tcW w:w="45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480"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9 </w:t>
            </w:r>
          </w:p>
        </w:tc>
        <w:tc>
          <w:tcPr>
            <w:tcW w:w="50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0.014 </w:t>
            </w:r>
          </w:p>
        </w:tc>
        <w:tc>
          <w:tcPr>
            <w:tcW w:w="648" w:type="pct"/>
            <w:vMerge w:val="continue"/>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 </w:t>
            </w:r>
          </w:p>
        </w:tc>
        <w:tc>
          <w:tcPr>
            <w:tcW w:w="452"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0.001 </w:t>
            </w:r>
          </w:p>
        </w:tc>
        <w:tc>
          <w:tcPr>
            <w:tcW w:w="458"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06" w:type="pct"/>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836" w:type="pct"/>
            <w:vMerge w:val="continue"/>
            <w:tcBorders>
              <w:bottom w:val="single" w:color="000000" w:sz="12" w:space="0"/>
            </w:tcBorders>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530" w:type="pct"/>
            <w:tcBorders>
              <w:bottom w:val="single" w:color="000000" w:sz="12"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T</w:t>
            </w:r>
            <w:r>
              <w:rPr>
                <w:rFonts w:eastAsia="宋体"/>
                <w:color w:val="000000" w:themeColor="text1"/>
                <w:kern w:val="0"/>
                <w:sz w:val="21"/>
                <w:szCs w:val="21"/>
                <w14:textFill>
                  <w14:solidFill>
                    <w14:schemeClr w14:val="tx1"/>
                  </w14:solidFill>
                </w14:textFill>
              </w:rPr>
              <w:t>P</w:t>
            </w:r>
          </w:p>
        </w:tc>
        <w:tc>
          <w:tcPr>
            <w:tcW w:w="480"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 </w:t>
            </w:r>
          </w:p>
        </w:tc>
        <w:tc>
          <w:tcPr>
            <w:tcW w:w="508"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648" w:type="pct"/>
            <w:vMerge w:val="continue"/>
            <w:tcBorders>
              <w:bottom w:val="single" w:color="000000" w:sz="12" w:space="0"/>
            </w:tcBorders>
            <w:vAlign w:val="center"/>
          </w:tcPr>
          <w:p>
            <w:pPr>
              <w:autoSpaceDE w:val="0"/>
              <w:autoSpaceDN w:val="0"/>
              <w:adjustRightInd w:val="0"/>
              <w:snapToGrid w:val="0"/>
              <w:spacing w:line="240" w:lineRule="auto"/>
              <w:jc w:val="center"/>
              <w:textAlignment w:val="center"/>
              <w:rPr>
                <w:rFonts w:eastAsia="宋体"/>
                <w:color w:val="000000" w:themeColor="text1"/>
                <w:sz w:val="21"/>
                <w:szCs w:val="21"/>
                <w14:textFill>
                  <w14:solidFill>
                    <w14:schemeClr w14:val="tx1"/>
                  </w14:solidFill>
                </w14:textFill>
              </w:rPr>
            </w:pPr>
          </w:p>
        </w:tc>
        <w:tc>
          <w:tcPr>
            <w:tcW w:w="481"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4 </w:t>
            </w:r>
          </w:p>
        </w:tc>
        <w:tc>
          <w:tcPr>
            <w:tcW w:w="452"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0.005 </w:t>
            </w:r>
          </w:p>
        </w:tc>
        <w:tc>
          <w:tcPr>
            <w:tcW w:w="458"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606" w:type="pct"/>
            <w:tcBorders>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0.002 </w:t>
            </w:r>
          </w:p>
        </w:tc>
      </w:tr>
    </w:tbl>
    <w:p>
      <w:pPr>
        <w:spacing w:line="240" w:lineRule="auto"/>
        <w:jc w:val="center"/>
        <w:rPr>
          <w:rFonts w:eastAsia="宋体"/>
          <w:b/>
          <w:color w:val="000000" w:themeColor="text1"/>
          <w14:textFill>
            <w14:solidFill>
              <w14:schemeClr w14:val="tx1"/>
            </w14:solidFill>
          </w14:textFill>
        </w:rPr>
      </w:pPr>
      <w:bookmarkStart w:id="275" w:name="_Toc17094"/>
      <w:r>
        <w:rPr>
          <w:rFonts w:eastAsia="宋体"/>
          <w:b/>
          <w:color w:val="000000" w:themeColor="text1"/>
          <w14:textFill>
            <w14:solidFill>
              <w14:schemeClr w14:val="tx1"/>
            </w14:solidFill>
          </w14:textFill>
        </w:rPr>
        <w:t>表8.3-4  废水间接排放口基本情况表</w:t>
      </w:r>
    </w:p>
    <w:tbl>
      <w:tblPr>
        <w:tblStyle w:val="8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881"/>
        <w:gridCol w:w="1102"/>
        <w:gridCol w:w="1276"/>
        <w:gridCol w:w="1125"/>
        <w:gridCol w:w="824"/>
        <w:gridCol w:w="671"/>
        <w:gridCol w:w="825"/>
        <w:gridCol w:w="825"/>
        <w:gridCol w:w="11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427"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序号</w:t>
            </w:r>
          </w:p>
        </w:tc>
        <w:tc>
          <w:tcPr>
            <w:tcW w:w="881"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排放口编号</w:t>
            </w:r>
          </w:p>
        </w:tc>
        <w:tc>
          <w:tcPr>
            <w:tcW w:w="2378" w:type="dxa"/>
            <w:gridSpan w:val="2"/>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排放口坐标</w:t>
            </w:r>
          </w:p>
        </w:tc>
        <w:tc>
          <w:tcPr>
            <w:tcW w:w="1125"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排放去向</w:t>
            </w:r>
          </w:p>
        </w:tc>
        <w:tc>
          <w:tcPr>
            <w:tcW w:w="824"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规律</w:t>
            </w:r>
          </w:p>
        </w:tc>
        <w:tc>
          <w:tcPr>
            <w:tcW w:w="671" w:type="dxa"/>
            <w:vMerge w:val="restart"/>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间歇排放时段</w:t>
            </w:r>
          </w:p>
        </w:tc>
        <w:tc>
          <w:tcPr>
            <w:tcW w:w="2766" w:type="dxa"/>
            <w:gridSpan w:val="3"/>
            <w:tcBorders>
              <w:top w:val="single" w:color="000000" w:sz="12" w:space="0"/>
            </w:tcBorders>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受纳污水处理厂信息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27"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1102"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经度</w:t>
            </w:r>
          </w:p>
        </w:tc>
        <w:tc>
          <w:tcPr>
            <w:tcW w:w="1276"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纬度</w:t>
            </w:r>
          </w:p>
        </w:tc>
        <w:tc>
          <w:tcPr>
            <w:tcW w:w="1125"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b/>
                <w:bCs w:val="0"/>
                <w:color w:val="000000" w:themeColor="text1"/>
                <w:kern w:val="2"/>
                <w:sz w:val="21"/>
                <w:szCs w:val="21"/>
                <w14:textFill>
                  <w14:solidFill>
                    <w14:schemeClr w14:val="tx1"/>
                  </w14:solidFill>
                </w14:textFill>
              </w:rPr>
            </w:pPr>
          </w:p>
        </w:tc>
        <w:tc>
          <w:tcPr>
            <w:tcW w:w="825"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名称</w:t>
            </w:r>
          </w:p>
        </w:tc>
        <w:tc>
          <w:tcPr>
            <w:tcW w:w="825" w:type="dxa"/>
            <w:vAlign w:val="center"/>
          </w:tcPr>
          <w:p>
            <w:pPr>
              <w:pStyle w:val="294"/>
              <w:ind w:firstLine="0"/>
              <w:outlineLvl w:val="9"/>
              <w:rPr>
                <w:b/>
                <w:bCs w:val="0"/>
                <w:color w:val="000000" w:themeColor="text1"/>
                <w:kern w:val="2"/>
                <w:sz w:val="21"/>
                <w:szCs w:val="21"/>
                <w14:textFill>
                  <w14:solidFill>
                    <w14:schemeClr w14:val="tx1"/>
                  </w14:solidFill>
                </w14:textFill>
              </w:rPr>
            </w:pPr>
            <w:r>
              <w:rPr>
                <w:b/>
                <w:bCs w:val="0"/>
                <w:color w:val="000000" w:themeColor="text1"/>
                <w:kern w:val="2"/>
                <w:sz w:val="21"/>
                <w:szCs w:val="21"/>
                <w14:textFill>
                  <w14:solidFill>
                    <w14:schemeClr w14:val="tx1"/>
                  </w14:solidFill>
                </w14:textFill>
              </w:rPr>
              <w:t>污染物种类</w:t>
            </w:r>
          </w:p>
        </w:tc>
        <w:tc>
          <w:tcPr>
            <w:tcW w:w="1116" w:type="dxa"/>
            <w:vAlign w:val="center"/>
          </w:tcPr>
          <w:p>
            <w:pPr>
              <w:pStyle w:val="293"/>
              <w:adjustRightInd w:val="0"/>
              <w:snapToGrid w:val="0"/>
              <w:rPr>
                <w:rFonts w:eastAsia="宋体"/>
                <w:b/>
                <w:color w:val="000000" w:themeColor="text1"/>
                <w:szCs w:val="21"/>
                <w14:textFill>
                  <w14:solidFill>
                    <w14:schemeClr w14:val="tx1"/>
                  </w14:solidFill>
                </w14:textFill>
              </w:rPr>
            </w:pPr>
            <w:r>
              <w:rPr>
                <w:rFonts w:eastAsia="宋体"/>
                <w:b/>
                <w:color w:val="000000" w:themeColor="text1"/>
                <w:szCs w:val="21"/>
                <w14:textFill>
                  <w14:solidFill>
                    <w14:schemeClr w14:val="tx1"/>
                  </w14:solidFill>
                </w14:textFill>
              </w:rPr>
              <w:t>国家或地方污染物排放标准浓度限值/（mg/L）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w:t>
            </w:r>
          </w:p>
        </w:tc>
        <w:tc>
          <w:tcPr>
            <w:tcW w:w="88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DW001</w:t>
            </w:r>
          </w:p>
        </w:tc>
        <w:tc>
          <w:tcPr>
            <w:tcW w:w="1102"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105°45′15.460″</w:t>
            </w:r>
          </w:p>
        </w:tc>
        <w:tc>
          <w:tcPr>
            <w:tcW w:w="1276"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29°27′9.126″</w:t>
            </w:r>
          </w:p>
        </w:tc>
        <w:tc>
          <w:tcPr>
            <w:tcW w:w="1125"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4"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间接排放，排放期间流量不稳</w:t>
            </w:r>
          </w:p>
        </w:tc>
        <w:tc>
          <w:tcPr>
            <w:tcW w:w="67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25" w:type="dxa"/>
            <w:vMerge w:val="restart"/>
            <w:vAlign w:val="center"/>
          </w:tcPr>
          <w:p>
            <w:pPr>
              <w:pStyle w:val="294"/>
              <w:ind w:firstLine="0"/>
              <w:outlineLvl w:val="9"/>
              <w:rPr>
                <w:color w:val="000000" w:themeColor="text1"/>
                <w:kern w:val="2"/>
                <w:sz w:val="21"/>
                <w:szCs w:val="21"/>
                <w:vertAlign w:val="superscript"/>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5"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1116" w:type="dxa"/>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1116"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1116"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1116" w:type="dxa"/>
            <w:tcBorders>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w:t>
            </w:r>
          </w:p>
        </w:tc>
        <w:tc>
          <w:tcPr>
            <w:tcW w:w="88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DW002</w:t>
            </w:r>
          </w:p>
        </w:tc>
        <w:tc>
          <w:tcPr>
            <w:tcW w:w="1102"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105°44′48.636″</w:t>
            </w:r>
          </w:p>
        </w:tc>
        <w:tc>
          <w:tcPr>
            <w:tcW w:w="1276"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29°26′12.600″</w:t>
            </w:r>
          </w:p>
        </w:tc>
        <w:tc>
          <w:tcPr>
            <w:tcW w:w="1125"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4"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间接排放，排放期间流量不稳</w:t>
            </w:r>
          </w:p>
        </w:tc>
        <w:tc>
          <w:tcPr>
            <w:tcW w:w="671" w:type="dxa"/>
            <w:vMerge w:val="restart"/>
            <w:vAlign w:val="center"/>
          </w:tcPr>
          <w:p>
            <w:pPr>
              <w:pStyle w:val="294"/>
              <w:ind w:firstLine="0"/>
              <w:outlineLvl w:val="9"/>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25" w:type="dxa"/>
            <w:vMerge w:val="restart"/>
            <w:vAlign w:val="center"/>
          </w:tcPr>
          <w:p>
            <w:pPr>
              <w:pStyle w:val="294"/>
              <w:ind w:firstLine="0"/>
              <w:outlineLvl w:val="9"/>
              <w:rPr>
                <w:color w:val="000000" w:themeColor="text1"/>
                <w:kern w:val="2"/>
                <w:sz w:val="21"/>
                <w:szCs w:val="21"/>
                <w:vertAlign w:val="superscript"/>
                <w14:textFill>
                  <w14:solidFill>
                    <w14:schemeClr w14:val="tx1"/>
                  </w14:solidFill>
                </w14:textFill>
              </w:rPr>
            </w:pPr>
            <w:r>
              <w:rPr>
                <w:color w:val="000000" w:themeColor="text1"/>
                <w:kern w:val="2"/>
                <w:sz w:val="21"/>
                <w:szCs w:val="21"/>
                <w14:textFill>
                  <w14:solidFill>
                    <w14:schemeClr w14:val="tx1"/>
                  </w14:solidFill>
                </w14:textFill>
              </w:rPr>
              <w:t>双桥工业园区污水处理厂</w:t>
            </w: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COD</w:t>
            </w:r>
          </w:p>
        </w:tc>
        <w:tc>
          <w:tcPr>
            <w:tcW w:w="1116" w:type="dxa"/>
            <w:tcBorders>
              <w:top w:val="single" w:color="000000" w:sz="4" w:space="0"/>
              <w:bottom w:val="single" w:color="000000" w:sz="4" w:space="0"/>
            </w:tcBorders>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BOD</w:t>
            </w:r>
            <w:r>
              <w:rPr>
                <w:rFonts w:eastAsia="宋体"/>
                <w:color w:val="000000" w:themeColor="text1"/>
                <w:kern w:val="0"/>
                <w:sz w:val="21"/>
                <w:szCs w:val="21"/>
                <w:vertAlign w:val="subscript"/>
                <w14:textFill>
                  <w14:solidFill>
                    <w14:schemeClr w14:val="tx1"/>
                  </w14:solidFill>
                </w14:textFill>
              </w:rPr>
              <w:t>5</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SS</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NH</w:t>
            </w:r>
            <w:r>
              <w:rPr>
                <w:rFonts w:eastAsia="宋体"/>
                <w:color w:val="000000" w:themeColor="text1"/>
                <w:kern w:val="0"/>
                <w:sz w:val="21"/>
                <w:szCs w:val="21"/>
                <w:vertAlign w:val="subscript"/>
                <w14:textFill>
                  <w14:solidFill>
                    <w14:schemeClr w14:val="tx1"/>
                  </w14:solidFill>
                </w14:textFill>
              </w:rPr>
              <w:t>3</w:t>
            </w:r>
            <w:r>
              <w:rPr>
                <w:rFonts w:eastAsia="宋体"/>
                <w:color w:val="000000" w:themeColor="text1"/>
                <w:kern w:val="0"/>
                <w:sz w:val="21"/>
                <w:szCs w:val="21"/>
                <w14:textFill>
                  <w14:solidFill>
                    <w14:schemeClr w14:val="tx1"/>
                  </w14:solidFill>
                </w14:textFill>
              </w:rPr>
              <w:t>-N</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石油类</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4"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动植物油</w:t>
            </w:r>
          </w:p>
        </w:tc>
        <w:tc>
          <w:tcPr>
            <w:tcW w:w="1116" w:type="dxa"/>
            <w:tcBorders>
              <w:top w:val="single" w:color="000000" w:sz="4" w:space="0"/>
              <w:bottom w:val="single" w:color="000000" w:sz="4"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427"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8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02"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276"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11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4"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671"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vMerge w:val="continue"/>
            <w:tcBorders>
              <w:bottom w:val="single" w:color="000000" w:sz="12" w:space="0"/>
            </w:tcBorders>
            <w:vAlign w:val="center"/>
          </w:tcPr>
          <w:p>
            <w:pPr>
              <w:pStyle w:val="294"/>
              <w:ind w:firstLine="0"/>
              <w:outlineLvl w:val="9"/>
              <w:rPr>
                <w:color w:val="000000" w:themeColor="text1"/>
                <w:kern w:val="2"/>
                <w:sz w:val="21"/>
                <w:szCs w:val="21"/>
                <w14:textFill>
                  <w14:solidFill>
                    <w14:schemeClr w14:val="tx1"/>
                  </w14:solidFill>
                </w14:textFill>
              </w:rPr>
            </w:pPr>
          </w:p>
        </w:tc>
        <w:tc>
          <w:tcPr>
            <w:tcW w:w="825" w:type="dxa"/>
            <w:tcBorders>
              <w:top w:val="single" w:color="000000" w:sz="4" w:space="0"/>
              <w:bottom w:val="single" w:color="000000" w:sz="12" w:space="0"/>
            </w:tcBorders>
            <w:vAlign w:val="center"/>
          </w:tcPr>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TP</w:t>
            </w:r>
          </w:p>
        </w:tc>
        <w:tc>
          <w:tcPr>
            <w:tcW w:w="1116" w:type="dxa"/>
            <w:tcBorders>
              <w:top w:val="single" w:color="000000" w:sz="4" w:space="0"/>
              <w:bottom w:val="single" w:color="000000" w:sz="12" w:space="0"/>
            </w:tcBorders>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r>
    </w:tbl>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4</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噪声</w:t>
      </w:r>
      <w:r>
        <w:rPr>
          <w:rFonts w:hint="eastAsia" w:eastAsia="宋体"/>
          <w:color w:val="000000" w:themeColor="text1"/>
          <w14:textFill>
            <w14:solidFill>
              <w14:schemeClr w14:val="tx1"/>
            </w14:solidFill>
          </w14:textFill>
        </w:rPr>
        <w:t>排放清单</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表8.3-5  噪声排放清单及执行标准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69"/>
        <w:gridCol w:w="1080"/>
        <w:gridCol w:w="1487"/>
        <w:gridCol w:w="13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25" w:type="pct"/>
            <w:gridSpan w:val="2"/>
            <w:vMerge w:val="restart"/>
            <w:tcBorders>
              <w:top w:val="single" w:color="auto" w:sz="12" w:space="0"/>
            </w:tcBorders>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排放标准及标准号</w:t>
            </w:r>
          </w:p>
        </w:tc>
        <w:tc>
          <w:tcPr>
            <w:tcW w:w="1475" w:type="pct"/>
            <w:gridSpan w:val="2"/>
            <w:tcBorders>
              <w:top w:val="single" w:color="auto" w:sz="12" w:space="0"/>
            </w:tcBorders>
            <w:vAlign w:val="center"/>
          </w:tcPr>
          <w:p>
            <w:pPr>
              <w:adjustRightInd w:val="0"/>
              <w:snapToGrid w:val="0"/>
              <w:spacing w:line="240" w:lineRule="auto"/>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最大允许排放值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25" w:type="pct"/>
            <w:gridSpan w:val="2"/>
            <w:vMerge w:val="continue"/>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77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昼间</w:t>
            </w:r>
          </w:p>
        </w:tc>
        <w:tc>
          <w:tcPr>
            <w:tcW w:w="69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61" w:type="pct"/>
            <w:vMerge w:val="restar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《工业企业厂界环境噪声排放标准》（GB12348-2008）</w:t>
            </w:r>
          </w:p>
        </w:tc>
        <w:tc>
          <w:tcPr>
            <w:tcW w:w="564"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3类</w:t>
            </w:r>
          </w:p>
        </w:tc>
        <w:tc>
          <w:tcPr>
            <w:tcW w:w="777"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w:t>
            </w:r>
          </w:p>
        </w:tc>
        <w:tc>
          <w:tcPr>
            <w:tcW w:w="698" w:type="pct"/>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61" w:type="pct"/>
            <w:vMerge w:val="continue"/>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p>
        </w:tc>
        <w:tc>
          <w:tcPr>
            <w:tcW w:w="564"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4类</w:t>
            </w:r>
          </w:p>
        </w:tc>
        <w:tc>
          <w:tcPr>
            <w:tcW w:w="777"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7</w:t>
            </w:r>
            <w:r>
              <w:rPr>
                <w:rFonts w:eastAsia="宋体"/>
                <w:color w:val="000000" w:themeColor="text1"/>
                <w:sz w:val="21"/>
                <w:szCs w:val="21"/>
                <w14:textFill>
                  <w14:solidFill>
                    <w14:schemeClr w14:val="tx1"/>
                  </w14:solidFill>
                </w14:textFill>
              </w:rPr>
              <w:t>0</w:t>
            </w:r>
          </w:p>
        </w:tc>
        <w:tc>
          <w:tcPr>
            <w:tcW w:w="698" w:type="pct"/>
            <w:tcBorders>
              <w:bottom w:val="single" w:color="auto" w:sz="12" w:space="0"/>
            </w:tcBorders>
            <w:vAlign w:val="center"/>
          </w:tcPr>
          <w:p>
            <w:pPr>
              <w:adjustRightInd w:val="0"/>
              <w:snapToGrid w:val="0"/>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5</w:t>
            </w:r>
            <w:r>
              <w:rPr>
                <w:rFonts w:eastAsia="宋体"/>
                <w:color w:val="000000" w:themeColor="text1"/>
                <w:sz w:val="21"/>
                <w:szCs w:val="21"/>
                <w14:textFill>
                  <w14:solidFill>
                    <w14:schemeClr w14:val="tx1"/>
                  </w14:solidFill>
                </w14:textFill>
              </w:rPr>
              <w:t>5</w:t>
            </w:r>
          </w:p>
        </w:tc>
      </w:tr>
    </w:tbl>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5</w:t>
      </w:r>
      <w:r>
        <w:rPr>
          <w:rFonts w:hint="eastAsia" w:eastAsia="宋体"/>
          <w:color w:val="000000" w:themeColor="text1"/>
          <w14:textFill>
            <w14:solidFill>
              <w14:schemeClr w14:val="tx1"/>
            </w14:solidFill>
          </w14:textFill>
        </w:rPr>
        <w:t>）</w:t>
      </w:r>
      <w:bookmarkEnd w:id="275"/>
      <w:r>
        <w:rPr>
          <w:rFonts w:hint="eastAsia" w:eastAsia="宋体"/>
          <w:color w:val="000000" w:themeColor="text1"/>
          <w14:textFill>
            <w14:solidFill>
              <w14:schemeClr w14:val="tx1"/>
            </w14:solidFill>
          </w14:textFill>
        </w:rPr>
        <w:t>固体废物排放清单</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表8.3-6  固废排放清单及执行标准单位：t/a</w:t>
      </w:r>
    </w:p>
    <w:tbl>
      <w:tblPr>
        <w:tblStyle w:val="89"/>
        <w:tblW w:w="93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552"/>
        <w:gridCol w:w="1190"/>
        <w:gridCol w:w="1809"/>
        <w:gridCol w:w="794"/>
        <w:gridCol w:w="896"/>
        <w:gridCol w:w="823"/>
        <w:gridCol w:w="1121"/>
        <w:gridCol w:w="1087"/>
        <w:gridCol w:w="1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1839" w:type="dxa"/>
            <w:gridSpan w:val="2"/>
            <w:vMerge w:val="restart"/>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类别</w:t>
            </w:r>
          </w:p>
        </w:tc>
        <w:tc>
          <w:tcPr>
            <w:tcW w:w="1573" w:type="dxa"/>
            <w:vMerge w:val="restart"/>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代码</w:t>
            </w:r>
          </w:p>
        </w:tc>
        <w:tc>
          <w:tcPr>
            <w:tcW w:w="2527" w:type="dxa"/>
            <w:gridSpan w:val="3"/>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产生量（t/a）</w:t>
            </w:r>
          </w:p>
        </w:tc>
        <w:tc>
          <w:tcPr>
            <w:tcW w:w="3417" w:type="dxa"/>
            <w:gridSpan w:val="3"/>
            <w:vAlign w:val="center"/>
          </w:tcPr>
          <w:p>
            <w:pPr>
              <w:pStyle w:val="22"/>
              <w:ind w:firstLine="0"/>
              <w:jc w:val="center"/>
              <w:rPr>
                <w:rFonts w:ascii="Times New Roman" w:hAnsi="Times New Roman" w:eastAsia="宋体"/>
                <w:b/>
                <w:color w:val="000000" w:themeColor="text1"/>
                <w:sz w:val="21"/>
                <w14:textFill>
                  <w14:solidFill>
                    <w14:schemeClr w14:val="tx1"/>
                  </w14:solidFill>
                </w14:textFill>
              </w:rPr>
            </w:pPr>
            <w:r>
              <w:rPr>
                <w:rFonts w:ascii="Times New Roman" w:hAnsi="Times New Roman" w:eastAsia="宋体"/>
                <w:b/>
                <w:color w:val="000000" w:themeColor="text1"/>
                <w:sz w:val="21"/>
                <w14:textFill>
                  <w14:solidFill>
                    <w14:schemeClr w14:val="tx1"/>
                  </w14:solidFill>
                </w14:textFill>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1839" w:type="dxa"/>
            <w:gridSpan w:val="2"/>
            <w:vMerge w:val="continue"/>
            <w:vAlign w:val="center"/>
          </w:tcPr>
          <w:p>
            <w:pPr>
              <w:pStyle w:val="296"/>
              <w:spacing w:line="240" w:lineRule="auto"/>
              <w:ind w:firstLine="0"/>
              <w:rPr>
                <w:color w:val="000000" w:themeColor="text1"/>
                <w:sz w:val="21"/>
                <w14:textFill>
                  <w14:solidFill>
                    <w14:schemeClr w14:val="tx1"/>
                  </w14:solidFill>
                </w14:textFill>
              </w:rPr>
            </w:pPr>
          </w:p>
        </w:tc>
        <w:tc>
          <w:tcPr>
            <w:tcW w:w="1573"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794"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1号地块</w:t>
            </w:r>
          </w:p>
        </w:tc>
        <w:tc>
          <w:tcPr>
            <w:tcW w:w="907"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2号地块</w:t>
            </w:r>
          </w:p>
        </w:tc>
        <w:tc>
          <w:tcPr>
            <w:tcW w:w="826" w:type="dxa"/>
            <w:vAlign w:val="center"/>
          </w:tcPr>
          <w:p>
            <w:pPr>
              <w:pStyle w:val="296"/>
              <w:spacing w:line="240" w:lineRule="auto"/>
              <w:ind w:firstLine="0"/>
              <w:rPr>
                <w:b/>
                <w:color w:val="000000" w:themeColor="text1"/>
                <w:sz w:val="21"/>
                <w14:textFill>
                  <w14:solidFill>
                    <w14:schemeClr w14:val="tx1"/>
                  </w14:solidFill>
                </w14:textFill>
              </w:rPr>
            </w:pPr>
            <w:r>
              <w:rPr>
                <w:b/>
                <w:color w:val="000000" w:themeColor="text1"/>
                <w:sz w:val="21"/>
                <w14:textFill>
                  <w14:solidFill>
                    <w14:schemeClr w14:val="tx1"/>
                  </w14:solidFill>
                </w14:textFill>
              </w:rPr>
              <w:t>合计</w:t>
            </w:r>
          </w:p>
        </w:tc>
        <w:tc>
          <w:tcPr>
            <w:tcW w:w="1197" w:type="dxa"/>
            <w:vAlign w:val="center"/>
          </w:tcPr>
          <w:p>
            <w:pPr>
              <w:pStyle w:val="296"/>
              <w:spacing w:line="240" w:lineRule="auto"/>
              <w:ind w:firstLine="0"/>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处置措施</w:t>
            </w:r>
          </w:p>
        </w:tc>
        <w:tc>
          <w:tcPr>
            <w:tcW w:w="1110" w:type="dxa"/>
            <w:vAlign w:val="center"/>
          </w:tcPr>
          <w:p>
            <w:pPr>
              <w:pStyle w:val="296"/>
              <w:spacing w:line="240" w:lineRule="auto"/>
              <w:ind w:firstLine="0"/>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处置量（t</w:t>
            </w:r>
            <w:r>
              <w:rPr>
                <w:b/>
                <w:color w:val="000000" w:themeColor="text1"/>
                <w:sz w:val="21"/>
                <w14:textFill>
                  <w14:solidFill>
                    <w14:schemeClr w14:val="tx1"/>
                  </w14:solidFill>
                </w14:textFill>
              </w:rPr>
              <w:t>/</w:t>
            </w:r>
            <w:r>
              <w:rPr>
                <w:rFonts w:hint="eastAsia"/>
                <w:b/>
                <w:color w:val="000000" w:themeColor="text1"/>
                <w:sz w:val="21"/>
                <w14:textFill>
                  <w14:solidFill>
                    <w14:schemeClr w14:val="tx1"/>
                  </w14:solidFill>
                </w14:textFill>
              </w:rPr>
              <w:t>a）</w:t>
            </w:r>
          </w:p>
        </w:tc>
        <w:tc>
          <w:tcPr>
            <w:tcW w:w="1110" w:type="dxa"/>
            <w:vAlign w:val="center"/>
          </w:tcPr>
          <w:p>
            <w:pPr>
              <w:pStyle w:val="296"/>
              <w:spacing w:line="240" w:lineRule="auto"/>
              <w:ind w:firstLine="0"/>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一般工业固废</w:t>
            </w: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废边角料</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331-001-09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1580</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1580</w:t>
            </w:r>
          </w:p>
        </w:tc>
        <w:tc>
          <w:tcPr>
            <w:tcW w:w="1197"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外售物资回收部门综合利用</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1580</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焊渣</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331-001-54</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58.9</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58.9</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58.9</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收尘灰</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331-001-66</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29.792</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64.429</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94.221</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94.221</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废包装材料</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331-001-04</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5</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8</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8</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废钢砂</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331-001-09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30</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30</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废水性漆包装桶</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331-001-09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.08</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.08</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.08</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生化池污泥</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331-001-61</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1.96</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.55</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4.51</w:t>
            </w:r>
          </w:p>
        </w:tc>
        <w:tc>
          <w:tcPr>
            <w:tcW w:w="119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交环卫部门处理</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14.51</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8.8</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r>
              <w:rPr>
                <w:color w:val="000000" w:themeColor="text1"/>
                <w:sz w:val="21"/>
                <w14:textFill>
                  <w14:solidFill>
                    <w14:schemeClr w14:val="tx1"/>
                  </w14:solidFill>
                </w14:textFill>
              </w:rPr>
              <w:t>.2</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32</w:t>
            </w:r>
          </w:p>
        </w:tc>
        <w:tc>
          <w:tcPr>
            <w:tcW w:w="1197"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交环卫部门处理</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32</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餐厨垃圾</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4.4</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.6</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16</w:t>
            </w:r>
          </w:p>
        </w:tc>
        <w:tc>
          <w:tcPr>
            <w:tcW w:w="1197"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交由资质单位处置</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16</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废油脂</w:t>
            </w:r>
          </w:p>
        </w:tc>
        <w:tc>
          <w:tcPr>
            <w:tcW w:w="15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.117</w:t>
            </w:r>
          </w:p>
        </w:tc>
        <w:tc>
          <w:tcPr>
            <w:tcW w:w="907"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.013</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0.130</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0.130</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危险废物</w:t>
            </w: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废含油金属屑</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1197"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定期交有资质单位处置</w:t>
            </w: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15.8</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废切削液</w:t>
            </w:r>
          </w:p>
        </w:tc>
        <w:tc>
          <w:tcPr>
            <w:tcW w:w="1573"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HW09,900-006-09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废润滑油</w:t>
            </w:r>
          </w:p>
        </w:tc>
        <w:tc>
          <w:tcPr>
            <w:tcW w:w="1573"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HW08,900-214-08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0.2</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废油桶</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0.139</w:t>
            </w:r>
          </w:p>
        </w:tc>
        <w:tc>
          <w:tcPr>
            <w:tcW w:w="907"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0.001</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0.14</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0.14</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废含油纱手套</w:t>
            </w:r>
          </w:p>
        </w:tc>
        <w:tc>
          <w:tcPr>
            <w:tcW w:w="1573"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0.004</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废空压机油</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HW08,900-249-08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0.004</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0.002</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0.006</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废油渣</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HW08,900-210-08</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0.009</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0.003</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0.012</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0.012</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废漆渣</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HW12,900-252-12</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2</w:t>
            </w:r>
            <w:r>
              <w:rPr>
                <w:rFonts w:eastAsia="宋体"/>
                <w:color w:val="000000" w:themeColor="text1"/>
                <w:kern w:val="0"/>
                <w:sz w:val="21"/>
                <w:szCs w:val="21"/>
                <w14:textFill>
                  <w14:solidFill>
                    <w14:schemeClr w14:val="tx1"/>
                  </w14:solidFill>
                </w14:textFill>
              </w:rPr>
              <w:t>7.023</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7.023</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7.023</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废含油漆防护手套</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0.05</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0.05</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0.05</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废过滤棉</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0</w:t>
            </w:r>
            <w:r>
              <w:rPr>
                <w:rFonts w:eastAsia="宋体"/>
                <w:color w:val="000000" w:themeColor="text1"/>
                <w:kern w:val="0"/>
                <w:sz w:val="21"/>
                <w:szCs w:val="21"/>
                <w14:textFill>
                  <w14:solidFill>
                    <w14:schemeClr w14:val="tx1"/>
                  </w14:solidFill>
                </w14:textFill>
              </w:rPr>
              <w:t>.48</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.48</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.48</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废活性炭</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HW49,900-039-49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2.88</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2.88</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2.88</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废催化剂</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HW50,772-007-50</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0.5</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0.5</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0.5</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56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273"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油性漆包装桶</w:t>
            </w:r>
          </w:p>
        </w:tc>
        <w:tc>
          <w:tcPr>
            <w:tcW w:w="1573" w:type="dxa"/>
            <w:vAlign w:val="center"/>
          </w:tcPr>
          <w:p>
            <w:pPr>
              <w:topLinePunct/>
              <w:adjustRightInd w:val="0"/>
              <w:snapToGrid w:val="0"/>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HW49,900-041-49</w:t>
            </w:r>
          </w:p>
        </w:tc>
        <w:tc>
          <w:tcPr>
            <w:tcW w:w="794" w:type="dxa"/>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907" w:type="dxa"/>
            <w:vAlign w:val="center"/>
          </w:tcPr>
          <w:p>
            <w:pPr>
              <w:topLinePunct/>
              <w:adjustRightInd w:val="0"/>
              <w:snapToGrid w:val="0"/>
              <w:spacing w:line="240" w:lineRule="auto"/>
              <w:jc w:val="center"/>
              <w:rPr>
                <w:rFonts w:eastAsia="宋体"/>
                <w:color w:val="000000" w:themeColor="text1"/>
                <w:kern w:val="0"/>
                <w:sz w:val="21"/>
                <w:szCs w:val="21"/>
                <w14:textFill>
                  <w14:solidFill>
                    <w14:schemeClr w14:val="tx1"/>
                  </w14:solidFill>
                </w14:textFill>
              </w:rPr>
            </w:pPr>
            <w:r>
              <w:rPr>
                <w:rFonts w:hint="eastAsia" w:eastAsia="宋体"/>
                <w:color w:val="000000" w:themeColor="text1"/>
                <w:kern w:val="0"/>
                <w:sz w:val="21"/>
                <w:szCs w:val="21"/>
                <w14:textFill>
                  <w14:solidFill>
                    <w14:schemeClr w14:val="tx1"/>
                  </w14:solidFill>
                </w14:textFill>
              </w:rPr>
              <w:t>1</w:t>
            </w:r>
            <w:r>
              <w:rPr>
                <w:rFonts w:eastAsia="宋体"/>
                <w:color w:val="000000" w:themeColor="text1"/>
                <w:kern w:val="0"/>
                <w:sz w:val="21"/>
                <w:szCs w:val="21"/>
                <w14:textFill>
                  <w14:solidFill>
                    <w14:schemeClr w14:val="tx1"/>
                  </w14:solidFill>
                </w14:textFill>
              </w:rPr>
              <w:t>.04</w:t>
            </w:r>
          </w:p>
        </w:tc>
        <w:tc>
          <w:tcPr>
            <w:tcW w:w="82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.04</w:t>
            </w:r>
          </w:p>
        </w:tc>
        <w:tc>
          <w:tcPr>
            <w:tcW w:w="1197"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1110"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.04</w:t>
            </w:r>
          </w:p>
        </w:tc>
        <w:tc>
          <w:tcPr>
            <w:tcW w:w="1110" w:type="dxa"/>
            <w:vAlign w:val="center"/>
          </w:tcPr>
          <w:p>
            <w:pPr>
              <w:spacing w:line="240" w:lineRule="auto"/>
              <w:jc w:val="center"/>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w:t>
            </w:r>
          </w:p>
        </w:tc>
      </w:tr>
    </w:tbl>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8.3.2总量控制</w:t>
      </w:r>
    </w:p>
    <w:p>
      <w:pPr>
        <w:pStyle w:val="327"/>
        <w:autoSpaceDE w:val="0"/>
        <w:autoSpaceDN w:val="0"/>
        <w:adjustRightInd w:val="0"/>
        <w:spacing w:line="360" w:lineRule="auto"/>
        <w:ind w:firstLine="480" w:firstLineChars="20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根据相关法律法规，确定本项目总量控制因子为非甲烷总烃、</w:t>
      </w:r>
      <w:r>
        <w:rPr>
          <w:rFonts w:hint="eastAsia"/>
          <w:color w:val="000000" w:themeColor="text1"/>
          <w:sz w:val="24"/>
          <w:szCs w:val="24"/>
          <w14:textFill>
            <w14:solidFill>
              <w14:schemeClr w14:val="tx1"/>
            </w14:solidFill>
          </w14:textFill>
        </w:rPr>
        <w:t>甲苯、二甲苯、颗粒物、</w:t>
      </w:r>
      <w:r>
        <w:rPr>
          <w:color w:val="000000" w:themeColor="text1"/>
          <w:sz w:val="24"/>
          <w:szCs w:val="24"/>
          <w14:textFill>
            <w14:solidFill>
              <w14:schemeClr w14:val="tx1"/>
            </w14:solidFill>
          </w14:textFill>
        </w:rPr>
        <w:t>COD、氨氮。</w:t>
      </w:r>
    </w:p>
    <w:p>
      <w:pPr>
        <w:pStyle w:val="327"/>
        <w:autoSpaceDE w:val="0"/>
        <w:autoSpaceDN w:val="0"/>
        <w:adjustRightInd w:val="0"/>
        <w:spacing w:line="360" w:lineRule="auto"/>
        <w:ind w:firstLine="480" w:firstLineChars="200"/>
        <w:textAlignment w:val="baseline"/>
        <w:rPr>
          <w:color w:val="000000" w:themeColor="text1"/>
          <w:szCs w:val="24"/>
          <w14:textFill>
            <w14:solidFill>
              <w14:schemeClr w14:val="tx1"/>
            </w14:solidFill>
          </w14:textFill>
        </w:rPr>
      </w:pPr>
      <w:r>
        <w:rPr>
          <w:color w:val="000000" w:themeColor="text1"/>
          <w:sz w:val="24"/>
          <w:szCs w:val="24"/>
          <w14:textFill>
            <w14:solidFill>
              <w14:schemeClr w14:val="tx1"/>
            </w14:solidFill>
          </w14:textFill>
        </w:rPr>
        <w:t>根据工程分析，本项目总量控制指标详见表8.3-7。</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表8.3-7  污染物总量建议指标单位：t/a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2544"/>
        <w:gridCol w:w="1057"/>
        <w:gridCol w:w="1057"/>
        <w:gridCol w:w="1059"/>
        <w:gridCol w:w="1057"/>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09" w:type="pct"/>
            <w:vMerge w:val="restart"/>
            <w:tcBorders>
              <w:top w:val="single" w:color="auto" w:sz="12" w:space="0"/>
            </w:tcBorders>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项目</w:t>
            </w:r>
          </w:p>
        </w:tc>
        <w:tc>
          <w:tcPr>
            <w:tcW w:w="2986" w:type="pct"/>
            <w:gridSpan w:val="4"/>
            <w:tcBorders>
              <w:top w:val="single" w:color="auto" w:sz="12" w:space="0"/>
            </w:tcBorders>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废气</w:t>
            </w:r>
          </w:p>
        </w:tc>
        <w:tc>
          <w:tcPr>
            <w:tcW w:w="1105" w:type="pct"/>
            <w:gridSpan w:val="2"/>
            <w:tcBorders>
              <w:top w:val="single" w:color="auto" w:sz="12" w:space="0"/>
            </w:tcBorders>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909" w:type="pct"/>
            <w:vMerge w:val="continue"/>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p>
        </w:tc>
        <w:tc>
          <w:tcPr>
            <w:tcW w:w="1329"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非甲烷总烃</w:t>
            </w:r>
          </w:p>
        </w:tc>
        <w:tc>
          <w:tcPr>
            <w:tcW w:w="552"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甲苯</w:t>
            </w:r>
          </w:p>
        </w:tc>
        <w:tc>
          <w:tcPr>
            <w:tcW w:w="552"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二甲苯</w:t>
            </w:r>
          </w:p>
        </w:tc>
        <w:tc>
          <w:tcPr>
            <w:tcW w:w="553"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颗粒物</w:t>
            </w:r>
          </w:p>
        </w:tc>
        <w:tc>
          <w:tcPr>
            <w:tcW w:w="552"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COD</w:t>
            </w:r>
          </w:p>
        </w:tc>
        <w:tc>
          <w:tcPr>
            <w:tcW w:w="553" w:type="pct"/>
            <w:vAlign w:val="center"/>
          </w:tcPr>
          <w:p>
            <w:pPr>
              <w:pStyle w:val="272"/>
              <w:spacing w:line="240" w:lineRule="auto"/>
              <w:ind w:firstLine="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09" w:type="pct"/>
            <w:tcBorders>
              <w:bottom w:val="single" w:color="auto" w:sz="12" w:space="0"/>
            </w:tcBorders>
            <w:vAlign w:val="center"/>
          </w:tcPr>
          <w:p>
            <w:pPr>
              <w:pStyle w:val="272"/>
              <w:spacing w:line="240" w:lineRule="auto"/>
              <w:ind w:firstLine="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总量控制指标</w:t>
            </w:r>
          </w:p>
        </w:tc>
        <w:tc>
          <w:tcPr>
            <w:tcW w:w="1329"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.331</w:t>
            </w:r>
          </w:p>
        </w:tc>
        <w:tc>
          <w:tcPr>
            <w:tcW w:w="552"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.437</w:t>
            </w:r>
          </w:p>
        </w:tc>
        <w:tc>
          <w:tcPr>
            <w:tcW w:w="552"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.160</w:t>
            </w:r>
          </w:p>
        </w:tc>
        <w:tc>
          <w:tcPr>
            <w:tcW w:w="553"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6.21</w:t>
            </w:r>
          </w:p>
        </w:tc>
        <w:tc>
          <w:tcPr>
            <w:tcW w:w="552"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.537</w:t>
            </w:r>
          </w:p>
        </w:tc>
        <w:tc>
          <w:tcPr>
            <w:tcW w:w="553" w:type="pct"/>
            <w:tcBorders>
              <w:bottom w:val="single" w:color="auto" w:sz="12" w:space="0"/>
            </w:tcBorders>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0</w:t>
            </w:r>
            <w:r>
              <w:rPr>
                <w:rFonts w:eastAsia="宋体"/>
                <w:color w:val="000000" w:themeColor="text1"/>
                <w:sz w:val="21"/>
                <w:szCs w:val="21"/>
                <w14:textFill>
                  <w14:solidFill>
                    <w14:schemeClr w14:val="tx1"/>
                  </w14:solidFill>
                </w14:textFill>
              </w:rPr>
              <w:t>.072</w:t>
            </w:r>
          </w:p>
        </w:tc>
      </w:tr>
    </w:tbl>
    <w:p>
      <w:pPr>
        <w:pStyle w:val="179"/>
        <w:rPr>
          <w:rFonts w:eastAsia="宋体"/>
          <w:color w:val="000000" w:themeColor="text1"/>
          <w14:textFill>
            <w14:solidFill>
              <w14:schemeClr w14:val="tx1"/>
            </w14:solidFill>
          </w14:textFill>
        </w:rPr>
      </w:pPr>
      <w:bookmarkStart w:id="276" w:name="_Toc155271451"/>
      <w:r>
        <w:rPr>
          <w:rFonts w:eastAsia="宋体"/>
          <w:color w:val="000000" w:themeColor="text1"/>
          <w14:textFill>
            <w14:solidFill>
              <w14:schemeClr w14:val="tx1"/>
            </w14:solidFill>
          </w14:textFill>
        </w:rPr>
        <w:t>8.4环保竣工验收</w:t>
      </w:r>
      <w:bookmarkEnd w:id="274"/>
      <w:bookmarkEnd w:id="276"/>
    </w:p>
    <w:p>
      <w:pPr>
        <w:pStyle w:val="327"/>
        <w:autoSpaceDE w:val="0"/>
        <w:autoSpaceDN w:val="0"/>
        <w:adjustRightInd w:val="0"/>
        <w:spacing w:line="360" w:lineRule="auto"/>
        <w:ind w:firstLine="480" w:firstLineChars="200"/>
        <w:textAlignment w:val="baseline"/>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按《建设项目竣工环境保护验收暂行办法》以及《建设项目环境保护管理条例》（2017年10月1日施行），本项目施工完毕后，建设单位应当按照国务院生态环境行政主管部门规定的标准和程序，对配套建设的环境保护设施进行验收，编制验收报告。应当如实查验、监测、记载建设项目环境保护设施的建设和调试情况，不得弄虚作假。除按照国家规定需要保密的情形外，建设单位应当依法向社会公开验收报告。配套建设的环境保护设施经验收合格，方可投入生产或者使用。生态环境行政主管部门应当对建设项目环境保护设施设计、施工、验收、投入生产或者使用情况，以及有关环境影响评价文件确定的其他环境保护措施的落实情况，进行监督检查。</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8.4.1竣工环保验收一览表</w:t>
      </w:r>
    </w:p>
    <w:p>
      <w:pPr>
        <w:pStyle w:val="327"/>
        <w:autoSpaceDE w:val="0"/>
        <w:autoSpaceDN w:val="0"/>
        <w:adjustRightInd w:val="0"/>
        <w:spacing w:line="360" w:lineRule="auto"/>
        <w:ind w:firstLine="480" w:firstLineChars="200"/>
        <w:textAlignment w:val="baseline"/>
        <w:rPr>
          <w:color w:val="000000" w:themeColor="text1"/>
          <w:sz w:val="24"/>
          <w:szCs w:val="24"/>
          <w14:textFill>
            <w14:solidFill>
              <w14:schemeClr w14:val="tx1"/>
            </w14:solidFill>
          </w14:textFill>
        </w:rPr>
        <w:sectPr>
          <w:pgSz w:w="11906" w:h="16838"/>
          <w:pgMar w:top="1440" w:right="1274" w:bottom="1440" w:left="1276" w:header="851" w:footer="992" w:gutter="0"/>
          <w:cols w:space="425" w:num="1"/>
          <w:docGrid w:type="lines" w:linePitch="326" w:charSpace="0"/>
        </w:sectPr>
      </w:pPr>
      <w:r>
        <w:rPr>
          <w:color w:val="000000" w:themeColor="text1"/>
          <w:sz w:val="24"/>
          <w:szCs w:val="24"/>
          <w14:textFill>
            <w14:solidFill>
              <w14:schemeClr w14:val="tx1"/>
            </w14:solidFill>
          </w14:textFill>
        </w:rPr>
        <w:t>本项目竣工环保验收要求见8.4-1所示。</w:t>
      </w:r>
    </w:p>
    <w:p>
      <w:pPr>
        <w:spacing w:line="240" w:lineRule="auto"/>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表8.4-1  竣工环境保护验收一览表</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3118"/>
        <w:gridCol w:w="1418"/>
        <w:gridCol w:w="1843"/>
        <w:gridCol w:w="5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项目</w:t>
            </w:r>
          </w:p>
        </w:tc>
        <w:tc>
          <w:tcPr>
            <w:tcW w:w="1276"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污染源</w:t>
            </w:r>
          </w:p>
        </w:tc>
        <w:tc>
          <w:tcPr>
            <w:tcW w:w="3118"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治理设施或检查内容</w:t>
            </w:r>
          </w:p>
        </w:tc>
        <w:tc>
          <w:tcPr>
            <w:tcW w:w="1418"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监测位置</w:t>
            </w:r>
          </w:p>
        </w:tc>
        <w:tc>
          <w:tcPr>
            <w:tcW w:w="1843"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监测项目</w:t>
            </w:r>
          </w:p>
        </w:tc>
        <w:tc>
          <w:tcPr>
            <w:tcW w:w="5594" w:type="dxa"/>
            <w:tcBorders>
              <w:top w:val="single" w:color="auto" w:sz="12" w:space="0"/>
            </w:tcBorders>
            <w:vAlign w:val="center"/>
          </w:tcPr>
          <w:p>
            <w:pPr>
              <w:pStyle w:val="296"/>
              <w:adjustRightInd/>
              <w:spacing w:line="240" w:lineRule="auto"/>
              <w:ind w:firstLine="0"/>
              <w:textAlignment w:val="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执行标准/治理效果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废气</w:t>
            </w: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切割下料粉尘</w:t>
            </w:r>
          </w:p>
        </w:tc>
        <w:tc>
          <w:tcPr>
            <w:tcW w:w="3118"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滤筒除尘器+</w:t>
            </w:r>
            <w:r>
              <w:rPr>
                <w:color w:val="000000" w:themeColor="text1"/>
                <w:sz w:val="21"/>
                <w14:textFill>
                  <w14:solidFill>
                    <w14:schemeClr w14:val="tx1"/>
                  </w14:solidFill>
                </w14:textFill>
              </w:rPr>
              <w:t>20</w:t>
            </w:r>
            <w:r>
              <w:rPr>
                <w:rFonts w:hint="eastAsia"/>
                <w:color w:val="000000" w:themeColor="text1"/>
                <w:sz w:val="21"/>
                <w14:textFill>
                  <w14:solidFill>
                    <w14:schemeClr w14:val="tx1"/>
                  </w14:solidFill>
                </w14:textFill>
              </w:rPr>
              <w:t>m高排气筒</w:t>
            </w:r>
          </w:p>
        </w:tc>
        <w:tc>
          <w:tcPr>
            <w:tcW w:w="1418"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color w:val="000000" w:themeColor="text1"/>
                <w:sz w:val="21"/>
                <w14:textFill>
                  <w14:solidFill>
                    <w14:schemeClr w14:val="tx1"/>
                  </w14:solidFill>
                </w14:textFill>
              </w:rPr>
              <w:t>A001</w:t>
            </w:r>
          </w:p>
        </w:tc>
        <w:tc>
          <w:tcPr>
            <w:tcW w:w="1843"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5594" w:type="dxa"/>
            <w:vMerge w:val="restart"/>
            <w:vAlign w:val="center"/>
          </w:tcPr>
          <w:p>
            <w:pPr>
              <w:pStyle w:val="296"/>
              <w:adjustRightInd/>
              <w:spacing w:line="240" w:lineRule="auto"/>
              <w:ind w:firstLine="0"/>
              <w:textAlignment w:val="auto"/>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《大气污染物综合排放标准》（DB 50/418-2016）、《恶臭污染</w:t>
            </w:r>
            <w:r>
              <w:rPr>
                <w:bCs/>
                <w:color w:val="000000" w:themeColor="text1"/>
                <w:sz w:val="21"/>
                <w14:textFill>
                  <w14:solidFill>
                    <w14:schemeClr w14:val="tx1"/>
                  </w14:solidFill>
                </w14:textFill>
              </w:rPr>
              <w:t>物排放标准》（GB 14554-93）：</w:t>
            </w:r>
          </w:p>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颗粒物：≤120mg/m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、3.5kg/h(15m)、5.9kg/h(20m)</w:t>
            </w:r>
          </w:p>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非甲烷总烃：≤120mg/m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、10k</w:t>
            </w:r>
            <w:r>
              <w:rPr>
                <w:rFonts w:hint="eastAsia" w:eastAsia="宋体"/>
                <w:color w:val="000000" w:themeColor="text1"/>
                <w:sz w:val="21"/>
                <w:szCs w:val="21"/>
                <w14:textFill>
                  <w14:solidFill>
                    <w14:schemeClr w14:val="tx1"/>
                  </w14:solidFill>
                </w14:textFill>
              </w:rPr>
              <w:t>g</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p>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甲苯：</w:t>
            </w:r>
            <w:r>
              <w:rPr>
                <w:rFonts w:eastAsia="宋体"/>
                <w:color w:val="000000" w:themeColor="text1"/>
                <w:sz w:val="21"/>
                <w:szCs w:val="21"/>
                <w14:textFill>
                  <w14:solidFill>
                    <w14:schemeClr w14:val="tx1"/>
                  </w14:solidFill>
                </w14:textFill>
              </w:rPr>
              <w:t>≤40</w:t>
            </w:r>
            <w:r>
              <w:rPr>
                <w:rFonts w:hint="eastAsia" w:eastAsia="宋体"/>
                <w:color w:val="000000" w:themeColor="text1"/>
                <w:sz w:val="21"/>
                <w:szCs w:val="21"/>
                <w14:textFill>
                  <w14:solidFill>
                    <w14:schemeClr w14:val="tx1"/>
                  </w14:solidFill>
                </w14:textFill>
              </w:rPr>
              <w:t>mg</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.1</w:t>
            </w:r>
            <w:r>
              <w:rPr>
                <w:rFonts w:hint="eastAsia" w:eastAsia="宋体"/>
                <w:color w:val="000000" w:themeColor="text1"/>
                <w:sz w:val="21"/>
                <w:szCs w:val="21"/>
                <w14:textFill>
                  <w14:solidFill>
                    <w14:schemeClr w14:val="tx1"/>
                  </w14:solidFill>
                </w14:textFill>
              </w:rPr>
              <w:t>kg</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p>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二甲苯：</w:t>
            </w:r>
            <w:r>
              <w:rPr>
                <w:rFonts w:eastAsia="宋体"/>
                <w:color w:val="000000" w:themeColor="text1"/>
                <w:sz w:val="21"/>
                <w:szCs w:val="21"/>
                <w14:textFill>
                  <w14:solidFill>
                    <w14:schemeClr w14:val="tx1"/>
                  </w14:solidFill>
                </w14:textFill>
              </w:rPr>
              <w:t>≤70</w:t>
            </w:r>
            <w:r>
              <w:rPr>
                <w:rFonts w:hint="eastAsia" w:eastAsia="宋体"/>
                <w:color w:val="000000" w:themeColor="text1"/>
                <w:sz w:val="21"/>
                <w:szCs w:val="21"/>
                <w14:textFill>
                  <w14:solidFill>
                    <w14:schemeClr w14:val="tx1"/>
                  </w14:solidFill>
                </w14:textFill>
              </w:rPr>
              <w:t>mg</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m</w:t>
            </w:r>
            <w:r>
              <w:rPr>
                <w:rFonts w:eastAsia="宋体"/>
                <w:color w:val="000000" w:themeColor="text1"/>
                <w:sz w:val="21"/>
                <w:szCs w:val="21"/>
                <w:vertAlign w:val="superscript"/>
                <w14:textFill>
                  <w14:solidFill>
                    <w14:schemeClr w14:val="tx1"/>
                  </w14:solidFill>
                </w14:textFill>
              </w:rPr>
              <w:t>3</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1.0</w:t>
            </w:r>
            <w:r>
              <w:rPr>
                <w:rFonts w:hint="eastAsia" w:eastAsia="宋体"/>
                <w:color w:val="000000" w:themeColor="text1"/>
                <w:sz w:val="21"/>
                <w:szCs w:val="21"/>
                <w14:textFill>
                  <w14:solidFill>
                    <w14:schemeClr w14:val="tx1"/>
                  </w14:solidFill>
                </w14:textFill>
              </w:rPr>
              <w:t>kg</w:t>
            </w:r>
            <w:r>
              <w:rPr>
                <w:rFonts w:eastAsia="宋体"/>
                <w:color w:val="000000" w:themeColor="text1"/>
                <w:sz w:val="21"/>
                <w:szCs w:val="21"/>
                <w14:textFill>
                  <w14:solidFill>
                    <w14:schemeClr w14:val="tx1"/>
                  </w14:solidFill>
                </w14:textFill>
              </w:rPr>
              <w:t>/</w:t>
            </w:r>
            <w:r>
              <w:rPr>
                <w:rFonts w:hint="eastAsia" w:eastAsia="宋体"/>
                <w:color w:val="000000" w:themeColor="text1"/>
                <w:sz w:val="21"/>
                <w:szCs w:val="21"/>
                <w14:textFill>
                  <w14:solidFill>
                    <w14:schemeClr w14:val="tx1"/>
                  </w14:solidFill>
                </w14:textFill>
              </w:rPr>
              <w:t>h</w:t>
            </w:r>
          </w:p>
          <w:p>
            <w:pPr>
              <w:spacing w:line="240" w:lineRule="auto"/>
              <w:jc w:val="center"/>
              <w:rPr>
                <w:rFonts w:eastAsia="宋体"/>
                <w:color w:val="000000" w:themeColor="text1"/>
                <w14:textFill>
                  <w14:solidFill>
                    <w14:schemeClr w14:val="tx1"/>
                  </w14:solidFill>
                </w14:textFill>
              </w:rPr>
            </w:pPr>
            <w:r>
              <w:rPr>
                <w:rFonts w:hint="eastAsia" w:eastAsia="宋体"/>
                <w:color w:val="000000" w:themeColor="text1"/>
                <w:sz w:val="21"/>
                <w:szCs w:val="21"/>
                <w14:textFill>
                  <w14:solidFill>
                    <w14:schemeClr w14:val="tx1"/>
                  </w14:solidFill>
                </w14:textFill>
              </w:rPr>
              <w:t>臭气浓度：</w:t>
            </w:r>
            <w:r>
              <w:rPr>
                <w:rFonts w:eastAsia="宋体"/>
                <w:color w:val="000000" w:themeColor="text1"/>
                <w:sz w:val="21"/>
                <w:szCs w:val="21"/>
                <w14:textFill>
                  <w14:solidFill>
                    <w14:schemeClr w14:val="tx1"/>
                  </w14:solidFill>
                </w14:textFill>
              </w:rPr>
              <w:t>≤2000</w:t>
            </w:r>
            <w:r>
              <w:rPr>
                <w:rFonts w:hint="eastAsia" w:eastAsia="宋体"/>
                <w:color w:val="000000" w:themeColor="text1"/>
                <w:sz w:val="21"/>
                <w:szCs w:val="21"/>
                <w14:textFill>
                  <w14:solidFill>
                    <w14:schemeClr w14:val="tx1"/>
                  </w14:solidFill>
                </w14:textFill>
              </w:rPr>
              <w:t>（1</w:t>
            </w:r>
            <w:r>
              <w:rPr>
                <w:rFonts w:eastAsia="宋体"/>
                <w:color w:val="000000" w:themeColor="text1"/>
                <w:sz w:val="21"/>
                <w:szCs w:val="21"/>
                <w14:textFill>
                  <w14:solidFill>
                    <w14:schemeClr w14:val="tx1"/>
                  </w14:solidFill>
                </w14:textFill>
              </w:rPr>
              <w:t>5</w:t>
            </w:r>
            <w:r>
              <w:rPr>
                <w:rFonts w:hint="eastAsia" w:eastAsia="宋体"/>
                <w:color w:val="000000" w:themeColor="text1"/>
                <w:sz w:val="21"/>
                <w:szCs w:val="21"/>
                <w14:textFill>
                  <w14:solidFill>
                    <w14:schemeClr w14:val="tx1"/>
                  </w14:solidFill>
                </w14:textFill>
              </w:rPr>
              <w:t>m）/</w:t>
            </w:r>
            <w:r>
              <w:rPr>
                <w:rFonts w:eastAsia="宋体"/>
                <w:color w:val="000000" w:themeColor="text1"/>
                <w:sz w:val="21"/>
                <w:szCs w:val="21"/>
                <w14:textFill>
                  <w14:solidFill>
                    <w14:schemeClr w14:val="tx1"/>
                  </w14:solidFill>
                </w14:textFill>
              </w:rPr>
              <w:t>6000</w:t>
            </w:r>
            <w:r>
              <w:rPr>
                <w:rFonts w:hint="eastAsia" w:eastAsia="宋体"/>
                <w:color w:val="000000" w:themeColor="text1"/>
                <w:sz w:val="21"/>
                <w:szCs w:val="21"/>
                <w14:textFill>
                  <w14:solidFill>
                    <w14:schemeClr w14:val="tx1"/>
                  </w14:solidFill>
                </w14:textFill>
              </w:rPr>
              <w:t>（2</w:t>
            </w: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喷砂车间喷砂粉尘</w:t>
            </w:r>
          </w:p>
        </w:tc>
        <w:tc>
          <w:tcPr>
            <w:tcW w:w="3118"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布袋除尘器+</w:t>
            </w:r>
            <w:r>
              <w:rPr>
                <w:color w:val="000000" w:themeColor="text1"/>
                <w:sz w:val="21"/>
                <w14:textFill>
                  <w14:solidFill>
                    <w14:schemeClr w14:val="tx1"/>
                  </w14:solidFill>
                </w14:textFill>
              </w:rPr>
              <w:t>15</w:t>
            </w:r>
            <w:r>
              <w:rPr>
                <w:rFonts w:hint="eastAsia"/>
                <w:color w:val="000000" w:themeColor="text1"/>
                <w:sz w:val="21"/>
                <w14:textFill>
                  <w14:solidFill>
                    <w14:schemeClr w14:val="tx1"/>
                  </w14:solidFill>
                </w14:textFill>
              </w:rPr>
              <w:t>m高排气筒</w:t>
            </w:r>
          </w:p>
        </w:tc>
        <w:tc>
          <w:tcPr>
            <w:tcW w:w="1418"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color w:val="000000" w:themeColor="text1"/>
                <w:sz w:val="21"/>
                <w14:textFill>
                  <w14:solidFill>
                    <w14:schemeClr w14:val="tx1"/>
                  </w14:solidFill>
                </w14:textFill>
              </w:rPr>
              <w:t>A002</w:t>
            </w:r>
          </w:p>
        </w:tc>
        <w:tc>
          <w:tcPr>
            <w:tcW w:w="1843"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颗粒物</w:t>
            </w:r>
          </w:p>
        </w:tc>
        <w:tc>
          <w:tcPr>
            <w:tcW w:w="5594" w:type="dxa"/>
            <w:vMerge w:val="continue"/>
            <w:vAlign w:val="center"/>
          </w:tcPr>
          <w:p>
            <w:pPr>
              <w:pStyle w:val="296"/>
              <w:adjustRightInd/>
              <w:spacing w:line="240" w:lineRule="auto"/>
              <w:ind w:firstLine="0"/>
              <w:textAlignment w:val="auto"/>
              <w:rPr>
                <w:bCs/>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涂装废气、危废暂存间废气</w:t>
            </w:r>
          </w:p>
        </w:tc>
        <w:tc>
          <w:tcPr>
            <w:tcW w:w="311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涂装废气、危废暂存间废气收集后经“气旋喷淋+干式过滤+活性炭吸附浓缩+催化燃烧”处理，通过1根1</w:t>
            </w:r>
            <w:r>
              <w:rPr>
                <w:color w:val="000000" w:themeColor="text1"/>
                <w:sz w:val="21"/>
                <w14:textFill>
                  <w14:solidFill>
                    <w14:schemeClr w14:val="tx1"/>
                  </w14:solidFill>
                </w14:textFill>
              </w:rPr>
              <w:t>5</w:t>
            </w:r>
            <w:r>
              <w:rPr>
                <w:rFonts w:hint="eastAsia"/>
                <w:color w:val="000000" w:themeColor="text1"/>
                <w:sz w:val="21"/>
                <w14:textFill>
                  <w14:solidFill>
                    <w14:schemeClr w14:val="tx1"/>
                  </w14:solidFill>
                </w14:textFill>
              </w:rPr>
              <w:t>m高排气筒排放。</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D</w:t>
            </w:r>
            <w:r>
              <w:rPr>
                <w:rFonts w:eastAsia="宋体"/>
                <w:color w:val="000000" w:themeColor="text1"/>
                <w:sz w:val="21"/>
                <w:szCs w:val="21"/>
                <w14:textFill>
                  <w14:solidFill>
                    <w14:schemeClr w14:val="tx1"/>
                  </w14:solidFill>
                </w14:textFill>
              </w:rPr>
              <w:t>A003</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颗粒物、非甲烷总烃、甲苯、二甲苯、臭气浓度</w:t>
            </w:r>
          </w:p>
        </w:tc>
        <w:tc>
          <w:tcPr>
            <w:tcW w:w="5594" w:type="dxa"/>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Merge w:val="restart"/>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食堂油烟</w:t>
            </w:r>
          </w:p>
        </w:tc>
        <w:tc>
          <w:tcPr>
            <w:tcW w:w="311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油烟净化器+</w:t>
            </w:r>
            <w:r>
              <w:rPr>
                <w:color w:val="000000" w:themeColor="text1"/>
                <w:sz w:val="21"/>
                <w14:textFill>
                  <w14:solidFill>
                    <w14:schemeClr w14:val="tx1"/>
                  </w14:solidFill>
                </w14:textFill>
              </w:rPr>
              <w:t>20</w:t>
            </w:r>
            <w:r>
              <w:rPr>
                <w:rFonts w:hint="eastAsia"/>
                <w:color w:val="000000" w:themeColor="text1"/>
                <w:sz w:val="21"/>
                <w14:textFill>
                  <w14:solidFill>
                    <w14:schemeClr w14:val="tx1"/>
                  </w14:solidFill>
                </w14:textFill>
              </w:rPr>
              <w:t>m高排气筒</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1号地块油烟排气口</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油烟、非甲烷总烃</w:t>
            </w:r>
          </w:p>
        </w:tc>
        <w:tc>
          <w:tcPr>
            <w:tcW w:w="5594" w:type="dxa"/>
            <w:vMerge w:val="restart"/>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《餐饮业大气污染物排放标准》（DB 50/859-2018）：</w:t>
            </w:r>
          </w:p>
          <w:p>
            <w:pPr>
              <w:spacing w:line="240" w:lineRule="auto"/>
              <w:jc w:val="center"/>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非甲烷总烃≤10mg/m</w:t>
            </w:r>
            <w:r>
              <w:rPr>
                <w:rFonts w:eastAsia="宋体"/>
                <w:color w:val="000000" w:themeColor="text1"/>
                <w:kern w:val="0"/>
                <w:sz w:val="21"/>
                <w:szCs w:val="21"/>
                <w:vertAlign w:val="superscript"/>
                <w14:textFill>
                  <w14:solidFill>
                    <w14:schemeClr w14:val="tx1"/>
                  </w14:solidFill>
                </w14:textFill>
              </w:rPr>
              <w:t>3</w:t>
            </w:r>
          </w:p>
          <w:p>
            <w:pPr>
              <w:spacing w:line="240" w:lineRule="auto"/>
              <w:jc w:val="center"/>
              <w:rPr>
                <w:rFonts w:eastAsia="宋体"/>
                <w:bCs/>
                <w:color w:val="000000" w:themeColor="text1"/>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油烟≤1mg/m</w:t>
            </w:r>
            <w:r>
              <w:rPr>
                <w:rFonts w:eastAsia="宋体"/>
                <w:color w:val="000000" w:themeColor="text1"/>
                <w:kern w:val="0"/>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Merge w:val="continue"/>
            <w:vAlign w:val="center"/>
          </w:tcPr>
          <w:p>
            <w:pPr>
              <w:pStyle w:val="296"/>
              <w:spacing w:line="240" w:lineRule="auto"/>
              <w:ind w:firstLine="0"/>
              <w:rPr>
                <w:color w:val="000000" w:themeColor="text1"/>
                <w:sz w:val="21"/>
                <w14:textFill>
                  <w14:solidFill>
                    <w14:schemeClr w14:val="tx1"/>
                  </w14:solidFill>
                </w14:textFill>
              </w:rPr>
            </w:pPr>
          </w:p>
        </w:tc>
        <w:tc>
          <w:tcPr>
            <w:tcW w:w="311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油烟净化器+</w:t>
            </w:r>
            <w:r>
              <w:rPr>
                <w:color w:val="000000" w:themeColor="text1"/>
                <w:sz w:val="21"/>
                <w14:textFill>
                  <w14:solidFill>
                    <w14:schemeClr w14:val="tx1"/>
                  </w14:solidFill>
                </w14:textFill>
              </w:rPr>
              <w:t>15</w:t>
            </w:r>
            <w:r>
              <w:rPr>
                <w:rFonts w:hint="eastAsia"/>
                <w:color w:val="000000" w:themeColor="text1"/>
                <w:sz w:val="21"/>
                <w14:textFill>
                  <w14:solidFill>
                    <w14:schemeClr w14:val="tx1"/>
                  </w14:solidFill>
                </w14:textFill>
              </w:rPr>
              <w:t>m高排气筒</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2号地块油烟排气口</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油烟、非甲烷总烃</w:t>
            </w:r>
          </w:p>
        </w:tc>
        <w:tc>
          <w:tcPr>
            <w:tcW w:w="5594" w:type="dxa"/>
            <w:vMerge w:val="continue"/>
            <w:vAlign w:val="center"/>
          </w:tcPr>
          <w:p>
            <w:pPr>
              <w:spacing w:line="240" w:lineRule="auto"/>
              <w:jc w:val="center"/>
              <w:rPr>
                <w:rFonts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Merge w:val="restart"/>
            <w:vAlign w:val="center"/>
          </w:tcPr>
          <w:p>
            <w:pPr>
              <w:pStyle w:val="296"/>
              <w:spacing w:line="240" w:lineRule="auto"/>
              <w:ind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无组织</w:t>
            </w:r>
          </w:p>
        </w:tc>
        <w:tc>
          <w:tcPr>
            <w:tcW w:w="3118" w:type="dxa"/>
            <w:vMerge w:val="restart"/>
            <w:vAlign w:val="center"/>
          </w:tcPr>
          <w:p>
            <w:pPr>
              <w:pStyle w:val="296"/>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1号地块厂界</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w:t>
            </w:r>
          </w:p>
        </w:tc>
        <w:tc>
          <w:tcPr>
            <w:tcW w:w="5594" w:type="dxa"/>
            <w:vMerge w:val="restart"/>
            <w:vAlign w:val="center"/>
          </w:tcPr>
          <w:p>
            <w:pPr>
              <w:pStyle w:val="296"/>
              <w:adjustRightInd/>
              <w:spacing w:line="240" w:lineRule="auto"/>
              <w:ind w:firstLine="0"/>
              <w:jc w:val="left"/>
              <w:textAlignment w:val="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《大气污染物综合排放标准》（DB 50/418-2016）、《恶臭污染物排放标准》（GB 14554-93）：</w:t>
            </w:r>
          </w:p>
          <w:p>
            <w:pPr>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颗粒物：≤1.0mg/m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、非甲烷总烃：≤4.0mg/m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w:t>
            </w:r>
          </w:p>
          <w:p>
            <w:pPr>
              <w:spacing w:line="240" w:lineRule="auto"/>
              <w:rPr>
                <w:rFonts w:eastAsia="宋体"/>
                <w:bCs/>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甲苯：≤2.4mg/m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、二甲苯：≤1.2mg/m</w:t>
            </w:r>
            <w:r>
              <w:rPr>
                <w:rFonts w:eastAsia="宋体"/>
                <w:color w:val="000000" w:themeColor="text1"/>
                <w:sz w:val="21"/>
                <w:szCs w:val="21"/>
                <w:vertAlign w:val="superscript"/>
                <w14:textFill>
                  <w14:solidFill>
                    <w14:schemeClr w14:val="tx1"/>
                  </w14:solidFill>
                </w14:textFill>
              </w:rPr>
              <w:t>3</w:t>
            </w:r>
            <w:r>
              <w:rPr>
                <w:rFonts w:eastAsia="宋体"/>
                <w:color w:val="000000" w:themeColor="text1"/>
                <w:sz w:val="21"/>
                <w:szCs w:val="21"/>
                <w14:textFill>
                  <w14:solidFill>
                    <w14:schemeClr w14:val="tx1"/>
                  </w14:solidFill>
                </w14:textFill>
              </w:rPr>
              <w:t>、臭气浓度：≤20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3118" w:type="dxa"/>
            <w:vMerge w:val="continue"/>
            <w:vAlign w:val="center"/>
          </w:tcPr>
          <w:p>
            <w:pPr>
              <w:pStyle w:val="296"/>
              <w:spacing w:line="240" w:lineRule="auto"/>
              <w:rPr>
                <w:color w:val="000000" w:themeColor="text1"/>
                <w:sz w:val="21"/>
                <w14:textFill>
                  <w14:solidFill>
                    <w14:schemeClr w14:val="tx1"/>
                  </w14:solidFill>
                </w14:textFill>
              </w:rPr>
            </w:pP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2号地块厂界</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颗粒物、甲苯、二甲苯、非甲烷总烃、臭气浓度</w:t>
            </w:r>
          </w:p>
        </w:tc>
        <w:tc>
          <w:tcPr>
            <w:tcW w:w="5594" w:type="dxa"/>
            <w:vMerge w:val="continue"/>
            <w:vAlign w:val="center"/>
          </w:tcPr>
          <w:p>
            <w:pPr>
              <w:spacing w:line="240" w:lineRule="auto"/>
              <w:jc w:val="center"/>
              <w:rPr>
                <w:rFonts w:eastAsia="宋体"/>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3118" w:type="dxa"/>
            <w:vMerge w:val="continue"/>
            <w:vAlign w:val="center"/>
          </w:tcPr>
          <w:p>
            <w:pPr>
              <w:pStyle w:val="296"/>
              <w:spacing w:line="240" w:lineRule="auto"/>
              <w:rPr>
                <w:color w:val="000000" w:themeColor="text1"/>
                <w:sz w:val="21"/>
                <w14:textFill>
                  <w14:solidFill>
                    <w14:schemeClr w14:val="tx1"/>
                  </w14:solidFill>
                </w14:textFill>
              </w:rPr>
            </w:pP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2号地块厂区内</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非甲烷总烃</w:t>
            </w:r>
          </w:p>
        </w:tc>
        <w:tc>
          <w:tcPr>
            <w:tcW w:w="55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《挥发性有机物无组织排放控制标准》（GB 37822-2019）：</w:t>
            </w:r>
          </w:p>
          <w:p>
            <w:pPr>
              <w:spacing w:line="240" w:lineRule="auto"/>
              <w:jc w:val="center"/>
              <w:rPr>
                <w:rFonts w:eastAsia="宋体"/>
                <w:bCs/>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10（监测点处1h平均浓度值）、30（监控点位任意一次浓度值）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废水</w:t>
            </w: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1号地块生产废水、生活污水</w:t>
            </w:r>
          </w:p>
        </w:tc>
        <w:tc>
          <w:tcPr>
            <w:tcW w:w="311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食堂废水经1#隔油沉淀设施预处理后排入1#生化池，员工洗手废水、车间地面清洁废水和空压机冷凝水经2#隔油沉淀设施预处理后排入1#生化池，然后和生活污水统一经1#生化池处理后排入园区污水管网。</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1号地块生化池排放口</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C</w:t>
            </w:r>
            <w:r>
              <w:rPr>
                <w:rFonts w:eastAsia="宋体"/>
                <w:color w:val="000000" w:themeColor="text1"/>
                <w:sz w:val="21"/>
                <w:szCs w:val="21"/>
                <w14:textFill>
                  <w14:solidFill>
                    <w14:schemeClr w14:val="tx1"/>
                  </w14:solidFill>
                </w14:textFill>
              </w:rPr>
              <w:t>OD</w:t>
            </w:r>
            <w:r>
              <w:rPr>
                <w:rFonts w:hint="eastAsia" w:eastAsia="宋体"/>
                <w:color w:val="000000" w:themeColor="text1"/>
                <w:sz w:val="21"/>
                <w:szCs w:val="21"/>
                <w14:textFill>
                  <w14:solidFill>
                    <w14:schemeClr w14:val="tx1"/>
                  </w14:solidFill>
                </w14:textFill>
              </w:rPr>
              <w:t>、B</w:t>
            </w:r>
            <w:r>
              <w:rPr>
                <w:rFonts w:eastAsia="宋体"/>
                <w:color w:val="000000" w:themeColor="text1"/>
                <w:sz w:val="21"/>
                <w:szCs w:val="21"/>
                <w14:textFill>
                  <w14:solidFill>
                    <w14:schemeClr w14:val="tx1"/>
                  </w14:solidFill>
                </w14:textFill>
              </w:rPr>
              <w:t>OD</w:t>
            </w:r>
            <w:r>
              <w:rPr>
                <w:rFonts w:eastAsia="宋体"/>
                <w:color w:val="000000" w:themeColor="text1"/>
                <w:sz w:val="21"/>
                <w:szCs w:val="21"/>
                <w:vertAlign w:val="subscript"/>
                <w14:textFill>
                  <w14:solidFill>
                    <w14:schemeClr w14:val="tx1"/>
                  </w14:solidFill>
                </w14:textFill>
              </w:rPr>
              <w:t>5</w:t>
            </w: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r>
              <w:rPr>
                <w:rFonts w:hint="eastAsia" w:eastAsia="宋体"/>
                <w:color w:val="000000" w:themeColor="text1"/>
                <w:sz w:val="21"/>
                <w:szCs w:val="21"/>
                <w14:textFill>
                  <w14:solidFill>
                    <w14:schemeClr w14:val="tx1"/>
                  </w14:solidFill>
                </w14:textFill>
              </w:rPr>
              <w:t>、S</w:t>
            </w: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14:textFill>
                  <w14:solidFill>
                    <w14:schemeClr w14:val="tx1"/>
                  </w14:solidFill>
                </w14:textFill>
              </w:rPr>
              <w:t>、石油类、动植物油、T</w:t>
            </w:r>
            <w:r>
              <w:rPr>
                <w:rFonts w:eastAsia="宋体"/>
                <w:color w:val="000000" w:themeColor="text1"/>
                <w:sz w:val="21"/>
                <w:szCs w:val="21"/>
                <w14:textFill>
                  <w14:solidFill>
                    <w14:schemeClr w14:val="tx1"/>
                  </w14:solidFill>
                </w14:textFill>
              </w:rPr>
              <w:t>P</w:t>
            </w:r>
          </w:p>
        </w:tc>
        <w:tc>
          <w:tcPr>
            <w:tcW w:w="55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《污水综合排放标准》（GB8978-1996）三级标准（其中NH</w:t>
            </w:r>
            <w:r>
              <w:rPr>
                <w:rFonts w:hint="eastAsia" w:eastAsia="宋体"/>
                <w:color w:val="000000" w:themeColor="text1"/>
                <w:sz w:val="21"/>
                <w:szCs w:val="21"/>
                <w:vertAlign w:val="subscript"/>
                <w14:textFill>
                  <w14:solidFill>
                    <w14:schemeClr w14:val="tx1"/>
                  </w14:solidFill>
                </w14:textFill>
              </w:rPr>
              <w:t>3</w:t>
            </w:r>
            <w:r>
              <w:rPr>
                <w:rFonts w:hint="eastAsia" w:eastAsia="宋体"/>
                <w:color w:val="000000" w:themeColor="text1"/>
                <w:sz w:val="21"/>
                <w:szCs w:val="21"/>
                <w14:textFill>
                  <w14:solidFill>
                    <w14:schemeClr w14:val="tx1"/>
                  </w14:solidFill>
                </w14:textFill>
              </w:rPr>
              <w:t>-N、TP参照《污水排入城镇下水道水质标准》（GB/T 31962-2015）B及标准）：</w:t>
            </w:r>
          </w:p>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COD≤500mg/L、B</w:t>
            </w:r>
            <w:r>
              <w:rPr>
                <w:rFonts w:eastAsia="宋体"/>
                <w:color w:val="000000" w:themeColor="text1"/>
                <w:sz w:val="21"/>
                <w:szCs w:val="21"/>
                <w14:textFill>
                  <w14:solidFill>
                    <w14:schemeClr w14:val="tx1"/>
                  </w14:solidFill>
                </w14:textFill>
              </w:rPr>
              <w:t>OD</w:t>
            </w:r>
            <w:r>
              <w:rPr>
                <w:rFonts w:eastAsia="宋体"/>
                <w:color w:val="000000" w:themeColor="text1"/>
                <w:sz w:val="21"/>
                <w:szCs w:val="21"/>
                <w:vertAlign w:val="subscript"/>
                <w14:textFill>
                  <w14:solidFill>
                    <w14:schemeClr w14:val="tx1"/>
                  </w14:solidFill>
                </w14:textFill>
              </w:rPr>
              <w:t>5</w:t>
            </w: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0mg/L、N</w:t>
            </w:r>
            <w:r>
              <w:rPr>
                <w:rFonts w:eastAsia="宋体"/>
                <w:color w:val="000000" w:themeColor="text1"/>
                <w:sz w:val="21"/>
                <w:szCs w:val="21"/>
                <w14:textFill>
                  <w14:solidFill>
                    <w14:schemeClr w14:val="tx1"/>
                  </w14:solidFill>
                </w14:textFill>
              </w:rPr>
              <w:t>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5</w:t>
            </w:r>
            <w:r>
              <w:rPr>
                <w:rFonts w:hint="eastAsia" w:eastAsia="宋体"/>
                <w:color w:val="000000" w:themeColor="text1"/>
                <w:sz w:val="21"/>
                <w:szCs w:val="21"/>
                <w14:textFill>
                  <w14:solidFill>
                    <w14:schemeClr w14:val="tx1"/>
                  </w14:solidFill>
                </w14:textFill>
              </w:rPr>
              <w:t>mg/L 、SS≤400mg/L、石油类≤10mg/L、动植物油≤</w:t>
            </w:r>
            <w:r>
              <w:rPr>
                <w:rFonts w:eastAsia="宋体"/>
                <w:color w:val="000000" w:themeColor="text1"/>
                <w:sz w:val="21"/>
                <w:szCs w:val="21"/>
                <w14:textFill>
                  <w14:solidFill>
                    <w14:schemeClr w14:val="tx1"/>
                  </w14:solidFill>
                </w14:textFill>
              </w:rPr>
              <w:t>1</w:t>
            </w:r>
            <w:r>
              <w:rPr>
                <w:rFonts w:hint="eastAsia" w:eastAsia="宋体"/>
                <w:color w:val="000000" w:themeColor="text1"/>
                <w:sz w:val="21"/>
                <w:szCs w:val="21"/>
                <w14:textFill>
                  <w14:solidFill>
                    <w14:schemeClr w14:val="tx1"/>
                  </w14:solidFill>
                </w14:textFill>
              </w:rPr>
              <w:t>00mg/L、T</w:t>
            </w:r>
            <w:r>
              <w:rPr>
                <w:rFonts w:eastAsia="宋体"/>
                <w:color w:val="000000" w:themeColor="text1"/>
                <w:sz w:val="21"/>
                <w:szCs w:val="21"/>
                <w14:textFill>
                  <w14:solidFill>
                    <w14:schemeClr w14:val="tx1"/>
                  </w14:solidFill>
                </w14:textFill>
              </w:rPr>
              <w:t>P</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8</w:t>
            </w:r>
            <w:r>
              <w:rPr>
                <w:rFonts w:hint="eastAsia" w:eastAsia="宋体"/>
                <w:color w:val="000000" w:themeColor="text1"/>
                <w:sz w:val="21"/>
                <w:szCs w:val="21"/>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2号地块生产废水、生活污水</w:t>
            </w:r>
          </w:p>
        </w:tc>
        <w:tc>
          <w:tcPr>
            <w:tcW w:w="3118" w:type="dxa"/>
            <w:vAlign w:val="center"/>
          </w:tcPr>
          <w:p>
            <w:pPr>
              <w:pStyle w:val="296"/>
              <w:spacing w:line="240" w:lineRule="auto"/>
              <w:ind w:firstLine="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食堂废水经3#隔油沉淀设施预处理后排入2#生化池，员工洗手废水、车间地面清洁废水、空压机冷凝水、喷枪清洗废水和气旋喷淋废水经生产废水处理设施（采用隔油+混凝沉淀+气浮，规模5m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d）预处理后排入2#生化池，然后和生活污水统一经2#生化池处理后排入园区污水管网。</w:t>
            </w:r>
          </w:p>
        </w:tc>
        <w:tc>
          <w:tcPr>
            <w:tcW w:w="1418"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2号地块生化池排放口</w:t>
            </w:r>
          </w:p>
        </w:tc>
        <w:tc>
          <w:tcPr>
            <w:tcW w:w="1843"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C</w:t>
            </w:r>
            <w:r>
              <w:rPr>
                <w:rFonts w:eastAsia="宋体"/>
                <w:color w:val="000000" w:themeColor="text1"/>
                <w:sz w:val="21"/>
                <w:szCs w:val="21"/>
                <w14:textFill>
                  <w14:solidFill>
                    <w14:schemeClr w14:val="tx1"/>
                  </w14:solidFill>
                </w14:textFill>
              </w:rPr>
              <w:t>OD</w:t>
            </w:r>
            <w:r>
              <w:rPr>
                <w:rFonts w:hint="eastAsia" w:eastAsia="宋体"/>
                <w:color w:val="000000" w:themeColor="text1"/>
                <w:sz w:val="21"/>
                <w:szCs w:val="21"/>
                <w14:textFill>
                  <w14:solidFill>
                    <w14:schemeClr w14:val="tx1"/>
                  </w14:solidFill>
                </w14:textFill>
              </w:rPr>
              <w:t>、B</w:t>
            </w:r>
            <w:r>
              <w:rPr>
                <w:rFonts w:eastAsia="宋体"/>
                <w:color w:val="000000" w:themeColor="text1"/>
                <w:sz w:val="21"/>
                <w:szCs w:val="21"/>
                <w14:textFill>
                  <w14:solidFill>
                    <w14:schemeClr w14:val="tx1"/>
                  </w14:solidFill>
                </w14:textFill>
              </w:rPr>
              <w:t>OD</w:t>
            </w:r>
            <w:r>
              <w:rPr>
                <w:rFonts w:eastAsia="宋体"/>
                <w:color w:val="000000" w:themeColor="text1"/>
                <w:sz w:val="21"/>
                <w:szCs w:val="21"/>
                <w:vertAlign w:val="subscript"/>
                <w14:textFill>
                  <w14:solidFill>
                    <w14:schemeClr w14:val="tx1"/>
                  </w14:solidFill>
                </w14:textFill>
              </w:rPr>
              <w:t>5</w:t>
            </w:r>
            <w:r>
              <w:rPr>
                <w:rFonts w:hint="eastAsia" w:eastAsia="宋体"/>
                <w:color w:val="000000" w:themeColor="text1"/>
                <w:sz w:val="21"/>
                <w:szCs w:val="21"/>
                <w14:textFill>
                  <w14:solidFill>
                    <w14:schemeClr w14:val="tx1"/>
                  </w14:solidFill>
                </w14:textFill>
              </w:rPr>
              <w:t>、N</w:t>
            </w:r>
            <w:r>
              <w:rPr>
                <w:rFonts w:eastAsia="宋体"/>
                <w:color w:val="000000" w:themeColor="text1"/>
                <w:sz w:val="21"/>
                <w:szCs w:val="21"/>
                <w14:textFill>
                  <w14:solidFill>
                    <w14:schemeClr w14:val="tx1"/>
                  </w14:solidFill>
                </w14:textFill>
              </w:rPr>
              <w:t>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r>
              <w:rPr>
                <w:rFonts w:hint="eastAsia" w:eastAsia="宋体"/>
                <w:color w:val="000000" w:themeColor="text1"/>
                <w:sz w:val="21"/>
                <w:szCs w:val="21"/>
                <w14:textFill>
                  <w14:solidFill>
                    <w14:schemeClr w14:val="tx1"/>
                  </w14:solidFill>
                </w14:textFill>
              </w:rPr>
              <w:t>、S</w:t>
            </w:r>
            <w:r>
              <w:rPr>
                <w:rFonts w:eastAsia="宋体"/>
                <w:color w:val="000000" w:themeColor="text1"/>
                <w:sz w:val="21"/>
                <w:szCs w:val="21"/>
                <w14:textFill>
                  <w14:solidFill>
                    <w14:schemeClr w14:val="tx1"/>
                  </w14:solidFill>
                </w14:textFill>
              </w:rPr>
              <w:t>S</w:t>
            </w:r>
            <w:r>
              <w:rPr>
                <w:rFonts w:hint="eastAsia" w:eastAsia="宋体"/>
                <w:color w:val="000000" w:themeColor="text1"/>
                <w:sz w:val="21"/>
                <w:szCs w:val="21"/>
                <w14:textFill>
                  <w14:solidFill>
                    <w14:schemeClr w14:val="tx1"/>
                  </w14:solidFill>
                </w14:textFill>
              </w:rPr>
              <w:t>、石油类、动植物油、T</w:t>
            </w:r>
            <w:r>
              <w:rPr>
                <w:rFonts w:eastAsia="宋体"/>
                <w:color w:val="000000" w:themeColor="text1"/>
                <w:sz w:val="21"/>
                <w:szCs w:val="21"/>
                <w14:textFill>
                  <w14:solidFill>
                    <w14:schemeClr w14:val="tx1"/>
                  </w14:solidFill>
                </w14:textFill>
              </w:rPr>
              <w:t>P</w:t>
            </w:r>
          </w:p>
        </w:tc>
        <w:tc>
          <w:tcPr>
            <w:tcW w:w="5594" w:type="dxa"/>
            <w:vAlign w:val="center"/>
          </w:tcPr>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《污水综合排放标准》（GB8978-1996）三级标准（其中NH</w:t>
            </w:r>
            <w:r>
              <w:rPr>
                <w:rFonts w:hint="eastAsia" w:eastAsia="宋体"/>
                <w:color w:val="000000" w:themeColor="text1"/>
                <w:sz w:val="21"/>
                <w:szCs w:val="21"/>
                <w:vertAlign w:val="subscript"/>
                <w14:textFill>
                  <w14:solidFill>
                    <w14:schemeClr w14:val="tx1"/>
                  </w14:solidFill>
                </w14:textFill>
              </w:rPr>
              <w:t>3</w:t>
            </w:r>
            <w:r>
              <w:rPr>
                <w:rFonts w:hint="eastAsia" w:eastAsia="宋体"/>
                <w:color w:val="000000" w:themeColor="text1"/>
                <w:sz w:val="21"/>
                <w:szCs w:val="21"/>
                <w14:textFill>
                  <w14:solidFill>
                    <w14:schemeClr w14:val="tx1"/>
                  </w14:solidFill>
                </w14:textFill>
              </w:rPr>
              <w:t>-N、TP参照《污水排入城镇下水道水质标准》（GB/T 31962-2015）B及标准）：</w:t>
            </w:r>
          </w:p>
          <w:p>
            <w:pPr>
              <w:spacing w:line="240" w:lineRule="auto"/>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COD≤500mg/L、B</w:t>
            </w:r>
            <w:r>
              <w:rPr>
                <w:rFonts w:eastAsia="宋体"/>
                <w:color w:val="000000" w:themeColor="text1"/>
                <w:sz w:val="21"/>
                <w:szCs w:val="21"/>
                <w14:textFill>
                  <w14:solidFill>
                    <w14:schemeClr w14:val="tx1"/>
                  </w14:solidFill>
                </w14:textFill>
              </w:rPr>
              <w:t>OD</w:t>
            </w:r>
            <w:r>
              <w:rPr>
                <w:rFonts w:eastAsia="宋体"/>
                <w:color w:val="000000" w:themeColor="text1"/>
                <w:sz w:val="21"/>
                <w:szCs w:val="21"/>
                <w:vertAlign w:val="subscript"/>
                <w14:textFill>
                  <w14:solidFill>
                    <w14:schemeClr w14:val="tx1"/>
                  </w14:solidFill>
                </w14:textFill>
              </w:rPr>
              <w:t>5</w:t>
            </w:r>
            <w:r>
              <w:rPr>
                <w:rFonts w:hint="eastAsia" w:eastAsia="宋体"/>
                <w:color w:val="000000" w:themeColor="text1"/>
                <w:sz w:val="21"/>
                <w:szCs w:val="21"/>
                <w14:textFill>
                  <w14:solidFill>
                    <w14:schemeClr w14:val="tx1"/>
                  </w14:solidFill>
                </w14:textFill>
              </w:rPr>
              <w:t>≤3</w:t>
            </w:r>
            <w:r>
              <w:rPr>
                <w:rFonts w:eastAsia="宋体"/>
                <w:color w:val="000000" w:themeColor="text1"/>
                <w:sz w:val="21"/>
                <w:szCs w:val="21"/>
                <w14:textFill>
                  <w14:solidFill>
                    <w14:schemeClr w14:val="tx1"/>
                  </w14:solidFill>
                </w14:textFill>
              </w:rPr>
              <w:t>0</w:t>
            </w:r>
            <w:r>
              <w:rPr>
                <w:rFonts w:hint="eastAsia" w:eastAsia="宋体"/>
                <w:color w:val="000000" w:themeColor="text1"/>
                <w:sz w:val="21"/>
                <w:szCs w:val="21"/>
                <w14:textFill>
                  <w14:solidFill>
                    <w14:schemeClr w14:val="tx1"/>
                  </w14:solidFill>
                </w14:textFill>
              </w:rPr>
              <w:t>0mg/L、N</w:t>
            </w:r>
            <w:r>
              <w:rPr>
                <w:rFonts w:eastAsia="宋体"/>
                <w:color w:val="000000" w:themeColor="text1"/>
                <w:sz w:val="21"/>
                <w:szCs w:val="21"/>
                <w14:textFill>
                  <w14:solidFill>
                    <w14:schemeClr w14:val="tx1"/>
                  </w14:solidFill>
                </w14:textFill>
              </w:rPr>
              <w:t>H</w:t>
            </w:r>
            <w:r>
              <w:rPr>
                <w:rFonts w:eastAsia="宋体"/>
                <w:color w:val="000000" w:themeColor="text1"/>
                <w:sz w:val="21"/>
                <w:szCs w:val="21"/>
                <w:vertAlign w:val="subscript"/>
                <w14:textFill>
                  <w14:solidFill>
                    <w14:schemeClr w14:val="tx1"/>
                  </w14:solidFill>
                </w14:textFill>
              </w:rPr>
              <w:t>3</w:t>
            </w:r>
            <w:r>
              <w:rPr>
                <w:rFonts w:eastAsia="宋体"/>
                <w:color w:val="000000" w:themeColor="text1"/>
                <w:sz w:val="21"/>
                <w:szCs w:val="21"/>
                <w14:textFill>
                  <w14:solidFill>
                    <w14:schemeClr w14:val="tx1"/>
                  </w14:solidFill>
                </w14:textFill>
              </w:rPr>
              <w:t>-N</w:t>
            </w:r>
            <w:r>
              <w:rPr>
                <w:rFonts w:hint="eastAsia" w:eastAsia="宋体"/>
                <w:color w:val="000000" w:themeColor="text1"/>
                <w:sz w:val="21"/>
                <w:szCs w:val="21"/>
                <w14:textFill>
                  <w14:solidFill>
                    <w14:schemeClr w14:val="tx1"/>
                  </w14:solidFill>
                </w14:textFill>
              </w:rPr>
              <w:t>≤4</w:t>
            </w:r>
            <w:r>
              <w:rPr>
                <w:rFonts w:eastAsia="宋体"/>
                <w:color w:val="000000" w:themeColor="text1"/>
                <w:sz w:val="21"/>
                <w:szCs w:val="21"/>
                <w14:textFill>
                  <w14:solidFill>
                    <w14:schemeClr w14:val="tx1"/>
                  </w14:solidFill>
                </w14:textFill>
              </w:rPr>
              <w:t>5</w:t>
            </w:r>
            <w:r>
              <w:rPr>
                <w:rFonts w:hint="eastAsia" w:eastAsia="宋体"/>
                <w:color w:val="000000" w:themeColor="text1"/>
                <w:sz w:val="21"/>
                <w:szCs w:val="21"/>
                <w14:textFill>
                  <w14:solidFill>
                    <w14:schemeClr w14:val="tx1"/>
                  </w14:solidFill>
                </w14:textFill>
              </w:rPr>
              <w:t>mg/L 、SS≤400mg/L、石油类≤10mg/L、动植物油≤</w:t>
            </w:r>
            <w:r>
              <w:rPr>
                <w:rFonts w:eastAsia="宋体"/>
                <w:color w:val="000000" w:themeColor="text1"/>
                <w:sz w:val="21"/>
                <w:szCs w:val="21"/>
                <w14:textFill>
                  <w14:solidFill>
                    <w14:schemeClr w14:val="tx1"/>
                  </w14:solidFill>
                </w14:textFill>
              </w:rPr>
              <w:t>1</w:t>
            </w:r>
            <w:r>
              <w:rPr>
                <w:rFonts w:hint="eastAsia" w:eastAsia="宋体"/>
                <w:color w:val="000000" w:themeColor="text1"/>
                <w:sz w:val="21"/>
                <w:szCs w:val="21"/>
                <w14:textFill>
                  <w14:solidFill>
                    <w14:schemeClr w14:val="tx1"/>
                  </w14:solidFill>
                </w14:textFill>
              </w:rPr>
              <w:t>00mg/L、T</w:t>
            </w:r>
            <w:r>
              <w:rPr>
                <w:rFonts w:eastAsia="宋体"/>
                <w:color w:val="000000" w:themeColor="text1"/>
                <w:sz w:val="21"/>
                <w:szCs w:val="21"/>
                <w14:textFill>
                  <w14:solidFill>
                    <w14:schemeClr w14:val="tx1"/>
                  </w14:solidFill>
                </w14:textFill>
              </w:rPr>
              <w:t>P</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8</w:t>
            </w:r>
            <w:r>
              <w:rPr>
                <w:rFonts w:hint="eastAsia" w:eastAsia="宋体"/>
                <w:color w:val="000000" w:themeColor="text1"/>
                <w:sz w:val="21"/>
                <w:szCs w:val="21"/>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噪声</w:t>
            </w: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各类产噪设备</w:t>
            </w:r>
          </w:p>
        </w:tc>
        <w:tc>
          <w:tcPr>
            <w:tcW w:w="6379" w:type="dxa"/>
            <w:gridSpan w:val="3"/>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选用低噪声设备、厂房隔声等</w:t>
            </w:r>
            <w:r>
              <w:rPr>
                <w:color w:val="000000" w:themeColor="text1"/>
                <w:sz w:val="21"/>
                <w14:textFill>
                  <w14:solidFill>
                    <w14:schemeClr w14:val="tx1"/>
                  </w14:solidFill>
                </w14:textFill>
              </w:rPr>
              <w:t>措施。</w:t>
            </w:r>
          </w:p>
        </w:tc>
        <w:tc>
          <w:tcPr>
            <w:tcW w:w="5594" w:type="dxa"/>
            <w:vAlign w:val="center"/>
          </w:tcPr>
          <w:p>
            <w:pPr>
              <w:pStyle w:val="296"/>
              <w:adjustRightInd/>
              <w:spacing w:line="240" w:lineRule="auto"/>
              <w:ind w:firstLine="0"/>
              <w:textAlignment w:val="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《工业企业厂界环境噪声排放标准》（GB12348－2008）</w:t>
            </w:r>
          </w:p>
          <w:p>
            <w:pPr>
              <w:pStyle w:val="296"/>
              <w:adjustRightInd/>
              <w:spacing w:line="240" w:lineRule="auto"/>
              <w:ind w:firstLine="0"/>
              <w:textAlignment w:val="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3类</w:t>
            </w:r>
            <w:r>
              <w:rPr>
                <w:rFonts w:hint="eastAsia"/>
                <w:bCs/>
                <w:color w:val="000000" w:themeColor="text1"/>
                <w:sz w:val="21"/>
                <w14:textFill>
                  <w14:solidFill>
                    <w14:schemeClr w14:val="tx1"/>
                  </w14:solidFill>
                </w14:textFill>
              </w:rPr>
              <w:t>（1号地块西侧、东侧、南侧，2号地块东侧、北侧、南侧）：昼间6</w:t>
            </w:r>
            <w:r>
              <w:rPr>
                <w:bCs/>
                <w:color w:val="000000" w:themeColor="text1"/>
                <w:sz w:val="21"/>
                <w14:textFill>
                  <w14:solidFill>
                    <w14:schemeClr w14:val="tx1"/>
                  </w14:solidFill>
                </w14:textFill>
              </w:rPr>
              <w:t>5</w:t>
            </w:r>
            <w:r>
              <w:rPr>
                <w:rFonts w:hint="eastAsia"/>
                <w:bCs/>
                <w:color w:val="000000" w:themeColor="text1"/>
                <w:sz w:val="21"/>
                <w14:textFill>
                  <w14:solidFill>
                    <w14:schemeClr w14:val="tx1"/>
                  </w14:solidFill>
                </w14:textFill>
              </w:rPr>
              <w:t>d（B）A、夜间5</w:t>
            </w:r>
            <w:r>
              <w:rPr>
                <w:bCs/>
                <w:color w:val="000000" w:themeColor="text1"/>
                <w:sz w:val="21"/>
                <w14:textFill>
                  <w14:solidFill>
                    <w14:schemeClr w14:val="tx1"/>
                  </w14:solidFill>
                </w14:textFill>
              </w:rPr>
              <w:t>5</w:t>
            </w:r>
            <w:r>
              <w:rPr>
                <w:rFonts w:hint="eastAsia"/>
                <w:bCs/>
                <w:color w:val="000000" w:themeColor="text1"/>
                <w:sz w:val="21"/>
                <w14:textFill>
                  <w14:solidFill>
                    <w14:schemeClr w14:val="tx1"/>
                  </w14:solidFill>
                </w14:textFill>
              </w:rPr>
              <w:t xml:space="preserve"> d（B）A</w:t>
            </w:r>
          </w:p>
          <w:p>
            <w:pPr>
              <w:pStyle w:val="296"/>
              <w:adjustRightInd/>
              <w:spacing w:line="240" w:lineRule="auto"/>
              <w:ind w:firstLine="0"/>
              <w:textAlignment w:val="auto"/>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4类（1号地块北侧、2号地块西侧）：昼间</w:t>
            </w:r>
            <w:r>
              <w:rPr>
                <w:bCs/>
                <w:color w:val="000000" w:themeColor="text1"/>
                <w:sz w:val="21"/>
                <w14:textFill>
                  <w14:solidFill>
                    <w14:schemeClr w14:val="tx1"/>
                  </w14:solidFill>
                </w14:textFill>
              </w:rPr>
              <w:t>70</w:t>
            </w:r>
            <w:r>
              <w:rPr>
                <w:rFonts w:hint="eastAsia"/>
                <w:bCs/>
                <w:color w:val="000000" w:themeColor="text1"/>
                <w:sz w:val="21"/>
                <w14:textFill>
                  <w14:solidFill>
                    <w14:schemeClr w14:val="tx1"/>
                  </w14:solidFill>
                </w14:textFill>
              </w:rPr>
              <w:t>d（B）A、夜间5</w:t>
            </w:r>
            <w:r>
              <w:rPr>
                <w:bCs/>
                <w:color w:val="000000" w:themeColor="text1"/>
                <w:sz w:val="21"/>
                <w14:textFill>
                  <w14:solidFill>
                    <w14:schemeClr w14:val="tx1"/>
                  </w14:solidFill>
                </w14:textFill>
              </w:rPr>
              <w:t>5</w:t>
            </w:r>
            <w:r>
              <w:rPr>
                <w:rFonts w:hint="eastAsia"/>
                <w:bCs/>
                <w:color w:val="000000" w:themeColor="text1"/>
                <w:sz w:val="21"/>
                <w14:textFill>
                  <w14:solidFill>
                    <w14:schemeClr w14:val="tx1"/>
                  </w14:solidFill>
                </w14:textFill>
              </w:rPr>
              <w:t xml:space="preserve">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restart"/>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固体废物</w:t>
            </w: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一般工业固废</w:t>
            </w:r>
          </w:p>
        </w:tc>
        <w:tc>
          <w:tcPr>
            <w:tcW w:w="6379" w:type="dxa"/>
            <w:gridSpan w:val="3"/>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在1号地块和2号地块分别设置一般固废暂存间（1#一般固废暂存间和2#一般固废暂存间），分别暂存边角料、焊渣、收尘灰、废包装材料、废钢砂、废水性漆包装桶等。生化池污泥委第三方有资质公司定期清掏，交环卫部门处理；其他一般工业固废分类收集暂存，定期外售物资回收部门综合利用。</w:t>
            </w:r>
          </w:p>
        </w:tc>
        <w:tc>
          <w:tcPr>
            <w:tcW w:w="5594"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满足相应防渗漏、防雨淋、防扬尘等环境保护要求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危险废物</w:t>
            </w:r>
          </w:p>
        </w:tc>
        <w:tc>
          <w:tcPr>
            <w:tcW w:w="6379" w:type="dxa"/>
            <w:gridSpan w:val="3"/>
            <w:vAlign w:val="center"/>
          </w:tcPr>
          <w:p>
            <w:pPr>
              <w:pStyle w:val="296"/>
              <w:adjustRightInd/>
              <w:spacing w:line="240" w:lineRule="auto"/>
              <w:ind w:firstLine="0"/>
              <w:jc w:val="left"/>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设置2间危废暂存间，分别为：1#危废暂存间位于1号地块的办公楼1层，面积约10m</w:t>
            </w:r>
            <w:r>
              <w:rPr>
                <w:color w:val="000000" w:themeColor="text1"/>
                <w:sz w:val="21"/>
                <w:vertAlign w:val="superscript"/>
                <w14:textFill>
                  <w14:solidFill>
                    <w14:schemeClr w14:val="tx1"/>
                  </w14:solidFill>
                </w14:textFill>
              </w:rPr>
              <w:t>2</w:t>
            </w:r>
            <w:r>
              <w:rPr>
                <w:color w:val="000000" w:themeColor="text1"/>
                <w:sz w:val="21"/>
                <w14:textFill>
                  <w14:solidFill>
                    <w14:schemeClr w14:val="tx1"/>
                  </w14:solidFill>
                </w14:textFill>
              </w:rPr>
              <w:t>；2#危废暂存间位于2号地块的办公楼1层，面积约10m</w:t>
            </w:r>
            <w:r>
              <w:rPr>
                <w:color w:val="000000" w:themeColor="text1"/>
                <w:sz w:val="21"/>
                <w:vertAlign w:val="superscript"/>
                <w14:textFill>
                  <w14:solidFill>
                    <w14:schemeClr w14:val="tx1"/>
                  </w14:solidFill>
                </w14:textFill>
              </w:rPr>
              <w:t>2</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对危险废物进行分区暂存，委托有资质单位处理。</w:t>
            </w:r>
          </w:p>
        </w:tc>
        <w:tc>
          <w:tcPr>
            <w:tcW w:w="5594"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按照《危险废物贮存污染控制标准》</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GB18579-2023）等相关要求，做好“防风、防雨、防晒、防渗、防腐、防漏”六防措施，设置防漏托盘，并设置收集沟和收集井。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9" w:type="dxa"/>
            <w:vMerge w:val="continue"/>
            <w:vAlign w:val="center"/>
          </w:tcPr>
          <w:p>
            <w:pPr>
              <w:pStyle w:val="296"/>
              <w:adjustRightInd/>
              <w:spacing w:line="240" w:lineRule="auto"/>
              <w:ind w:firstLine="0"/>
              <w:textAlignment w:val="auto"/>
              <w:rPr>
                <w:color w:val="000000" w:themeColor="text1"/>
                <w:sz w:val="21"/>
                <w14:textFill>
                  <w14:solidFill>
                    <w14:schemeClr w14:val="tx1"/>
                  </w14:solidFill>
                </w14:textFill>
              </w:rPr>
            </w:pPr>
          </w:p>
        </w:tc>
        <w:tc>
          <w:tcPr>
            <w:tcW w:w="1276"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r>
              <w:rPr>
                <w:rFonts w:hint="eastAsia"/>
                <w:color w:val="000000" w:themeColor="text1"/>
                <w:sz w:val="21"/>
                <w14:textFill>
                  <w14:solidFill>
                    <w14:schemeClr w14:val="tx1"/>
                  </w14:solidFill>
                </w14:textFill>
              </w:rPr>
              <w:t>、餐厨垃圾</w:t>
            </w:r>
          </w:p>
        </w:tc>
        <w:tc>
          <w:tcPr>
            <w:tcW w:w="6379" w:type="dxa"/>
            <w:gridSpan w:val="3"/>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生活垃圾分类袋装收集后存放于垃圾桶，定期交环卫部门统一处理。餐厨垃圾和废油脂定期交由资质单位处理。</w:t>
            </w:r>
          </w:p>
        </w:tc>
        <w:tc>
          <w:tcPr>
            <w:tcW w:w="5594" w:type="dxa"/>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满足相关要求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gridSpan w:val="2"/>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地下水</w:t>
            </w:r>
          </w:p>
        </w:tc>
        <w:tc>
          <w:tcPr>
            <w:tcW w:w="11973" w:type="dxa"/>
            <w:gridSpan w:val="4"/>
            <w:vAlign w:val="center"/>
          </w:tcPr>
          <w:p>
            <w:pPr>
              <w:pStyle w:val="296"/>
              <w:adjustRightInd/>
              <w:spacing w:line="240" w:lineRule="auto"/>
              <w:ind w:firstLine="0"/>
              <w:jc w:val="left"/>
              <w:textAlignment w:val="auto"/>
              <w:rPr>
                <w:color w:val="000000" w:themeColor="text1"/>
                <w:sz w:val="21"/>
                <w14:textFill>
                  <w14:solidFill>
                    <w14:schemeClr w14:val="tx1"/>
                  </w14:solidFill>
                </w14:textFill>
              </w:rPr>
            </w:pPr>
            <w:r>
              <w:rPr>
                <w:color w:val="000000" w:themeColor="text1"/>
                <w:kern w:val="44"/>
                <w:sz w:val="21"/>
                <w14:textFill>
                  <w14:solidFill>
                    <w14:schemeClr w14:val="tx1"/>
                  </w14:solidFill>
                </w14:textFill>
              </w:rPr>
              <w:t>分区防渗。重点防渗区：</w:t>
            </w:r>
            <w:r>
              <w:rPr>
                <w:rFonts w:hint="eastAsia"/>
                <w:color w:val="000000" w:themeColor="text1"/>
                <w:sz w:val="21"/>
                <w14:textFill>
                  <w14:solidFill>
                    <w14:schemeClr w14:val="tx1"/>
                  </w14:solidFill>
                </w14:textFill>
              </w:rPr>
              <w:t>危废暂存间（1#、2#）、油品库房、油漆库房、生产废水处理设施、涂装车间、隔油沉淀设施（1#、2#、3#）、生化池（1#、2#）</w:t>
            </w:r>
            <w:r>
              <w:rPr>
                <w:color w:val="000000" w:themeColor="text1"/>
                <w:kern w:val="44"/>
                <w:sz w:val="21"/>
                <w14:textFill>
                  <w14:solidFill>
                    <w14:schemeClr w14:val="tx1"/>
                  </w14:solidFill>
                </w14:textFill>
              </w:rPr>
              <w:t>；一般防渗区：</w:t>
            </w:r>
            <w:r>
              <w:rPr>
                <w:rFonts w:hint="eastAsia"/>
                <w:color w:val="000000" w:themeColor="text1"/>
                <w:kern w:val="2"/>
                <w:sz w:val="21"/>
                <w14:textFill>
                  <w14:solidFill>
                    <w14:schemeClr w14:val="tx1"/>
                  </w14:solidFill>
                </w14:textFill>
              </w:rPr>
              <w:t>一般固废暂存间（1#、2#）、变压器房、空压机房，其他地方为一般硬化</w:t>
            </w:r>
            <w:r>
              <w:rPr>
                <w:color w:val="000000" w:themeColor="text1"/>
                <w:kern w:val="44"/>
                <w:sz w:val="21"/>
                <w14:textFill>
                  <w14:solidFill>
                    <w14:schemeClr w14:val="tx1"/>
                  </w14:solidFill>
                </w14:textFill>
              </w:rPr>
              <w:t>。</w:t>
            </w:r>
            <w:r>
              <w:rPr>
                <w:rFonts w:hint="eastAsia"/>
                <w:color w:val="000000" w:themeColor="text1"/>
                <w:kern w:val="44"/>
                <w:sz w:val="21"/>
                <w14:textFill>
                  <w14:solidFill>
                    <w14:schemeClr w14:val="tx1"/>
                  </w14:solidFill>
                </w14:textFill>
              </w:rPr>
              <w:t>在建设项目场地下游布设一个监控井。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985" w:type="dxa"/>
            <w:gridSpan w:val="2"/>
            <w:vAlign w:val="center"/>
          </w:tcPr>
          <w:p>
            <w:pPr>
              <w:pStyle w:val="296"/>
              <w:adjustRightInd/>
              <w:spacing w:line="240" w:lineRule="auto"/>
              <w:ind w:firstLine="0"/>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环境风险</w:t>
            </w:r>
          </w:p>
        </w:tc>
        <w:tc>
          <w:tcPr>
            <w:tcW w:w="11973" w:type="dxa"/>
            <w:gridSpan w:val="4"/>
            <w:vAlign w:val="center"/>
          </w:tcPr>
          <w:p>
            <w:pPr>
              <w:pStyle w:val="296"/>
              <w:spacing w:line="240" w:lineRule="auto"/>
              <w:ind w:firstLine="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油漆库房、油品库房应设置在阴凉、干燥的地方，要通风良好；油漆库房、油品库房地面和四周墙壁采取防渗防腐措施，门口设置漫坡；对各类油漆和油品储存容器底部设置防渗漏托盘；油漆库房、油品库房应设置禁火标识，严禁烟火。</w:t>
            </w:r>
          </w:p>
          <w:p>
            <w:pPr>
              <w:pStyle w:val="296"/>
              <w:spacing w:line="240" w:lineRule="auto"/>
              <w:ind w:firstLine="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（2）危废暂存间做好“防风、防雨、防晒、防渗、防腐、防漏”六防措施，设置防渗漏托盘，并设置收集沟和收集井。</w:t>
            </w:r>
          </w:p>
          <w:p>
            <w:pPr>
              <w:pStyle w:val="296"/>
              <w:spacing w:line="240" w:lineRule="auto"/>
              <w:ind w:firstLine="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（3）企业建立安全生产岗位责任制，制定安全生产规章制度、安全操作规程，防止人为事故发生。</w:t>
            </w:r>
          </w:p>
        </w:tc>
      </w:tr>
    </w:tbl>
    <w:p>
      <w:pPr>
        <w:rPr>
          <w:color w:val="000000" w:themeColor="text1"/>
          <w14:textFill>
            <w14:solidFill>
              <w14:schemeClr w14:val="tx1"/>
            </w14:solidFill>
          </w14:textFill>
        </w:rPr>
      </w:pPr>
    </w:p>
    <w:p>
      <w:pPr>
        <w:keepNext/>
        <w:keepLines/>
        <w:adjustRightInd w:val="0"/>
        <w:outlineLvl w:val="2"/>
        <w:rPr>
          <w:rFonts w:eastAsia="宋体"/>
          <w:b/>
          <w:bCs/>
          <w:color w:val="000000" w:themeColor="text1"/>
          <w:szCs w:val="32"/>
          <w14:textFill>
            <w14:solidFill>
              <w14:schemeClr w14:val="tx1"/>
            </w14:solidFill>
          </w14:textFill>
        </w:rPr>
        <w:sectPr>
          <w:pgSz w:w="16838" w:h="11906" w:orient="landscape"/>
          <w:pgMar w:top="1276" w:right="1440" w:bottom="1274" w:left="1440" w:header="851" w:footer="992" w:gutter="0"/>
          <w:cols w:space="425" w:num="1"/>
          <w:docGrid w:type="lines" w:linePitch="326" w:charSpace="0"/>
        </w:sectPr>
      </w:pP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8.4.2项目环保竣工验收条件</w:t>
      </w:r>
    </w:p>
    <w:p>
      <w:pPr>
        <w:pStyle w:val="272"/>
        <w:ind w:firstLine="480"/>
        <w:rPr>
          <w:rFonts w:ascii="Times New Roman" w:hAnsi="Times New Roman" w:eastAsia="宋体"/>
          <w:bCs/>
          <w:color w:val="000000" w:themeColor="text1"/>
          <w:szCs w:val="24"/>
          <w14:textFill>
            <w14:solidFill>
              <w14:schemeClr w14:val="tx1"/>
            </w14:solidFill>
          </w14:textFill>
        </w:rPr>
      </w:pPr>
      <w:r>
        <w:rPr>
          <w:rFonts w:ascii="Times New Roman" w:hAnsi="Times New Roman" w:eastAsia="宋体"/>
          <w:bCs/>
          <w:color w:val="000000" w:themeColor="text1"/>
          <w:szCs w:val="24"/>
          <w14:textFill>
            <w14:solidFill>
              <w14:schemeClr w14:val="tx1"/>
            </w14:solidFill>
          </w14:textFill>
        </w:rPr>
        <w:t>（1）建设前期环境保护审查、审批手续、技术资料与环境保护资料齐全。</w:t>
      </w:r>
    </w:p>
    <w:p>
      <w:pPr>
        <w:pStyle w:val="272"/>
        <w:ind w:firstLine="480"/>
        <w:rPr>
          <w:rFonts w:ascii="Times New Roman" w:hAnsi="Times New Roman" w:eastAsia="宋体"/>
          <w:bCs/>
          <w:color w:val="000000" w:themeColor="text1"/>
          <w:szCs w:val="24"/>
          <w14:textFill>
            <w14:solidFill>
              <w14:schemeClr w14:val="tx1"/>
            </w14:solidFill>
          </w14:textFill>
        </w:rPr>
      </w:pPr>
      <w:r>
        <w:rPr>
          <w:rFonts w:ascii="Times New Roman" w:hAnsi="Times New Roman" w:eastAsia="宋体"/>
          <w:bCs/>
          <w:color w:val="000000" w:themeColor="text1"/>
          <w:szCs w:val="24"/>
          <w14:textFill>
            <w14:solidFill>
              <w14:schemeClr w14:val="tx1"/>
            </w14:solidFill>
          </w14:textFill>
        </w:rPr>
        <w:t>（2）环境保护设施及其他措施等已按批准的环境影响报告的要求建成或落实，环保设施防治污染的能力适应主体工程的需要。</w:t>
      </w:r>
    </w:p>
    <w:p>
      <w:pPr>
        <w:pStyle w:val="272"/>
        <w:ind w:firstLine="480"/>
        <w:rPr>
          <w:rFonts w:ascii="Times New Roman" w:hAnsi="Times New Roman" w:eastAsia="宋体"/>
          <w:bCs/>
          <w:color w:val="000000" w:themeColor="text1"/>
          <w:szCs w:val="24"/>
          <w14:textFill>
            <w14:solidFill>
              <w14:schemeClr w14:val="tx1"/>
            </w14:solidFill>
          </w14:textFill>
        </w:rPr>
      </w:pPr>
      <w:r>
        <w:rPr>
          <w:rFonts w:ascii="Times New Roman" w:hAnsi="Times New Roman" w:eastAsia="宋体"/>
          <w:bCs/>
          <w:color w:val="000000" w:themeColor="text1"/>
          <w:szCs w:val="24"/>
          <w14:textFill>
            <w14:solidFill>
              <w14:schemeClr w14:val="tx1"/>
            </w14:solidFill>
          </w14:textFill>
        </w:rPr>
        <w:t>（3）环境保护设施安装质量符合国家和有关部门颁发的专业工程验收规范、规章和检验评定标准；污染物排放符合报告提出的标准和总量控制要求。</w:t>
      </w:r>
    </w:p>
    <w:p>
      <w:pPr>
        <w:spacing w:line="240" w:lineRule="auto"/>
        <w:jc w:val="left"/>
        <w:rPr>
          <w:rFonts w:eastAsia="宋体"/>
          <w:color w:val="000000" w:themeColor="text1"/>
          <w14:textFill>
            <w14:solidFill>
              <w14:schemeClr w14:val="tx1"/>
            </w14:solidFill>
          </w14:textFill>
        </w:rPr>
        <w:sectPr>
          <w:pgSz w:w="11906" w:h="16838"/>
          <w:pgMar w:top="1440" w:right="1274" w:bottom="1440" w:left="1276" w:header="851" w:footer="992" w:gutter="0"/>
          <w:cols w:space="425" w:num="1"/>
          <w:docGrid w:type="lines" w:linePitch="326" w:charSpace="0"/>
        </w:sectPr>
      </w:pPr>
    </w:p>
    <w:p>
      <w:pPr>
        <w:pStyle w:val="181"/>
        <w:rPr>
          <w:rFonts w:eastAsia="宋体"/>
          <w:color w:val="000000" w:themeColor="text1"/>
          <w14:textFill>
            <w14:solidFill>
              <w14:schemeClr w14:val="tx1"/>
            </w14:solidFill>
          </w14:textFill>
        </w:rPr>
      </w:pPr>
      <w:bookmarkStart w:id="277" w:name="_Toc155271452"/>
      <w:bookmarkStart w:id="278" w:name="_Toc26301"/>
      <w:r>
        <w:rPr>
          <w:rFonts w:eastAsia="宋体"/>
          <w:color w:val="000000" w:themeColor="text1"/>
          <w14:textFill>
            <w14:solidFill>
              <w14:schemeClr w14:val="tx1"/>
            </w14:solidFill>
          </w14:textFill>
        </w:rPr>
        <w:t>9结论与建议</w:t>
      </w:r>
      <w:bookmarkEnd w:id="277"/>
      <w:bookmarkEnd w:id="278"/>
    </w:p>
    <w:p>
      <w:pPr>
        <w:pStyle w:val="179"/>
        <w:rPr>
          <w:rFonts w:eastAsia="宋体"/>
          <w:color w:val="000000" w:themeColor="text1"/>
          <w14:textFill>
            <w14:solidFill>
              <w14:schemeClr w14:val="tx1"/>
            </w14:solidFill>
          </w14:textFill>
        </w:rPr>
      </w:pPr>
      <w:bookmarkStart w:id="279" w:name="_Toc19978"/>
      <w:bookmarkStart w:id="280" w:name="_Toc155271453"/>
      <w:r>
        <w:rPr>
          <w:rFonts w:eastAsia="宋体"/>
          <w:color w:val="000000" w:themeColor="text1"/>
          <w14:textFill>
            <w14:solidFill>
              <w14:schemeClr w14:val="tx1"/>
            </w14:solidFill>
          </w14:textFill>
        </w:rPr>
        <w:t>9.1结论</w:t>
      </w:r>
      <w:bookmarkEnd w:id="279"/>
      <w:bookmarkEnd w:id="280"/>
    </w:p>
    <w:p>
      <w:pPr>
        <w:keepNext/>
        <w:keepLines/>
        <w:adjustRightInd w:val="0"/>
        <w:outlineLvl w:val="2"/>
        <w:rPr>
          <w:rFonts w:eastAsia="宋体"/>
          <w:b/>
          <w:bCs/>
          <w:color w:val="000000" w:themeColor="text1"/>
          <w:szCs w:val="32"/>
          <w14:textFill>
            <w14:solidFill>
              <w14:schemeClr w14:val="tx1"/>
            </w14:solidFill>
          </w14:textFill>
        </w:rPr>
      </w:pPr>
      <w:bookmarkStart w:id="281" w:name="_Toc490235619"/>
      <w:bookmarkStart w:id="282" w:name="_Toc489281116"/>
      <w:bookmarkStart w:id="283" w:name="_Toc15064"/>
      <w:r>
        <w:rPr>
          <w:rFonts w:eastAsia="宋体"/>
          <w:b/>
          <w:bCs/>
          <w:color w:val="000000" w:themeColor="text1"/>
          <w:szCs w:val="32"/>
          <w14:textFill>
            <w14:solidFill>
              <w14:schemeClr w14:val="tx1"/>
            </w14:solidFill>
          </w14:textFill>
        </w:rPr>
        <w:t>9.1.1项目概况</w:t>
      </w:r>
      <w:bookmarkEnd w:id="281"/>
      <w:bookmarkEnd w:id="282"/>
      <w:bookmarkEnd w:id="283"/>
    </w:p>
    <w:p>
      <w:pPr>
        <w:ind w:firstLine="480"/>
        <w:rPr>
          <w:rFonts w:eastAsia="宋体"/>
          <w:color w:val="000000" w:themeColor="text1"/>
          <w14:textFill>
            <w14:solidFill>
              <w14:schemeClr w14:val="tx1"/>
            </w14:solidFill>
          </w14:textFill>
        </w:rPr>
      </w:pPr>
      <w:bookmarkStart w:id="284" w:name="_Toc490235620"/>
      <w:bookmarkStart w:id="285" w:name="_Toc489281117"/>
      <w:bookmarkStart w:id="286" w:name="_Toc953"/>
      <w:r>
        <w:rPr>
          <w:rFonts w:eastAsia="宋体"/>
          <w:color w:val="000000" w:themeColor="text1"/>
          <w14:textFill>
            <w14:solidFill>
              <w14:schemeClr w14:val="tx1"/>
            </w14:solidFill>
          </w14:textFill>
        </w:rPr>
        <w:t>重庆航鑫新型建材有限公司是一家从事金属结构制造的企业。企业注册地址位于重庆市大足区邮亭镇驿新大道138号。本项目主要建设内容为：项目规划总占地面积约106951.34m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，分为2</w:t>
      </w:r>
      <w:r>
        <w:rPr>
          <w:rFonts w:hint="eastAsia" w:eastAsia="宋体"/>
          <w:color w:val="000000" w:themeColor="text1"/>
          <w:lang w:eastAsia="zh-CN"/>
          <w14:textFill>
            <w14:solidFill>
              <w14:schemeClr w14:val="tx1"/>
            </w14:solidFill>
          </w14:textFill>
        </w:rPr>
        <w:t>个</w:t>
      </w:r>
      <w:r>
        <w:rPr>
          <w:rFonts w:eastAsia="宋体"/>
          <w:color w:val="000000" w:themeColor="text1"/>
          <w14:textFill>
            <w14:solidFill>
              <w14:schemeClr w14:val="tx1"/>
            </w14:solidFill>
          </w14:textFill>
        </w:rPr>
        <w:t>地块。其中</w:t>
      </w:r>
      <w:r>
        <w:rPr>
          <w:rFonts w:eastAsia="宋体"/>
          <w:color w:val="000000" w:themeColor="text1"/>
          <w:lang w:bidi="zh-CN"/>
          <w14:textFill>
            <w14:solidFill>
              <w14:schemeClr w14:val="tx1"/>
            </w14:solidFill>
          </w14:textFill>
        </w:rPr>
        <w:t>1号地块位于</w:t>
      </w:r>
      <w:r>
        <w:rPr>
          <w:rFonts w:eastAsia="宋体"/>
          <w:color w:val="000000" w:themeColor="text1"/>
          <w14:textFill>
            <w14:solidFill>
              <w14:schemeClr w14:val="tx1"/>
            </w14:solidFill>
          </w14:textFill>
        </w:rPr>
        <w:t>重庆市大足区邮亭镇天堂</w:t>
      </w:r>
      <w:r>
        <w:rPr>
          <w:rFonts w:hint="eastAsia" w:eastAsia="宋体"/>
          <w:color w:val="000000" w:themeColor="text1"/>
          <w14:textFill>
            <w14:solidFill>
              <w14:schemeClr w14:val="tx1"/>
            </w14:solidFill>
          </w14:textFill>
        </w:rPr>
        <w:t>村九组</w:t>
      </w:r>
      <w:r>
        <w:rPr>
          <w:rFonts w:eastAsia="宋体"/>
          <w:color w:val="000000" w:themeColor="text1"/>
          <w14:textFill>
            <w14:solidFill>
              <w14:schemeClr w14:val="tx1"/>
            </w14:solidFill>
          </w14:textFill>
        </w:rPr>
        <w:t>129号，占地面积88951.34m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，建有办公楼、1~6#生产车间及其配套设施，主要用于钢板下料、焊接等工序；2号地块位于重庆市大足区邮亭镇工业园区烈火村17组，占地面积约18000m</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，建有涂装车间、喷砂车间、办公楼及其配套设施，主要用于钢桥涂装、喷砂等工序。建成后年产钢桥3万吨。</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本项目劳动定员为200人，年工作320天，实行2班制，8h/班。本项目总投资2680万元，其中环保投资243万元。厂区内设置食堂</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住宿。</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9.1.2项目产业政策、规划符合性与选址合理性</w:t>
      </w:r>
      <w:bookmarkEnd w:id="284"/>
      <w:bookmarkEnd w:id="285"/>
      <w:bookmarkEnd w:id="286"/>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（1）产业政策符合性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本项目属于C3311金属结构制造业。对照《产业结构调整指导目录（2024年本）》，项目不属于限制、淘汰类。根据《促进产业结构调整暂行规定》，不属于鼓励类、限制类和淘汰类，且符合国家有关</w:t>
      </w:r>
      <w:r>
        <w:rPr>
          <w:rFonts w:hint="eastAsia" w:eastAsia="宋体"/>
          <w:color w:val="000000" w:themeColor="text1"/>
          <w14:textFill>
            <w14:solidFill>
              <w14:schemeClr w14:val="tx1"/>
            </w14:solidFill>
          </w14:textFill>
        </w:rPr>
        <w:t>法律法规</w:t>
      </w:r>
      <w:r>
        <w:rPr>
          <w:rFonts w:eastAsia="宋体"/>
          <w:color w:val="000000" w:themeColor="text1"/>
          <w14:textFill>
            <w14:solidFill>
              <w14:schemeClr w14:val="tx1"/>
            </w14:solidFill>
          </w14:textFill>
        </w:rPr>
        <w:t>和政策规定的，为允许类。2023年11月15日，重庆市双桥经济技术开发区经济发展局对项目予以备案，项目代码：2103-500111-04-01-153503。因此，本项目符合国家产业政策。</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（2）重庆市相关政策符合性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本项目符合《重庆市发展和改革委员会关于印发重庆市产业投资准入工作手册》（渝发改投资</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2022</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1436号）；符合《四川省、重庆市长江经济带发展负面清单实施细则（试行，2022年版）》（川长江办〔2022〕17号）；符合《挥发性有机物（VOCs）污染防治技术政策</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重点行业挥发性有机物综合治理方案》（环大气[2019]53号）、《挥发性有机物无组织排放控制标准》（GB37822-2019）等相关要求；符合“三线一单”要求。综上所述，本项目建设符合相关政策要求。</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（3）与规划环评符合性</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本项目位于大足高新区邮亭组团。根据</w:t>
      </w:r>
      <w:r>
        <w:rPr>
          <w:rFonts w:hint="eastAsia" w:eastAsia="宋体"/>
          <w:color w:val="000000" w:themeColor="text1"/>
          <w14:textFill>
            <w14:solidFill>
              <w14:schemeClr w14:val="tx1"/>
            </w14:solidFill>
          </w14:textFill>
        </w:rPr>
        <w:t>《大足高新区邮亭组团规划》《大足高新区邮亭组团规划环境影响报告书》</w:t>
      </w:r>
      <w:r>
        <w:rPr>
          <w:rFonts w:eastAsia="宋体"/>
          <w:color w:val="000000" w:themeColor="text1"/>
          <w14:textFill>
            <w14:solidFill>
              <w14:schemeClr w14:val="tx1"/>
            </w14:solidFill>
          </w14:textFill>
        </w:rPr>
        <w:t>及</w:t>
      </w:r>
      <w:r>
        <w:rPr>
          <w:rFonts w:hint="eastAsia" w:eastAsia="宋体"/>
          <w:color w:val="000000" w:themeColor="text1"/>
          <w:szCs w:val="24"/>
          <w14:textFill>
            <w14:solidFill>
              <w14:schemeClr w14:val="tx1"/>
            </w14:solidFill>
          </w14:textFill>
        </w:rPr>
        <w:t>审查意见函（渝环函〔2023〕629号）</w:t>
      </w:r>
      <w:r>
        <w:rPr>
          <w:rFonts w:eastAsia="宋体"/>
          <w:color w:val="000000" w:themeColor="text1"/>
          <w14:textFill>
            <w14:solidFill>
              <w14:schemeClr w14:val="tx1"/>
            </w14:solidFill>
          </w14:textFill>
        </w:rPr>
        <w:t>，本项目符合</w:t>
      </w:r>
      <w:r>
        <w:rPr>
          <w:rFonts w:hint="eastAsia" w:eastAsia="宋体"/>
          <w:color w:val="000000" w:themeColor="text1"/>
          <w14:textFill>
            <w14:solidFill>
              <w14:schemeClr w14:val="tx1"/>
            </w14:solidFill>
          </w14:textFill>
        </w:rPr>
        <w:t>园区相关</w:t>
      </w:r>
      <w:r>
        <w:rPr>
          <w:rFonts w:eastAsia="宋体"/>
          <w:color w:val="000000" w:themeColor="text1"/>
          <w14:textFill>
            <w14:solidFill>
              <w14:schemeClr w14:val="tx1"/>
            </w14:solidFill>
          </w14:textFill>
        </w:rPr>
        <w:t>规划</w:t>
      </w:r>
      <w:r>
        <w:rPr>
          <w:rFonts w:hint="eastAsia" w:eastAsia="宋体"/>
          <w:color w:val="000000" w:themeColor="text1"/>
          <w14:textFill>
            <w14:solidFill>
              <w14:schemeClr w14:val="tx1"/>
            </w14:solidFill>
          </w14:textFill>
        </w:rPr>
        <w:t>要求</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（4）</w:t>
      </w:r>
      <w:r>
        <w:rPr>
          <w:rFonts w:hint="eastAsia" w:eastAsia="宋体"/>
          <w:color w:val="000000" w:themeColor="text1"/>
          <w14:textFill>
            <w14:solidFill>
              <w14:schemeClr w14:val="tx1"/>
            </w14:solidFill>
          </w14:textFill>
        </w:rPr>
        <w:t>选址</w:t>
      </w:r>
      <w:r>
        <w:rPr>
          <w:rFonts w:eastAsia="宋体"/>
          <w:color w:val="000000" w:themeColor="text1"/>
          <w14:textFill>
            <w14:solidFill>
              <w14:schemeClr w14:val="tx1"/>
            </w14:solidFill>
          </w14:textFill>
        </w:rPr>
        <w:t>符合性</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本项目2个地块均位于大足高新区邮亭组团，用地性质均为工业用地，用地符合相关规划</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符合园区</w:t>
      </w:r>
      <w:r>
        <w:rPr>
          <w:rFonts w:hint="eastAsia" w:eastAsia="宋体"/>
          <w:color w:val="000000" w:themeColor="text1"/>
          <w14:textFill>
            <w14:solidFill>
              <w14:schemeClr w14:val="tx1"/>
            </w14:solidFill>
          </w14:textFill>
        </w:rPr>
        <w:t>相关</w:t>
      </w:r>
      <w:r>
        <w:rPr>
          <w:rFonts w:eastAsia="宋体"/>
          <w:color w:val="000000" w:themeColor="text1"/>
          <w14:textFill>
            <w14:solidFill>
              <w14:schemeClr w14:val="tx1"/>
            </w14:solidFill>
          </w14:textFill>
        </w:rPr>
        <w:t>规划</w:t>
      </w:r>
      <w:r>
        <w:rPr>
          <w:rFonts w:hint="eastAsia" w:eastAsia="宋体"/>
          <w:color w:val="000000" w:themeColor="text1"/>
          <w14:textFill>
            <w14:solidFill>
              <w14:schemeClr w14:val="tx1"/>
            </w14:solidFill>
          </w14:textFill>
        </w:rPr>
        <w:t>要求</w:t>
      </w:r>
      <w:r>
        <w:rPr>
          <w:rFonts w:eastAsia="宋体"/>
          <w:color w:val="000000" w:themeColor="text1"/>
          <w14:textFill>
            <w14:solidFill>
              <w14:schemeClr w14:val="tx1"/>
            </w14:solidFill>
          </w14:textFill>
        </w:rPr>
        <w:t>。本项目所在区域大气、地表水</w:t>
      </w:r>
      <w:r>
        <w:rPr>
          <w:rFonts w:hint="eastAsia" w:eastAsia="宋体"/>
          <w:color w:val="000000" w:themeColor="text1"/>
          <w14:textFill>
            <w14:solidFill>
              <w14:schemeClr w14:val="tx1"/>
            </w14:solidFill>
          </w14:textFill>
        </w:rPr>
        <w:t>、地下水、土壤</w:t>
      </w:r>
      <w:r>
        <w:rPr>
          <w:rFonts w:eastAsia="宋体"/>
          <w:color w:val="000000" w:themeColor="text1"/>
          <w14:textFill>
            <w14:solidFill>
              <w14:schemeClr w14:val="tx1"/>
            </w14:solidFill>
          </w14:textFill>
        </w:rPr>
        <w:t>和声环境均能满足相应质量标准。根据预测分析，项目在采取有效的环保措施后，对环境的影响可接受。</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因此，本项目选址合理。</w:t>
      </w:r>
    </w:p>
    <w:p>
      <w:pPr>
        <w:keepNext/>
        <w:keepLines/>
        <w:adjustRightInd w:val="0"/>
        <w:outlineLvl w:val="2"/>
        <w:rPr>
          <w:rFonts w:eastAsia="宋体"/>
          <w:b/>
          <w:bCs/>
          <w:color w:val="000000" w:themeColor="text1"/>
          <w:szCs w:val="32"/>
          <w14:textFill>
            <w14:solidFill>
              <w14:schemeClr w14:val="tx1"/>
            </w14:solidFill>
          </w14:textFill>
        </w:rPr>
      </w:pPr>
      <w:bookmarkStart w:id="287" w:name="_Toc489281118"/>
      <w:bookmarkStart w:id="288" w:name="_Toc21736"/>
      <w:bookmarkStart w:id="289" w:name="_Toc490235621"/>
      <w:r>
        <w:rPr>
          <w:rFonts w:eastAsia="宋体"/>
          <w:b/>
          <w:bCs/>
          <w:color w:val="000000" w:themeColor="text1"/>
          <w:szCs w:val="32"/>
          <w14:textFill>
            <w14:solidFill>
              <w14:schemeClr w14:val="tx1"/>
            </w14:solidFill>
          </w14:textFill>
        </w:rPr>
        <w:t>9.1.3</w:t>
      </w:r>
      <w:bookmarkEnd w:id="287"/>
      <w:bookmarkEnd w:id="288"/>
      <w:bookmarkEnd w:id="289"/>
      <w:r>
        <w:rPr>
          <w:rFonts w:eastAsia="宋体"/>
          <w:b/>
          <w:bCs/>
          <w:color w:val="000000" w:themeColor="text1"/>
          <w:szCs w:val="32"/>
          <w14:textFill>
            <w14:solidFill>
              <w14:schemeClr w14:val="tx1"/>
            </w14:solidFill>
          </w14:textFill>
        </w:rPr>
        <w:t>环境质量现状</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（1）环境空气</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根据大足区2022年环境空气质量数据，大足区属于达标区；非甲烷总烃满足《环境空气质量 非甲烷总烃限值》（DB13/1577-2012）中的二级标准限值；</w:t>
      </w:r>
      <w:r>
        <w:rPr>
          <w:rFonts w:eastAsia="宋体"/>
          <w:color w:val="000000" w:themeColor="text1"/>
          <w14:textFill>
            <w14:solidFill>
              <w14:schemeClr w14:val="tx1"/>
            </w14:solidFill>
          </w14:textFill>
        </w:rPr>
        <w:t>甲苯、二甲苯满足《环境影响评价技术导则 大气环境》（HJ2.2-2018）附录D中限值要求</w:t>
      </w:r>
      <w:r>
        <w:rPr>
          <w:rFonts w:eastAsia="宋体"/>
          <w:color w:val="000000" w:themeColor="text1"/>
          <w:szCs w:val="24"/>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（2）地表水环境</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评价河段监测断面中各监测因子中pH、氨氮、化学需氧量、五日生化需氧量、石油类</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P均满足《地表水环境质量标准》(GB3838-2002)Ⅳ类水域标准</w:t>
      </w:r>
      <w:r>
        <w:rPr>
          <w:rFonts w:eastAsia="宋体"/>
          <w:color w:val="000000" w:themeColor="text1"/>
          <w14:textFill>
            <w14:solidFill>
              <w14:schemeClr w14:val="tx1"/>
            </w14:solidFill>
          </w14:textFill>
        </w:rPr>
        <w:t>。</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（3）声环境</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监测点昼夜间噪声满足《声环境质量标准》（GB3096-2008）3类、4a类标准。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（4）地下水环境</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地下水</w:t>
      </w:r>
      <w:r>
        <w:rPr>
          <w:rFonts w:eastAsia="宋体"/>
          <w:bCs/>
          <w:color w:val="000000" w:themeColor="text1"/>
          <w:szCs w:val="32"/>
          <w14:textFill>
            <w14:solidFill>
              <w14:schemeClr w14:val="tx1"/>
            </w14:solidFill>
          </w14:textFill>
        </w:rPr>
        <w:t>满足《地下水质量标准》（GB/T 14848-2017）中的Ⅲ类水质标准要求</w:t>
      </w:r>
      <w:r>
        <w:rPr>
          <w:rFonts w:eastAsia="宋体"/>
          <w:color w:val="000000" w:themeColor="text1"/>
          <w:szCs w:val="24"/>
          <w14:textFill>
            <w14:solidFill>
              <w14:schemeClr w14:val="tx1"/>
            </w14:solidFill>
          </w14:textFill>
        </w:rPr>
        <w:t>。</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（5）土壤环境</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土壤监测点各监测因子均满足《土壤环境质量 建设用地土壤污染风险管控标准（试行）》（GB 36600-2018）中第二类用地筛选值。</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（6）生态环境</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区域生态环境现状为城市生态系统，周边无自然保护区等。</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综上所述，环境质量现状不会对项目的建设构成环境制约因素。</w:t>
      </w:r>
    </w:p>
    <w:p>
      <w:pPr>
        <w:keepNext/>
        <w:keepLines/>
        <w:adjustRightInd w:val="0"/>
        <w:outlineLvl w:val="2"/>
        <w:rPr>
          <w:rFonts w:eastAsia="宋体"/>
          <w:b/>
          <w:bCs/>
          <w:color w:val="000000" w:themeColor="text1"/>
          <w:szCs w:val="32"/>
          <w14:textFill>
            <w14:solidFill>
              <w14:schemeClr w14:val="tx1"/>
            </w14:solidFill>
          </w14:textFill>
        </w:rPr>
      </w:pPr>
      <w:bookmarkStart w:id="290" w:name="_Toc30129"/>
      <w:bookmarkStart w:id="291" w:name="_Toc490235623"/>
      <w:bookmarkStart w:id="292" w:name="_Toc489281120"/>
      <w:r>
        <w:rPr>
          <w:rFonts w:eastAsia="宋体"/>
          <w:b/>
          <w:bCs/>
          <w:color w:val="000000" w:themeColor="text1"/>
          <w:szCs w:val="32"/>
          <w14:textFill>
            <w14:solidFill>
              <w14:schemeClr w14:val="tx1"/>
            </w14:solidFill>
          </w14:textFill>
        </w:rPr>
        <w:t>9.1.4自然环境概况及环境敏感目标调查</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本项目位于</w:t>
      </w:r>
      <w:r>
        <w:rPr>
          <w:rFonts w:hint="eastAsia" w:eastAsia="宋体"/>
          <w:color w:val="000000" w:themeColor="text1"/>
          <w:szCs w:val="24"/>
          <w14:textFill>
            <w14:solidFill>
              <w14:schemeClr w14:val="tx1"/>
            </w14:solidFill>
          </w14:textFill>
        </w:rPr>
        <w:t>大足高新区邮亭组团</w:t>
      </w:r>
      <w:r>
        <w:rPr>
          <w:rFonts w:eastAsia="宋体"/>
          <w:color w:val="000000" w:themeColor="text1"/>
          <w:szCs w:val="24"/>
          <w14:textFill>
            <w14:solidFill>
              <w14:schemeClr w14:val="tx1"/>
            </w14:solidFill>
          </w14:textFill>
        </w:rPr>
        <w:t>，</w:t>
      </w:r>
      <w:r>
        <w:rPr>
          <w:rFonts w:eastAsia="宋体"/>
          <w:color w:val="000000" w:themeColor="text1"/>
          <w14:textFill>
            <w14:solidFill>
              <w14:schemeClr w14:val="tx1"/>
            </w14:solidFill>
          </w14:textFill>
        </w:rPr>
        <w:t>评价范围内不涉及自然保护区、风景名胜区、饮用水源保护区、自然公园等环境敏感区</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周边</w:t>
      </w:r>
      <w:r>
        <w:rPr>
          <w:rFonts w:eastAsia="宋体"/>
          <w:color w:val="000000" w:themeColor="text1"/>
          <w14:textFill>
            <w14:solidFill>
              <w14:schemeClr w14:val="tx1"/>
            </w14:solidFill>
          </w14:textFill>
        </w:rPr>
        <w:t>环境保护目标主要为邮亭镇场镇的居民区、学校，以及农村居民集中区等</w:t>
      </w:r>
      <w:r>
        <w:rPr>
          <w:rFonts w:hint="eastAsia" w:eastAsia="宋体"/>
          <w:color w:val="000000" w:themeColor="text1"/>
          <w14:textFill>
            <w14:solidFill>
              <w14:schemeClr w14:val="tx1"/>
            </w14:solidFill>
          </w14:textFill>
        </w:rPr>
        <w:t>。</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9.1.5环境保护措施及影响</w:t>
      </w:r>
      <w:bookmarkEnd w:id="290"/>
      <w:bookmarkEnd w:id="291"/>
      <w:bookmarkEnd w:id="292"/>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（1）大气环境保护措施及环境影响</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本项目运营期废气主要包括</w:t>
      </w:r>
      <w:r>
        <w:rPr>
          <w:rFonts w:hint="eastAsia" w:eastAsia="宋体"/>
          <w:color w:val="000000" w:themeColor="text1"/>
          <w14:textFill>
            <w14:solidFill>
              <w14:schemeClr w14:val="tx1"/>
            </w14:solidFill>
          </w14:textFill>
        </w:rPr>
        <w:t>切割粉尘、焊接烟尘、喷砂粉尘和涂装废气（调漆、喷漆、晾干废气）</w:t>
      </w:r>
      <w:r>
        <w:rPr>
          <w:rFonts w:eastAsia="宋体"/>
          <w:color w:val="000000" w:themeColor="text1"/>
          <w14:textFill>
            <w14:solidFill>
              <w14:schemeClr w14:val="tx1"/>
            </w14:solidFill>
          </w14:textFill>
        </w:rPr>
        <w:t>等。</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切割粉尘通过滤筒除尘器处理后经</w:t>
      </w:r>
      <w:r>
        <w:rPr>
          <w:rFonts w:eastAsia="宋体"/>
          <w:color w:val="000000" w:themeColor="text1"/>
          <w:szCs w:val="24"/>
          <w14:textFill>
            <w14:solidFill>
              <w14:schemeClr w14:val="tx1"/>
            </w14:solidFill>
          </w14:textFill>
        </w:rPr>
        <w:t>1根20m高排气筒（DA001）排放</w:t>
      </w:r>
      <w:r>
        <w:rPr>
          <w:rFonts w:hint="eastAsia" w:eastAsia="宋体"/>
          <w:color w:val="000000" w:themeColor="text1"/>
          <w:szCs w:val="24"/>
          <w14:textFill>
            <w14:solidFill>
              <w14:schemeClr w14:val="tx1"/>
            </w14:solidFill>
          </w14:textFill>
        </w:rPr>
        <w:t>；焊接烟尘经移动式焊烟净化器处理后车间内无组织排放；喷砂粉尘通过布袋除尘器处理后经1根1</w:t>
      </w:r>
      <w:r>
        <w:rPr>
          <w:rFonts w:eastAsia="宋体"/>
          <w:color w:val="000000" w:themeColor="text1"/>
          <w:szCs w:val="24"/>
          <w14:textFill>
            <w14:solidFill>
              <w14:schemeClr w14:val="tx1"/>
            </w14:solidFill>
          </w14:textFill>
        </w:rPr>
        <w:t>5</w:t>
      </w:r>
      <w:r>
        <w:rPr>
          <w:rFonts w:hint="eastAsia" w:eastAsia="宋体"/>
          <w:color w:val="000000" w:themeColor="text1"/>
          <w:szCs w:val="24"/>
          <w14:textFill>
            <w14:solidFill>
              <w14:schemeClr w14:val="tx1"/>
            </w14:solidFill>
          </w14:textFill>
        </w:rPr>
        <w:t>m高排气筒（D</w:t>
      </w:r>
      <w:r>
        <w:rPr>
          <w:rFonts w:eastAsia="宋体"/>
          <w:color w:val="000000" w:themeColor="text1"/>
          <w:szCs w:val="24"/>
          <w14:textFill>
            <w14:solidFill>
              <w14:schemeClr w14:val="tx1"/>
            </w14:solidFill>
          </w14:textFill>
        </w:rPr>
        <w:t>A002</w:t>
      </w:r>
      <w:r>
        <w:rPr>
          <w:rFonts w:hint="eastAsia" w:eastAsia="宋体"/>
          <w:color w:val="000000" w:themeColor="text1"/>
          <w:szCs w:val="24"/>
          <w14:textFill>
            <w14:solidFill>
              <w14:schemeClr w14:val="tx1"/>
            </w14:solidFill>
          </w14:textFill>
        </w:rPr>
        <w:t>）排放；涂装废气收集后采用</w:t>
      </w:r>
      <w:r>
        <w:rPr>
          <w:rFonts w:eastAsia="宋体"/>
          <w:color w:val="000000" w:themeColor="text1"/>
          <w:szCs w:val="24"/>
          <w14:textFill>
            <w14:solidFill>
              <w14:schemeClr w14:val="tx1"/>
            </w14:solidFill>
          </w14:textFill>
        </w:rPr>
        <w:t>“气旋喷淋+干式过滤+活性炭吸附浓缩+催化燃烧”处理后通过1根15m高排气筒（DA003）排放</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废气均能满足《大气污染物综合排放标准》（DB50/418-2016）中排放标准要求实现达标排放。</w:t>
      </w:r>
    </w:p>
    <w:p>
      <w:pPr>
        <w:ind w:firstLine="480"/>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根据影响预测结果，本项目建成运行以后，大气污染物经处理达标排放，对周围的大气环境影响能够接受。</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（2）地表水环境保护措施及环境影响</w:t>
      </w:r>
    </w:p>
    <w:p>
      <w:pPr>
        <w:ind w:firstLine="516" w:firstLineChars="215"/>
        <w:rPr>
          <w:rFonts w:eastAsia="宋体"/>
          <w:color w:val="000000" w:themeColor="text1"/>
          <w14:textFill>
            <w14:solidFill>
              <w14:schemeClr w14:val="tx1"/>
            </w14:solidFill>
          </w14:textFill>
        </w:rPr>
      </w:pPr>
      <w:r>
        <w:rPr>
          <w:rFonts w:eastAsia="宋体"/>
          <w:bCs/>
          <w:color w:val="000000" w:themeColor="text1"/>
          <w:szCs w:val="32"/>
          <w14:textFill>
            <w14:solidFill>
              <w14:schemeClr w14:val="tx1"/>
            </w14:solidFill>
          </w14:textFill>
        </w:rPr>
        <w:t>1号地块的食堂废水经1#隔油沉淀设施预处理后排入1#生化池，员工洗手废水、车间地面清洁废水和空压机冷凝水经2#隔油沉淀设施预处理后排入1#生化池，然后和生活污水统一经1#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516" w:firstLineChars="21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2号地块的</w:t>
      </w:r>
      <w:r>
        <w:rPr>
          <w:rFonts w:eastAsia="宋体"/>
          <w:bCs/>
          <w:color w:val="000000" w:themeColor="text1"/>
          <w:szCs w:val="32"/>
          <w14:textFill>
            <w14:solidFill>
              <w14:schemeClr w14:val="tx1"/>
            </w14:solidFill>
          </w14:textFill>
        </w:rPr>
        <w:t>食堂废水经3#隔油沉淀设施预处理后排入2#生化池，员工洗手废水、车间地面清洁废水</w:t>
      </w:r>
      <w:r>
        <w:rPr>
          <w:rFonts w:hint="eastAsia" w:eastAsia="宋体"/>
          <w:bCs/>
          <w:color w:val="000000" w:themeColor="text1"/>
          <w:szCs w:val="32"/>
          <w14:textFill>
            <w14:solidFill>
              <w14:schemeClr w14:val="tx1"/>
            </w14:solidFill>
          </w14:textFill>
        </w:rPr>
        <w:t>、</w:t>
      </w:r>
      <w:r>
        <w:rPr>
          <w:rFonts w:eastAsia="宋体"/>
          <w:bCs/>
          <w:color w:val="000000" w:themeColor="text1"/>
          <w:szCs w:val="32"/>
          <w14:textFill>
            <w14:solidFill>
              <w14:schemeClr w14:val="tx1"/>
            </w14:solidFill>
          </w14:textFill>
        </w:rPr>
        <w:t>空压机冷凝水</w:t>
      </w:r>
      <w:r>
        <w:rPr>
          <w:rFonts w:hint="eastAsia" w:eastAsia="宋体"/>
          <w:bCs/>
          <w:color w:val="000000" w:themeColor="text1"/>
          <w:szCs w:val="32"/>
          <w14:textFill>
            <w14:solidFill>
              <w14:schemeClr w14:val="tx1"/>
            </w14:solidFill>
          </w14:textFill>
        </w:rPr>
        <w:t>、喷枪清洗废水和气旋喷淋废水经生产废水处理设施预处理后排入2</w:t>
      </w:r>
      <w:r>
        <w:rPr>
          <w:rFonts w:eastAsia="宋体"/>
          <w:bCs/>
          <w:color w:val="000000" w:themeColor="text1"/>
          <w:szCs w:val="32"/>
          <w14:textFill>
            <w14:solidFill>
              <w14:schemeClr w14:val="tx1"/>
            </w14:solidFill>
          </w14:textFill>
        </w:rPr>
        <w:t>#</w:t>
      </w:r>
      <w:r>
        <w:rPr>
          <w:rFonts w:hint="eastAsia" w:eastAsia="宋体"/>
          <w:bCs/>
          <w:color w:val="000000" w:themeColor="text1"/>
          <w:szCs w:val="32"/>
          <w14:textFill>
            <w14:solidFill>
              <w14:schemeClr w14:val="tx1"/>
            </w14:solidFill>
          </w14:textFill>
        </w:rPr>
        <w:t>生化池，</w:t>
      </w:r>
      <w:r>
        <w:rPr>
          <w:rFonts w:eastAsia="宋体"/>
          <w:bCs/>
          <w:color w:val="000000" w:themeColor="text1"/>
          <w:szCs w:val="32"/>
          <w14:textFill>
            <w14:solidFill>
              <w14:schemeClr w14:val="tx1"/>
            </w14:solidFill>
          </w14:textFill>
        </w:rPr>
        <w:t>然后和生活污水统一经2#生化池处理达《污水综合排放标准》（GB8978-1996）中三级标准后排入园区污水管网，进入</w:t>
      </w:r>
      <w:r>
        <w:rPr>
          <w:rFonts w:eastAsia="宋体"/>
          <w:color w:val="000000" w:themeColor="text1"/>
          <w14:textFill>
            <w14:solidFill>
              <w14:schemeClr w14:val="tx1"/>
            </w14:solidFill>
          </w14:textFill>
        </w:rPr>
        <w:t>双桥工业园区污水处理厂深度处理。</w:t>
      </w:r>
    </w:p>
    <w:p>
      <w:pPr>
        <w:ind w:firstLine="516" w:firstLineChars="215"/>
        <w:rPr>
          <w:rFonts w:eastAsia="宋体"/>
          <w:bCs/>
          <w:color w:val="000000" w:themeColor="text1"/>
          <w:szCs w:val="32"/>
          <w14:textFill>
            <w14:solidFill>
              <w14:schemeClr w14:val="tx1"/>
            </w14:solidFill>
          </w14:textFill>
        </w:rPr>
      </w:pPr>
      <w:r>
        <w:rPr>
          <w:rFonts w:eastAsia="宋体"/>
          <w:color w:val="000000" w:themeColor="text1"/>
          <w14:textFill>
            <w14:solidFill>
              <w14:schemeClr w14:val="tx1"/>
            </w14:solidFill>
          </w14:textFill>
        </w:rPr>
        <w:t>项目废水经双桥工业园区污水处理厂处理达《城镇污水处理厂污染物排放标准》（GB18918-2002）中一级B标准后排入苦水河。</w:t>
      </w:r>
    </w:p>
    <w:p>
      <w:pPr>
        <w:ind w:firstLine="48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（3）声环境保护措施及环境影响</w:t>
      </w:r>
    </w:p>
    <w:p>
      <w:pPr>
        <w:ind w:firstLine="480"/>
        <w:rPr>
          <w:rFonts w:eastAsia="宋体"/>
          <w:color w:val="000000" w:themeColor="text1"/>
          <w14:textFill>
            <w14:solidFill>
              <w14:schemeClr w14:val="tx1"/>
            </w14:solidFill>
          </w14:textFill>
        </w:rPr>
      </w:pPr>
      <w:r>
        <w:rPr>
          <w:rFonts w:eastAsia="宋体"/>
          <w:color w:val="000000" w:themeColor="text1"/>
          <w:szCs w:val="24"/>
          <w14:textFill>
            <w14:solidFill>
              <w14:schemeClr w14:val="tx1"/>
            </w14:solidFill>
          </w14:textFill>
        </w:rPr>
        <w:t>对噪声采用的防治措施包括：采用选用低噪声设备、厂房隔声等。在采取上述措施后，本项目噪声对外环境的影响较小</w:t>
      </w:r>
      <w:r>
        <w:rPr>
          <w:rFonts w:eastAsia="宋体"/>
          <w:color w:val="000000" w:themeColor="text1"/>
          <w14:textFill>
            <w14:solidFill>
              <w14:schemeClr w14:val="tx1"/>
            </w14:solidFill>
          </w14:textFill>
        </w:rPr>
        <w:t>，厂界噪声满足《工业企业厂界环境噪声排放标准》（GB12348-2008）3类</w:t>
      </w:r>
      <w:r>
        <w:rPr>
          <w:rFonts w:hint="eastAsia" w:eastAsia="宋体"/>
          <w:color w:val="000000" w:themeColor="text1"/>
          <w14:textFill>
            <w14:solidFill>
              <w14:schemeClr w14:val="tx1"/>
            </w14:solidFill>
          </w14:textFill>
        </w:rPr>
        <w:t>、4类</w:t>
      </w:r>
      <w:r>
        <w:rPr>
          <w:rFonts w:eastAsia="宋体"/>
          <w:color w:val="000000" w:themeColor="text1"/>
          <w14:textFill>
            <w14:solidFill>
              <w14:schemeClr w14:val="tx1"/>
            </w14:solidFill>
          </w14:textFill>
        </w:rPr>
        <w:t>标准要求。</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（4）固体废物处置措施及环境影响</w:t>
      </w:r>
    </w:p>
    <w:p>
      <w:pPr>
        <w:ind w:firstLine="480"/>
        <w:rPr>
          <w:rFonts w:eastAsia="宋体"/>
          <w:color w:val="000000" w:themeColor="text1"/>
          <w:szCs w:val="24"/>
          <w14:textFill>
            <w14:solidFill>
              <w14:schemeClr w14:val="tx1"/>
            </w14:solidFill>
          </w14:textFill>
        </w:rPr>
      </w:pPr>
      <w:bookmarkStart w:id="293" w:name="_Toc18320"/>
      <w:bookmarkStart w:id="294" w:name="_Toc489281121"/>
      <w:bookmarkStart w:id="295" w:name="_Toc490235624"/>
      <w:r>
        <w:rPr>
          <w:rFonts w:eastAsia="宋体"/>
          <w:color w:val="000000" w:themeColor="text1"/>
          <w:szCs w:val="24"/>
          <w14:textFill>
            <w14:solidFill>
              <w14:schemeClr w14:val="tx1"/>
            </w14:solidFill>
          </w14:textFill>
        </w:rPr>
        <w:t>本项目运营期产生的固体废物主要包括一般工业固废、危险废物和生活垃圾。</w:t>
      </w:r>
    </w:p>
    <w:p>
      <w:pPr>
        <w:pStyle w:val="35"/>
        <w:rPr>
          <w:kern w:val="0"/>
        </w:rPr>
      </w:pPr>
      <w:r>
        <w:t>生活垃圾分类袋装收集后存放于垃圾桶，定期交环卫部门统一处理。餐厨垃圾和废油脂定期交由资质单位处理</w:t>
      </w:r>
      <w:r>
        <w:rPr>
          <w:kern w:val="0"/>
        </w:rPr>
        <w:t>。</w:t>
      </w:r>
    </w:p>
    <w:p>
      <w:pPr>
        <w:pStyle w:val="35"/>
        <w:rPr>
          <w:kern w:val="0"/>
        </w:rPr>
      </w:pPr>
      <w:r>
        <w:t>一般工业固体废物主要包括边角料、焊渣、收尘灰、废包装材料、废钢砂、废水性漆包装桶、生化池污泥</w:t>
      </w:r>
      <w:r>
        <w:rPr>
          <w:rFonts w:hint="eastAsia"/>
        </w:rPr>
        <w:t>等</w:t>
      </w:r>
      <w:r>
        <w:t>。项目在1号地块和2号地块分别设置一般固废暂存间（1#一般固废暂存间和2#一般固废暂存间），满足相应防渗漏、防雨淋、防扬尘等环境保护要求。生化池污泥委第三方有资质公司定期清掏，交环卫部门处理；其他一般工业固废分类收集暂存，定期外售物资回收部门综合利用</w:t>
      </w:r>
      <w:r>
        <w:rPr>
          <w:kern w:val="0"/>
        </w:rPr>
        <w:t>。</w:t>
      </w:r>
    </w:p>
    <w:p>
      <w:pPr>
        <w:ind w:firstLine="480"/>
        <w:rPr>
          <w:rFonts w:eastAsia="宋体"/>
          <w:color w:val="000000" w:themeColor="text1"/>
          <w:kern w:val="0"/>
          <w:szCs w:val="24"/>
          <w14:textFill>
            <w14:solidFill>
              <w14:schemeClr w14:val="tx1"/>
            </w14:solidFill>
          </w14:textFill>
        </w:rPr>
      </w:pPr>
      <w:r>
        <w:rPr>
          <w:rFonts w:eastAsia="宋体"/>
          <w:color w:val="000000" w:themeColor="text1"/>
          <w14:textFill>
            <w14:solidFill>
              <w14:schemeClr w14:val="tx1"/>
            </w14:solidFill>
          </w14:textFill>
        </w:rPr>
        <w:t>危险废物主要为废含油金属屑、废切削液、废润滑油、废油桶、废含油棉纱手套等</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项目在1号地块和2号地块分别设置</w:t>
      </w:r>
      <w:r>
        <w:rPr>
          <w:rFonts w:hint="eastAsia" w:eastAsia="宋体"/>
          <w:color w:val="000000" w:themeColor="text1"/>
          <w14:textFill>
            <w14:solidFill>
              <w14:schemeClr w14:val="tx1"/>
            </w14:solidFill>
          </w14:textFill>
        </w:rPr>
        <w:t>危废</w:t>
      </w:r>
      <w:r>
        <w:rPr>
          <w:rFonts w:eastAsia="宋体"/>
          <w:color w:val="000000" w:themeColor="text1"/>
          <w14:textFill>
            <w14:solidFill>
              <w14:schemeClr w14:val="tx1"/>
            </w14:solidFill>
          </w14:textFill>
        </w:rPr>
        <w:t>暂存间（1#</w:t>
      </w:r>
      <w:r>
        <w:rPr>
          <w:rFonts w:hint="eastAsia" w:eastAsia="宋体"/>
          <w:color w:val="000000" w:themeColor="text1"/>
          <w14:textFill>
            <w14:solidFill>
              <w14:schemeClr w14:val="tx1"/>
            </w14:solidFill>
          </w14:textFill>
        </w:rPr>
        <w:t>危废</w:t>
      </w:r>
      <w:r>
        <w:rPr>
          <w:rFonts w:eastAsia="宋体"/>
          <w:color w:val="000000" w:themeColor="text1"/>
          <w14:textFill>
            <w14:solidFill>
              <w14:schemeClr w14:val="tx1"/>
            </w14:solidFill>
          </w14:textFill>
        </w:rPr>
        <w:t>暂存间和2#</w:t>
      </w:r>
      <w:r>
        <w:rPr>
          <w:rFonts w:hint="eastAsia" w:eastAsia="宋体"/>
          <w:color w:val="000000" w:themeColor="text1"/>
          <w14:textFill>
            <w14:solidFill>
              <w14:schemeClr w14:val="tx1"/>
            </w14:solidFill>
          </w14:textFill>
        </w:rPr>
        <w:t>危废</w:t>
      </w:r>
      <w:r>
        <w:rPr>
          <w:rFonts w:eastAsia="宋体"/>
          <w:color w:val="000000" w:themeColor="text1"/>
          <w14:textFill>
            <w14:solidFill>
              <w14:schemeClr w14:val="tx1"/>
            </w14:solidFill>
          </w14:textFill>
        </w:rPr>
        <w:t>暂存间）</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危废暂存间将按照《危险废物贮存污染控制标准》</w:t>
      </w:r>
      <w:r>
        <w:rPr>
          <w:rFonts w:hint="eastAsia" w:eastAsia="宋体"/>
          <w:color w:val="000000" w:themeColor="text1"/>
          <w:lang w:eastAsia="zh-CN"/>
          <w14:textFill>
            <w14:solidFill>
              <w14:schemeClr w14:val="tx1"/>
            </w14:solidFill>
          </w14:textFill>
        </w:rPr>
        <w:t>（</w:t>
      </w:r>
      <w:r>
        <w:rPr>
          <w:rFonts w:eastAsia="宋体"/>
          <w:color w:val="000000" w:themeColor="text1"/>
          <w14:textFill>
            <w14:solidFill>
              <w14:schemeClr w14:val="tx1"/>
            </w14:solidFill>
          </w14:textFill>
        </w:rPr>
        <w:t>GB18579-2023</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等相关要求，做好“防风、防雨、防晒、防渗、防腐、防漏”</w:t>
      </w:r>
      <w:r>
        <w:rPr>
          <w:rFonts w:hint="eastAsia" w:eastAsia="宋体"/>
          <w:color w:val="000000" w:themeColor="text1"/>
          <w14:textFill>
            <w14:solidFill>
              <w14:schemeClr w14:val="tx1"/>
            </w14:solidFill>
          </w14:textFill>
        </w:rPr>
        <w:t>六防措施</w:t>
      </w:r>
      <w:r>
        <w:rPr>
          <w:rFonts w:eastAsia="宋体"/>
          <w:color w:val="000000" w:themeColor="text1"/>
          <w14:textFill>
            <w14:solidFill>
              <w14:schemeClr w14:val="tx1"/>
            </w14:solidFill>
          </w14:textFill>
        </w:rPr>
        <w:t>，设置防漏托盘，并设置收集沟和收集井。对危险废物进行分区暂存，委托有资质单位处理</w:t>
      </w:r>
      <w:r>
        <w:rPr>
          <w:rFonts w:eastAsia="宋体"/>
          <w:color w:val="000000" w:themeColor="text1"/>
          <w:kern w:val="0"/>
          <w:szCs w:val="24"/>
          <w14:textFill>
            <w14:solidFill>
              <w14:schemeClr w14:val="tx1"/>
            </w14:solidFill>
          </w14:textFill>
        </w:rPr>
        <w:t>。</w:t>
      </w:r>
    </w:p>
    <w:p>
      <w:pPr>
        <w:keepNext/>
        <w:keepLines/>
        <w:adjustRightInd w:val="0"/>
        <w:outlineLvl w:val="2"/>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9.1.6环境风险分析结论</w:t>
      </w:r>
      <w:bookmarkEnd w:id="293"/>
      <w:bookmarkEnd w:id="294"/>
      <w:bookmarkEnd w:id="295"/>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本项目运营期可能产生一定的风险影响，采取本环评提出的环境风险防范措施后，风险事故发生概率很低，对环境的影响可得到有效控制，对环境影响较小。因此，本项目风险水平是可以接受的。</w:t>
      </w:r>
      <w:bookmarkStart w:id="296" w:name="_Toc29422"/>
      <w:bookmarkStart w:id="297" w:name="_Toc490235626"/>
      <w:bookmarkStart w:id="298" w:name="_Toc489281123"/>
    </w:p>
    <w:p>
      <w:pPr>
        <w:keepNext/>
        <w:keepLines/>
        <w:adjustRightInd w:val="0"/>
        <w:outlineLvl w:val="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9.1.7公众参与</w:t>
      </w:r>
      <w:bookmarkEnd w:id="296"/>
      <w:bookmarkEnd w:id="297"/>
      <w:bookmarkEnd w:id="298"/>
    </w:p>
    <w:p>
      <w:pPr>
        <w:ind w:firstLine="480"/>
        <w:rPr>
          <w:rFonts w:eastAsia="宋体"/>
          <w:color w:val="000000" w:themeColor="text1"/>
          <w:szCs w:val="24"/>
          <w14:textFill>
            <w14:solidFill>
              <w14:schemeClr w14:val="tx1"/>
            </w14:solidFill>
          </w14:textFill>
        </w:rPr>
      </w:pPr>
      <w:bookmarkStart w:id="299" w:name="_Toc490235628"/>
      <w:bookmarkStart w:id="300" w:name="_Toc32497"/>
      <w:bookmarkStart w:id="301" w:name="_Toc489281125"/>
      <w:r>
        <w:rPr>
          <w:rFonts w:eastAsia="宋体"/>
          <w:color w:val="000000" w:themeColor="text1"/>
          <w:szCs w:val="24"/>
          <w14:textFill>
            <w14:solidFill>
              <w14:schemeClr w14:val="tx1"/>
            </w14:solidFill>
          </w14:textFill>
        </w:rPr>
        <w:t>建设单位于2023年11月</w:t>
      </w:r>
      <w:r>
        <w:rPr>
          <w:rFonts w:hint="eastAsia" w:eastAsia="宋体"/>
          <w:color w:val="000000" w:themeColor="text1"/>
          <w:szCs w:val="24"/>
          <w14:textFill>
            <w14:solidFill>
              <w14:schemeClr w14:val="tx1"/>
            </w14:solidFill>
          </w14:textFill>
        </w:rPr>
        <w:t>6</w:t>
      </w:r>
      <w:r>
        <w:rPr>
          <w:rFonts w:eastAsia="宋体"/>
          <w:color w:val="000000" w:themeColor="text1"/>
          <w:szCs w:val="24"/>
          <w14:textFill>
            <w14:solidFill>
              <w14:schemeClr w14:val="tx1"/>
            </w14:solidFill>
          </w14:textFill>
        </w:rPr>
        <w:t>日在</w:t>
      </w:r>
      <w:r>
        <w:rPr>
          <w:rFonts w:hint="eastAsia" w:eastAsia="宋体"/>
          <w:color w:val="000000" w:themeColor="text1"/>
          <w:szCs w:val="24"/>
          <w14:textFill>
            <w14:solidFill>
              <w14:schemeClr w14:val="tx1"/>
            </w14:solidFill>
          </w14:textFill>
        </w:rPr>
        <w:t>重庆市大足区人民政府（</w:t>
      </w:r>
      <w:r>
        <w:rPr>
          <w:rFonts w:eastAsia="宋体"/>
          <w:color w:val="000000" w:themeColor="text1"/>
          <w:szCs w:val="24"/>
          <w14:textFill>
            <w14:solidFill>
              <w14:schemeClr w14:val="tx1"/>
            </w14:solidFill>
          </w14:textFill>
        </w:rPr>
        <w:t>http://www.dazu.gov.cn/</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上进行了首次信息公示</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于</w:t>
      </w:r>
      <w:r>
        <w:rPr>
          <w:rFonts w:hint="eastAsia" w:eastAsia="宋体"/>
          <w:color w:val="000000" w:themeColor="text1"/>
          <w:szCs w:val="24"/>
          <w14:textFill>
            <w14:solidFill>
              <w14:schemeClr w14:val="tx1"/>
            </w14:solidFill>
          </w14:textFill>
        </w:rPr>
        <w:t>2</w:t>
      </w:r>
      <w:r>
        <w:rPr>
          <w:rFonts w:eastAsia="宋体"/>
          <w:color w:val="000000" w:themeColor="text1"/>
          <w:szCs w:val="24"/>
          <w14:textFill>
            <w14:solidFill>
              <w14:schemeClr w14:val="tx1"/>
            </w14:solidFill>
          </w14:textFill>
        </w:rPr>
        <w:t>024年</w:t>
      </w:r>
      <w:r>
        <w:rPr>
          <w:rFonts w:hint="eastAsia" w:eastAsia="宋体"/>
          <w:color w:val="000000" w:themeColor="text1"/>
          <w:szCs w:val="24"/>
          <w14:textFill>
            <w14:solidFill>
              <w14:schemeClr w14:val="tx1"/>
            </w14:solidFill>
          </w14:textFill>
        </w:rPr>
        <w:t>1月1</w:t>
      </w:r>
      <w:r>
        <w:rPr>
          <w:rFonts w:eastAsia="宋体"/>
          <w:color w:val="000000" w:themeColor="text1"/>
          <w:szCs w:val="24"/>
          <w14:textFill>
            <w14:solidFill>
              <w14:schemeClr w14:val="tx1"/>
            </w14:solidFill>
          </w14:textFill>
        </w:rPr>
        <w:t>1日</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2024年</w:t>
      </w:r>
      <w:r>
        <w:rPr>
          <w:rFonts w:hint="eastAsia" w:eastAsia="宋体"/>
          <w:color w:val="000000" w:themeColor="text1"/>
          <w:szCs w:val="24"/>
          <w14:textFill>
            <w14:solidFill>
              <w14:schemeClr w14:val="tx1"/>
            </w14:solidFill>
          </w14:textFill>
        </w:rPr>
        <w:t>1月1</w:t>
      </w:r>
      <w:r>
        <w:rPr>
          <w:rFonts w:eastAsia="宋体"/>
          <w:color w:val="000000" w:themeColor="text1"/>
          <w:szCs w:val="24"/>
          <w14:textFill>
            <w14:solidFill>
              <w14:schemeClr w14:val="tx1"/>
            </w14:solidFill>
          </w14:textFill>
        </w:rPr>
        <w:t>7</w:t>
      </w:r>
      <w:r>
        <w:rPr>
          <w:rFonts w:hint="eastAsia" w:eastAsia="宋体"/>
          <w:color w:val="000000" w:themeColor="text1"/>
          <w:szCs w:val="24"/>
          <w14:textFill>
            <w14:solidFill>
              <w14:schemeClr w14:val="tx1"/>
            </w14:solidFill>
          </w14:textFill>
        </w:rPr>
        <w:t>日在重庆市大足区人民政府（</w:t>
      </w:r>
      <w:r>
        <w:rPr>
          <w:rFonts w:eastAsia="宋体"/>
          <w:color w:val="000000" w:themeColor="text1"/>
          <w:szCs w:val="24"/>
          <w14:textFill>
            <w14:solidFill>
              <w14:schemeClr w14:val="tx1"/>
            </w14:solidFill>
          </w14:textFill>
        </w:rPr>
        <w:t>http://www.dazu.gov.cn/）进行了征求意见稿公示，同时分别于2024年1月12日和1月15</w:t>
      </w:r>
      <w:r>
        <w:rPr>
          <w:rFonts w:hint="eastAsia" w:eastAsia="宋体"/>
          <w:color w:val="000000" w:themeColor="text1"/>
          <w:szCs w:val="24"/>
          <w14:textFill>
            <w14:solidFill>
              <w14:schemeClr w14:val="tx1"/>
            </w14:solidFill>
          </w14:textFill>
        </w:rPr>
        <w:t>日两次在《重庆晚报》进行了报纸公示；于2</w:t>
      </w:r>
      <w:r>
        <w:rPr>
          <w:rFonts w:eastAsia="宋体"/>
          <w:color w:val="000000" w:themeColor="text1"/>
          <w:szCs w:val="24"/>
          <w14:textFill>
            <w14:solidFill>
              <w14:schemeClr w14:val="tx1"/>
            </w14:solidFill>
          </w14:textFill>
        </w:rPr>
        <w:t>024</w:t>
      </w:r>
      <w:r>
        <w:rPr>
          <w:rFonts w:hint="eastAsia" w:eastAsia="宋体"/>
          <w:color w:val="000000" w:themeColor="text1"/>
          <w:szCs w:val="24"/>
          <w14:textFill>
            <w14:solidFill>
              <w14:schemeClr w14:val="tx1"/>
            </w14:solidFill>
          </w14:textFill>
        </w:rPr>
        <w:t>年1月1</w:t>
      </w:r>
      <w:r>
        <w:rPr>
          <w:rFonts w:eastAsia="宋体"/>
          <w:color w:val="000000" w:themeColor="text1"/>
          <w:szCs w:val="24"/>
          <w14:textFill>
            <w14:solidFill>
              <w14:schemeClr w14:val="tx1"/>
            </w14:solidFill>
          </w14:textFill>
        </w:rPr>
        <w:t>9</w:t>
      </w:r>
      <w:r>
        <w:rPr>
          <w:rFonts w:hint="eastAsia" w:eastAsia="宋体"/>
          <w:color w:val="000000" w:themeColor="text1"/>
          <w:szCs w:val="24"/>
          <w14:textFill>
            <w14:solidFill>
              <w14:schemeClr w14:val="tx1"/>
            </w14:solidFill>
          </w14:textFill>
        </w:rPr>
        <w:t>日在重庆市大足区人民政府（</w:t>
      </w:r>
      <w:r>
        <w:rPr>
          <w:rFonts w:eastAsia="宋体"/>
          <w:color w:val="000000" w:themeColor="text1"/>
          <w:szCs w:val="24"/>
          <w14:textFill>
            <w14:solidFill>
              <w14:schemeClr w14:val="tx1"/>
            </w14:solidFill>
          </w14:textFill>
        </w:rPr>
        <w:t>http://www.dazu.gov.cn/）进行了</w:t>
      </w:r>
      <w:r>
        <w:rPr>
          <w:rFonts w:hint="eastAsia" w:eastAsia="宋体"/>
          <w:color w:val="000000" w:themeColor="text1"/>
          <w:szCs w:val="24"/>
          <w14:textFill>
            <w14:solidFill>
              <w14:schemeClr w14:val="tx1"/>
            </w14:solidFill>
          </w14:textFill>
        </w:rPr>
        <w:t>报批前</w:t>
      </w:r>
      <w:r>
        <w:rPr>
          <w:rFonts w:eastAsia="宋体"/>
          <w:color w:val="000000" w:themeColor="text1"/>
          <w:szCs w:val="24"/>
          <w14:textFill>
            <w14:solidFill>
              <w14:schemeClr w14:val="tx1"/>
            </w14:solidFill>
          </w14:textFill>
        </w:rPr>
        <w:t>公示</w:t>
      </w:r>
      <w:r>
        <w:rPr>
          <w:rFonts w:hint="eastAsia" w:eastAsia="宋体"/>
          <w:color w:val="000000" w:themeColor="text1"/>
          <w:szCs w:val="24"/>
          <w14:textFill>
            <w14:solidFill>
              <w14:schemeClr w14:val="tx1"/>
            </w14:solidFill>
          </w14:textFill>
        </w:rPr>
        <w:t>。公示期间暂未收到与建设项目环境影响有关的意见和建议。</w:t>
      </w:r>
    </w:p>
    <w:p>
      <w:pPr>
        <w:keepNext/>
        <w:keepLines/>
        <w:adjustRightInd w:val="0"/>
        <w:outlineLvl w:val="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9.1.8环境监测与管理</w:t>
      </w:r>
      <w:bookmarkEnd w:id="299"/>
      <w:bookmarkEnd w:id="300"/>
      <w:bookmarkEnd w:id="301"/>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为严格落实本评价提出的各项环境保护措施，建设单位应切实加强该项目在运行期间的环境污染治理能力，强化环境管理，业主应定期委托有监测能力和资质的环境监测单位进行环境监测，以反馈环境污染治理情况，从而促进污染治理措施的改进和完善，确保环境保护目标的实现。</w:t>
      </w:r>
    </w:p>
    <w:p>
      <w:pPr>
        <w:keepNext/>
        <w:keepLines/>
        <w:adjustRightInd w:val="0"/>
        <w:outlineLvl w:val="2"/>
        <w:rPr>
          <w:rFonts w:eastAsia="宋体"/>
          <w:b/>
          <w:bCs/>
          <w:color w:val="000000" w:themeColor="text1"/>
          <w14:textFill>
            <w14:solidFill>
              <w14:schemeClr w14:val="tx1"/>
            </w14:solidFill>
          </w14:textFill>
        </w:rPr>
      </w:pPr>
      <w:bookmarkStart w:id="302" w:name="_Toc25139"/>
      <w:bookmarkStart w:id="303" w:name="_Toc489281126"/>
      <w:bookmarkStart w:id="304" w:name="_Toc490235629"/>
      <w:r>
        <w:rPr>
          <w:rFonts w:eastAsia="宋体"/>
          <w:b/>
          <w:bCs/>
          <w:color w:val="000000" w:themeColor="text1"/>
          <w14:textFill>
            <w14:solidFill>
              <w14:schemeClr w14:val="tx1"/>
            </w14:solidFill>
          </w14:textFill>
        </w:rPr>
        <w:t>9.1.9环境影响经济损益分析</w:t>
      </w:r>
      <w:bookmarkEnd w:id="302"/>
      <w:bookmarkEnd w:id="303"/>
      <w:bookmarkEnd w:id="304"/>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本项目环保投资额为243万元，占本项目总投资2680万元的9.07%。项目环保投资主要集中在废水、废气、固体废物等防治方面。</w:t>
      </w:r>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环境影响经济损益分析结果表明：本项目的环保投资将创造出可观的经济效益，从社会经济角度看，本项目的建设是可行的。</w:t>
      </w:r>
      <w:r>
        <w:rPr>
          <w:rFonts w:hint="eastAsia" w:eastAsia="宋体"/>
          <w:color w:val="000000" w:themeColor="text1"/>
          <w:szCs w:val="24"/>
          <w14:textFill>
            <w14:solidFill>
              <w14:schemeClr w14:val="tx1"/>
            </w14:solidFill>
          </w14:textFill>
        </w:rPr>
        <w:t>企业</w:t>
      </w:r>
      <w:r>
        <w:rPr>
          <w:rFonts w:eastAsia="宋体"/>
          <w:color w:val="000000" w:themeColor="text1"/>
          <w:szCs w:val="24"/>
          <w14:textFill>
            <w14:solidFill>
              <w14:schemeClr w14:val="tx1"/>
            </w14:solidFill>
          </w14:textFill>
        </w:rPr>
        <w:t>采取的环保措施能够取得很好的治理效果，能很好的保护周围环境，做到了以较少的环保投资取得较大的环境效益，其社会、环境、经济效益较为显著。</w:t>
      </w:r>
    </w:p>
    <w:p>
      <w:pPr>
        <w:keepNext/>
        <w:keepLines/>
        <w:adjustRightInd w:val="0"/>
        <w:outlineLvl w:val="2"/>
        <w:rPr>
          <w:rFonts w:eastAsia="宋体"/>
          <w:b/>
          <w:bCs/>
          <w:color w:val="000000" w:themeColor="text1"/>
          <w14:textFill>
            <w14:solidFill>
              <w14:schemeClr w14:val="tx1"/>
            </w14:solidFill>
          </w14:textFill>
        </w:rPr>
      </w:pPr>
      <w:bookmarkStart w:id="305" w:name="_Toc489281127"/>
      <w:bookmarkStart w:id="306" w:name="_Toc24735"/>
      <w:bookmarkStart w:id="307" w:name="_Toc490235630"/>
      <w:r>
        <w:rPr>
          <w:rFonts w:eastAsia="宋体"/>
          <w:b/>
          <w:bCs/>
          <w:color w:val="000000" w:themeColor="text1"/>
          <w14:textFill>
            <w14:solidFill>
              <w14:schemeClr w14:val="tx1"/>
            </w14:solidFill>
          </w14:textFill>
        </w:rPr>
        <w:t>9.1.10环境管理与监测计划</w:t>
      </w:r>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为做好环境管理工作，公司应建立完整的环境管理体系，将环境管理工作自上而下的贯穿到公司的生产管理中。并按照环评提出的监测计划要求委托有环境监测资质的单位开展环境监测工作，并规范项目排污口。</w:t>
      </w:r>
    </w:p>
    <w:p>
      <w:pPr>
        <w:keepNext/>
        <w:keepLines/>
        <w:adjustRightInd w:val="0"/>
        <w:outlineLvl w:val="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9.1.11总量控制</w:t>
      </w:r>
    </w:p>
    <w:p>
      <w:pPr>
        <w:ind w:firstLine="48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本项目排入环境的总量控制指标为：COD（0.537t/a）、氨氮（0.072t/a）、非甲烷总烃</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3.331t/a</w:t>
      </w:r>
      <w:r>
        <w:rPr>
          <w:rFonts w:hint="eastAsia" w:eastAsia="宋体"/>
          <w:color w:val="000000" w:themeColor="text1"/>
          <w:szCs w:val="24"/>
          <w14:textFill>
            <w14:solidFill>
              <w14:schemeClr w14:val="tx1"/>
            </w14:solidFill>
          </w14:textFill>
        </w:rPr>
        <w:t>）、甲苯（0</w:t>
      </w:r>
      <w:r>
        <w:rPr>
          <w:rFonts w:eastAsia="宋体"/>
          <w:color w:val="000000" w:themeColor="text1"/>
          <w:szCs w:val="24"/>
          <w14:textFill>
            <w14:solidFill>
              <w14:schemeClr w14:val="tx1"/>
            </w14:solidFill>
          </w14:textFill>
        </w:rPr>
        <w:t>.437</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a）、二甲苯（0</w:t>
      </w:r>
      <w:r>
        <w:rPr>
          <w:rFonts w:eastAsia="宋体"/>
          <w:color w:val="000000" w:themeColor="text1"/>
          <w:szCs w:val="24"/>
          <w14:textFill>
            <w14:solidFill>
              <w14:schemeClr w14:val="tx1"/>
            </w14:solidFill>
          </w14:textFill>
        </w:rPr>
        <w:t>.160</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a）、颗粒物（6</w:t>
      </w:r>
      <w:r>
        <w:rPr>
          <w:rFonts w:eastAsia="宋体"/>
          <w:color w:val="000000" w:themeColor="text1"/>
          <w:szCs w:val="24"/>
          <w14:textFill>
            <w14:solidFill>
              <w14:schemeClr w14:val="tx1"/>
            </w14:solidFill>
          </w14:textFill>
        </w:rPr>
        <w:t>.21</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a）</w:t>
      </w:r>
      <w:r>
        <w:rPr>
          <w:rFonts w:eastAsia="宋体"/>
          <w:color w:val="000000" w:themeColor="text1"/>
          <w:szCs w:val="24"/>
          <w14:textFill>
            <w14:solidFill>
              <w14:schemeClr w14:val="tx1"/>
            </w14:solidFill>
          </w14:textFill>
        </w:rPr>
        <w:t>。</w:t>
      </w:r>
    </w:p>
    <w:p>
      <w:pPr>
        <w:keepNext/>
        <w:keepLines/>
        <w:adjustRightInd w:val="0"/>
        <w:outlineLvl w:val="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9.1.12综合结论</w:t>
      </w:r>
      <w:bookmarkEnd w:id="305"/>
      <w:bookmarkEnd w:id="306"/>
      <w:bookmarkEnd w:id="307"/>
    </w:p>
    <w:p>
      <w:pPr>
        <w:ind w:firstLine="480"/>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重庆航鑫新型建材有限公司年产3万吨钢桥建设项目</w:t>
      </w:r>
      <w:r>
        <w:rPr>
          <w:rFonts w:eastAsia="宋体"/>
          <w:color w:val="000000" w:themeColor="text1"/>
          <w:szCs w:val="24"/>
          <w14:textFill>
            <w14:solidFill>
              <w14:schemeClr w14:val="tx1"/>
            </w14:solidFill>
          </w14:textFill>
        </w:rPr>
        <w:t>，符合国家和重庆市</w:t>
      </w:r>
      <w:r>
        <w:rPr>
          <w:rFonts w:hint="eastAsia" w:eastAsia="宋体"/>
          <w:color w:val="000000" w:themeColor="text1"/>
          <w:szCs w:val="24"/>
          <w14:textFill>
            <w14:solidFill>
              <w14:schemeClr w14:val="tx1"/>
            </w14:solidFill>
          </w14:textFill>
        </w:rPr>
        <w:t>现行</w:t>
      </w:r>
      <w:r>
        <w:rPr>
          <w:rFonts w:eastAsia="宋体"/>
          <w:color w:val="000000" w:themeColor="text1"/>
          <w:szCs w:val="24"/>
          <w14:textFill>
            <w14:solidFill>
              <w14:schemeClr w14:val="tx1"/>
            </w14:solidFill>
          </w14:textFill>
        </w:rPr>
        <w:t>的相关产业政策及环保政策，工程建设后可取得良好的环境效益、社会效益和经济效益。本项目为污染型建设项目，工程建成投产后将产生废水、废气、噪声及固废，在采取严格的污染控制措施后，对环境影响较小，并能为环境所接受。从环境保护角度分析，本项目建设可行。</w:t>
      </w:r>
    </w:p>
    <w:p>
      <w:pPr>
        <w:pStyle w:val="179"/>
        <w:rPr>
          <w:rFonts w:eastAsia="宋体"/>
          <w:color w:val="000000" w:themeColor="text1"/>
          <w14:textFill>
            <w14:solidFill>
              <w14:schemeClr w14:val="tx1"/>
            </w14:solidFill>
          </w14:textFill>
        </w:rPr>
      </w:pPr>
      <w:bookmarkStart w:id="308" w:name="_Toc16880"/>
      <w:bookmarkStart w:id="309" w:name="_Toc155271454"/>
      <w:r>
        <w:rPr>
          <w:rFonts w:eastAsia="宋体"/>
          <w:color w:val="000000" w:themeColor="text1"/>
          <w14:textFill>
            <w14:solidFill>
              <w14:schemeClr w14:val="tx1"/>
            </w14:solidFill>
          </w14:textFill>
        </w:rPr>
        <w:t>9.2建议</w:t>
      </w:r>
      <w:bookmarkEnd w:id="308"/>
      <w:bookmarkEnd w:id="309"/>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（1）建设单位应认真贯彻执行有关建设项目环境保护管理文件的精神，建立健全的各项环境保护规章制度，严格实行“三同时”政策，即污染治理设施要同主项目同时设计、同时建设、同时投产。</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（2）定期检修设备，“三废”治理应有专人管理，并向当地</w:t>
      </w:r>
      <w:r>
        <w:rPr>
          <w:rFonts w:hint="eastAsia" w:eastAsia="宋体"/>
          <w:color w:val="000000" w:themeColor="text1"/>
          <w:szCs w:val="24"/>
          <w14:textFill>
            <w14:solidFill>
              <w14:schemeClr w14:val="tx1"/>
            </w14:solidFill>
          </w14:textFill>
        </w:rPr>
        <w:t>生态环境</w:t>
      </w:r>
      <w:r>
        <w:rPr>
          <w:rFonts w:eastAsia="宋体"/>
          <w:color w:val="000000" w:themeColor="text1"/>
          <w:szCs w:val="24"/>
          <w14:textFill>
            <w14:solidFill>
              <w14:schemeClr w14:val="tx1"/>
            </w14:solidFill>
          </w14:textFill>
        </w:rPr>
        <w:t>主管部门定期上报“三废”处理情况。</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（3）关心并积极听取可能受项目环境影响的单位的反映，接受当地</w:t>
      </w:r>
      <w:r>
        <w:rPr>
          <w:rFonts w:hint="eastAsia" w:eastAsia="宋体"/>
          <w:color w:val="000000" w:themeColor="text1"/>
          <w:szCs w:val="24"/>
          <w14:textFill>
            <w14:solidFill>
              <w14:schemeClr w14:val="tx1"/>
            </w14:solidFill>
          </w14:textFill>
        </w:rPr>
        <w:t>生态环境</w:t>
      </w:r>
      <w:r>
        <w:rPr>
          <w:rFonts w:eastAsia="宋体"/>
          <w:color w:val="000000" w:themeColor="text1"/>
          <w:szCs w:val="24"/>
          <w14:textFill>
            <w14:solidFill>
              <w14:schemeClr w14:val="tx1"/>
            </w14:solidFill>
          </w14:textFill>
        </w:rPr>
        <w:t>部门的监督和管理。</w:t>
      </w:r>
    </w:p>
    <w:p>
      <w:pPr>
        <w:ind w:firstLine="480"/>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（4）今后若企业的生产工艺发生变化或生产规模扩大，或者利用厂区从事其它生产活动都必须重新进行环境影响评价，并征得生态环境部门审批同意后方可实施。</w:t>
      </w:r>
    </w:p>
    <w:sectPr>
      <w:pgSz w:w="11906" w:h="16838"/>
      <w:pgMar w:top="1440" w:right="1675"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华文楷体">
    <w:altName w:val="楷体_GB2312"/>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00"/>
    <w:family w:val="auto"/>
    <w:pitch w:val="default"/>
    <w:sig w:usb0="00000000" w:usb1="00000000" w:usb2="00000000" w:usb3="00000000" w:csb0="00040001" w:csb1="00000000"/>
  </w:font>
  <w:font w:name="Dutch801 Rm BT">
    <w:altName w:val="Times New Roman"/>
    <w:panose1 w:val="02020603060505020304"/>
    <w:charset w:val="00"/>
    <w:family w:val="roman"/>
    <w:pitch w:val="default"/>
    <w:sig w:usb0="00000000" w:usb1="00000000" w:usb2="00000000" w:usb3="00000000" w:csb0="0000001B" w:csb1="00000000"/>
  </w:font>
  <w:font w:name="微软雅黑">
    <w:panose1 w:val="020B0503020204020204"/>
    <w:charset w:val="86"/>
    <w:family w:val="swiss"/>
    <w:pitch w:val="default"/>
    <w:sig w:usb0="80000287" w:usb1="280F3C52" w:usb2="00000016" w:usb3="00000000" w:csb0="0004001F" w:csb1="00000000"/>
  </w:font>
  <w:font w:name="???? Bold">
    <w:altName w:val="Times New Roman"/>
    <w:panose1 w:val="00000000000000000000"/>
    <w:charset w:val="00"/>
    <w:family w:val="auto"/>
    <w:pitch w:val="default"/>
    <w:sig w:usb0="00000000" w:usb1="00000000" w:usb2="00000000" w:usb3="00000000" w:csb0="00000001" w:csb1="00000000"/>
  </w:font>
  <w:font w:name="???? Regular">
    <w:altName w:val="Segoe Print"/>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Garamond">
    <w:altName w:val="PMingLiU-ExtB"/>
    <w:panose1 w:val="02020404030301010803"/>
    <w:charset w:val="00"/>
    <w:family w:val="roman"/>
    <w:pitch w:val="default"/>
    <w:sig w:usb0="00000000" w:usb1="00000000" w:usb2="00000000" w:usb3="00000000" w:csb0="0000009F" w:csb1="00000000"/>
  </w:font>
  <w:font w:name="News Gothic MT">
    <w:altName w:val="Segoe Print"/>
    <w:panose1 w:val="00000000000000000000"/>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方正楷体简体">
    <w:panose1 w:val="03000509000000000000"/>
    <w:charset w:val="86"/>
    <w:family w:val="script"/>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文鼎大标宋简">
    <w:altName w:val="宋体"/>
    <w:panose1 w:val="00000000000000000000"/>
    <w:charset w:val="86"/>
    <w:family w:val="modern"/>
    <w:pitch w:val="default"/>
    <w:sig w:usb0="00000000" w:usb1="00000000" w:usb2="00000010" w:usb3="00000000" w:csb0="00040000" w:csb1="00000000"/>
  </w:font>
  <w:font w:name="方正宋三简体">
    <w:altName w:val="黑体"/>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MingLiU">
    <w:panose1 w:val="02020509000000000000"/>
    <w:charset w:val="88"/>
    <w:family w:val="modern"/>
    <w:pitch w:val="default"/>
    <w:sig w:usb0="A00002FF" w:usb1="28CFFCFA" w:usb2="00000016" w:usb3="00000000" w:csb0="00100001" w:csb1="00000000"/>
  </w:font>
  <w:font w:name="ө">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_GB2312">
    <w:altName w:val="Times New Roman"/>
    <w:panose1 w:val="00000000000000000000"/>
    <w:charset w:val="00"/>
    <w:family w:val="roman"/>
    <w:pitch w:val="default"/>
    <w:sig w:usb0="00000000" w:usb1="00000000" w:usb2="00000000" w:usb3="00000000" w:csb0="00040001" w:csb1="00000000"/>
  </w:font>
  <w:font w:name="华文行楷">
    <w:panose1 w:val="02010800040101010101"/>
    <w:charset w:val="86"/>
    <w:family w:val="auto"/>
    <w:pitch w:val="default"/>
    <w:sig w:usb0="00000001" w:usb1="080F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仿宋体">
    <w:altName w:val="宋体"/>
    <w:panose1 w:val="00000000000000000000"/>
    <w:charset w:val="86"/>
    <w:family w:val="roman"/>
    <w:pitch w:val="default"/>
    <w:sig w:usb0="00000000" w:usb1="00000000" w:usb2="00000010" w:usb3="00000000" w:csb0="00040000" w:csb1="00000000"/>
  </w:font>
  <w:font w:name="Romantic">
    <w:altName w:val="Segoe Print"/>
    <w:panose1 w:val="00000400000000000000"/>
    <w:charset w:val="02"/>
    <w:family w:val="auto"/>
    <w:pitch w:val="default"/>
    <w:sig w:usb0="00000000" w:usb1="00000000" w:usb2="00000000" w:usb3="00000000" w:csb0="80000000" w:csb1="00000000"/>
  </w:font>
  <w:font w:name="Sim Sun">
    <w:altName w:val="宋体"/>
    <w:panose1 w:val="00000000000000000000"/>
    <w:charset w:val="86"/>
    <w:family w:val="swiss"/>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昆仑楷体">
    <w:altName w:val="黑体"/>
    <w:panose1 w:val="00000000000000000000"/>
    <w:charset w:val="86"/>
    <w:family w:val="modern"/>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DF Kai Shu">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DFKai-SB">
    <w:panose1 w:val="03000509000000000000"/>
    <w:charset w:val="88"/>
    <w:family w:val="script"/>
    <w:pitch w:val="default"/>
    <w:sig w:usb0="00000003" w:usb1="082E0000" w:usb2="00000016" w:usb3="00000000" w:csb0="00100001" w:csb1="00000000"/>
  </w:font>
  <w:font w:name="Courier">
    <w:altName w:val="Courier New"/>
    <w:panose1 w:val="02070409020205020404"/>
    <w:charset w:val="00"/>
    <w:family w:val="moder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Liberation Sans">
    <w:altName w:val="Arial"/>
    <w:panose1 w:val="00000000000000000000"/>
    <w:charset w:val="01"/>
    <w:family w:val="swiss"/>
    <w:pitch w:val="default"/>
    <w:sig w:usb0="00000000" w:usb1="00000000" w:usb2="00000000" w:usb3="00000000" w:csb0="00040001" w:csb1="00000000"/>
  </w:font>
  <w:font w:name="思源黑体 CN Regular">
    <w:altName w:val="黑体"/>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華康仿宋體">
    <w:altName w:val="Microsoft JhengHei"/>
    <w:panose1 w:val="00000000000000000000"/>
    <w:charset w:val="88"/>
    <w:family w:val="modern"/>
    <w:pitch w:val="default"/>
    <w:sig w:usb0="00000000" w:usb1="00000000" w:usb2="00000010" w:usb3="00000000" w:csb0="00100000" w:csb1="00000000"/>
  </w:font>
  <w:font w:name="Cordia New">
    <w:panose1 w:val="020B0304020202020204"/>
    <w:charset w:val="DE"/>
    <w:family w:val="roman"/>
    <w:pitch w:val="default"/>
    <w:sig w:usb0="81000003" w:usb1="00000000" w:usb2="00000000" w:usb3="00000000" w:csb0="00010001" w:csb1="00000000"/>
  </w:font>
  <w:font w:name="Sim Sun+ 2">
    <w:altName w:val="宋体"/>
    <w:panose1 w:val="00000000000000000000"/>
    <w:charset w:val="86"/>
    <w:family w:val="swiss"/>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0000009F" w:csb1="00000000"/>
  </w:font>
  <w:font w:name="MS Mincho">
    <w:panose1 w:val="02020609040205080304"/>
    <w:charset w:val="80"/>
    <w:family w:val="modern"/>
    <w:pitch w:val="default"/>
    <w:sig w:usb0="E00002FF" w:usb1="6AC7FDFB" w:usb2="00000012" w:usb3="00000000" w:csb0="4002009F" w:csb1="DFD70000"/>
  </w:font>
  <w:font w:name="华文新魏">
    <w:panose1 w:val="02010800040101010101"/>
    <w:charset w:val="86"/>
    <w:family w:val="auto"/>
    <w:pitch w:val="default"/>
    <w:sig w:usb0="00000001" w:usb1="080F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1"/>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022545"/>
      <w:docPartObj>
        <w:docPartGallery w:val="AutoText"/>
      </w:docPartObj>
    </w:sdtPr>
    <w:sdtContent>
      <w:p>
        <w:pPr>
          <w:pStyle w:val="56"/>
          <w:jc w:val="center"/>
        </w:pPr>
        <w:r>
          <w:fldChar w:fldCharType="begin"/>
        </w:r>
        <w:r>
          <w:instrText xml:space="preserve">PAGE   \* MERGEFORMAT</w:instrText>
        </w:r>
        <w:r>
          <w:fldChar w:fldCharType="separate"/>
        </w:r>
        <w:r>
          <w:rPr>
            <w:lang w:val="zh-CN"/>
          </w:rPr>
          <w:t>161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宋体" w:hAnsi="宋体" w:eastAsia="宋体"/>
        <w:sz w:val="21"/>
        <w:szCs w:val="21"/>
      </w:rPr>
    </w:pPr>
    <w:r>
      <w:rPr>
        <w:rFonts w:hint="eastAsia" w:ascii="宋体" w:hAnsi="宋体" w:eastAsia="宋体"/>
        <w:sz w:val="21"/>
        <w:szCs w:val="21"/>
      </w:rPr>
      <w:t>重庆航鑫新型建材有限公司年产3万吨钢桥建设项目环境影响报告书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宋体" w:hAnsi="宋体" w:eastAsia="宋体"/>
        <w:sz w:val="21"/>
        <w:szCs w:val="21"/>
      </w:rPr>
    </w:pPr>
    <w:r>
      <w:rPr>
        <w:rFonts w:hint="eastAsia" w:ascii="宋体" w:hAnsi="宋体" w:eastAsia="宋体"/>
        <w:sz w:val="21"/>
        <w:szCs w:val="21"/>
      </w:rPr>
      <w:t>重庆航鑫新型建材有限公司年产3万吨钢桥建设项目环境影响报告书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
    <w:nsid w:val="04920192"/>
    <w:multiLevelType w:val="multilevel"/>
    <w:tmpl w:val="04920192"/>
    <w:lvl w:ilvl="0" w:tentative="0">
      <w:start w:val="1"/>
      <w:numFmt w:val="decimal"/>
      <w:pStyle w:val="646"/>
      <w:lvlText w:val="表19.1-%1"/>
      <w:lvlJc w:val="center"/>
      <w:pPr>
        <w:tabs>
          <w:tab w:val="left" w:pos="720"/>
        </w:tabs>
        <w:ind w:left="-4" w:firstLine="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6DD73A5"/>
    <w:multiLevelType w:val="multilevel"/>
    <w:tmpl w:val="06DD73A5"/>
    <w:lvl w:ilvl="0" w:tentative="0">
      <w:start w:val="1"/>
      <w:numFmt w:val="decimal"/>
      <w:pStyle w:val="2886"/>
      <w:suff w:val="space"/>
      <w:lvlText w:val="%1"/>
      <w:lvlJc w:val="center"/>
      <w:pPr>
        <w:ind w:left="0" w:firstLine="0"/>
      </w:pPr>
      <w:rPr>
        <w:rFonts w:hint="eastAsia"/>
      </w:rPr>
    </w:lvl>
    <w:lvl w:ilvl="1" w:tentative="0">
      <w:start w:val="1"/>
      <w:numFmt w:val="decimal"/>
      <w:pStyle w:val="2884"/>
      <w:suff w:val="space"/>
      <w:lvlText w:val="%1.%2"/>
      <w:lvlJc w:val="left"/>
      <w:pPr>
        <w:ind w:left="0" w:firstLine="0"/>
      </w:pPr>
      <w:rPr>
        <w:rFonts w:hint="eastAsia"/>
      </w:rPr>
    </w:lvl>
    <w:lvl w:ilvl="2" w:tentative="0">
      <w:start w:val="1"/>
      <w:numFmt w:val="decimal"/>
      <w:pStyle w:val="2885"/>
      <w:suff w:val="space"/>
      <w:lvlText w:val="%1.%2.%3"/>
      <w:lvlJc w:val="left"/>
      <w:pPr>
        <w:ind w:left="283" w:firstLine="0"/>
      </w:pPr>
      <w:rPr>
        <w:rFonts w:hint="default" w:ascii="Times New Roman" w:hAnsi="Times New Roman"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2887"/>
      <w:suff w:val="nothing"/>
      <w:lvlText w:val="%1.%2.%3.%4"/>
      <w:lvlJc w:val="left"/>
      <w:pPr>
        <w:ind w:left="0" w:firstLine="0"/>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3">
    <w:nsid w:val="1ACE7AD3"/>
    <w:multiLevelType w:val="multilevel"/>
    <w:tmpl w:val="1ACE7AD3"/>
    <w:lvl w:ilvl="0" w:tentative="0">
      <w:start w:val="1"/>
      <w:numFmt w:val="bullet"/>
      <w:pStyle w:val="608"/>
      <w:lvlText w:val=""/>
      <w:lvlJc w:val="left"/>
      <w:pPr>
        <w:tabs>
          <w:tab w:val="left" w:pos="1701"/>
        </w:tabs>
        <w:ind w:left="1701" w:hanging="567"/>
      </w:pPr>
      <w:rPr>
        <w:rFonts w:hint="default" w:ascii="Wingdings" w:hAnsi="Wingdings" w:eastAsia="黑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B611AD7"/>
    <w:multiLevelType w:val="multilevel"/>
    <w:tmpl w:val="1B611AD7"/>
    <w:lvl w:ilvl="0" w:tentative="0">
      <w:start w:val="1"/>
      <w:numFmt w:val="bullet"/>
      <w:pStyle w:val="586"/>
      <w:lvlText w:val="–"/>
      <w:lvlJc w:val="left"/>
      <w:pPr>
        <w:tabs>
          <w:tab w:val="left" w:pos="1375"/>
        </w:tabs>
        <w:ind w:left="1375" w:hanging="283"/>
      </w:pPr>
      <w:rPr>
        <w:rFonts w:hint="eastAsia" w:ascii="News Gothic MT" w:hAnsi="News Gothic MT" w:eastAsia="News Gothic MT"/>
        <w:b w:val="0"/>
        <w:i/>
        <w:sz w:val="21"/>
        <w:szCs w:val="21"/>
      </w:rPr>
    </w:lvl>
    <w:lvl w:ilvl="1" w:tentative="0">
      <w:start w:val="1"/>
      <w:numFmt w:val="bullet"/>
      <w:lvlText w:val=""/>
      <w:lvlJc w:val="left"/>
      <w:pPr>
        <w:tabs>
          <w:tab w:val="left" w:pos="1179"/>
        </w:tabs>
        <w:ind w:left="1179" w:hanging="420"/>
      </w:pPr>
      <w:rPr>
        <w:rFonts w:hint="default" w:ascii="Wingdings" w:hAnsi="Wingdings"/>
      </w:rPr>
    </w:lvl>
    <w:lvl w:ilvl="2" w:tentative="0">
      <w:start w:val="1"/>
      <w:numFmt w:val="bullet"/>
      <w:lvlText w:val=""/>
      <w:lvlJc w:val="left"/>
      <w:pPr>
        <w:tabs>
          <w:tab w:val="left" w:pos="1599"/>
        </w:tabs>
        <w:ind w:left="1599" w:hanging="420"/>
      </w:pPr>
      <w:rPr>
        <w:rFonts w:hint="default" w:ascii="Wingdings" w:hAnsi="Wingdings"/>
      </w:rPr>
    </w:lvl>
    <w:lvl w:ilvl="3" w:tentative="0">
      <w:start w:val="1"/>
      <w:numFmt w:val="bullet"/>
      <w:lvlText w:val=""/>
      <w:lvlJc w:val="left"/>
      <w:pPr>
        <w:tabs>
          <w:tab w:val="left" w:pos="2019"/>
        </w:tabs>
        <w:ind w:left="2019" w:hanging="420"/>
      </w:pPr>
      <w:rPr>
        <w:rFonts w:hint="default" w:ascii="Wingdings" w:hAnsi="Wingdings"/>
      </w:rPr>
    </w:lvl>
    <w:lvl w:ilvl="4" w:tentative="0">
      <w:start w:val="1"/>
      <w:numFmt w:val="bullet"/>
      <w:lvlText w:val=""/>
      <w:lvlJc w:val="left"/>
      <w:pPr>
        <w:tabs>
          <w:tab w:val="left" w:pos="2439"/>
        </w:tabs>
        <w:ind w:left="2439" w:hanging="420"/>
      </w:pPr>
      <w:rPr>
        <w:rFonts w:hint="default" w:ascii="Wingdings" w:hAnsi="Wingdings"/>
      </w:rPr>
    </w:lvl>
    <w:lvl w:ilvl="5" w:tentative="0">
      <w:start w:val="1"/>
      <w:numFmt w:val="bullet"/>
      <w:lvlText w:val=""/>
      <w:lvlJc w:val="left"/>
      <w:pPr>
        <w:tabs>
          <w:tab w:val="left" w:pos="2859"/>
        </w:tabs>
        <w:ind w:left="2859" w:hanging="420"/>
      </w:pPr>
      <w:rPr>
        <w:rFonts w:hint="default" w:ascii="Wingdings" w:hAnsi="Wingdings"/>
      </w:rPr>
    </w:lvl>
    <w:lvl w:ilvl="6" w:tentative="0">
      <w:start w:val="1"/>
      <w:numFmt w:val="bullet"/>
      <w:lvlText w:val=""/>
      <w:lvlJc w:val="left"/>
      <w:pPr>
        <w:tabs>
          <w:tab w:val="left" w:pos="3279"/>
        </w:tabs>
        <w:ind w:left="3279" w:hanging="420"/>
      </w:pPr>
      <w:rPr>
        <w:rFonts w:hint="default" w:ascii="Wingdings" w:hAnsi="Wingdings"/>
      </w:rPr>
    </w:lvl>
    <w:lvl w:ilvl="7" w:tentative="0">
      <w:start w:val="1"/>
      <w:numFmt w:val="bullet"/>
      <w:lvlText w:val=""/>
      <w:lvlJc w:val="left"/>
      <w:pPr>
        <w:tabs>
          <w:tab w:val="left" w:pos="3699"/>
        </w:tabs>
        <w:ind w:left="3699" w:hanging="420"/>
      </w:pPr>
      <w:rPr>
        <w:rFonts w:hint="default" w:ascii="Wingdings" w:hAnsi="Wingdings"/>
      </w:rPr>
    </w:lvl>
    <w:lvl w:ilvl="8" w:tentative="0">
      <w:start w:val="1"/>
      <w:numFmt w:val="bullet"/>
      <w:lvlText w:val=""/>
      <w:lvlJc w:val="left"/>
      <w:pPr>
        <w:tabs>
          <w:tab w:val="left" w:pos="4119"/>
        </w:tabs>
        <w:ind w:left="4119" w:hanging="420"/>
      </w:pPr>
      <w:rPr>
        <w:rFonts w:hint="default" w:ascii="Wingdings" w:hAnsi="Wingdings"/>
      </w:rPr>
    </w:lvl>
  </w:abstractNum>
  <w:abstractNum w:abstractNumId="5">
    <w:nsid w:val="554D2604"/>
    <w:multiLevelType w:val="multilevel"/>
    <w:tmpl w:val="554D2604"/>
    <w:lvl w:ilvl="0" w:tentative="0">
      <w:start w:val="1"/>
      <w:numFmt w:val="chineseCountingThousand"/>
      <w:lvlText w:val="(%1)、"/>
      <w:lvlJc w:val="left"/>
      <w:pPr>
        <w:ind w:left="968" w:hanging="420"/>
      </w:pPr>
      <w:rPr>
        <w:rFonts w:hint="eastAsia"/>
      </w:rPr>
    </w:lvl>
    <w:lvl w:ilvl="1" w:tentative="0">
      <w:start w:val="1"/>
      <w:numFmt w:val="lowerLetter"/>
      <w:pStyle w:val="62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64858DC"/>
    <w:multiLevelType w:val="multilevel"/>
    <w:tmpl w:val="564858DC"/>
    <w:lvl w:ilvl="0" w:tentative="0">
      <w:start w:val="1"/>
      <w:numFmt w:val="decimal"/>
      <w:pStyle w:val="661"/>
      <w:lvlText w:val="（%1）"/>
      <w:lvlJc w:val="left"/>
      <w:pPr>
        <w:tabs>
          <w:tab w:val="left" w:pos="1152"/>
        </w:tabs>
        <w:ind w:left="1152" w:hanging="58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DD598F1"/>
    <w:multiLevelType w:val="singleLevel"/>
    <w:tmpl w:val="5DD598F1"/>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8">
    <w:nsid w:val="65921ADF"/>
    <w:multiLevelType w:val="singleLevel"/>
    <w:tmpl w:val="65921ADF"/>
    <w:lvl w:ilvl="0" w:tentative="0">
      <w:start w:val="1"/>
      <w:numFmt w:val="decimal"/>
      <w:suff w:val="nothing"/>
      <w:lvlText w:val="（%1）"/>
      <w:lvlJc w:val="left"/>
      <w:rPr>
        <w:rFonts w:cs="Times New Roman"/>
      </w:rPr>
    </w:lvl>
  </w:abstractNum>
  <w:abstractNum w:abstractNumId="9">
    <w:nsid w:val="6A31389F"/>
    <w:multiLevelType w:val="multilevel"/>
    <w:tmpl w:val="6A31389F"/>
    <w:lvl w:ilvl="0" w:tentative="0">
      <w:start w:val="1"/>
      <w:numFmt w:val="none"/>
      <w:pStyle w:val="641"/>
      <w:lvlText w:val="备注："/>
      <w:lvlJc w:val="left"/>
      <w:pPr>
        <w:tabs>
          <w:tab w:val="left" w:pos="1134"/>
        </w:tabs>
        <w:ind w:left="1134" w:hanging="1134"/>
      </w:pPr>
      <w:rPr>
        <w:rFonts w:hint="eastAsia"/>
      </w:rPr>
    </w:lvl>
    <w:lvl w:ilvl="1" w:tentative="0">
      <w:start w:val="4"/>
      <w:numFmt w:val="japaneseCounting"/>
      <w:lvlText w:val="（%2）"/>
      <w:lvlJc w:val="left"/>
      <w:pPr>
        <w:tabs>
          <w:tab w:val="left" w:pos="1545"/>
        </w:tabs>
        <w:ind w:left="1545" w:hanging="1125"/>
      </w:pPr>
      <w:rPr>
        <w:rFonts w:hint="default"/>
      </w:rPr>
    </w:lvl>
    <w:lvl w:ilvl="2" w:tentative="0">
      <w:start w:val="11"/>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DDE2A44"/>
    <w:multiLevelType w:val="multilevel"/>
    <w:tmpl w:val="6DDE2A44"/>
    <w:lvl w:ilvl="0" w:tentative="0">
      <w:start w:val="1"/>
      <w:numFmt w:val="decimal"/>
      <w:pStyle w:val="2704"/>
      <w:suff w:val="nothing"/>
      <w:lvlText w:val="（%1）"/>
      <w:lvlJc w:val="left"/>
      <w:pPr>
        <w:ind w:left="2263"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7"/>
  </w:num>
  <w:num w:numId="3">
    <w:abstractNumId w:val="4"/>
  </w:num>
  <w:num w:numId="4">
    <w:abstractNumId w:val="3"/>
  </w:num>
  <w:num w:numId="5">
    <w:abstractNumId w:val="5"/>
  </w:num>
  <w:num w:numId="6">
    <w:abstractNumId w:val="9"/>
  </w:num>
  <w:num w:numId="7">
    <w:abstractNumId w:val="1"/>
  </w:num>
  <w:num w:numId="8">
    <w:abstractNumId w:val="6"/>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iYWI1OGI3YTBkMDAxMThhODRiNTA5YmIzNjcyODQifQ=="/>
  </w:docVars>
  <w:rsids>
    <w:rsidRoot w:val="00172A27"/>
    <w:rsid w:val="000004D4"/>
    <w:rsid w:val="0000058F"/>
    <w:rsid w:val="00000EBB"/>
    <w:rsid w:val="00001363"/>
    <w:rsid w:val="00001CF6"/>
    <w:rsid w:val="000026C7"/>
    <w:rsid w:val="0000308F"/>
    <w:rsid w:val="00003368"/>
    <w:rsid w:val="000034E6"/>
    <w:rsid w:val="000047D5"/>
    <w:rsid w:val="00004920"/>
    <w:rsid w:val="00005DED"/>
    <w:rsid w:val="0000607D"/>
    <w:rsid w:val="0000657F"/>
    <w:rsid w:val="00007484"/>
    <w:rsid w:val="00007C13"/>
    <w:rsid w:val="00007F24"/>
    <w:rsid w:val="00010649"/>
    <w:rsid w:val="00010B6E"/>
    <w:rsid w:val="0001279A"/>
    <w:rsid w:val="000127EA"/>
    <w:rsid w:val="000129BC"/>
    <w:rsid w:val="00012F67"/>
    <w:rsid w:val="00012F75"/>
    <w:rsid w:val="00014C14"/>
    <w:rsid w:val="0001504F"/>
    <w:rsid w:val="000151A6"/>
    <w:rsid w:val="000153B2"/>
    <w:rsid w:val="00016092"/>
    <w:rsid w:val="00016777"/>
    <w:rsid w:val="00016BBC"/>
    <w:rsid w:val="000177DE"/>
    <w:rsid w:val="00020EC5"/>
    <w:rsid w:val="000218A5"/>
    <w:rsid w:val="000219F2"/>
    <w:rsid w:val="00021EC5"/>
    <w:rsid w:val="00022098"/>
    <w:rsid w:val="00022A9C"/>
    <w:rsid w:val="00024CBC"/>
    <w:rsid w:val="00024DEA"/>
    <w:rsid w:val="00025DFC"/>
    <w:rsid w:val="00025F36"/>
    <w:rsid w:val="00026273"/>
    <w:rsid w:val="00026572"/>
    <w:rsid w:val="00026C58"/>
    <w:rsid w:val="000274B8"/>
    <w:rsid w:val="00027E73"/>
    <w:rsid w:val="00031A4C"/>
    <w:rsid w:val="00031ACE"/>
    <w:rsid w:val="00032522"/>
    <w:rsid w:val="00032F5C"/>
    <w:rsid w:val="00033D78"/>
    <w:rsid w:val="00034C8E"/>
    <w:rsid w:val="0003707A"/>
    <w:rsid w:val="00037527"/>
    <w:rsid w:val="00040A8B"/>
    <w:rsid w:val="00040DCC"/>
    <w:rsid w:val="00040E3A"/>
    <w:rsid w:val="00041971"/>
    <w:rsid w:val="0004279D"/>
    <w:rsid w:val="000427A4"/>
    <w:rsid w:val="00042AB0"/>
    <w:rsid w:val="00043799"/>
    <w:rsid w:val="0004379C"/>
    <w:rsid w:val="00043B44"/>
    <w:rsid w:val="00044F3E"/>
    <w:rsid w:val="00045EF4"/>
    <w:rsid w:val="0004681A"/>
    <w:rsid w:val="00047C7A"/>
    <w:rsid w:val="00047DD7"/>
    <w:rsid w:val="0005003A"/>
    <w:rsid w:val="000503E6"/>
    <w:rsid w:val="000509EC"/>
    <w:rsid w:val="00050BB7"/>
    <w:rsid w:val="000524FC"/>
    <w:rsid w:val="00052D6A"/>
    <w:rsid w:val="000536FE"/>
    <w:rsid w:val="00054667"/>
    <w:rsid w:val="0005478F"/>
    <w:rsid w:val="00054C87"/>
    <w:rsid w:val="00054CE7"/>
    <w:rsid w:val="00055A5E"/>
    <w:rsid w:val="0005635E"/>
    <w:rsid w:val="00057B3D"/>
    <w:rsid w:val="00057DD5"/>
    <w:rsid w:val="0006161E"/>
    <w:rsid w:val="000618FD"/>
    <w:rsid w:val="000619F4"/>
    <w:rsid w:val="00061C03"/>
    <w:rsid w:val="00062944"/>
    <w:rsid w:val="00062DB7"/>
    <w:rsid w:val="00063882"/>
    <w:rsid w:val="00063FC9"/>
    <w:rsid w:val="000646F5"/>
    <w:rsid w:val="00064CBC"/>
    <w:rsid w:val="00064E2F"/>
    <w:rsid w:val="000671FE"/>
    <w:rsid w:val="000675A6"/>
    <w:rsid w:val="0006794C"/>
    <w:rsid w:val="00070A13"/>
    <w:rsid w:val="00070FFA"/>
    <w:rsid w:val="00072DB2"/>
    <w:rsid w:val="000730B1"/>
    <w:rsid w:val="00073D87"/>
    <w:rsid w:val="00073EC3"/>
    <w:rsid w:val="00074462"/>
    <w:rsid w:val="00075BD2"/>
    <w:rsid w:val="0007622F"/>
    <w:rsid w:val="00076BF9"/>
    <w:rsid w:val="00077B56"/>
    <w:rsid w:val="00077EA4"/>
    <w:rsid w:val="00080183"/>
    <w:rsid w:val="0008033B"/>
    <w:rsid w:val="000809BA"/>
    <w:rsid w:val="00080FC8"/>
    <w:rsid w:val="00082314"/>
    <w:rsid w:val="000828A0"/>
    <w:rsid w:val="00083254"/>
    <w:rsid w:val="0008369C"/>
    <w:rsid w:val="000842D2"/>
    <w:rsid w:val="00084751"/>
    <w:rsid w:val="00084986"/>
    <w:rsid w:val="00085035"/>
    <w:rsid w:val="0008603C"/>
    <w:rsid w:val="00086479"/>
    <w:rsid w:val="00086B13"/>
    <w:rsid w:val="000872F2"/>
    <w:rsid w:val="000873DD"/>
    <w:rsid w:val="000940FE"/>
    <w:rsid w:val="00094439"/>
    <w:rsid w:val="0009531C"/>
    <w:rsid w:val="000957C5"/>
    <w:rsid w:val="00097043"/>
    <w:rsid w:val="000A289C"/>
    <w:rsid w:val="000A2F9D"/>
    <w:rsid w:val="000A3050"/>
    <w:rsid w:val="000A422F"/>
    <w:rsid w:val="000A457D"/>
    <w:rsid w:val="000A4E2F"/>
    <w:rsid w:val="000A4E5E"/>
    <w:rsid w:val="000A540F"/>
    <w:rsid w:val="000A6079"/>
    <w:rsid w:val="000A6482"/>
    <w:rsid w:val="000A67E5"/>
    <w:rsid w:val="000A69C5"/>
    <w:rsid w:val="000A6A3F"/>
    <w:rsid w:val="000A6FE5"/>
    <w:rsid w:val="000B006E"/>
    <w:rsid w:val="000B0C4F"/>
    <w:rsid w:val="000B32D4"/>
    <w:rsid w:val="000B3322"/>
    <w:rsid w:val="000B37A5"/>
    <w:rsid w:val="000B3B36"/>
    <w:rsid w:val="000B4E78"/>
    <w:rsid w:val="000B5F59"/>
    <w:rsid w:val="000B7592"/>
    <w:rsid w:val="000B7B4E"/>
    <w:rsid w:val="000C07DA"/>
    <w:rsid w:val="000C09B9"/>
    <w:rsid w:val="000C11BB"/>
    <w:rsid w:val="000C29D8"/>
    <w:rsid w:val="000C2E85"/>
    <w:rsid w:val="000C327C"/>
    <w:rsid w:val="000C369F"/>
    <w:rsid w:val="000C4949"/>
    <w:rsid w:val="000C511E"/>
    <w:rsid w:val="000C7426"/>
    <w:rsid w:val="000C748A"/>
    <w:rsid w:val="000C74AD"/>
    <w:rsid w:val="000D0E46"/>
    <w:rsid w:val="000D227B"/>
    <w:rsid w:val="000D2655"/>
    <w:rsid w:val="000D2A02"/>
    <w:rsid w:val="000D2C35"/>
    <w:rsid w:val="000D3CC7"/>
    <w:rsid w:val="000D4CB1"/>
    <w:rsid w:val="000D5C60"/>
    <w:rsid w:val="000E0D6E"/>
    <w:rsid w:val="000E33FB"/>
    <w:rsid w:val="000E3DDB"/>
    <w:rsid w:val="000E42E0"/>
    <w:rsid w:val="000E4AD9"/>
    <w:rsid w:val="000E6516"/>
    <w:rsid w:val="000E7BF2"/>
    <w:rsid w:val="000F237A"/>
    <w:rsid w:val="000F24EB"/>
    <w:rsid w:val="000F34B4"/>
    <w:rsid w:val="000F3998"/>
    <w:rsid w:val="000F4B4A"/>
    <w:rsid w:val="000F5DC5"/>
    <w:rsid w:val="000F6BFC"/>
    <w:rsid w:val="000F7ACF"/>
    <w:rsid w:val="00100CDF"/>
    <w:rsid w:val="00101F85"/>
    <w:rsid w:val="001033D2"/>
    <w:rsid w:val="00103A24"/>
    <w:rsid w:val="00105BBE"/>
    <w:rsid w:val="00106531"/>
    <w:rsid w:val="00106DCA"/>
    <w:rsid w:val="00107030"/>
    <w:rsid w:val="00107059"/>
    <w:rsid w:val="00107902"/>
    <w:rsid w:val="00107E60"/>
    <w:rsid w:val="00110308"/>
    <w:rsid w:val="001132C6"/>
    <w:rsid w:val="00113385"/>
    <w:rsid w:val="00113C99"/>
    <w:rsid w:val="00114373"/>
    <w:rsid w:val="001149B5"/>
    <w:rsid w:val="00115587"/>
    <w:rsid w:val="0011572E"/>
    <w:rsid w:val="001164E1"/>
    <w:rsid w:val="0011658B"/>
    <w:rsid w:val="00117DAA"/>
    <w:rsid w:val="0012155E"/>
    <w:rsid w:val="00121E30"/>
    <w:rsid w:val="0012353F"/>
    <w:rsid w:val="00123655"/>
    <w:rsid w:val="0012515B"/>
    <w:rsid w:val="0012542E"/>
    <w:rsid w:val="00125C59"/>
    <w:rsid w:val="0012656D"/>
    <w:rsid w:val="00126AA0"/>
    <w:rsid w:val="0012711C"/>
    <w:rsid w:val="00127877"/>
    <w:rsid w:val="001318C9"/>
    <w:rsid w:val="00131D7B"/>
    <w:rsid w:val="0013240E"/>
    <w:rsid w:val="00132A9D"/>
    <w:rsid w:val="00132BDC"/>
    <w:rsid w:val="001334B2"/>
    <w:rsid w:val="00133679"/>
    <w:rsid w:val="00133A3A"/>
    <w:rsid w:val="0013771B"/>
    <w:rsid w:val="00137BF0"/>
    <w:rsid w:val="0014015E"/>
    <w:rsid w:val="00141757"/>
    <w:rsid w:val="001427C6"/>
    <w:rsid w:val="00142979"/>
    <w:rsid w:val="00143EA6"/>
    <w:rsid w:val="00144045"/>
    <w:rsid w:val="001443A2"/>
    <w:rsid w:val="00144E67"/>
    <w:rsid w:val="00146701"/>
    <w:rsid w:val="001472BE"/>
    <w:rsid w:val="001479BD"/>
    <w:rsid w:val="0015003F"/>
    <w:rsid w:val="0015076A"/>
    <w:rsid w:val="001510FB"/>
    <w:rsid w:val="0015271E"/>
    <w:rsid w:val="001528D2"/>
    <w:rsid w:val="0015509C"/>
    <w:rsid w:val="001555CC"/>
    <w:rsid w:val="00155DF9"/>
    <w:rsid w:val="00156F34"/>
    <w:rsid w:val="00157051"/>
    <w:rsid w:val="00157626"/>
    <w:rsid w:val="00161C8E"/>
    <w:rsid w:val="00163250"/>
    <w:rsid w:val="00163489"/>
    <w:rsid w:val="00163971"/>
    <w:rsid w:val="00164288"/>
    <w:rsid w:val="00164DC6"/>
    <w:rsid w:val="00164E2D"/>
    <w:rsid w:val="00165D83"/>
    <w:rsid w:val="00165EDD"/>
    <w:rsid w:val="00166BD5"/>
    <w:rsid w:val="0016769B"/>
    <w:rsid w:val="001677BA"/>
    <w:rsid w:val="00167D48"/>
    <w:rsid w:val="0017007A"/>
    <w:rsid w:val="001705F3"/>
    <w:rsid w:val="00170A4E"/>
    <w:rsid w:val="001717E2"/>
    <w:rsid w:val="00171F29"/>
    <w:rsid w:val="00172130"/>
    <w:rsid w:val="00172A27"/>
    <w:rsid w:val="001745B4"/>
    <w:rsid w:val="001748B5"/>
    <w:rsid w:val="00175A69"/>
    <w:rsid w:val="001770BD"/>
    <w:rsid w:val="001806F7"/>
    <w:rsid w:val="001811E7"/>
    <w:rsid w:val="001820FB"/>
    <w:rsid w:val="001842C3"/>
    <w:rsid w:val="001865E5"/>
    <w:rsid w:val="00186B48"/>
    <w:rsid w:val="00186EB2"/>
    <w:rsid w:val="0018745F"/>
    <w:rsid w:val="00187DB8"/>
    <w:rsid w:val="0019058F"/>
    <w:rsid w:val="00190B5B"/>
    <w:rsid w:val="00191318"/>
    <w:rsid w:val="00191CC2"/>
    <w:rsid w:val="00193CDB"/>
    <w:rsid w:val="001946BC"/>
    <w:rsid w:val="00194A54"/>
    <w:rsid w:val="00194D78"/>
    <w:rsid w:val="00194EE7"/>
    <w:rsid w:val="00196997"/>
    <w:rsid w:val="00196A1E"/>
    <w:rsid w:val="00196EB8"/>
    <w:rsid w:val="00197FF0"/>
    <w:rsid w:val="001A0A6E"/>
    <w:rsid w:val="001A12CE"/>
    <w:rsid w:val="001A168B"/>
    <w:rsid w:val="001A1D78"/>
    <w:rsid w:val="001A27F9"/>
    <w:rsid w:val="001A4631"/>
    <w:rsid w:val="001A6D6D"/>
    <w:rsid w:val="001A7ADE"/>
    <w:rsid w:val="001A7EA0"/>
    <w:rsid w:val="001B00CF"/>
    <w:rsid w:val="001B0498"/>
    <w:rsid w:val="001B29E5"/>
    <w:rsid w:val="001B4C7F"/>
    <w:rsid w:val="001C0971"/>
    <w:rsid w:val="001C0CAF"/>
    <w:rsid w:val="001C1654"/>
    <w:rsid w:val="001C2C60"/>
    <w:rsid w:val="001C2CE6"/>
    <w:rsid w:val="001C35EA"/>
    <w:rsid w:val="001C433D"/>
    <w:rsid w:val="001C459C"/>
    <w:rsid w:val="001C53E3"/>
    <w:rsid w:val="001C54F9"/>
    <w:rsid w:val="001C5C25"/>
    <w:rsid w:val="001C6034"/>
    <w:rsid w:val="001C6881"/>
    <w:rsid w:val="001C6DA8"/>
    <w:rsid w:val="001C7A29"/>
    <w:rsid w:val="001C7C02"/>
    <w:rsid w:val="001C7C09"/>
    <w:rsid w:val="001D1A68"/>
    <w:rsid w:val="001D212B"/>
    <w:rsid w:val="001D34B0"/>
    <w:rsid w:val="001D45CF"/>
    <w:rsid w:val="001D4A2C"/>
    <w:rsid w:val="001D4D36"/>
    <w:rsid w:val="001D4EFB"/>
    <w:rsid w:val="001D4F39"/>
    <w:rsid w:val="001D639B"/>
    <w:rsid w:val="001D6BE2"/>
    <w:rsid w:val="001E0F72"/>
    <w:rsid w:val="001E160F"/>
    <w:rsid w:val="001E1D7D"/>
    <w:rsid w:val="001E1F03"/>
    <w:rsid w:val="001E238D"/>
    <w:rsid w:val="001E27B4"/>
    <w:rsid w:val="001E2B27"/>
    <w:rsid w:val="001E3219"/>
    <w:rsid w:val="001E35F6"/>
    <w:rsid w:val="001E3E0C"/>
    <w:rsid w:val="001E4463"/>
    <w:rsid w:val="001E4511"/>
    <w:rsid w:val="001E46BF"/>
    <w:rsid w:val="001E5371"/>
    <w:rsid w:val="001E58ED"/>
    <w:rsid w:val="001E5F69"/>
    <w:rsid w:val="001E6177"/>
    <w:rsid w:val="001E6A4B"/>
    <w:rsid w:val="001E75E3"/>
    <w:rsid w:val="001F003A"/>
    <w:rsid w:val="001F031A"/>
    <w:rsid w:val="001F0FB4"/>
    <w:rsid w:val="001F2AE7"/>
    <w:rsid w:val="001F4C8F"/>
    <w:rsid w:val="001F4EF0"/>
    <w:rsid w:val="001F5E40"/>
    <w:rsid w:val="001F60B0"/>
    <w:rsid w:val="001F6190"/>
    <w:rsid w:val="001F648F"/>
    <w:rsid w:val="001F6C29"/>
    <w:rsid w:val="00200422"/>
    <w:rsid w:val="00200FB9"/>
    <w:rsid w:val="0020109E"/>
    <w:rsid w:val="00201A71"/>
    <w:rsid w:val="00201EC5"/>
    <w:rsid w:val="00204796"/>
    <w:rsid w:val="0020503C"/>
    <w:rsid w:val="00205448"/>
    <w:rsid w:val="00205B37"/>
    <w:rsid w:val="00206132"/>
    <w:rsid w:val="0020617F"/>
    <w:rsid w:val="002110E4"/>
    <w:rsid w:val="0021167E"/>
    <w:rsid w:val="00211FF3"/>
    <w:rsid w:val="00212454"/>
    <w:rsid w:val="0021256E"/>
    <w:rsid w:val="00212DA8"/>
    <w:rsid w:val="00212EDA"/>
    <w:rsid w:val="00215CE4"/>
    <w:rsid w:val="002162F7"/>
    <w:rsid w:val="00216313"/>
    <w:rsid w:val="00217310"/>
    <w:rsid w:val="0021770D"/>
    <w:rsid w:val="00221646"/>
    <w:rsid w:val="00221CB0"/>
    <w:rsid w:val="002222B0"/>
    <w:rsid w:val="00222312"/>
    <w:rsid w:val="00222484"/>
    <w:rsid w:val="0022396B"/>
    <w:rsid w:val="00223B23"/>
    <w:rsid w:val="00224A2A"/>
    <w:rsid w:val="00224B31"/>
    <w:rsid w:val="00225B2E"/>
    <w:rsid w:val="00226873"/>
    <w:rsid w:val="00227C54"/>
    <w:rsid w:val="00227E7C"/>
    <w:rsid w:val="00230820"/>
    <w:rsid w:val="0023083D"/>
    <w:rsid w:val="0023092F"/>
    <w:rsid w:val="002311CC"/>
    <w:rsid w:val="002321FB"/>
    <w:rsid w:val="002324CF"/>
    <w:rsid w:val="002329AE"/>
    <w:rsid w:val="00232A10"/>
    <w:rsid w:val="00233EF4"/>
    <w:rsid w:val="0023470D"/>
    <w:rsid w:val="002362AC"/>
    <w:rsid w:val="00236978"/>
    <w:rsid w:val="00236F4A"/>
    <w:rsid w:val="002375CE"/>
    <w:rsid w:val="00240C46"/>
    <w:rsid w:val="002410D3"/>
    <w:rsid w:val="00241A0A"/>
    <w:rsid w:val="00243796"/>
    <w:rsid w:val="00243D65"/>
    <w:rsid w:val="002448D2"/>
    <w:rsid w:val="00244E07"/>
    <w:rsid w:val="00246CD9"/>
    <w:rsid w:val="002474EF"/>
    <w:rsid w:val="002502D2"/>
    <w:rsid w:val="00250E89"/>
    <w:rsid w:val="0025129B"/>
    <w:rsid w:val="002525D1"/>
    <w:rsid w:val="00252ED9"/>
    <w:rsid w:val="002536E5"/>
    <w:rsid w:val="00254384"/>
    <w:rsid w:val="00255598"/>
    <w:rsid w:val="00255DA9"/>
    <w:rsid w:val="00256067"/>
    <w:rsid w:val="00256A54"/>
    <w:rsid w:val="00256AB6"/>
    <w:rsid w:val="00257A1F"/>
    <w:rsid w:val="002605A6"/>
    <w:rsid w:val="00260972"/>
    <w:rsid w:val="00260A16"/>
    <w:rsid w:val="00261B52"/>
    <w:rsid w:val="00261D0E"/>
    <w:rsid w:val="00264789"/>
    <w:rsid w:val="00265EA5"/>
    <w:rsid w:val="00266150"/>
    <w:rsid w:val="002669D2"/>
    <w:rsid w:val="00266D35"/>
    <w:rsid w:val="002703A5"/>
    <w:rsid w:val="002708FD"/>
    <w:rsid w:val="00270CF0"/>
    <w:rsid w:val="002714A5"/>
    <w:rsid w:val="00273CD2"/>
    <w:rsid w:val="00273F2D"/>
    <w:rsid w:val="00274F97"/>
    <w:rsid w:val="00275560"/>
    <w:rsid w:val="00275AEB"/>
    <w:rsid w:val="002764BA"/>
    <w:rsid w:val="002767A6"/>
    <w:rsid w:val="00276CE0"/>
    <w:rsid w:val="002779B8"/>
    <w:rsid w:val="002806FA"/>
    <w:rsid w:val="00281696"/>
    <w:rsid w:val="0028186C"/>
    <w:rsid w:val="00281A9D"/>
    <w:rsid w:val="00282AFF"/>
    <w:rsid w:val="00285412"/>
    <w:rsid w:val="00286926"/>
    <w:rsid w:val="00286E86"/>
    <w:rsid w:val="00287D86"/>
    <w:rsid w:val="00292079"/>
    <w:rsid w:val="00292A16"/>
    <w:rsid w:val="00292AFB"/>
    <w:rsid w:val="00292BAC"/>
    <w:rsid w:val="0029302A"/>
    <w:rsid w:val="00293DEF"/>
    <w:rsid w:val="00295EDC"/>
    <w:rsid w:val="00296461"/>
    <w:rsid w:val="00297C1A"/>
    <w:rsid w:val="002A05F4"/>
    <w:rsid w:val="002A3907"/>
    <w:rsid w:val="002A484D"/>
    <w:rsid w:val="002A4E57"/>
    <w:rsid w:val="002A54C2"/>
    <w:rsid w:val="002A6157"/>
    <w:rsid w:val="002A6471"/>
    <w:rsid w:val="002A7F67"/>
    <w:rsid w:val="002B0354"/>
    <w:rsid w:val="002B1E4E"/>
    <w:rsid w:val="002B2146"/>
    <w:rsid w:val="002B37F6"/>
    <w:rsid w:val="002B3D34"/>
    <w:rsid w:val="002B41FD"/>
    <w:rsid w:val="002B574A"/>
    <w:rsid w:val="002B5994"/>
    <w:rsid w:val="002B726E"/>
    <w:rsid w:val="002C04A0"/>
    <w:rsid w:val="002C154F"/>
    <w:rsid w:val="002C2A39"/>
    <w:rsid w:val="002C3C1B"/>
    <w:rsid w:val="002C43D3"/>
    <w:rsid w:val="002C4A06"/>
    <w:rsid w:val="002C5158"/>
    <w:rsid w:val="002C5368"/>
    <w:rsid w:val="002D0755"/>
    <w:rsid w:val="002D13EB"/>
    <w:rsid w:val="002D2D84"/>
    <w:rsid w:val="002D34E8"/>
    <w:rsid w:val="002D5DD0"/>
    <w:rsid w:val="002D63F1"/>
    <w:rsid w:val="002D6EF1"/>
    <w:rsid w:val="002E0602"/>
    <w:rsid w:val="002E25DC"/>
    <w:rsid w:val="002E2876"/>
    <w:rsid w:val="002E2B95"/>
    <w:rsid w:val="002E3FA7"/>
    <w:rsid w:val="002E5052"/>
    <w:rsid w:val="002E53FC"/>
    <w:rsid w:val="002E6272"/>
    <w:rsid w:val="002E7798"/>
    <w:rsid w:val="002E7B19"/>
    <w:rsid w:val="002F05E1"/>
    <w:rsid w:val="002F0BF4"/>
    <w:rsid w:val="002F0FE1"/>
    <w:rsid w:val="002F140D"/>
    <w:rsid w:val="002F14B2"/>
    <w:rsid w:val="002F1A25"/>
    <w:rsid w:val="002F2975"/>
    <w:rsid w:val="002F33A3"/>
    <w:rsid w:val="002F3431"/>
    <w:rsid w:val="002F3B90"/>
    <w:rsid w:val="002F431C"/>
    <w:rsid w:val="002F72E5"/>
    <w:rsid w:val="003008A4"/>
    <w:rsid w:val="00300C5B"/>
    <w:rsid w:val="00300D7B"/>
    <w:rsid w:val="003015AB"/>
    <w:rsid w:val="00301A0F"/>
    <w:rsid w:val="00302432"/>
    <w:rsid w:val="00302622"/>
    <w:rsid w:val="00302C13"/>
    <w:rsid w:val="00303E8D"/>
    <w:rsid w:val="00303F0B"/>
    <w:rsid w:val="003040C3"/>
    <w:rsid w:val="00304698"/>
    <w:rsid w:val="00304AE2"/>
    <w:rsid w:val="00305C0A"/>
    <w:rsid w:val="0030708F"/>
    <w:rsid w:val="00307192"/>
    <w:rsid w:val="00307E13"/>
    <w:rsid w:val="00307EF9"/>
    <w:rsid w:val="0031025F"/>
    <w:rsid w:val="003111F9"/>
    <w:rsid w:val="00311384"/>
    <w:rsid w:val="003115EA"/>
    <w:rsid w:val="00312C4B"/>
    <w:rsid w:val="00313090"/>
    <w:rsid w:val="00313C1F"/>
    <w:rsid w:val="00314105"/>
    <w:rsid w:val="003163F2"/>
    <w:rsid w:val="00316C4E"/>
    <w:rsid w:val="00317464"/>
    <w:rsid w:val="003176C6"/>
    <w:rsid w:val="00322CA4"/>
    <w:rsid w:val="00322F35"/>
    <w:rsid w:val="00323375"/>
    <w:rsid w:val="00323F1D"/>
    <w:rsid w:val="0032599C"/>
    <w:rsid w:val="00326478"/>
    <w:rsid w:val="003267A3"/>
    <w:rsid w:val="00326FCC"/>
    <w:rsid w:val="00330173"/>
    <w:rsid w:val="003332AD"/>
    <w:rsid w:val="00333A32"/>
    <w:rsid w:val="00334212"/>
    <w:rsid w:val="00335834"/>
    <w:rsid w:val="00335F12"/>
    <w:rsid w:val="003365F6"/>
    <w:rsid w:val="0033693D"/>
    <w:rsid w:val="00337154"/>
    <w:rsid w:val="003377E3"/>
    <w:rsid w:val="00337D80"/>
    <w:rsid w:val="0034110F"/>
    <w:rsid w:val="0034142F"/>
    <w:rsid w:val="0034160E"/>
    <w:rsid w:val="00341B70"/>
    <w:rsid w:val="00341B8E"/>
    <w:rsid w:val="00342653"/>
    <w:rsid w:val="003427F9"/>
    <w:rsid w:val="00344398"/>
    <w:rsid w:val="0034446C"/>
    <w:rsid w:val="00344C66"/>
    <w:rsid w:val="00345C2E"/>
    <w:rsid w:val="00345CC6"/>
    <w:rsid w:val="0034678F"/>
    <w:rsid w:val="003478F8"/>
    <w:rsid w:val="00350CD4"/>
    <w:rsid w:val="00351791"/>
    <w:rsid w:val="00351A4A"/>
    <w:rsid w:val="00352F7C"/>
    <w:rsid w:val="00353541"/>
    <w:rsid w:val="003546E9"/>
    <w:rsid w:val="00354A68"/>
    <w:rsid w:val="0035539A"/>
    <w:rsid w:val="0035686A"/>
    <w:rsid w:val="00356CB0"/>
    <w:rsid w:val="00357267"/>
    <w:rsid w:val="0035741F"/>
    <w:rsid w:val="00357F88"/>
    <w:rsid w:val="00360047"/>
    <w:rsid w:val="00360A32"/>
    <w:rsid w:val="00360E18"/>
    <w:rsid w:val="00360F1F"/>
    <w:rsid w:val="003615F0"/>
    <w:rsid w:val="00361FE3"/>
    <w:rsid w:val="00362092"/>
    <w:rsid w:val="003647EB"/>
    <w:rsid w:val="00364C62"/>
    <w:rsid w:val="00364D46"/>
    <w:rsid w:val="003655F4"/>
    <w:rsid w:val="003662B8"/>
    <w:rsid w:val="00367349"/>
    <w:rsid w:val="00367381"/>
    <w:rsid w:val="00367D68"/>
    <w:rsid w:val="00370880"/>
    <w:rsid w:val="003713C8"/>
    <w:rsid w:val="003715BF"/>
    <w:rsid w:val="00372616"/>
    <w:rsid w:val="003728B6"/>
    <w:rsid w:val="00372ED9"/>
    <w:rsid w:val="00373861"/>
    <w:rsid w:val="003738AA"/>
    <w:rsid w:val="00374AC3"/>
    <w:rsid w:val="003753EE"/>
    <w:rsid w:val="00375488"/>
    <w:rsid w:val="0037629E"/>
    <w:rsid w:val="003772CD"/>
    <w:rsid w:val="00377BD0"/>
    <w:rsid w:val="003821B8"/>
    <w:rsid w:val="00383373"/>
    <w:rsid w:val="0038352B"/>
    <w:rsid w:val="00384124"/>
    <w:rsid w:val="0038460B"/>
    <w:rsid w:val="0038493F"/>
    <w:rsid w:val="00384D59"/>
    <w:rsid w:val="00386A1B"/>
    <w:rsid w:val="00386BDB"/>
    <w:rsid w:val="003871CD"/>
    <w:rsid w:val="00387980"/>
    <w:rsid w:val="00387D9D"/>
    <w:rsid w:val="003900B4"/>
    <w:rsid w:val="003906F6"/>
    <w:rsid w:val="00391007"/>
    <w:rsid w:val="003920C5"/>
    <w:rsid w:val="00392ECD"/>
    <w:rsid w:val="00392F2C"/>
    <w:rsid w:val="00393988"/>
    <w:rsid w:val="003941F9"/>
    <w:rsid w:val="0039508C"/>
    <w:rsid w:val="0039546D"/>
    <w:rsid w:val="003973A1"/>
    <w:rsid w:val="003A0A9F"/>
    <w:rsid w:val="003A0DFB"/>
    <w:rsid w:val="003A0EA9"/>
    <w:rsid w:val="003A2608"/>
    <w:rsid w:val="003A3210"/>
    <w:rsid w:val="003A44F0"/>
    <w:rsid w:val="003A4EAD"/>
    <w:rsid w:val="003A5155"/>
    <w:rsid w:val="003A5DEB"/>
    <w:rsid w:val="003A7FD6"/>
    <w:rsid w:val="003B0356"/>
    <w:rsid w:val="003B2F23"/>
    <w:rsid w:val="003B3561"/>
    <w:rsid w:val="003B3568"/>
    <w:rsid w:val="003B454B"/>
    <w:rsid w:val="003B51D6"/>
    <w:rsid w:val="003B54DD"/>
    <w:rsid w:val="003B6315"/>
    <w:rsid w:val="003B6892"/>
    <w:rsid w:val="003B6EA9"/>
    <w:rsid w:val="003C048B"/>
    <w:rsid w:val="003C09BE"/>
    <w:rsid w:val="003C155D"/>
    <w:rsid w:val="003C5FDF"/>
    <w:rsid w:val="003C7FEB"/>
    <w:rsid w:val="003D042F"/>
    <w:rsid w:val="003D0A7D"/>
    <w:rsid w:val="003D1FAB"/>
    <w:rsid w:val="003D2782"/>
    <w:rsid w:val="003D282A"/>
    <w:rsid w:val="003D2883"/>
    <w:rsid w:val="003D28B3"/>
    <w:rsid w:val="003D32ED"/>
    <w:rsid w:val="003D3B59"/>
    <w:rsid w:val="003D3CDE"/>
    <w:rsid w:val="003D4DC4"/>
    <w:rsid w:val="003D5E5D"/>
    <w:rsid w:val="003D6C05"/>
    <w:rsid w:val="003D7E1F"/>
    <w:rsid w:val="003E099E"/>
    <w:rsid w:val="003E0DE7"/>
    <w:rsid w:val="003E13D0"/>
    <w:rsid w:val="003E14B4"/>
    <w:rsid w:val="003E1B44"/>
    <w:rsid w:val="003E2248"/>
    <w:rsid w:val="003E2F95"/>
    <w:rsid w:val="003E3153"/>
    <w:rsid w:val="003E4242"/>
    <w:rsid w:val="003E43F3"/>
    <w:rsid w:val="003E49C0"/>
    <w:rsid w:val="003E4C3E"/>
    <w:rsid w:val="003E7755"/>
    <w:rsid w:val="003E7B16"/>
    <w:rsid w:val="003F0332"/>
    <w:rsid w:val="003F2536"/>
    <w:rsid w:val="003F2BCD"/>
    <w:rsid w:val="003F3524"/>
    <w:rsid w:val="003F35E5"/>
    <w:rsid w:val="003F392C"/>
    <w:rsid w:val="003F4769"/>
    <w:rsid w:val="003F4D98"/>
    <w:rsid w:val="003F4DC6"/>
    <w:rsid w:val="003F57FB"/>
    <w:rsid w:val="003F63A8"/>
    <w:rsid w:val="003F6A27"/>
    <w:rsid w:val="003F7944"/>
    <w:rsid w:val="003F7EE0"/>
    <w:rsid w:val="0040172A"/>
    <w:rsid w:val="00401B87"/>
    <w:rsid w:val="0040262B"/>
    <w:rsid w:val="00402934"/>
    <w:rsid w:val="00402E1F"/>
    <w:rsid w:val="004039B2"/>
    <w:rsid w:val="00404FE9"/>
    <w:rsid w:val="00406C4E"/>
    <w:rsid w:val="00406FB6"/>
    <w:rsid w:val="0040732E"/>
    <w:rsid w:val="00407C9B"/>
    <w:rsid w:val="00410B62"/>
    <w:rsid w:val="00410C6F"/>
    <w:rsid w:val="00411502"/>
    <w:rsid w:val="004132BB"/>
    <w:rsid w:val="00413B0E"/>
    <w:rsid w:val="00414E67"/>
    <w:rsid w:val="00415A91"/>
    <w:rsid w:val="0041678C"/>
    <w:rsid w:val="00416CD5"/>
    <w:rsid w:val="00417333"/>
    <w:rsid w:val="00420820"/>
    <w:rsid w:val="00420B64"/>
    <w:rsid w:val="00422AE0"/>
    <w:rsid w:val="00422EB8"/>
    <w:rsid w:val="00423046"/>
    <w:rsid w:val="00424E9E"/>
    <w:rsid w:val="00425145"/>
    <w:rsid w:val="00425531"/>
    <w:rsid w:val="004259BC"/>
    <w:rsid w:val="004262DA"/>
    <w:rsid w:val="00427000"/>
    <w:rsid w:val="00427BA9"/>
    <w:rsid w:val="004300BF"/>
    <w:rsid w:val="00431BEA"/>
    <w:rsid w:val="004327AB"/>
    <w:rsid w:val="00433062"/>
    <w:rsid w:val="004346C9"/>
    <w:rsid w:val="0043503E"/>
    <w:rsid w:val="004354EF"/>
    <w:rsid w:val="00435BAC"/>
    <w:rsid w:val="00436B67"/>
    <w:rsid w:val="00437043"/>
    <w:rsid w:val="00437721"/>
    <w:rsid w:val="00437A59"/>
    <w:rsid w:val="004404CF"/>
    <w:rsid w:val="00441049"/>
    <w:rsid w:val="0044106B"/>
    <w:rsid w:val="004417A0"/>
    <w:rsid w:val="004435BE"/>
    <w:rsid w:val="004436EE"/>
    <w:rsid w:val="00443CCE"/>
    <w:rsid w:val="00443E31"/>
    <w:rsid w:val="00443F67"/>
    <w:rsid w:val="00444874"/>
    <w:rsid w:val="00445C25"/>
    <w:rsid w:val="004460B7"/>
    <w:rsid w:val="00446379"/>
    <w:rsid w:val="00446446"/>
    <w:rsid w:val="00446A5D"/>
    <w:rsid w:val="00447950"/>
    <w:rsid w:val="00447D00"/>
    <w:rsid w:val="004500A5"/>
    <w:rsid w:val="0045055A"/>
    <w:rsid w:val="0045063D"/>
    <w:rsid w:val="00450C19"/>
    <w:rsid w:val="004517EF"/>
    <w:rsid w:val="00451B1D"/>
    <w:rsid w:val="00452208"/>
    <w:rsid w:val="004524F0"/>
    <w:rsid w:val="00452EE2"/>
    <w:rsid w:val="00452F7C"/>
    <w:rsid w:val="0045367D"/>
    <w:rsid w:val="00453F99"/>
    <w:rsid w:val="004548AE"/>
    <w:rsid w:val="00455210"/>
    <w:rsid w:val="0045544E"/>
    <w:rsid w:val="004558A7"/>
    <w:rsid w:val="0045755C"/>
    <w:rsid w:val="004579DF"/>
    <w:rsid w:val="00457A8A"/>
    <w:rsid w:val="00461864"/>
    <w:rsid w:val="004622ED"/>
    <w:rsid w:val="00462E12"/>
    <w:rsid w:val="00463492"/>
    <w:rsid w:val="00463840"/>
    <w:rsid w:val="00464B4F"/>
    <w:rsid w:val="00464FF4"/>
    <w:rsid w:val="00467FF6"/>
    <w:rsid w:val="004703B4"/>
    <w:rsid w:val="00471163"/>
    <w:rsid w:val="00473A16"/>
    <w:rsid w:val="00474A22"/>
    <w:rsid w:val="00474AC7"/>
    <w:rsid w:val="00474FEC"/>
    <w:rsid w:val="0047560B"/>
    <w:rsid w:val="00475685"/>
    <w:rsid w:val="00476674"/>
    <w:rsid w:val="00477D52"/>
    <w:rsid w:val="004800A7"/>
    <w:rsid w:val="00480D6E"/>
    <w:rsid w:val="004819F4"/>
    <w:rsid w:val="004822A5"/>
    <w:rsid w:val="004823AE"/>
    <w:rsid w:val="00482F16"/>
    <w:rsid w:val="00482F18"/>
    <w:rsid w:val="0048327D"/>
    <w:rsid w:val="004836E1"/>
    <w:rsid w:val="00483761"/>
    <w:rsid w:val="00484F5E"/>
    <w:rsid w:val="004861CB"/>
    <w:rsid w:val="00487AC6"/>
    <w:rsid w:val="00490886"/>
    <w:rsid w:val="00490D47"/>
    <w:rsid w:val="00491C89"/>
    <w:rsid w:val="00491D16"/>
    <w:rsid w:val="00492FB4"/>
    <w:rsid w:val="004930B2"/>
    <w:rsid w:val="004935C4"/>
    <w:rsid w:val="00493A3D"/>
    <w:rsid w:val="004951FA"/>
    <w:rsid w:val="00495596"/>
    <w:rsid w:val="004967AA"/>
    <w:rsid w:val="00496DA2"/>
    <w:rsid w:val="00497213"/>
    <w:rsid w:val="00497E6D"/>
    <w:rsid w:val="004A0F93"/>
    <w:rsid w:val="004A28B5"/>
    <w:rsid w:val="004A35E0"/>
    <w:rsid w:val="004A476D"/>
    <w:rsid w:val="004A5CB2"/>
    <w:rsid w:val="004A5E16"/>
    <w:rsid w:val="004A7AE8"/>
    <w:rsid w:val="004B0C27"/>
    <w:rsid w:val="004B1105"/>
    <w:rsid w:val="004B1686"/>
    <w:rsid w:val="004B28F5"/>
    <w:rsid w:val="004B3CB7"/>
    <w:rsid w:val="004B4EE0"/>
    <w:rsid w:val="004B55BF"/>
    <w:rsid w:val="004B5896"/>
    <w:rsid w:val="004B6B00"/>
    <w:rsid w:val="004B75A5"/>
    <w:rsid w:val="004B7CF2"/>
    <w:rsid w:val="004C125D"/>
    <w:rsid w:val="004C2266"/>
    <w:rsid w:val="004C2FDC"/>
    <w:rsid w:val="004C5C16"/>
    <w:rsid w:val="004C5C8F"/>
    <w:rsid w:val="004C60A3"/>
    <w:rsid w:val="004C65E8"/>
    <w:rsid w:val="004C74F6"/>
    <w:rsid w:val="004D0204"/>
    <w:rsid w:val="004D0A96"/>
    <w:rsid w:val="004D0B34"/>
    <w:rsid w:val="004D3151"/>
    <w:rsid w:val="004D37AE"/>
    <w:rsid w:val="004D3A78"/>
    <w:rsid w:val="004D596F"/>
    <w:rsid w:val="004D5B0E"/>
    <w:rsid w:val="004D5B69"/>
    <w:rsid w:val="004D5E19"/>
    <w:rsid w:val="004D6A6E"/>
    <w:rsid w:val="004D6B5E"/>
    <w:rsid w:val="004D6DD1"/>
    <w:rsid w:val="004D728B"/>
    <w:rsid w:val="004D7965"/>
    <w:rsid w:val="004D7E70"/>
    <w:rsid w:val="004E057D"/>
    <w:rsid w:val="004E1E25"/>
    <w:rsid w:val="004E336A"/>
    <w:rsid w:val="004E3992"/>
    <w:rsid w:val="004E50D3"/>
    <w:rsid w:val="004E5145"/>
    <w:rsid w:val="004E5381"/>
    <w:rsid w:val="004E57FF"/>
    <w:rsid w:val="004E5AA8"/>
    <w:rsid w:val="004E6101"/>
    <w:rsid w:val="004E6BAF"/>
    <w:rsid w:val="004E72B3"/>
    <w:rsid w:val="004E7647"/>
    <w:rsid w:val="004F0666"/>
    <w:rsid w:val="004F1CAB"/>
    <w:rsid w:val="004F2498"/>
    <w:rsid w:val="004F36C6"/>
    <w:rsid w:val="004F4105"/>
    <w:rsid w:val="004F456D"/>
    <w:rsid w:val="004F4A6A"/>
    <w:rsid w:val="004F4D76"/>
    <w:rsid w:val="004F4E8F"/>
    <w:rsid w:val="004F52A5"/>
    <w:rsid w:val="004F5658"/>
    <w:rsid w:val="004F5F39"/>
    <w:rsid w:val="004F7901"/>
    <w:rsid w:val="00500596"/>
    <w:rsid w:val="00501368"/>
    <w:rsid w:val="00501398"/>
    <w:rsid w:val="005013AA"/>
    <w:rsid w:val="005024E5"/>
    <w:rsid w:val="005026B2"/>
    <w:rsid w:val="00503CA1"/>
    <w:rsid w:val="00503D29"/>
    <w:rsid w:val="0050523D"/>
    <w:rsid w:val="00505402"/>
    <w:rsid w:val="00505D56"/>
    <w:rsid w:val="00507B3E"/>
    <w:rsid w:val="0051076A"/>
    <w:rsid w:val="00512818"/>
    <w:rsid w:val="00513F1B"/>
    <w:rsid w:val="005142DC"/>
    <w:rsid w:val="00514E91"/>
    <w:rsid w:val="005156AD"/>
    <w:rsid w:val="00515863"/>
    <w:rsid w:val="00515C9A"/>
    <w:rsid w:val="0051635A"/>
    <w:rsid w:val="0051692D"/>
    <w:rsid w:val="0051693D"/>
    <w:rsid w:val="00516D07"/>
    <w:rsid w:val="00516DF4"/>
    <w:rsid w:val="00517BFC"/>
    <w:rsid w:val="005200EF"/>
    <w:rsid w:val="0052013A"/>
    <w:rsid w:val="00520E3A"/>
    <w:rsid w:val="00521691"/>
    <w:rsid w:val="0052256D"/>
    <w:rsid w:val="00522CCB"/>
    <w:rsid w:val="00522E3C"/>
    <w:rsid w:val="0052345D"/>
    <w:rsid w:val="0052354F"/>
    <w:rsid w:val="00523A07"/>
    <w:rsid w:val="00523C46"/>
    <w:rsid w:val="00523D4B"/>
    <w:rsid w:val="00524C6E"/>
    <w:rsid w:val="0052587D"/>
    <w:rsid w:val="00525EA4"/>
    <w:rsid w:val="0053024D"/>
    <w:rsid w:val="00530A41"/>
    <w:rsid w:val="005325BC"/>
    <w:rsid w:val="0053385A"/>
    <w:rsid w:val="005346F8"/>
    <w:rsid w:val="00535E39"/>
    <w:rsid w:val="005364AF"/>
    <w:rsid w:val="00536A35"/>
    <w:rsid w:val="00537363"/>
    <w:rsid w:val="00537625"/>
    <w:rsid w:val="00537690"/>
    <w:rsid w:val="00540793"/>
    <w:rsid w:val="005407AB"/>
    <w:rsid w:val="005414CB"/>
    <w:rsid w:val="005414D8"/>
    <w:rsid w:val="00542323"/>
    <w:rsid w:val="00543CFB"/>
    <w:rsid w:val="00543D6A"/>
    <w:rsid w:val="00543E0D"/>
    <w:rsid w:val="00545169"/>
    <w:rsid w:val="005456F7"/>
    <w:rsid w:val="00546B48"/>
    <w:rsid w:val="00547696"/>
    <w:rsid w:val="005502D3"/>
    <w:rsid w:val="00552018"/>
    <w:rsid w:val="00552B90"/>
    <w:rsid w:val="00554371"/>
    <w:rsid w:val="00554CB5"/>
    <w:rsid w:val="0055512A"/>
    <w:rsid w:val="00555A0E"/>
    <w:rsid w:val="00560B46"/>
    <w:rsid w:val="00560BCC"/>
    <w:rsid w:val="00560C45"/>
    <w:rsid w:val="00561EA8"/>
    <w:rsid w:val="00561EB0"/>
    <w:rsid w:val="00564685"/>
    <w:rsid w:val="00564800"/>
    <w:rsid w:val="00564E71"/>
    <w:rsid w:val="0056503F"/>
    <w:rsid w:val="00565AFA"/>
    <w:rsid w:val="00566616"/>
    <w:rsid w:val="00567014"/>
    <w:rsid w:val="0056786D"/>
    <w:rsid w:val="00570B81"/>
    <w:rsid w:val="0057128C"/>
    <w:rsid w:val="0057150F"/>
    <w:rsid w:val="005721FC"/>
    <w:rsid w:val="005722EF"/>
    <w:rsid w:val="00572DFF"/>
    <w:rsid w:val="00573848"/>
    <w:rsid w:val="00573E64"/>
    <w:rsid w:val="00575299"/>
    <w:rsid w:val="00575ED8"/>
    <w:rsid w:val="005767EF"/>
    <w:rsid w:val="00576B06"/>
    <w:rsid w:val="00580F74"/>
    <w:rsid w:val="00582C04"/>
    <w:rsid w:val="00585F33"/>
    <w:rsid w:val="005877DD"/>
    <w:rsid w:val="00587C47"/>
    <w:rsid w:val="0059058D"/>
    <w:rsid w:val="005928E3"/>
    <w:rsid w:val="00592A4A"/>
    <w:rsid w:val="005934E5"/>
    <w:rsid w:val="005947FA"/>
    <w:rsid w:val="00594DA0"/>
    <w:rsid w:val="0059627F"/>
    <w:rsid w:val="00596E07"/>
    <w:rsid w:val="005A1440"/>
    <w:rsid w:val="005A16A9"/>
    <w:rsid w:val="005A2C4C"/>
    <w:rsid w:val="005A2F05"/>
    <w:rsid w:val="005A37D4"/>
    <w:rsid w:val="005A4ABC"/>
    <w:rsid w:val="005A4AEE"/>
    <w:rsid w:val="005A5029"/>
    <w:rsid w:val="005A51CA"/>
    <w:rsid w:val="005A575E"/>
    <w:rsid w:val="005A5870"/>
    <w:rsid w:val="005A6ABB"/>
    <w:rsid w:val="005A73B5"/>
    <w:rsid w:val="005A7C6C"/>
    <w:rsid w:val="005B0019"/>
    <w:rsid w:val="005B00C8"/>
    <w:rsid w:val="005B0583"/>
    <w:rsid w:val="005B2729"/>
    <w:rsid w:val="005B2E25"/>
    <w:rsid w:val="005B2EEE"/>
    <w:rsid w:val="005B4A4C"/>
    <w:rsid w:val="005B5FC1"/>
    <w:rsid w:val="005B6EE6"/>
    <w:rsid w:val="005B7167"/>
    <w:rsid w:val="005B7922"/>
    <w:rsid w:val="005B7C78"/>
    <w:rsid w:val="005C03A2"/>
    <w:rsid w:val="005C085B"/>
    <w:rsid w:val="005C0A67"/>
    <w:rsid w:val="005C1B18"/>
    <w:rsid w:val="005C1CCC"/>
    <w:rsid w:val="005C2137"/>
    <w:rsid w:val="005C245A"/>
    <w:rsid w:val="005C2A24"/>
    <w:rsid w:val="005C3156"/>
    <w:rsid w:val="005C3445"/>
    <w:rsid w:val="005C3AA1"/>
    <w:rsid w:val="005C5BB3"/>
    <w:rsid w:val="005C61AA"/>
    <w:rsid w:val="005D0123"/>
    <w:rsid w:val="005D0188"/>
    <w:rsid w:val="005D04EC"/>
    <w:rsid w:val="005D080B"/>
    <w:rsid w:val="005D117E"/>
    <w:rsid w:val="005D1B39"/>
    <w:rsid w:val="005D2482"/>
    <w:rsid w:val="005D2624"/>
    <w:rsid w:val="005D36EE"/>
    <w:rsid w:val="005D6CF3"/>
    <w:rsid w:val="005D711C"/>
    <w:rsid w:val="005D7565"/>
    <w:rsid w:val="005D77DA"/>
    <w:rsid w:val="005D795E"/>
    <w:rsid w:val="005E165F"/>
    <w:rsid w:val="005E16E4"/>
    <w:rsid w:val="005E197D"/>
    <w:rsid w:val="005E2FB5"/>
    <w:rsid w:val="005E456E"/>
    <w:rsid w:val="005E46D1"/>
    <w:rsid w:val="005E52C7"/>
    <w:rsid w:val="005E5C83"/>
    <w:rsid w:val="005E6010"/>
    <w:rsid w:val="005E604C"/>
    <w:rsid w:val="005E632F"/>
    <w:rsid w:val="005F0E78"/>
    <w:rsid w:val="005F2367"/>
    <w:rsid w:val="005F4DF5"/>
    <w:rsid w:val="005F5A60"/>
    <w:rsid w:val="005F636C"/>
    <w:rsid w:val="005F6AE6"/>
    <w:rsid w:val="005F72BF"/>
    <w:rsid w:val="005F7C7A"/>
    <w:rsid w:val="005F7E39"/>
    <w:rsid w:val="00600579"/>
    <w:rsid w:val="00601A03"/>
    <w:rsid w:val="0060224C"/>
    <w:rsid w:val="00602B3D"/>
    <w:rsid w:val="00602B4E"/>
    <w:rsid w:val="006035D0"/>
    <w:rsid w:val="00603B93"/>
    <w:rsid w:val="00605058"/>
    <w:rsid w:val="006050AA"/>
    <w:rsid w:val="00605DC6"/>
    <w:rsid w:val="00605F34"/>
    <w:rsid w:val="006061E0"/>
    <w:rsid w:val="006066B9"/>
    <w:rsid w:val="0060699E"/>
    <w:rsid w:val="00607665"/>
    <w:rsid w:val="00607689"/>
    <w:rsid w:val="00610C2C"/>
    <w:rsid w:val="00611643"/>
    <w:rsid w:val="00612AAE"/>
    <w:rsid w:val="00613678"/>
    <w:rsid w:val="006136FD"/>
    <w:rsid w:val="00613AC1"/>
    <w:rsid w:val="006150F9"/>
    <w:rsid w:val="0061540C"/>
    <w:rsid w:val="006176A3"/>
    <w:rsid w:val="0062023D"/>
    <w:rsid w:val="00621A9A"/>
    <w:rsid w:val="006222EA"/>
    <w:rsid w:val="006238E4"/>
    <w:rsid w:val="00624966"/>
    <w:rsid w:val="00626B72"/>
    <w:rsid w:val="00627D47"/>
    <w:rsid w:val="00630DFA"/>
    <w:rsid w:val="0063103A"/>
    <w:rsid w:val="006314D1"/>
    <w:rsid w:val="00631F97"/>
    <w:rsid w:val="006333C3"/>
    <w:rsid w:val="0063400B"/>
    <w:rsid w:val="00634038"/>
    <w:rsid w:val="006340DF"/>
    <w:rsid w:val="00634ADF"/>
    <w:rsid w:val="0063505F"/>
    <w:rsid w:val="00635258"/>
    <w:rsid w:val="00636281"/>
    <w:rsid w:val="00636437"/>
    <w:rsid w:val="00636D18"/>
    <w:rsid w:val="00636F1B"/>
    <w:rsid w:val="0063750D"/>
    <w:rsid w:val="00637A07"/>
    <w:rsid w:val="00640094"/>
    <w:rsid w:val="00640425"/>
    <w:rsid w:val="00640A65"/>
    <w:rsid w:val="00640DE6"/>
    <w:rsid w:val="0064418A"/>
    <w:rsid w:val="00645760"/>
    <w:rsid w:val="00646670"/>
    <w:rsid w:val="00647659"/>
    <w:rsid w:val="00651613"/>
    <w:rsid w:val="006520C1"/>
    <w:rsid w:val="00652323"/>
    <w:rsid w:val="006524D3"/>
    <w:rsid w:val="00652E50"/>
    <w:rsid w:val="006535FE"/>
    <w:rsid w:val="00655445"/>
    <w:rsid w:val="00655CF6"/>
    <w:rsid w:val="00656F47"/>
    <w:rsid w:val="00657FFA"/>
    <w:rsid w:val="00660339"/>
    <w:rsid w:val="00660CC1"/>
    <w:rsid w:val="00660CC9"/>
    <w:rsid w:val="00661ED6"/>
    <w:rsid w:val="00662F69"/>
    <w:rsid w:val="00663D90"/>
    <w:rsid w:val="00665AE9"/>
    <w:rsid w:val="0066613C"/>
    <w:rsid w:val="0067016A"/>
    <w:rsid w:val="00670327"/>
    <w:rsid w:val="006726BB"/>
    <w:rsid w:val="00672A7F"/>
    <w:rsid w:val="00673BC9"/>
    <w:rsid w:val="006746D5"/>
    <w:rsid w:val="0067472B"/>
    <w:rsid w:val="0067706B"/>
    <w:rsid w:val="00677161"/>
    <w:rsid w:val="00677185"/>
    <w:rsid w:val="00677447"/>
    <w:rsid w:val="00680087"/>
    <w:rsid w:val="0068061B"/>
    <w:rsid w:val="0068062A"/>
    <w:rsid w:val="006816BE"/>
    <w:rsid w:val="00681C5F"/>
    <w:rsid w:val="0068203D"/>
    <w:rsid w:val="006821FC"/>
    <w:rsid w:val="00682228"/>
    <w:rsid w:val="0068233B"/>
    <w:rsid w:val="006826EF"/>
    <w:rsid w:val="00682FAE"/>
    <w:rsid w:val="00683E46"/>
    <w:rsid w:val="006842F7"/>
    <w:rsid w:val="0068445A"/>
    <w:rsid w:val="006854F0"/>
    <w:rsid w:val="00685A3B"/>
    <w:rsid w:val="00686D4C"/>
    <w:rsid w:val="006871BF"/>
    <w:rsid w:val="00687A2F"/>
    <w:rsid w:val="00690FE5"/>
    <w:rsid w:val="006915DC"/>
    <w:rsid w:val="0069179A"/>
    <w:rsid w:val="00691CC3"/>
    <w:rsid w:val="00692674"/>
    <w:rsid w:val="00692EF2"/>
    <w:rsid w:val="00693241"/>
    <w:rsid w:val="00693644"/>
    <w:rsid w:val="006951D1"/>
    <w:rsid w:val="0069669F"/>
    <w:rsid w:val="00696C63"/>
    <w:rsid w:val="00696CC5"/>
    <w:rsid w:val="006A0373"/>
    <w:rsid w:val="006A0EE9"/>
    <w:rsid w:val="006A1295"/>
    <w:rsid w:val="006A1EE3"/>
    <w:rsid w:val="006A2CC8"/>
    <w:rsid w:val="006A3016"/>
    <w:rsid w:val="006A3503"/>
    <w:rsid w:val="006A38ED"/>
    <w:rsid w:val="006A446C"/>
    <w:rsid w:val="006A454F"/>
    <w:rsid w:val="006A48D5"/>
    <w:rsid w:val="006A4925"/>
    <w:rsid w:val="006A4FF9"/>
    <w:rsid w:val="006A65EC"/>
    <w:rsid w:val="006A66FF"/>
    <w:rsid w:val="006A6742"/>
    <w:rsid w:val="006A775E"/>
    <w:rsid w:val="006B004F"/>
    <w:rsid w:val="006B0B92"/>
    <w:rsid w:val="006B1538"/>
    <w:rsid w:val="006B230A"/>
    <w:rsid w:val="006B26FF"/>
    <w:rsid w:val="006B311C"/>
    <w:rsid w:val="006B3FA5"/>
    <w:rsid w:val="006B4265"/>
    <w:rsid w:val="006B4BA7"/>
    <w:rsid w:val="006B7B69"/>
    <w:rsid w:val="006B7F66"/>
    <w:rsid w:val="006C13C8"/>
    <w:rsid w:val="006C18AA"/>
    <w:rsid w:val="006C1992"/>
    <w:rsid w:val="006C1E0C"/>
    <w:rsid w:val="006C4626"/>
    <w:rsid w:val="006C5A30"/>
    <w:rsid w:val="006C7233"/>
    <w:rsid w:val="006C76D5"/>
    <w:rsid w:val="006C7FB9"/>
    <w:rsid w:val="006D0826"/>
    <w:rsid w:val="006D22F0"/>
    <w:rsid w:val="006D29AD"/>
    <w:rsid w:val="006D2D57"/>
    <w:rsid w:val="006D339E"/>
    <w:rsid w:val="006D483D"/>
    <w:rsid w:val="006D4D8A"/>
    <w:rsid w:val="006D5C49"/>
    <w:rsid w:val="006D6763"/>
    <w:rsid w:val="006D7579"/>
    <w:rsid w:val="006D7DCE"/>
    <w:rsid w:val="006D7EBD"/>
    <w:rsid w:val="006E0247"/>
    <w:rsid w:val="006E08F3"/>
    <w:rsid w:val="006E1803"/>
    <w:rsid w:val="006E31F7"/>
    <w:rsid w:val="006E396F"/>
    <w:rsid w:val="006E4D8A"/>
    <w:rsid w:val="006E4DB9"/>
    <w:rsid w:val="006E574E"/>
    <w:rsid w:val="006E6053"/>
    <w:rsid w:val="006E673C"/>
    <w:rsid w:val="006E67E7"/>
    <w:rsid w:val="006E7834"/>
    <w:rsid w:val="006F073D"/>
    <w:rsid w:val="006F0BF4"/>
    <w:rsid w:val="006F14CB"/>
    <w:rsid w:val="006F22FE"/>
    <w:rsid w:val="006F2A94"/>
    <w:rsid w:val="006F2D33"/>
    <w:rsid w:val="006F35BD"/>
    <w:rsid w:val="006F372F"/>
    <w:rsid w:val="006F5528"/>
    <w:rsid w:val="00700833"/>
    <w:rsid w:val="00700ABB"/>
    <w:rsid w:val="007018EF"/>
    <w:rsid w:val="00702596"/>
    <w:rsid w:val="00704706"/>
    <w:rsid w:val="00704C41"/>
    <w:rsid w:val="0070585E"/>
    <w:rsid w:val="00705963"/>
    <w:rsid w:val="00705D3C"/>
    <w:rsid w:val="00705DE7"/>
    <w:rsid w:val="00705E66"/>
    <w:rsid w:val="0070654F"/>
    <w:rsid w:val="007068B3"/>
    <w:rsid w:val="00707973"/>
    <w:rsid w:val="007102E6"/>
    <w:rsid w:val="00710360"/>
    <w:rsid w:val="00710C71"/>
    <w:rsid w:val="00712D58"/>
    <w:rsid w:val="00713C1F"/>
    <w:rsid w:val="0071417B"/>
    <w:rsid w:val="007145E1"/>
    <w:rsid w:val="007148A5"/>
    <w:rsid w:val="007150A7"/>
    <w:rsid w:val="0071539C"/>
    <w:rsid w:val="00716202"/>
    <w:rsid w:val="0071663A"/>
    <w:rsid w:val="00716670"/>
    <w:rsid w:val="00717190"/>
    <w:rsid w:val="007177DB"/>
    <w:rsid w:val="00717CB4"/>
    <w:rsid w:val="007208F9"/>
    <w:rsid w:val="00721168"/>
    <w:rsid w:val="007218B3"/>
    <w:rsid w:val="00722058"/>
    <w:rsid w:val="00722D87"/>
    <w:rsid w:val="007238CB"/>
    <w:rsid w:val="00723F8C"/>
    <w:rsid w:val="007251BA"/>
    <w:rsid w:val="007254EA"/>
    <w:rsid w:val="0072652F"/>
    <w:rsid w:val="0073017F"/>
    <w:rsid w:val="007303A0"/>
    <w:rsid w:val="00731703"/>
    <w:rsid w:val="007318D5"/>
    <w:rsid w:val="00732DAA"/>
    <w:rsid w:val="00733049"/>
    <w:rsid w:val="00734573"/>
    <w:rsid w:val="00736062"/>
    <w:rsid w:val="00736532"/>
    <w:rsid w:val="00736538"/>
    <w:rsid w:val="0073697E"/>
    <w:rsid w:val="00736984"/>
    <w:rsid w:val="00736A91"/>
    <w:rsid w:val="00737324"/>
    <w:rsid w:val="00737BFE"/>
    <w:rsid w:val="0074010C"/>
    <w:rsid w:val="00740D47"/>
    <w:rsid w:val="00741BBD"/>
    <w:rsid w:val="00742D8C"/>
    <w:rsid w:val="0074305A"/>
    <w:rsid w:val="00744BFF"/>
    <w:rsid w:val="00744F16"/>
    <w:rsid w:val="007462EC"/>
    <w:rsid w:val="0074732B"/>
    <w:rsid w:val="00750D9D"/>
    <w:rsid w:val="00752801"/>
    <w:rsid w:val="00753819"/>
    <w:rsid w:val="007552F6"/>
    <w:rsid w:val="00755B5A"/>
    <w:rsid w:val="00755FD8"/>
    <w:rsid w:val="00756D15"/>
    <w:rsid w:val="007602C3"/>
    <w:rsid w:val="007608D5"/>
    <w:rsid w:val="007616DD"/>
    <w:rsid w:val="00761F39"/>
    <w:rsid w:val="0076206E"/>
    <w:rsid w:val="00762D33"/>
    <w:rsid w:val="00763BAD"/>
    <w:rsid w:val="00763D51"/>
    <w:rsid w:val="00764D7C"/>
    <w:rsid w:val="00765366"/>
    <w:rsid w:val="00765894"/>
    <w:rsid w:val="00765A97"/>
    <w:rsid w:val="007664E3"/>
    <w:rsid w:val="00771723"/>
    <w:rsid w:val="0077260D"/>
    <w:rsid w:val="00772E85"/>
    <w:rsid w:val="00773F7C"/>
    <w:rsid w:val="00774330"/>
    <w:rsid w:val="007756AC"/>
    <w:rsid w:val="0077616A"/>
    <w:rsid w:val="00776AF7"/>
    <w:rsid w:val="00777160"/>
    <w:rsid w:val="007823B1"/>
    <w:rsid w:val="00783E80"/>
    <w:rsid w:val="00783F38"/>
    <w:rsid w:val="0078417E"/>
    <w:rsid w:val="00784359"/>
    <w:rsid w:val="00784A8B"/>
    <w:rsid w:val="00785025"/>
    <w:rsid w:val="007862D8"/>
    <w:rsid w:val="00786A57"/>
    <w:rsid w:val="0079078F"/>
    <w:rsid w:val="007919AB"/>
    <w:rsid w:val="00792234"/>
    <w:rsid w:val="0079223C"/>
    <w:rsid w:val="007927B2"/>
    <w:rsid w:val="00793463"/>
    <w:rsid w:val="007934BF"/>
    <w:rsid w:val="0079393A"/>
    <w:rsid w:val="00793FF3"/>
    <w:rsid w:val="00794259"/>
    <w:rsid w:val="00796F57"/>
    <w:rsid w:val="007A0AAB"/>
    <w:rsid w:val="007A28DC"/>
    <w:rsid w:val="007A36EB"/>
    <w:rsid w:val="007A3A90"/>
    <w:rsid w:val="007A4D82"/>
    <w:rsid w:val="007A51B5"/>
    <w:rsid w:val="007A5695"/>
    <w:rsid w:val="007A56C9"/>
    <w:rsid w:val="007A73A5"/>
    <w:rsid w:val="007B089B"/>
    <w:rsid w:val="007B24D9"/>
    <w:rsid w:val="007B41CB"/>
    <w:rsid w:val="007B4BE1"/>
    <w:rsid w:val="007B58C2"/>
    <w:rsid w:val="007B6E48"/>
    <w:rsid w:val="007C03B2"/>
    <w:rsid w:val="007C096D"/>
    <w:rsid w:val="007C2177"/>
    <w:rsid w:val="007C278D"/>
    <w:rsid w:val="007C41EC"/>
    <w:rsid w:val="007C4D37"/>
    <w:rsid w:val="007C5051"/>
    <w:rsid w:val="007C68E8"/>
    <w:rsid w:val="007C6CB7"/>
    <w:rsid w:val="007C7053"/>
    <w:rsid w:val="007C798D"/>
    <w:rsid w:val="007C7EA0"/>
    <w:rsid w:val="007D0147"/>
    <w:rsid w:val="007D056C"/>
    <w:rsid w:val="007D1918"/>
    <w:rsid w:val="007D1D02"/>
    <w:rsid w:val="007D1F1A"/>
    <w:rsid w:val="007D2D45"/>
    <w:rsid w:val="007D3042"/>
    <w:rsid w:val="007D3EB1"/>
    <w:rsid w:val="007D4F84"/>
    <w:rsid w:val="007D6C43"/>
    <w:rsid w:val="007D6CE6"/>
    <w:rsid w:val="007D6D1B"/>
    <w:rsid w:val="007D7281"/>
    <w:rsid w:val="007D7544"/>
    <w:rsid w:val="007D7860"/>
    <w:rsid w:val="007D7A95"/>
    <w:rsid w:val="007D7C36"/>
    <w:rsid w:val="007E0217"/>
    <w:rsid w:val="007E0385"/>
    <w:rsid w:val="007E0662"/>
    <w:rsid w:val="007E093C"/>
    <w:rsid w:val="007E0B74"/>
    <w:rsid w:val="007E1590"/>
    <w:rsid w:val="007E2B5F"/>
    <w:rsid w:val="007E2F90"/>
    <w:rsid w:val="007E5A4C"/>
    <w:rsid w:val="007E5B5D"/>
    <w:rsid w:val="007E5D7A"/>
    <w:rsid w:val="007E659D"/>
    <w:rsid w:val="007E683E"/>
    <w:rsid w:val="007E7E4B"/>
    <w:rsid w:val="007F0360"/>
    <w:rsid w:val="007F084C"/>
    <w:rsid w:val="007F0AE8"/>
    <w:rsid w:val="007F0ECB"/>
    <w:rsid w:val="007F1BE1"/>
    <w:rsid w:val="007F1F33"/>
    <w:rsid w:val="007F337B"/>
    <w:rsid w:val="007F5077"/>
    <w:rsid w:val="007F5086"/>
    <w:rsid w:val="007F61AA"/>
    <w:rsid w:val="007F6935"/>
    <w:rsid w:val="007F6B85"/>
    <w:rsid w:val="007F75EB"/>
    <w:rsid w:val="007F7CFB"/>
    <w:rsid w:val="007F7FE5"/>
    <w:rsid w:val="00801A9B"/>
    <w:rsid w:val="0080263B"/>
    <w:rsid w:val="008033FA"/>
    <w:rsid w:val="008038A4"/>
    <w:rsid w:val="008039A5"/>
    <w:rsid w:val="00803DDE"/>
    <w:rsid w:val="00804717"/>
    <w:rsid w:val="00804A53"/>
    <w:rsid w:val="00805A1F"/>
    <w:rsid w:val="008103AA"/>
    <w:rsid w:val="008113AD"/>
    <w:rsid w:val="00814BDD"/>
    <w:rsid w:val="008153FE"/>
    <w:rsid w:val="00815A2D"/>
    <w:rsid w:val="00816A0B"/>
    <w:rsid w:val="008172BC"/>
    <w:rsid w:val="008177A2"/>
    <w:rsid w:val="00817A96"/>
    <w:rsid w:val="0082036E"/>
    <w:rsid w:val="00820479"/>
    <w:rsid w:val="0082077C"/>
    <w:rsid w:val="00820A6B"/>
    <w:rsid w:val="00820E51"/>
    <w:rsid w:val="0082224E"/>
    <w:rsid w:val="008224EC"/>
    <w:rsid w:val="0082342A"/>
    <w:rsid w:val="0082473A"/>
    <w:rsid w:val="0082543E"/>
    <w:rsid w:val="00825677"/>
    <w:rsid w:val="00825D50"/>
    <w:rsid w:val="00826EFD"/>
    <w:rsid w:val="00827556"/>
    <w:rsid w:val="008308CE"/>
    <w:rsid w:val="00830C73"/>
    <w:rsid w:val="0083189C"/>
    <w:rsid w:val="00832EE1"/>
    <w:rsid w:val="00834A83"/>
    <w:rsid w:val="00834F86"/>
    <w:rsid w:val="00836745"/>
    <w:rsid w:val="00836D79"/>
    <w:rsid w:val="00836FED"/>
    <w:rsid w:val="00840EB6"/>
    <w:rsid w:val="00841436"/>
    <w:rsid w:val="0084181F"/>
    <w:rsid w:val="00841C3A"/>
    <w:rsid w:val="008421BD"/>
    <w:rsid w:val="00842E87"/>
    <w:rsid w:val="0084388D"/>
    <w:rsid w:val="00843F8D"/>
    <w:rsid w:val="0084477C"/>
    <w:rsid w:val="00844D3B"/>
    <w:rsid w:val="00845295"/>
    <w:rsid w:val="00845C2E"/>
    <w:rsid w:val="00846383"/>
    <w:rsid w:val="00847AA3"/>
    <w:rsid w:val="00847E0F"/>
    <w:rsid w:val="00847EDC"/>
    <w:rsid w:val="0085081D"/>
    <w:rsid w:val="00851A03"/>
    <w:rsid w:val="00851EC1"/>
    <w:rsid w:val="008522B4"/>
    <w:rsid w:val="00852698"/>
    <w:rsid w:val="00852BDA"/>
    <w:rsid w:val="0085425D"/>
    <w:rsid w:val="00854D92"/>
    <w:rsid w:val="00854E95"/>
    <w:rsid w:val="0085500C"/>
    <w:rsid w:val="00855526"/>
    <w:rsid w:val="00855ACB"/>
    <w:rsid w:val="00855CE0"/>
    <w:rsid w:val="008570D8"/>
    <w:rsid w:val="0086058E"/>
    <w:rsid w:val="008608FF"/>
    <w:rsid w:val="00860B1F"/>
    <w:rsid w:val="00861039"/>
    <w:rsid w:val="0086147F"/>
    <w:rsid w:val="00861797"/>
    <w:rsid w:val="00862284"/>
    <w:rsid w:val="008624CF"/>
    <w:rsid w:val="0086292B"/>
    <w:rsid w:val="00862C3C"/>
    <w:rsid w:val="00864578"/>
    <w:rsid w:val="00867C2C"/>
    <w:rsid w:val="00867FB0"/>
    <w:rsid w:val="00871229"/>
    <w:rsid w:val="00871CE1"/>
    <w:rsid w:val="008735DE"/>
    <w:rsid w:val="0087513B"/>
    <w:rsid w:val="00875404"/>
    <w:rsid w:val="0087565F"/>
    <w:rsid w:val="008771D3"/>
    <w:rsid w:val="008771E4"/>
    <w:rsid w:val="0087770E"/>
    <w:rsid w:val="00880633"/>
    <w:rsid w:val="008809A1"/>
    <w:rsid w:val="008837C1"/>
    <w:rsid w:val="00883F04"/>
    <w:rsid w:val="008846F4"/>
    <w:rsid w:val="008848EB"/>
    <w:rsid w:val="008849CC"/>
    <w:rsid w:val="00884D7A"/>
    <w:rsid w:val="008854D5"/>
    <w:rsid w:val="00885681"/>
    <w:rsid w:val="00885B2E"/>
    <w:rsid w:val="00885F6E"/>
    <w:rsid w:val="0088600C"/>
    <w:rsid w:val="00886308"/>
    <w:rsid w:val="00886A53"/>
    <w:rsid w:val="00890DE8"/>
    <w:rsid w:val="00891911"/>
    <w:rsid w:val="008920AA"/>
    <w:rsid w:val="008939A0"/>
    <w:rsid w:val="00893A94"/>
    <w:rsid w:val="00893C3F"/>
    <w:rsid w:val="00894182"/>
    <w:rsid w:val="00894CA8"/>
    <w:rsid w:val="00895178"/>
    <w:rsid w:val="008954D9"/>
    <w:rsid w:val="00895F45"/>
    <w:rsid w:val="00896C07"/>
    <w:rsid w:val="008A01B6"/>
    <w:rsid w:val="008A1BFC"/>
    <w:rsid w:val="008A28D7"/>
    <w:rsid w:val="008A588B"/>
    <w:rsid w:val="008A5D47"/>
    <w:rsid w:val="008A69A3"/>
    <w:rsid w:val="008B04FC"/>
    <w:rsid w:val="008B0CC6"/>
    <w:rsid w:val="008B0EAD"/>
    <w:rsid w:val="008B0F0A"/>
    <w:rsid w:val="008B1685"/>
    <w:rsid w:val="008B2751"/>
    <w:rsid w:val="008B3862"/>
    <w:rsid w:val="008B60D4"/>
    <w:rsid w:val="008B6E30"/>
    <w:rsid w:val="008B7AA0"/>
    <w:rsid w:val="008C1AB6"/>
    <w:rsid w:val="008C2B33"/>
    <w:rsid w:val="008C2C0A"/>
    <w:rsid w:val="008C35BD"/>
    <w:rsid w:val="008C3EC8"/>
    <w:rsid w:val="008C402E"/>
    <w:rsid w:val="008C4FC9"/>
    <w:rsid w:val="008C6C84"/>
    <w:rsid w:val="008C6EF5"/>
    <w:rsid w:val="008C6FD5"/>
    <w:rsid w:val="008D0127"/>
    <w:rsid w:val="008D0178"/>
    <w:rsid w:val="008D29F2"/>
    <w:rsid w:val="008D2D56"/>
    <w:rsid w:val="008D3124"/>
    <w:rsid w:val="008D443D"/>
    <w:rsid w:val="008D4580"/>
    <w:rsid w:val="008D4C45"/>
    <w:rsid w:val="008D5254"/>
    <w:rsid w:val="008D5C62"/>
    <w:rsid w:val="008D6A75"/>
    <w:rsid w:val="008D7E4B"/>
    <w:rsid w:val="008D7F75"/>
    <w:rsid w:val="008E0184"/>
    <w:rsid w:val="008E0878"/>
    <w:rsid w:val="008E13E8"/>
    <w:rsid w:val="008E1853"/>
    <w:rsid w:val="008E1A0A"/>
    <w:rsid w:val="008E2A37"/>
    <w:rsid w:val="008E31C1"/>
    <w:rsid w:val="008E3679"/>
    <w:rsid w:val="008E6417"/>
    <w:rsid w:val="008E6486"/>
    <w:rsid w:val="008E7448"/>
    <w:rsid w:val="008E7BB5"/>
    <w:rsid w:val="008F0151"/>
    <w:rsid w:val="008F03FB"/>
    <w:rsid w:val="008F0EA5"/>
    <w:rsid w:val="008F10D5"/>
    <w:rsid w:val="008F1AEC"/>
    <w:rsid w:val="008F48E7"/>
    <w:rsid w:val="008F511F"/>
    <w:rsid w:val="008F5B86"/>
    <w:rsid w:val="008F69ED"/>
    <w:rsid w:val="008F6F43"/>
    <w:rsid w:val="008F7681"/>
    <w:rsid w:val="008F7C5D"/>
    <w:rsid w:val="008F7E8E"/>
    <w:rsid w:val="00900750"/>
    <w:rsid w:val="00901049"/>
    <w:rsid w:val="009034A2"/>
    <w:rsid w:val="0090574B"/>
    <w:rsid w:val="009061DB"/>
    <w:rsid w:val="0090692F"/>
    <w:rsid w:val="009070AC"/>
    <w:rsid w:val="00907ECF"/>
    <w:rsid w:val="00910157"/>
    <w:rsid w:val="00911030"/>
    <w:rsid w:val="009111F3"/>
    <w:rsid w:val="009117AA"/>
    <w:rsid w:val="0091203B"/>
    <w:rsid w:val="009120D3"/>
    <w:rsid w:val="009132BA"/>
    <w:rsid w:val="00913AD4"/>
    <w:rsid w:val="009143E5"/>
    <w:rsid w:val="00914CCE"/>
    <w:rsid w:val="00916ACA"/>
    <w:rsid w:val="00916E37"/>
    <w:rsid w:val="00917DD6"/>
    <w:rsid w:val="00917EDA"/>
    <w:rsid w:val="00920E20"/>
    <w:rsid w:val="00922835"/>
    <w:rsid w:val="0092297A"/>
    <w:rsid w:val="0092356A"/>
    <w:rsid w:val="00924031"/>
    <w:rsid w:val="00924E60"/>
    <w:rsid w:val="009250C9"/>
    <w:rsid w:val="00925492"/>
    <w:rsid w:val="00925884"/>
    <w:rsid w:val="00925CDA"/>
    <w:rsid w:val="0092734F"/>
    <w:rsid w:val="00930484"/>
    <w:rsid w:val="0093066C"/>
    <w:rsid w:val="0093068C"/>
    <w:rsid w:val="0093162C"/>
    <w:rsid w:val="00931A03"/>
    <w:rsid w:val="00932F6A"/>
    <w:rsid w:val="00933A04"/>
    <w:rsid w:val="009354C2"/>
    <w:rsid w:val="0093558F"/>
    <w:rsid w:val="00935C51"/>
    <w:rsid w:val="00935DF9"/>
    <w:rsid w:val="00940065"/>
    <w:rsid w:val="009408D8"/>
    <w:rsid w:val="00940FEA"/>
    <w:rsid w:val="00941BAD"/>
    <w:rsid w:val="009452EF"/>
    <w:rsid w:val="00945DB0"/>
    <w:rsid w:val="009460EB"/>
    <w:rsid w:val="009461A7"/>
    <w:rsid w:val="00947EE6"/>
    <w:rsid w:val="0095043A"/>
    <w:rsid w:val="009513EA"/>
    <w:rsid w:val="009532CA"/>
    <w:rsid w:val="00953463"/>
    <w:rsid w:val="009539A5"/>
    <w:rsid w:val="00953BBF"/>
    <w:rsid w:val="0095411E"/>
    <w:rsid w:val="00954C20"/>
    <w:rsid w:val="009571C1"/>
    <w:rsid w:val="009575FA"/>
    <w:rsid w:val="0096135E"/>
    <w:rsid w:val="00961566"/>
    <w:rsid w:val="00961AAE"/>
    <w:rsid w:val="00961B00"/>
    <w:rsid w:val="009628F1"/>
    <w:rsid w:val="00962F23"/>
    <w:rsid w:val="00963DCB"/>
    <w:rsid w:val="0096439C"/>
    <w:rsid w:val="009645EE"/>
    <w:rsid w:val="00964BD4"/>
    <w:rsid w:val="009652A0"/>
    <w:rsid w:val="0096648D"/>
    <w:rsid w:val="00966804"/>
    <w:rsid w:val="00972AC1"/>
    <w:rsid w:val="00973416"/>
    <w:rsid w:val="009753A7"/>
    <w:rsid w:val="0097571C"/>
    <w:rsid w:val="0097698D"/>
    <w:rsid w:val="009769CB"/>
    <w:rsid w:val="009773EF"/>
    <w:rsid w:val="00980368"/>
    <w:rsid w:val="009812AE"/>
    <w:rsid w:val="00981D52"/>
    <w:rsid w:val="00982DA2"/>
    <w:rsid w:val="00983CBE"/>
    <w:rsid w:val="00985080"/>
    <w:rsid w:val="0099185C"/>
    <w:rsid w:val="00991966"/>
    <w:rsid w:val="00991F75"/>
    <w:rsid w:val="0099275F"/>
    <w:rsid w:val="009928AF"/>
    <w:rsid w:val="00993678"/>
    <w:rsid w:val="00993718"/>
    <w:rsid w:val="0099382B"/>
    <w:rsid w:val="00993C1E"/>
    <w:rsid w:val="00994ABC"/>
    <w:rsid w:val="00995628"/>
    <w:rsid w:val="00997B1C"/>
    <w:rsid w:val="009A0205"/>
    <w:rsid w:val="009A0AD7"/>
    <w:rsid w:val="009A14CE"/>
    <w:rsid w:val="009A18B7"/>
    <w:rsid w:val="009A1D3A"/>
    <w:rsid w:val="009A2573"/>
    <w:rsid w:val="009A3052"/>
    <w:rsid w:val="009A40F3"/>
    <w:rsid w:val="009A428D"/>
    <w:rsid w:val="009A4922"/>
    <w:rsid w:val="009A4E49"/>
    <w:rsid w:val="009A66FE"/>
    <w:rsid w:val="009A6AE0"/>
    <w:rsid w:val="009A7C66"/>
    <w:rsid w:val="009B029E"/>
    <w:rsid w:val="009B115B"/>
    <w:rsid w:val="009B1434"/>
    <w:rsid w:val="009B1462"/>
    <w:rsid w:val="009B1D48"/>
    <w:rsid w:val="009B335B"/>
    <w:rsid w:val="009B33A1"/>
    <w:rsid w:val="009B3441"/>
    <w:rsid w:val="009B403D"/>
    <w:rsid w:val="009B45B4"/>
    <w:rsid w:val="009B4C8A"/>
    <w:rsid w:val="009B50F3"/>
    <w:rsid w:val="009B55A7"/>
    <w:rsid w:val="009B5ACD"/>
    <w:rsid w:val="009B5F98"/>
    <w:rsid w:val="009B6E97"/>
    <w:rsid w:val="009B768D"/>
    <w:rsid w:val="009C004C"/>
    <w:rsid w:val="009C10B7"/>
    <w:rsid w:val="009C1888"/>
    <w:rsid w:val="009C2367"/>
    <w:rsid w:val="009C2705"/>
    <w:rsid w:val="009C29E6"/>
    <w:rsid w:val="009C39E7"/>
    <w:rsid w:val="009C4098"/>
    <w:rsid w:val="009C4CCC"/>
    <w:rsid w:val="009C4DDF"/>
    <w:rsid w:val="009C5956"/>
    <w:rsid w:val="009C5CBD"/>
    <w:rsid w:val="009C74D6"/>
    <w:rsid w:val="009C7E6A"/>
    <w:rsid w:val="009D067C"/>
    <w:rsid w:val="009D0BAD"/>
    <w:rsid w:val="009D0F0E"/>
    <w:rsid w:val="009D0FEC"/>
    <w:rsid w:val="009D100F"/>
    <w:rsid w:val="009D1161"/>
    <w:rsid w:val="009D1755"/>
    <w:rsid w:val="009D18EE"/>
    <w:rsid w:val="009D26CA"/>
    <w:rsid w:val="009D29FB"/>
    <w:rsid w:val="009D2C81"/>
    <w:rsid w:val="009D45B7"/>
    <w:rsid w:val="009D62A2"/>
    <w:rsid w:val="009D6FF0"/>
    <w:rsid w:val="009D7734"/>
    <w:rsid w:val="009D7754"/>
    <w:rsid w:val="009D77B2"/>
    <w:rsid w:val="009D78CC"/>
    <w:rsid w:val="009D7F90"/>
    <w:rsid w:val="009E0318"/>
    <w:rsid w:val="009E10A8"/>
    <w:rsid w:val="009E170E"/>
    <w:rsid w:val="009E1EDF"/>
    <w:rsid w:val="009E2648"/>
    <w:rsid w:val="009E3C89"/>
    <w:rsid w:val="009E3E40"/>
    <w:rsid w:val="009E4A52"/>
    <w:rsid w:val="009E62DC"/>
    <w:rsid w:val="009E6AC9"/>
    <w:rsid w:val="009E6C46"/>
    <w:rsid w:val="009F0040"/>
    <w:rsid w:val="009F08F7"/>
    <w:rsid w:val="009F0923"/>
    <w:rsid w:val="009F0972"/>
    <w:rsid w:val="009F0F30"/>
    <w:rsid w:val="009F0FC3"/>
    <w:rsid w:val="009F16F6"/>
    <w:rsid w:val="009F18D8"/>
    <w:rsid w:val="009F2183"/>
    <w:rsid w:val="009F2D39"/>
    <w:rsid w:val="009F3FB0"/>
    <w:rsid w:val="009F6239"/>
    <w:rsid w:val="00A00438"/>
    <w:rsid w:val="00A00AFA"/>
    <w:rsid w:val="00A016C7"/>
    <w:rsid w:val="00A019F4"/>
    <w:rsid w:val="00A0227C"/>
    <w:rsid w:val="00A02E09"/>
    <w:rsid w:val="00A0413E"/>
    <w:rsid w:val="00A04BF4"/>
    <w:rsid w:val="00A04EB4"/>
    <w:rsid w:val="00A05E92"/>
    <w:rsid w:val="00A06096"/>
    <w:rsid w:val="00A067BE"/>
    <w:rsid w:val="00A07A18"/>
    <w:rsid w:val="00A104CD"/>
    <w:rsid w:val="00A11561"/>
    <w:rsid w:val="00A11B3D"/>
    <w:rsid w:val="00A12108"/>
    <w:rsid w:val="00A126E5"/>
    <w:rsid w:val="00A130D2"/>
    <w:rsid w:val="00A13A42"/>
    <w:rsid w:val="00A15669"/>
    <w:rsid w:val="00A15C35"/>
    <w:rsid w:val="00A15C3E"/>
    <w:rsid w:val="00A1623C"/>
    <w:rsid w:val="00A172D1"/>
    <w:rsid w:val="00A17380"/>
    <w:rsid w:val="00A20138"/>
    <w:rsid w:val="00A21459"/>
    <w:rsid w:val="00A2296B"/>
    <w:rsid w:val="00A22C48"/>
    <w:rsid w:val="00A22C93"/>
    <w:rsid w:val="00A23047"/>
    <w:rsid w:val="00A23962"/>
    <w:rsid w:val="00A25C62"/>
    <w:rsid w:val="00A26674"/>
    <w:rsid w:val="00A3096D"/>
    <w:rsid w:val="00A31A06"/>
    <w:rsid w:val="00A31FD5"/>
    <w:rsid w:val="00A32AFA"/>
    <w:rsid w:val="00A32ED0"/>
    <w:rsid w:val="00A344B0"/>
    <w:rsid w:val="00A3491F"/>
    <w:rsid w:val="00A352BE"/>
    <w:rsid w:val="00A352CD"/>
    <w:rsid w:val="00A35969"/>
    <w:rsid w:val="00A35E58"/>
    <w:rsid w:val="00A37885"/>
    <w:rsid w:val="00A418AF"/>
    <w:rsid w:val="00A43217"/>
    <w:rsid w:val="00A43696"/>
    <w:rsid w:val="00A44C6B"/>
    <w:rsid w:val="00A46AB1"/>
    <w:rsid w:val="00A46CC0"/>
    <w:rsid w:val="00A47927"/>
    <w:rsid w:val="00A50255"/>
    <w:rsid w:val="00A506CF"/>
    <w:rsid w:val="00A5084A"/>
    <w:rsid w:val="00A50952"/>
    <w:rsid w:val="00A50A9D"/>
    <w:rsid w:val="00A50F12"/>
    <w:rsid w:val="00A51279"/>
    <w:rsid w:val="00A519BA"/>
    <w:rsid w:val="00A51E53"/>
    <w:rsid w:val="00A522FD"/>
    <w:rsid w:val="00A5238F"/>
    <w:rsid w:val="00A540DE"/>
    <w:rsid w:val="00A54FBC"/>
    <w:rsid w:val="00A550CA"/>
    <w:rsid w:val="00A56B4F"/>
    <w:rsid w:val="00A578D3"/>
    <w:rsid w:val="00A578F5"/>
    <w:rsid w:val="00A606D3"/>
    <w:rsid w:val="00A62044"/>
    <w:rsid w:val="00A622CF"/>
    <w:rsid w:val="00A62408"/>
    <w:rsid w:val="00A645B8"/>
    <w:rsid w:val="00A6537B"/>
    <w:rsid w:val="00A65A80"/>
    <w:rsid w:val="00A6690D"/>
    <w:rsid w:val="00A67512"/>
    <w:rsid w:val="00A67C4A"/>
    <w:rsid w:val="00A67DD4"/>
    <w:rsid w:val="00A718B7"/>
    <w:rsid w:val="00A71FEF"/>
    <w:rsid w:val="00A72768"/>
    <w:rsid w:val="00A756FC"/>
    <w:rsid w:val="00A76151"/>
    <w:rsid w:val="00A7629D"/>
    <w:rsid w:val="00A762C9"/>
    <w:rsid w:val="00A76C26"/>
    <w:rsid w:val="00A80492"/>
    <w:rsid w:val="00A82AD4"/>
    <w:rsid w:val="00A82B80"/>
    <w:rsid w:val="00A82FF2"/>
    <w:rsid w:val="00A831EB"/>
    <w:rsid w:val="00A833C8"/>
    <w:rsid w:val="00A83FAD"/>
    <w:rsid w:val="00A840A4"/>
    <w:rsid w:val="00A84A38"/>
    <w:rsid w:val="00A84E80"/>
    <w:rsid w:val="00A85B53"/>
    <w:rsid w:val="00A8630F"/>
    <w:rsid w:val="00A87C8D"/>
    <w:rsid w:val="00A87E83"/>
    <w:rsid w:val="00A90495"/>
    <w:rsid w:val="00A906AE"/>
    <w:rsid w:val="00A91E28"/>
    <w:rsid w:val="00A92394"/>
    <w:rsid w:val="00A926A6"/>
    <w:rsid w:val="00A94345"/>
    <w:rsid w:val="00A94B50"/>
    <w:rsid w:val="00A96831"/>
    <w:rsid w:val="00A97B89"/>
    <w:rsid w:val="00AA31A0"/>
    <w:rsid w:val="00AA5519"/>
    <w:rsid w:val="00AA72D2"/>
    <w:rsid w:val="00AA7B44"/>
    <w:rsid w:val="00AB0176"/>
    <w:rsid w:val="00AB1AB4"/>
    <w:rsid w:val="00AB2B61"/>
    <w:rsid w:val="00AB2D2C"/>
    <w:rsid w:val="00AB368B"/>
    <w:rsid w:val="00AB382B"/>
    <w:rsid w:val="00AB3E2E"/>
    <w:rsid w:val="00AB4F7A"/>
    <w:rsid w:val="00AB590A"/>
    <w:rsid w:val="00AB6CB5"/>
    <w:rsid w:val="00AB7054"/>
    <w:rsid w:val="00AB7159"/>
    <w:rsid w:val="00AB7249"/>
    <w:rsid w:val="00AB7535"/>
    <w:rsid w:val="00AB7659"/>
    <w:rsid w:val="00AC057D"/>
    <w:rsid w:val="00AC07CD"/>
    <w:rsid w:val="00AC0A0D"/>
    <w:rsid w:val="00AC0B95"/>
    <w:rsid w:val="00AC0D80"/>
    <w:rsid w:val="00AC0F1C"/>
    <w:rsid w:val="00AC108B"/>
    <w:rsid w:val="00AC14FE"/>
    <w:rsid w:val="00AC27F9"/>
    <w:rsid w:val="00AC282F"/>
    <w:rsid w:val="00AC41C5"/>
    <w:rsid w:val="00AC4740"/>
    <w:rsid w:val="00AC506D"/>
    <w:rsid w:val="00AC61AB"/>
    <w:rsid w:val="00AC6F99"/>
    <w:rsid w:val="00AC75FD"/>
    <w:rsid w:val="00AD02D2"/>
    <w:rsid w:val="00AD02E9"/>
    <w:rsid w:val="00AD0BB4"/>
    <w:rsid w:val="00AD1704"/>
    <w:rsid w:val="00AD3BB8"/>
    <w:rsid w:val="00AD40BF"/>
    <w:rsid w:val="00AD4DFD"/>
    <w:rsid w:val="00AD5A4F"/>
    <w:rsid w:val="00AD606C"/>
    <w:rsid w:val="00AD6DB9"/>
    <w:rsid w:val="00AD72CC"/>
    <w:rsid w:val="00AD7B0F"/>
    <w:rsid w:val="00AE0ABA"/>
    <w:rsid w:val="00AE16E3"/>
    <w:rsid w:val="00AE17A4"/>
    <w:rsid w:val="00AE1C8A"/>
    <w:rsid w:val="00AE1E1D"/>
    <w:rsid w:val="00AE282B"/>
    <w:rsid w:val="00AE3D03"/>
    <w:rsid w:val="00AE47D1"/>
    <w:rsid w:val="00AE4E2E"/>
    <w:rsid w:val="00AE565D"/>
    <w:rsid w:val="00AE7753"/>
    <w:rsid w:val="00AE7A2B"/>
    <w:rsid w:val="00AE7A5B"/>
    <w:rsid w:val="00AF002E"/>
    <w:rsid w:val="00AF0CEC"/>
    <w:rsid w:val="00AF1E21"/>
    <w:rsid w:val="00AF1F24"/>
    <w:rsid w:val="00AF2B66"/>
    <w:rsid w:val="00AF4333"/>
    <w:rsid w:val="00B00A5C"/>
    <w:rsid w:val="00B00FEB"/>
    <w:rsid w:val="00B0176A"/>
    <w:rsid w:val="00B01818"/>
    <w:rsid w:val="00B0301C"/>
    <w:rsid w:val="00B03CF6"/>
    <w:rsid w:val="00B04FE3"/>
    <w:rsid w:val="00B05547"/>
    <w:rsid w:val="00B05B97"/>
    <w:rsid w:val="00B062D5"/>
    <w:rsid w:val="00B07646"/>
    <w:rsid w:val="00B07708"/>
    <w:rsid w:val="00B07775"/>
    <w:rsid w:val="00B10143"/>
    <w:rsid w:val="00B11193"/>
    <w:rsid w:val="00B11332"/>
    <w:rsid w:val="00B1197D"/>
    <w:rsid w:val="00B11B39"/>
    <w:rsid w:val="00B129EB"/>
    <w:rsid w:val="00B12AE7"/>
    <w:rsid w:val="00B13653"/>
    <w:rsid w:val="00B13C45"/>
    <w:rsid w:val="00B13F2F"/>
    <w:rsid w:val="00B16A1B"/>
    <w:rsid w:val="00B17DE0"/>
    <w:rsid w:val="00B20D58"/>
    <w:rsid w:val="00B214D2"/>
    <w:rsid w:val="00B21532"/>
    <w:rsid w:val="00B21B9E"/>
    <w:rsid w:val="00B2345F"/>
    <w:rsid w:val="00B24C8A"/>
    <w:rsid w:val="00B251B7"/>
    <w:rsid w:val="00B25499"/>
    <w:rsid w:val="00B25F8B"/>
    <w:rsid w:val="00B2652D"/>
    <w:rsid w:val="00B27763"/>
    <w:rsid w:val="00B311E5"/>
    <w:rsid w:val="00B32375"/>
    <w:rsid w:val="00B324B0"/>
    <w:rsid w:val="00B34D28"/>
    <w:rsid w:val="00B35E1C"/>
    <w:rsid w:val="00B372A1"/>
    <w:rsid w:val="00B37988"/>
    <w:rsid w:val="00B37BBE"/>
    <w:rsid w:val="00B37D63"/>
    <w:rsid w:val="00B40D4A"/>
    <w:rsid w:val="00B42AFC"/>
    <w:rsid w:val="00B43FD4"/>
    <w:rsid w:val="00B45D64"/>
    <w:rsid w:val="00B4677D"/>
    <w:rsid w:val="00B469CA"/>
    <w:rsid w:val="00B470F9"/>
    <w:rsid w:val="00B4726B"/>
    <w:rsid w:val="00B4793C"/>
    <w:rsid w:val="00B5063D"/>
    <w:rsid w:val="00B508F5"/>
    <w:rsid w:val="00B51314"/>
    <w:rsid w:val="00B5172D"/>
    <w:rsid w:val="00B51F9B"/>
    <w:rsid w:val="00B5314C"/>
    <w:rsid w:val="00B56EFE"/>
    <w:rsid w:val="00B600FC"/>
    <w:rsid w:val="00B6117B"/>
    <w:rsid w:val="00B62145"/>
    <w:rsid w:val="00B624E1"/>
    <w:rsid w:val="00B6278A"/>
    <w:rsid w:val="00B629BD"/>
    <w:rsid w:val="00B62C4C"/>
    <w:rsid w:val="00B6301E"/>
    <w:rsid w:val="00B63339"/>
    <w:rsid w:val="00B644CE"/>
    <w:rsid w:val="00B64532"/>
    <w:rsid w:val="00B65BDC"/>
    <w:rsid w:val="00B66652"/>
    <w:rsid w:val="00B703DA"/>
    <w:rsid w:val="00B710ED"/>
    <w:rsid w:val="00B725AE"/>
    <w:rsid w:val="00B7292F"/>
    <w:rsid w:val="00B72AAC"/>
    <w:rsid w:val="00B738AD"/>
    <w:rsid w:val="00B74C22"/>
    <w:rsid w:val="00B75BD9"/>
    <w:rsid w:val="00B7676F"/>
    <w:rsid w:val="00B76B0F"/>
    <w:rsid w:val="00B7736D"/>
    <w:rsid w:val="00B800DD"/>
    <w:rsid w:val="00B801C4"/>
    <w:rsid w:val="00B802AE"/>
    <w:rsid w:val="00B82B47"/>
    <w:rsid w:val="00B83081"/>
    <w:rsid w:val="00B8367D"/>
    <w:rsid w:val="00B83B01"/>
    <w:rsid w:val="00B83B77"/>
    <w:rsid w:val="00B848D5"/>
    <w:rsid w:val="00B84F5A"/>
    <w:rsid w:val="00B8565B"/>
    <w:rsid w:val="00B87832"/>
    <w:rsid w:val="00B9034C"/>
    <w:rsid w:val="00B90672"/>
    <w:rsid w:val="00B9102E"/>
    <w:rsid w:val="00B91B98"/>
    <w:rsid w:val="00B92082"/>
    <w:rsid w:val="00B927B3"/>
    <w:rsid w:val="00B93063"/>
    <w:rsid w:val="00B938F6"/>
    <w:rsid w:val="00B94474"/>
    <w:rsid w:val="00B956A0"/>
    <w:rsid w:val="00B96ECA"/>
    <w:rsid w:val="00BA0E4D"/>
    <w:rsid w:val="00BA26CD"/>
    <w:rsid w:val="00BA2F49"/>
    <w:rsid w:val="00BA33E5"/>
    <w:rsid w:val="00BA37F7"/>
    <w:rsid w:val="00BA51A6"/>
    <w:rsid w:val="00BA5FA8"/>
    <w:rsid w:val="00BB0383"/>
    <w:rsid w:val="00BB04DD"/>
    <w:rsid w:val="00BB0780"/>
    <w:rsid w:val="00BB12FC"/>
    <w:rsid w:val="00BB2094"/>
    <w:rsid w:val="00BB2217"/>
    <w:rsid w:val="00BB2F96"/>
    <w:rsid w:val="00BB3DE6"/>
    <w:rsid w:val="00BB4BA8"/>
    <w:rsid w:val="00BB5867"/>
    <w:rsid w:val="00BB64F8"/>
    <w:rsid w:val="00BB77CC"/>
    <w:rsid w:val="00BC0646"/>
    <w:rsid w:val="00BC0AF8"/>
    <w:rsid w:val="00BC1E60"/>
    <w:rsid w:val="00BC2573"/>
    <w:rsid w:val="00BC28CF"/>
    <w:rsid w:val="00BC2BE1"/>
    <w:rsid w:val="00BC5403"/>
    <w:rsid w:val="00BC5F5A"/>
    <w:rsid w:val="00BC6E73"/>
    <w:rsid w:val="00BC75D8"/>
    <w:rsid w:val="00BD100E"/>
    <w:rsid w:val="00BD2743"/>
    <w:rsid w:val="00BD3A14"/>
    <w:rsid w:val="00BD3D97"/>
    <w:rsid w:val="00BD3DDF"/>
    <w:rsid w:val="00BD42C7"/>
    <w:rsid w:val="00BD449B"/>
    <w:rsid w:val="00BD4A8E"/>
    <w:rsid w:val="00BD4B08"/>
    <w:rsid w:val="00BD4B18"/>
    <w:rsid w:val="00BD5381"/>
    <w:rsid w:val="00BD5589"/>
    <w:rsid w:val="00BD64B1"/>
    <w:rsid w:val="00BE00FD"/>
    <w:rsid w:val="00BE26EC"/>
    <w:rsid w:val="00BE3149"/>
    <w:rsid w:val="00BE3225"/>
    <w:rsid w:val="00BE46E7"/>
    <w:rsid w:val="00BE483B"/>
    <w:rsid w:val="00BE48CA"/>
    <w:rsid w:val="00BE5699"/>
    <w:rsid w:val="00BE5C6A"/>
    <w:rsid w:val="00BE6675"/>
    <w:rsid w:val="00BE76F7"/>
    <w:rsid w:val="00BE787E"/>
    <w:rsid w:val="00BE795A"/>
    <w:rsid w:val="00BE7E4E"/>
    <w:rsid w:val="00BF03FD"/>
    <w:rsid w:val="00BF1D35"/>
    <w:rsid w:val="00BF266C"/>
    <w:rsid w:val="00BF279F"/>
    <w:rsid w:val="00BF3E02"/>
    <w:rsid w:val="00BF3E39"/>
    <w:rsid w:val="00BF3EBB"/>
    <w:rsid w:val="00BF4048"/>
    <w:rsid w:val="00BF41F1"/>
    <w:rsid w:val="00BF52D7"/>
    <w:rsid w:val="00BF54FB"/>
    <w:rsid w:val="00BF5C27"/>
    <w:rsid w:val="00BF6186"/>
    <w:rsid w:val="00BF6719"/>
    <w:rsid w:val="00BF6FDE"/>
    <w:rsid w:val="00BF7A22"/>
    <w:rsid w:val="00BF7F1B"/>
    <w:rsid w:val="00C0168A"/>
    <w:rsid w:val="00C02E99"/>
    <w:rsid w:val="00C03171"/>
    <w:rsid w:val="00C04255"/>
    <w:rsid w:val="00C04273"/>
    <w:rsid w:val="00C04629"/>
    <w:rsid w:val="00C04793"/>
    <w:rsid w:val="00C048AD"/>
    <w:rsid w:val="00C0581C"/>
    <w:rsid w:val="00C05F91"/>
    <w:rsid w:val="00C0617D"/>
    <w:rsid w:val="00C061AE"/>
    <w:rsid w:val="00C069C6"/>
    <w:rsid w:val="00C070F9"/>
    <w:rsid w:val="00C074D6"/>
    <w:rsid w:val="00C1017F"/>
    <w:rsid w:val="00C10CE1"/>
    <w:rsid w:val="00C11531"/>
    <w:rsid w:val="00C14A21"/>
    <w:rsid w:val="00C1562C"/>
    <w:rsid w:val="00C15AE2"/>
    <w:rsid w:val="00C15B3D"/>
    <w:rsid w:val="00C1653C"/>
    <w:rsid w:val="00C16C51"/>
    <w:rsid w:val="00C1736D"/>
    <w:rsid w:val="00C22F6C"/>
    <w:rsid w:val="00C25931"/>
    <w:rsid w:val="00C261AF"/>
    <w:rsid w:val="00C2691D"/>
    <w:rsid w:val="00C26AED"/>
    <w:rsid w:val="00C303F1"/>
    <w:rsid w:val="00C3078F"/>
    <w:rsid w:val="00C30A7B"/>
    <w:rsid w:val="00C324F2"/>
    <w:rsid w:val="00C325DF"/>
    <w:rsid w:val="00C32A0A"/>
    <w:rsid w:val="00C336FC"/>
    <w:rsid w:val="00C3482C"/>
    <w:rsid w:val="00C34AE6"/>
    <w:rsid w:val="00C34AF8"/>
    <w:rsid w:val="00C3551D"/>
    <w:rsid w:val="00C35649"/>
    <w:rsid w:val="00C35BAD"/>
    <w:rsid w:val="00C35EEC"/>
    <w:rsid w:val="00C36E35"/>
    <w:rsid w:val="00C37736"/>
    <w:rsid w:val="00C37DF6"/>
    <w:rsid w:val="00C40B07"/>
    <w:rsid w:val="00C40F7C"/>
    <w:rsid w:val="00C422FA"/>
    <w:rsid w:val="00C424C6"/>
    <w:rsid w:val="00C45A9F"/>
    <w:rsid w:val="00C46301"/>
    <w:rsid w:val="00C470CE"/>
    <w:rsid w:val="00C471BB"/>
    <w:rsid w:val="00C51AEC"/>
    <w:rsid w:val="00C52A02"/>
    <w:rsid w:val="00C536A8"/>
    <w:rsid w:val="00C548C4"/>
    <w:rsid w:val="00C5571F"/>
    <w:rsid w:val="00C57AF3"/>
    <w:rsid w:val="00C60064"/>
    <w:rsid w:val="00C607A6"/>
    <w:rsid w:val="00C60827"/>
    <w:rsid w:val="00C6189A"/>
    <w:rsid w:val="00C638F7"/>
    <w:rsid w:val="00C639D1"/>
    <w:rsid w:val="00C63BB2"/>
    <w:rsid w:val="00C63F9C"/>
    <w:rsid w:val="00C6411C"/>
    <w:rsid w:val="00C6763A"/>
    <w:rsid w:val="00C67B30"/>
    <w:rsid w:val="00C70816"/>
    <w:rsid w:val="00C712F5"/>
    <w:rsid w:val="00C71325"/>
    <w:rsid w:val="00C71B5F"/>
    <w:rsid w:val="00C75FC9"/>
    <w:rsid w:val="00C76975"/>
    <w:rsid w:val="00C775AC"/>
    <w:rsid w:val="00C80D77"/>
    <w:rsid w:val="00C80E71"/>
    <w:rsid w:val="00C81BE2"/>
    <w:rsid w:val="00C826E7"/>
    <w:rsid w:val="00C8307F"/>
    <w:rsid w:val="00C83109"/>
    <w:rsid w:val="00C83826"/>
    <w:rsid w:val="00C84306"/>
    <w:rsid w:val="00C85428"/>
    <w:rsid w:val="00C858C8"/>
    <w:rsid w:val="00C863AF"/>
    <w:rsid w:val="00C8715C"/>
    <w:rsid w:val="00C90C00"/>
    <w:rsid w:val="00C92C36"/>
    <w:rsid w:val="00C92CB8"/>
    <w:rsid w:val="00C93B8F"/>
    <w:rsid w:val="00C93F0D"/>
    <w:rsid w:val="00C93F83"/>
    <w:rsid w:val="00C940AD"/>
    <w:rsid w:val="00C946F4"/>
    <w:rsid w:val="00C95515"/>
    <w:rsid w:val="00C9703F"/>
    <w:rsid w:val="00C97093"/>
    <w:rsid w:val="00C979B3"/>
    <w:rsid w:val="00CA03CE"/>
    <w:rsid w:val="00CA3DD1"/>
    <w:rsid w:val="00CA594B"/>
    <w:rsid w:val="00CA5BAA"/>
    <w:rsid w:val="00CA5F55"/>
    <w:rsid w:val="00CA721A"/>
    <w:rsid w:val="00CA79C8"/>
    <w:rsid w:val="00CB080C"/>
    <w:rsid w:val="00CB21F0"/>
    <w:rsid w:val="00CB29B5"/>
    <w:rsid w:val="00CB479A"/>
    <w:rsid w:val="00CB527D"/>
    <w:rsid w:val="00CB5E46"/>
    <w:rsid w:val="00CB6174"/>
    <w:rsid w:val="00CB6B3A"/>
    <w:rsid w:val="00CB7E2A"/>
    <w:rsid w:val="00CB7E48"/>
    <w:rsid w:val="00CC35B1"/>
    <w:rsid w:val="00CC3EB3"/>
    <w:rsid w:val="00CC4832"/>
    <w:rsid w:val="00CC5680"/>
    <w:rsid w:val="00CC65AB"/>
    <w:rsid w:val="00CC7B83"/>
    <w:rsid w:val="00CC7E73"/>
    <w:rsid w:val="00CD0162"/>
    <w:rsid w:val="00CD01DD"/>
    <w:rsid w:val="00CD0304"/>
    <w:rsid w:val="00CD0604"/>
    <w:rsid w:val="00CD0A6B"/>
    <w:rsid w:val="00CD17A3"/>
    <w:rsid w:val="00CD18BD"/>
    <w:rsid w:val="00CD1AC9"/>
    <w:rsid w:val="00CD2293"/>
    <w:rsid w:val="00CD36A7"/>
    <w:rsid w:val="00CD38EF"/>
    <w:rsid w:val="00CD3FC1"/>
    <w:rsid w:val="00CD42C4"/>
    <w:rsid w:val="00CD45DF"/>
    <w:rsid w:val="00CD4A40"/>
    <w:rsid w:val="00CD7C68"/>
    <w:rsid w:val="00CE23B4"/>
    <w:rsid w:val="00CE2684"/>
    <w:rsid w:val="00CE3B51"/>
    <w:rsid w:val="00CE3DDE"/>
    <w:rsid w:val="00CE423A"/>
    <w:rsid w:val="00CE608D"/>
    <w:rsid w:val="00CE6DE0"/>
    <w:rsid w:val="00CF0D84"/>
    <w:rsid w:val="00CF24C2"/>
    <w:rsid w:val="00CF29B4"/>
    <w:rsid w:val="00CF2B4E"/>
    <w:rsid w:val="00CF3AE3"/>
    <w:rsid w:val="00CF53E2"/>
    <w:rsid w:val="00CF6060"/>
    <w:rsid w:val="00CF68B2"/>
    <w:rsid w:val="00CF6A3B"/>
    <w:rsid w:val="00CF6A83"/>
    <w:rsid w:val="00D0047F"/>
    <w:rsid w:val="00D00FD2"/>
    <w:rsid w:val="00D01C47"/>
    <w:rsid w:val="00D02A59"/>
    <w:rsid w:val="00D02CB6"/>
    <w:rsid w:val="00D042FF"/>
    <w:rsid w:val="00D04E54"/>
    <w:rsid w:val="00D052F2"/>
    <w:rsid w:val="00D0549F"/>
    <w:rsid w:val="00D06018"/>
    <w:rsid w:val="00D06189"/>
    <w:rsid w:val="00D10A14"/>
    <w:rsid w:val="00D10F67"/>
    <w:rsid w:val="00D1162B"/>
    <w:rsid w:val="00D143CF"/>
    <w:rsid w:val="00D143D0"/>
    <w:rsid w:val="00D14672"/>
    <w:rsid w:val="00D150E8"/>
    <w:rsid w:val="00D15373"/>
    <w:rsid w:val="00D153C1"/>
    <w:rsid w:val="00D15922"/>
    <w:rsid w:val="00D166D6"/>
    <w:rsid w:val="00D2102F"/>
    <w:rsid w:val="00D214D5"/>
    <w:rsid w:val="00D2187A"/>
    <w:rsid w:val="00D21DFC"/>
    <w:rsid w:val="00D22BB4"/>
    <w:rsid w:val="00D232BA"/>
    <w:rsid w:val="00D2335E"/>
    <w:rsid w:val="00D23520"/>
    <w:rsid w:val="00D23EC8"/>
    <w:rsid w:val="00D2418C"/>
    <w:rsid w:val="00D253DB"/>
    <w:rsid w:val="00D30497"/>
    <w:rsid w:val="00D30858"/>
    <w:rsid w:val="00D30A40"/>
    <w:rsid w:val="00D316AA"/>
    <w:rsid w:val="00D32137"/>
    <w:rsid w:val="00D3596A"/>
    <w:rsid w:val="00D3678E"/>
    <w:rsid w:val="00D36B91"/>
    <w:rsid w:val="00D375BB"/>
    <w:rsid w:val="00D375D3"/>
    <w:rsid w:val="00D37EEC"/>
    <w:rsid w:val="00D40048"/>
    <w:rsid w:val="00D40B7A"/>
    <w:rsid w:val="00D40CF2"/>
    <w:rsid w:val="00D4390F"/>
    <w:rsid w:val="00D440F5"/>
    <w:rsid w:val="00D44DBB"/>
    <w:rsid w:val="00D4504E"/>
    <w:rsid w:val="00D45B29"/>
    <w:rsid w:val="00D4681E"/>
    <w:rsid w:val="00D47209"/>
    <w:rsid w:val="00D50C0E"/>
    <w:rsid w:val="00D51391"/>
    <w:rsid w:val="00D52E40"/>
    <w:rsid w:val="00D543EF"/>
    <w:rsid w:val="00D55BB6"/>
    <w:rsid w:val="00D57229"/>
    <w:rsid w:val="00D57800"/>
    <w:rsid w:val="00D602BE"/>
    <w:rsid w:val="00D61A7A"/>
    <w:rsid w:val="00D62A73"/>
    <w:rsid w:val="00D62DAE"/>
    <w:rsid w:val="00D644D5"/>
    <w:rsid w:val="00D65C7D"/>
    <w:rsid w:val="00D66843"/>
    <w:rsid w:val="00D67023"/>
    <w:rsid w:val="00D7078F"/>
    <w:rsid w:val="00D70BB9"/>
    <w:rsid w:val="00D71467"/>
    <w:rsid w:val="00D715F4"/>
    <w:rsid w:val="00D72C2A"/>
    <w:rsid w:val="00D72C9E"/>
    <w:rsid w:val="00D73E6A"/>
    <w:rsid w:val="00D74B4F"/>
    <w:rsid w:val="00D75266"/>
    <w:rsid w:val="00D757ED"/>
    <w:rsid w:val="00D7590B"/>
    <w:rsid w:val="00D762EF"/>
    <w:rsid w:val="00D76EF6"/>
    <w:rsid w:val="00D77E9D"/>
    <w:rsid w:val="00D8023D"/>
    <w:rsid w:val="00D80DFB"/>
    <w:rsid w:val="00D823DD"/>
    <w:rsid w:val="00D830F3"/>
    <w:rsid w:val="00D836C9"/>
    <w:rsid w:val="00D83B21"/>
    <w:rsid w:val="00D84CE0"/>
    <w:rsid w:val="00D855C5"/>
    <w:rsid w:val="00D85FDA"/>
    <w:rsid w:val="00D86506"/>
    <w:rsid w:val="00D877F9"/>
    <w:rsid w:val="00D879C4"/>
    <w:rsid w:val="00D87F29"/>
    <w:rsid w:val="00D91174"/>
    <w:rsid w:val="00D91ECD"/>
    <w:rsid w:val="00D91F27"/>
    <w:rsid w:val="00D923E6"/>
    <w:rsid w:val="00D93874"/>
    <w:rsid w:val="00D93BAE"/>
    <w:rsid w:val="00D94E50"/>
    <w:rsid w:val="00D95465"/>
    <w:rsid w:val="00D95CAE"/>
    <w:rsid w:val="00D9614A"/>
    <w:rsid w:val="00D965F4"/>
    <w:rsid w:val="00DA1F4E"/>
    <w:rsid w:val="00DA258B"/>
    <w:rsid w:val="00DA2918"/>
    <w:rsid w:val="00DA39AD"/>
    <w:rsid w:val="00DA3CCF"/>
    <w:rsid w:val="00DA3FD8"/>
    <w:rsid w:val="00DA42E6"/>
    <w:rsid w:val="00DA42EF"/>
    <w:rsid w:val="00DA4EAA"/>
    <w:rsid w:val="00DA5E48"/>
    <w:rsid w:val="00DA69C7"/>
    <w:rsid w:val="00DA6A00"/>
    <w:rsid w:val="00DA6D59"/>
    <w:rsid w:val="00DB06BE"/>
    <w:rsid w:val="00DB1A89"/>
    <w:rsid w:val="00DB2732"/>
    <w:rsid w:val="00DB2F86"/>
    <w:rsid w:val="00DB630F"/>
    <w:rsid w:val="00DB69E5"/>
    <w:rsid w:val="00DC387F"/>
    <w:rsid w:val="00DC3C9C"/>
    <w:rsid w:val="00DC4107"/>
    <w:rsid w:val="00DC6706"/>
    <w:rsid w:val="00DC6902"/>
    <w:rsid w:val="00DC6903"/>
    <w:rsid w:val="00DC7452"/>
    <w:rsid w:val="00DC7EA8"/>
    <w:rsid w:val="00DD3C9B"/>
    <w:rsid w:val="00DD4F65"/>
    <w:rsid w:val="00DD558F"/>
    <w:rsid w:val="00DD583B"/>
    <w:rsid w:val="00DD588E"/>
    <w:rsid w:val="00DD596C"/>
    <w:rsid w:val="00DD6976"/>
    <w:rsid w:val="00DD6E73"/>
    <w:rsid w:val="00DD7259"/>
    <w:rsid w:val="00DD7F35"/>
    <w:rsid w:val="00DE148A"/>
    <w:rsid w:val="00DE1D1B"/>
    <w:rsid w:val="00DE28D6"/>
    <w:rsid w:val="00DE2968"/>
    <w:rsid w:val="00DE30E1"/>
    <w:rsid w:val="00DE3118"/>
    <w:rsid w:val="00DE31E8"/>
    <w:rsid w:val="00DE3215"/>
    <w:rsid w:val="00DE596E"/>
    <w:rsid w:val="00DE5E72"/>
    <w:rsid w:val="00DE6275"/>
    <w:rsid w:val="00DE6FF3"/>
    <w:rsid w:val="00DE72FA"/>
    <w:rsid w:val="00DE7350"/>
    <w:rsid w:val="00DE79F2"/>
    <w:rsid w:val="00DE7C74"/>
    <w:rsid w:val="00DF0674"/>
    <w:rsid w:val="00DF431C"/>
    <w:rsid w:val="00DF4494"/>
    <w:rsid w:val="00DF5CD6"/>
    <w:rsid w:val="00DF6D1A"/>
    <w:rsid w:val="00E002AA"/>
    <w:rsid w:val="00E003C6"/>
    <w:rsid w:val="00E013AE"/>
    <w:rsid w:val="00E01525"/>
    <w:rsid w:val="00E01B5D"/>
    <w:rsid w:val="00E02CDF"/>
    <w:rsid w:val="00E04941"/>
    <w:rsid w:val="00E04A77"/>
    <w:rsid w:val="00E06F5A"/>
    <w:rsid w:val="00E11B21"/>
    <w:rsid w:val="00E11C46"/>
    <w:rsid w:val="00E1215F"/>
    <w:rsid w:val="00E130A0"/>
    <w:rsid w:val="00E13845"/>
    <w:rsid w:val="00E1415F"/>
    <w:rsid w:val="00E1760D"/>
    <w:rsid w:val="00E17945"/>
    <w:rsid w:val="00E209C7"/>
    <w:rsid w:val="00E21575"/>
    <w:rsid w:val="00E21D4E"/>
    <w:rsid w:val="00E22EC6"/>
    <w:rsid w:val="00E22F38"/>
    <w:rsid w:val="00E23411"/>
    <w:rsid w:val="00E26A5B"/>
    <w:rsid w:val="00E2738D"/>
    <w:rsid w:val="00E274E7"/>
    <w:rsid w:val="00E277DC"/>
    <w:rsid w:val="00E30A5D"/>
    <w:rsid w:val="00E30CA0"/>
    <w:rsid w:val="00E31A25"/>
    <w:rsid w:val="00E32197"/>
    <w:rsid w:val="00E33AA2"/>
    <w:rsid w:val="00E33B8F"/>
    <w:rsid w:val="00E33D47"/>
    <w:rsid w:val="00E34825"/>
    <w:rsid w:val="00E36520"/>
    <w:rsid w:val="00E40344"/>
    <w:rsid w:val="00E40E1B"/>
    <w:rsid w:val="00E41787"/>
    <w:rsid w:val="00E4234D"/>
    <w:rsid w:val="00E42583"/>
    <w:rsid w:val="00E430CA"/>
    <w:rsid w:val="00E432A9"/>
    <w:rsid w:val="00E43A12"/>
    <w:rsid w:val="00E44D07"/>
    <w:rsid w:val="00E4541B"/>
    <w:rsid w:val="00E4595C"/>
    <w:rsid w:val="00E468FC"/>
    <w:rsid w:val="00E4692D"/>
    <w:rsid w:val="00E46CD3"/>
    <w:rsid w:val="00E4704A"/>
    <w:rsid w:val="00E47C7D"/>
    <w:rsid w:val="00E47E01"/>
    <w:rsid w:val="00E47EAF"/>
    <w:rsid w:val="00E51A4B"/>
    <w:rsid w:val="00E528B8"/>
    <w:rsid w:val="00E5295C"/>
    <w:rsid w:val="00E535C8"/>
    <w:rsid w:val="00E5382F"/>
    <w:rsid w:val="00E53906"/>
    <w:rsid w:val="00E56041"/>
    <w:rsid w:val="00E567BD"/>
    <w:rsid w:val="00E56B99"/>
    <w:rsid w:val="00E57224"/>
    <w:rsid w:val="00E57533"/>
    <w:rsid w:val="00E6137E"/>
    <w:rsid w:val="00E620FF"/>
    <w:rsid w:val="00E6217F"/>
    <w:rsid w:val="00E6231D"/>
    <w:rsid w:val="00E647AC"/>
    <w:rsid w:val="00E64CA1"/>
    <w:rsid w:val="00E66177"/>
    <w:rsid w:val="00E66258"/>
    <w:rsid w:val="00E6652F"/>
    <w:rsid w:val="00E669E3"/>
    <w:rsid w:val="00E709C6"/>
    <w:rsid w:val="00E71E18"/>
    <w:rsid w:val="00E72D6D"/>
    <w:rsid w:val="00E735A0"/>
    <w:rsid w:val="00E736B3"/>
    <w:rsid w:val="00E73792"/>
    <w:rsid w:val="00E73ABF"/>
    <w:rsid w:val="00E73E4C"/>
    <w:rsid w:val="00E758AF"/>
    <w:rsid w:val="00E7674A"/>
    <w:rsid w:val="00E77559"/>
    <w:rsid w:val="00E778B5"/>
    <w:rsid w:val="00E80190"/>
    <w:rsid w:val="00E81115"/>
    <w:rsid w:val="00E8134B"/>
    <w:rsid w:val="00E814A1"/>
    <w:rsid w:val="00E81EDC"/>
    <w:rsid w:val="00E81EE8"/>
    <w:rsid w:val="00E82052"/>
    <w:rsid w:val="00E8259B"/>
    <w:rsid w:val="00E82B8C"/>
    <w:rsid w:val="00E82E5D"/>
    <w:rsid w:val="00E83B74"/>
    <w:rsid w:val="00E8426C"/>
    <w:rsid w:val="00E8480D"/>
    <w:rsid w:val="00E87FA1"/>
    <w:rsid w:val="00E901B1"/>
    <w:rsid w:val="00E9125D"/>
    <w:rsid w:val="00E916E2"/>
    <w:rsid w:val="00E92E30"/>
    <w:rsid w:val="00E932EC"/>
    <w:rsid w:val="00E93C69"/>
    <w:rsid w:val="00E93D72"/>
    <w:rsid w:val="00E957BD"/>
    <w:rsid w:val="00E961EC"/>
    <w:rsid w:val="00E96518"/>
    <w:rsid w:val="00E96BCB"/>
    <w:rsid w:val="00EA0496"/>
    <w:rsid w:val="00EA0906"/>
    <w:rsid w:val="00EA174C"/>
    <w:rsid w:val="00EA1A01"/>
    <w:rsid w:val="00EA1FFB"/>
    <w:rsid w:val="00EA2373"/>
    <w:rsid w:val="00EA2A90"/>
    <w:rsid w:val="00EA33F5"/>
    <w:rsid w:val="00EA3A38"/>
    <w:rsid w:val="00EA4AA5"/>
    <w:rsid w:val="00EA4B91"/>
    <w:rsid w:val="00EA4D04"/>
    <w:rsid w:val="00EA504C"/>
    <w:rsid w:val="00EA67A4"/>
    <w:rsid w:val="00EA728F"/>
    <w:rsid w:val="00EA76B4"/>
    <w:rsid w:val="00EA76D6"/>
    <w:rsid w:val="00EB048D"/>
    <w:rsid w:val="00EB0B39"/>
    <w:rsid w:val="00EB12B9"/>
    <w:rsid w:val="00EB154A"/>
    <w:rsid w:val="00EB166A"/>
    <w:rsid w:val="00EB4139"/>
    <w:rsid w:val="00EB4ACB"/>
    <w:rsid w:val="00EB546A"/>
    <w:rsid w:val="00EB5CE1"/>
    <w:rsid w:val="00EB5DC8"/>
    <w:rsid w:val="00EB68AE"/>
    <w:rsid w:val="00EB6BD9"/>
    <w:rsid w:val="00EC0A80"/>
    <w:rsid w:val="00EC1BCD"/>
    <w:rsid w:val="00EC2B44"/>
    <w:rsid w:val="00EC4798"/>
    <w:rsid w:val="00EC57E9"/>
    <w:rsid w:val="00EC632B"/>
    <w:rsid w:val="00EC64B9"/>
    <w:rsid w:val="00EC72BA"/>
    <w:rsid w:val="00ED17FF"/>
    <w:rsid w:val="00ED1FBE"/>
    <w:rsid w:val="00ED2C78"/>
    <w:rsid w:val="00ED2DA5"/>
    <w:rsid w:val="00ED32E1"/>
    <w:rsid w:val="00ED4585"/>
    <w:rsid w:val="00ED5FF9"/>
    <w:rsid w:val="00ED664D"/>
    <w:rsid w:val="00ED7532"/>
    <w:rsid w:val="00EE03EF"/>
    <w:rsid w:val="00EE0958"/>
    <w:rsid w:val="00EE0F57"/>
    <w:rsid w:val="00EE22A6"/>
    <w:rsid w:val="00EE32CF"/>
    <w:rsid w:val="00EE33D5"/>
    <w:rsid w:val="00EE3420"/>
    <w:rsid w:val="00EE400C"/>
    <w:rsid w:val="00EE4B23"/>
    <w:rsid w:val="00EE7156"/>
    <w:rsid w:val="00EE76BA"/>
    <w:rsid w:val="00EE7A1D"/>
    <w:rsid w:val="00EF00D9"/>
    <w:rsid w:val="00EF02D8"/>
    <w:rsid w:val="00EF0DED"/>
    <w:rsid w:val="00EF27E4"/>
    <w:rsid w:val="00EF3BEC"/>
    <w:rsid w:val="00EF4995"/>
    <w:rsid w:val="00EF4C79"/>
    <w:rsid w:val="00EF5295"/>
    <w:rsid w:val="00EF574D"/>
    <w:rsid w:val="00EF61C0"/>
    <w:rsid w:val="00EF6A57"/>
    <w:rsid w:val="00EF7550"/>
    <w:rsid w:val="00F01A22"/>
    <w:rsid w:val="00F0340D"/>
    <w:rsid w:val="00F0352C"/>
    <w:rsid w:val="00F0384C"/>
    <w:rsid w:val="00F0573F"/>
    <w:rsid w:val="00F05E40"/>
    <w:rsid w:val="00F066A8"/>
    <w:rsid w:val="00F06828"/>
    <w:rsid w:val="00F06E07"/>
    <w:rsid w:val="00F0744C"/>
    <w:rsid w:val="00F07558"/>
    <w:rsid w:val="00F100C5"/>
    <w:rsid w:val="00F10627"/>
    <w:rsid w:val="00F118F6"/>
    <w:rsid w:val="00F11FF9"/>
    <w:rsid w:val="00F12645"/>
    <w:rsid w:val="00F12731"/>
    <w:rsid w:val="00F12B72"/>
    <w:rsid w:val="00F1307F"/>
    <w:rsid w:val="00F1506E"/>
    <w:rsid w:val="00F15548"/>
    <w:rsid w:val="00F15C6D"/>
    <w:rsid w:val="00F15E63"/>
    <w:rsid w:val="00F1740E"/>
    <w:rsid w:val="00F17DD8"/>
    <w:rsid w:val="00F22E58"/>
    <w:rsid w:val="00F238E9"/>
    <w:rsid w:val="00F256DF"/>
    <w:rsid w:val="00F25F35"/>
    <w:rsid w:val="00F262DD"/>
    <w:rsid w:val="00F270B8"/>
    <w:rsid w:val="00F27686"/>
    <w:rsid w:val="00F3089B"/>
    <w:rsid w:val="00F30B71"/>
    <w:rsid w:val="00F30D1B"/>
    <w:rsid w:val="00F30E6D"/>
    <w:rsid w:val="00F31B55"/>
    <w:rsid w:val="00F32D7E"/>
    <w:rsid w:val="00F330A0"/>
    <w:rsid w:val="00F3415A"/>
    <w:rsid w:val="00F348BB"/>
    <w:rsid w:val="00F3532E"/>
    <w:rsid w:val="00F357DA"/>
    <w:rsid w:val="00F40B07"/>
    <w:rsid w:val="00F432EA"/>
    <w:rsid w:val="00F445AC"/>
    <w:rsid w:val="00F44717"/>
    <w:rsid w:val="00F447B0"/>
    <w:rsid w:val="00F44A2F"/>
    <w:rsid w:val="00F456B1"/>
    <w:rsid w:val="00F46B87"/>
    <w:rsid w:val="00F501ED"/>
    <w:rsid w:val="00F5028D"/>
    <w:rsid w:val="00F50806"/>
    <w:rsid w:val="00F50905"/>
    <w:rsid w:val="00F517D1"/>
    <w:rsid w:val="00F51900"/>
    <w:rsid w:val="00F522F0"/>
    <w:rsid w:val="00F52BF6"/>
    <w:rsid w:val="00F535A5"/>
    <w:rsid w:val="00F5409E"/>
    <w:rsid w:val="00F5504B"/>
    <w:rsid w:val="00F5596C"/>
    <w:rsid w:val="00F566AB"/>
    <w:rsid w:val="00F567C3"/>
    <w:rsid w:val="00F5769A"/>
    <w:rsid w:val="00F57CAB"/>
    <w:rsid w:val="00F57D8D"/>
    <w:rsid w:val="00F60005"/>
    <w:rsid w:val="00F61788"/>
    <w:rsid w:val="00F61E0E"/>
    <w:rsid w:val="00F62044"/>
    <w:rsid w:val="00F62409"/>
    <w:rsid w:val="00F62EAD"/>
    <w:rsid w:val="00F636DB"/>
    <w:rsid w:val="00F64EDD"/>
    <w:rsid w:val="00F65865"/>
    <w:rsid w:val="00F66CD2"/>
    <w:rsid w:val="00F67A04"/>
    <w:rsid w:val="00F67E47"/>
    <w:rsid w:val="00F70CE8"/>
    <w:rsid w:val="00F710DA"/>
    <w:rsid w:val="00F719EA"/>
    <w:rsid w:val="00F71D2E"/>
    <w:rsid w:val="00F729AF"/>
    <w:rsid w:val="00F73005"/>
    <w:rsid w:val="00F7312B"/>
    <w:rsid w:val="00F733BE"/>
    <w:rsid w:val="00F73436"/>
    <w:rsid w:val="00F74701"/>
    <w:rsid w:val="00F751D4"/>
    <w:rsid w:val="00F754E7"/>
    <w:rsid w:val="00F76234"/>
    <w:rsid w:val="00F7671E"/>
    <w:rsid w:val="00F76CB7"/>
    <w:rsid w:val="00F7730E"/>
    <w:rsid w:val="00F778D8"/>
    <w:rsid w:val="00F8057C"/>
    <w:rsid w:val="00F808FC"/>
    <w:rsid w:val="00F8215A"/>
    <w:rsid w:val="00F8235E"/>
    <w:rsid w:val="00F831C6"/>
    <w:rsid w:val="00F8358D"/>
    <w:rsid w:val="00F842F0"/>
    <w:rsid w:val="00F84DCC"/>
    <w:rsid w:val="00F86EE6"/>
    <w:rsid w:val="00F87DC5"/>
    <w:rsid w:val="00F90078"/>
    <w:rsid w:val="00F9082E"/>
    <w:rsid w:val="00F91A57"/>
    <w:rsid w:val="00F93222"/>
    <w:rsid w:val="00F94CE1"/>
    <w:rsid w:val="00F95700"/>
    <w:rsid w:val="00F95E8F"/>
    <w:rsid w:val="00F97A1E"/>
    <w:rsid w:val="00F97F05"/>
    <w:rsid w:val="00FA01F8"/>
    <w:rsid w:val="00FA1B49"/>
    <w:rsid w:val="00FA1C4B"/>
    <w:rsid w:val="00FA1E97"/>
    <w:rsid w:val="00FA320D"/>
    <w:rsid w:val="00FA3415"/>
    <w:rsid w:val="00FA4AFF"/>
    <w:rsid w:val="00FA4E6D"/>
    <w:rsid w:val="00FA62FE"/>
    <w:rsid w:val="00FA6F5E"/>
    <w:rsid w:val="00FA7A53"/>
    <w:rsid w:val="00FA7F95"/>
    <w:rsid w:val="00FB0D8E"/>
    <w:rsid w:val="00FB13AE"/>
    <w:rsid w:val="00FB1AE2"/>
    <w:rsid w:val="00FB1C2F"/>
    <w:rsid w:val="00FB2D82"/>
    <w:rsid w:val="00FB2DD7"/>
    <w:rsid w:val="00FB3E67"/>
    <w:rsid w:val="00FB441E"/>
    <w:rsid w:val="00FB4DA7"/>
    <w:rsid w:val="00FB5D27"/>
    <w:rsid w:val="00FB6E33"/>
    <w:rsid w:val="00FB7002"/>
    <w:rsid w:val="00FB70F0"/>
    <w:rsid w:val="00FC121B"/>
    <w:rsid w:val="00FC19CE"/>
    <w:rsid w:val="00FC2780"/>
    <w:rsid w:val="00FC2B7B"/>
    <w:rsid w:val="00FC3070"/>
    <w:rsid w:val="00FC3723"/>
    <w:rsid w:val="00FC3729"/>
    <w:rsid w:val="00FC5DCD"/>
    <w:rsid w:val="00FC6109"/>
    <w:rsid w:val="00FC7243"/>
    <w:rsid w:val="00FC73B4"/>
    <w:rsid w:val="00FC7DCD"/>
    <w:rsid w:val="00FD0B73"/>
    <w:rsid w:val="00FD16DF"/>
    <w:rsid w:val="00FD1DAE"/>
    <w:rsid w:val="00FD2772"/>
    <w:rsid w:val="00FD3907"/>
    <w:rsid w:val="00FD6A00"/>
    <w:rsid w:val="00FD7B1A"/>
    <w:rsid w:val="00FD7B99"/>
    <w:rsid w:val="00FE040C"/>
    <w:rsid w:val="00FE0584"/>
    <w:rsid w:val="00FE0FEB"/>
    <w:rsid w:val="00FE12CE"/>
    <w:rsid w:val="00FE1375"/>
    <w:rsid w:val="00FE243F"/>
    <w:rsid w:val="00FE29A8"/>
    <w:rsid w:val="00FE2A06"/>
    <w:rsid w:val="00FE44F9"/>
    <w:rsid w:val="00FE4E03"/>
    <w:rsid w:val="00FE59AC"/>
    <w:rsid w:val="00FE6085"/>
    <w:rsid w:val="00FE6240"/>
    <w:rsid w:val="00FE632B"/>
    <w:rsid w:val="00FF0006"/>
    <w:rsid w:val="00FF0813"/>
    <w:rsid w:val="00FF127F"/>
    <w:rsid w:val="00FF4928"/>
    <w:rsid w:val="00FF6366"/>
    <w:rsid w:val="00FF6420"/>
    <w:rsid w:val="00FF6DAE"/>
    <w:rsid w:val="00FF75ED"/>
    <w:rsid w:val="00FF77CC"/>
    <w:rsid w:val="3F53144B"/>
    <w:rsid w:val="5B667507"/>
    <w:rsid w:val="68614B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ocked="1"/>
    <w:lsdException w:qFormat="1"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99" w:semiHidden="0" w:name="annotation reference"/>
    <w:lsdException w:qFormat="1" w:unhideWhenUsed="0" w:uiPriority="0" w:semiHidden="0" w:name="line number" w:locked="1"/>
    <w:lsdException w:qFormat="1" w:unhideWhenUsed="0" w:uiPriority="0" w:semiHidden="0" w:name="page number"/>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sdException w:qFormat="1" w:uiPriority="99"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99"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10" w:semiHidden="0" w:name="Title"/>
    <w:lsdException w:qFormat="1" w:unhideWhenUsed="0" w:uiPriority="0" w:semiHidden="0" w:name="Closing" w:locked="1"/>
    <w:lsdException w:qFormat="1" w:unhideWhenUsed="0" w:uiPriority="0" w:semiHidden="0" w:name="Signature" w:locked="1"/>
    <w:lsdException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99" w:semiHidden="0" w:name="Subtitle" w:locked="1"/>
    <w:lsdException w:qFormat="1" w:unhideWhenUsed="0" w:uiPriority="0" w:semiHidden="0" w:name="Salutation" w:locked="1"/>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99" w:semiHidden="0" w:name="Note Heading"/>
    <w:lsdException w:qFormat="1" w:unhideWhenUsed="0" w:uiPriority="0" w:semiHidden="0" w:name="Body Text 2"/>
    <w:lsdException w:qFormat="1" w:uiPriority="0" w:semiHidden="0" w:name="Body Text 3" w:locked="1"/>
    <w:lsdException w:qFormat="1" w:unhideWhenUsed="0" w:uiPriority="99" w:semiHidden="0" w:name="Body Text Indent 2"/>
    <w:lsdException w:qFormat="1" w:unhideWhenUsed="0" w:uiPriority="0" w:semiHidden="0" w:name="Body Text Indent 3" w:locked="1"/>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0" w:semiHidden="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qFormat="1" w:unhideWhenUsed="0" w:uiPriority="0" w:semiHidden="0" w:name="Table 3D effects 1" w:locked="1"/>
    <w:lsdException w:qFormat="1" w:unhideWhenUsed="0" w:uiPriority="0" w:semiHidden="0" w:name="Table 3D effects 2" w:locked="1"/>
    <w:lsdException w:qFormat="1" w:unhideWhenUsed="0" w:uiPriority="0" w:semiHidden="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99" w:semiHidden="0" w:name="Balloon Text"/>
    <w:lsdException w:qFormat="1" w:unhideWhenUsed="0" w:uiPriority="0" w:semiHidden="0" w:name="Table Grid"/>
    <w:lsdException w:qFormat="1" w:unhideWhenUsed="0" w:uiPriority="99" w:semiHidden="0" w:name="Table Theme" w:locked="1"/>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imes New Roman" w:hAnsi="Times New Roman" w:eastAsia="等线" w:cs="Times New Roman"/>
      <w:kern w:val="2"/>
      <w:sz w:val="24"/>
      <w:szCs w:val="22"/>
      <w:lang w:val="en-US" w:eastAsia="zh-CN" w:bidi="ar-SA"/>
    </w:rPr>
  </w:style>
  <w:style w:type="paragraph" w:styleId="3">
    <w:name w:val="heading 1"/>
    <w:basedOn w:val="1"/>
    <w:next w:val="1"/>
    <w:link w:val="152"/>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53"/>
    <w:qFormat/>
    <w:uiPriority w:val="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154"/>
    <w:autoRedefine/>
    <w:qFormat/>
    <w:uiPriority w:val="9"/>
    <w:pPr>
      <w:keepNext/>
      <w:keepLines/>
      <w:spacing w:before="260" w:after="260" w:line="416" w:lineRule="auto"/>
      <w:outlineLvl w:val="2"/>
    </w:pPr>
    <w:rPr>
      <w:b/>
      <w:bCs/>
      <w:sz w:val="32"/>
      <w:szCs w:val="32"/>
    </w:rPr>
  </w:style>
  <w:style w:type="paragraph" w:styleId="6">
    <w:name w:val="heading 4"/>
    <w:basedOn w:val="1"/>
    <w:next w:val="7"/>
    <w:link w:val="476"/>
    <w:unhideWhenUsed/>
    <w:qFormat/>
    <w:locked/>
    <w:uiPriority w:val="9"/>
    <w:pPr>
      <w:keepNext/>
      <w:keepLines/>
      <w:widowControl w:val="0"/>
      <w:spacing w:line="500" w:lineRule="exact"/>
      <w:outlineLvl w:val="3"/>
    </w:pPr>
    <w:rPr>
      <w:rFonts w:eastAsiaTheme="majorEastAsia" w:cstheme="majorBidi"/>
      <w:bCs/>
      <w:szCs w:val="28"/>
    </w:rPr>
  </w:style>
  <w:style w:type="paragraph" w:styleId="8">
    <w:name w:val="heading 5"/>
    <w:basedOn w:val="1"/>
    <w:next w:val="1"/>
    <w:link w:val="477"/>
    <w:unhideWhenUsed/>
    <w:qFormat/>
    <w:locked/>
    <w:uiPriority w:val="9"/>
    <w:pPr>
      <w:keepNext/>
      <w:keepLines/>
      <w:widowControl w:val="0"/>
      <w:spacing w:before="280" w:after="290" w:line="376" w:lineRule="atLeast"/>
      <w:outlineLvl w:val="4"/>
    </w:pPr>
    <w:rPr>
      <w:rFonts w:eastAsiaTheme="minorEastAsia" w:cstheme="minorBidi"/>
      <w:b/>
      <w:bCs/>
      <w:sz w:val="28"/>
      <w:szCs w:val="28"/>
    </w:rPr>
  </w:style>
  <w:style w:type="paragraph" w:styleId="9">
    <w:name w:val="heading 6"/>
    <w:basedOn w:val="1"/>
    <w:next w:val="1"/>
    <w:link w:val="550"/>
    <w:qFormat/>
    <w:locked/>
    <w:uiPriority w:val="9"/>
    <w:pPr>
      <w:keepNext/>
      <w:keepLines/>
      <w:widowControl w:val="0"/>
      <w:tabs>
        <w:tab w:val="left" w:pos="-404"/>
      </w:tabs>
      <w:adjustRightInd w:val="0"/>
      <w:spacing w:before="240" w:after="64" w:line="320" w:lineRule="atLeast"/>
      <w:ind w:left="-1822" w:firstLine="567" w:firstLineChars="200"/>
      <w:textAlignment w:val="baseline"/>
      <w:outlineLvl w:val="5"/>
    </w:pPr>
    <w:rPr>
      <w:rFonts w:ascii="Arial" w:hAnsi="Arial" w:eastAsia="黑体"/>
      <w:b/>
      <w:kern w:val="0"/>
      <w:szCs w:val="20"/>
    </w:rPr>
  </w:style>
  <w:style w:type="paragraph" w:styleId="10">
    <w:name w:val="heading 7"/>
    <w:basedOn w:val="1"/>
    <w:next w:val="1"/>
    <w:link w:val="551"/>
    <w:qFormat/>
    <w:locked/>
    <w:uiPriority w:val="9"/>
    <w:pPr>
      <w:keepNext/>
      <w:keepLines/>
      <w:widowControl w:val="0"/>
      <w:spacing w:before="240" w:after="64" w:line="320" w:lineRule="auto"/>
      <w:ind w:firstLine="200" w:firstLineChars="200"/>
      <w:outlineLvl w:val="6"/>
    </w:pPr>
    <w:rPr>
      <w:rFonts w:eastAsia="华文楷体"/>
      <w:b/>
      <w:bCs/>
      <w:szCs w:val="24"/>
    </w:rPr>
  </w:style>
  <w:style w:type="paragraph" w:styleId="11">
    <w:name w:val="heading 8"/>
    <w:basedOn w:val="1"/>
    <w:next w:val="1"/>
    <w:link w:val="552"/>
    <w:qFormat/>
    <w:locked/>
    <w:uiPriority w:val="9"/>
    <w:pPr>
      <w:keepNext/>
      <w:keepLines/>
      <w:widowControl w:val="0"/>
      <w:spacing w:before="120" w:beforeLines="50" w:after="120" w:afterLines="50" w:line="320" w:lineRule="auto"/>
      <w:outlineLvl w:val="7"/>
    </w:pPr>
    <w:rPr>
      <w:rFonts w:ascii="Arial" w:hAnsi="Arial" w:eastAsia="黑体"/>
      <w:szCs w:val="24"/>
    </w:rPr>
  </w:style>
  <w:style w:type="paragraph" w:styleId="12">
    <w:name w:val="heading 9"/>
    <w:basedOn w:val="1"/>
    <w:next w:val="1"/>
    <w:link w:val="553"/>
    <w:qFormat/>
    <w:locked/>
    <w:uiPriority w:val="9"/>
    <w:pPr>
      <w:keepNext/>
      <w:keepLines/>
      <w:widowControl w:val="0"/>
      <w:spacing w:before="120" w:beforeLines="50" w:after="120" w:afterLines="50" w:line="240" w:lineRule="atLeast"/>
      <w:outlineLvl w:val="8"/>
    </w:pPr>
    <w:rPr>
      <w:rFonts w:ascii="Arial" w:hAnsi="Arial" w:eastAsia="黑体"/>
      <w:sz w:val="21"/>
      <w:szCs w:val="21"/>
    </w:rPr>
  </w:style>
  <w:style w:type="character" w:default="1" w:styleId="134">
    <w:name w:val="Default Paragraph Font"/>
    <w:semiHidden/>
    <w:unhideWhenUsed/>
    <w:uiPriority w:val="1"/>
  </w:style>
  <w:style w:type="table" w:default="1" w:styleId="89">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550"/>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cs="Courier New" w:eastAsiaTheme="minorEastAsia"/>
      <w:snapToGrid w:val="0"/>
      <w:kern w:val="24"/>
      <w:sz w:val="24"/>
      <w:szCs w:val="24"/>
      <w:lang w:val="en-US" w:eastAsia="zh-CN" w:bidi="ar-SA"/>
    </w:rPr>
  </w:style>
  <w:style w:type="paragraph" w:customStyle="1" w:styleId="7">
    <w:name w:val="1正文"/>
    <w:basedOn w:val="1"/>
    <w:link w:val="287"/>
    <w:autoRedefine/>
    <w:qFormat/>
    <w:uiPriority w:val="0"/>
    <w:pPr>
      <w:adjustRightInd w:val="0"/>
      <w:snapToGrid w:val="0"/>
      <w:spacing w:line="480" w:lineRule="exact"/>
      <w:ind w:firstLine="520"/>
    </w:pPr>
    <w:rPr>
      <w:rFonts w:ascii="等线" w:hAnsi="宋体"/>
      <w:kern w:val="0"/>
      <w:sz w:val="26"/>
      <w:szCs w:val="20"/>
    </w:rPr>
  </w:style>
  <w:style w:type="paragraph" w:styleId="13">
    <w:name w:val="List 3"/>
    <w:basedOn w:val="1"/>
    <w:qFormat/>
    <w:locked/>
    <w:uiPriority w:val="0"/>
    <w:pPr>
      <w:widowControl w:val="0"/>
      <w:adjustRightInd w:val="0"/>
      <w:snapToGrid w:val="0"/>
      <w:spacing w:line="240" w:lineRule="auto"/>
      <w:jc w:val="center"/>
    </w:pPr>
    <w:rPr>
      <w:rFonts w:ascii="宋体" w:hAnsi="宋体" w:eastAsia="宋体" w:cs="宋体"/>
      <w:sz w:val="21"/>
      <w:szCs w:val="21"/>
    </w:rPr>
  </w:style>
  <w:style w:type="paragraph" w:styleId="14">
    <w:name w:val="toc 7"/>
    <w:basedOn w:val="1"/>
    <w:next w:val="1"/>
    <w:autoRedefine/>
    <w:qFormat/>
    <w:uiPriority w:val="39"/>
    <w:pPr>
      <w:spacing w:line="240" w:lineRule="auto"/>
      <w:ind w:left="2520" w:leftChars="1200"/>
    </w:pPr>
    <w:rPr>
      <w:rFonts w:ascii="等线" w:hAnsi="等线"/>
      <w:sz w:val="21"/>
    </w:rPr>
  </w:style>
  <w:style w:type="paragraph" w:styleId="15">
    <w:name w:val="List Number 2"/>
    <w:basedOn w:val="1"/>
    <w:qFormat/>
    <w:locked/>
    <w:uiPriority w:val="0"/>
    <w:pPr>
      <w:widowControl w:val="0"/>
      <w:tabs>
        <w:tab w:val="left" w:pos="780"/>
      </w:tabs>
      <w:spacing w:line="240" w:lineRule="auto"/>
      <w:ind w:firstLine="480"/>
    </w:pPr>
    <w:rPr>
      <w:rFonts w:eastAsia="宋体"/>
      <w:sz w:val="21"/>
      <w:szCs w:val="24"/>
    </w:rPr>
  </w:style>
  <w:style w:type="paragraph" w:styleId="16">
    <w:name w:val="table of authorities"/>
    <w:basedOn w:val="1"/>
    <w:next w:val="1"/>
    <w:qFormat/>
    <w:locked/>
    <w:uiPriority w:val="0"/>
    <w:pPr>
      <w:widowControl w:val="0"/>
      <w:spacing w:before="120" w:after="120" w:line="240" w:lineRule="auto"/>
      <w:ind w:left="420" w:firstLine="200" w:firstLineChars="200"/>
      <w:jc w:val="left"/>
    </w:pPr>
    <w:rPr>
      <w:rFonts w:eastAsia="宋体"/>
      <w:sz w:val="28"/>
      <w:szCs w:val="20"/>
    </w:rPr>
  </w:style>
  <w:style w:type="paragraph" w:styleId="17">
    <w:name w:val="Note Heading"/>
    <w:basedOn w:val="1"/>
    <w:next w:val="1"/>
    <w:link w:val="155"/>
    <w:autoRedefine/>
    <w:qFormat/>
    <w:uiPriority w:val="99"/>
    <w:pPr>
      <w:spacing w:line="240" w:lineRule="auto"/>
      <w:jc w:val="center"/>
    </w:pPr>
    <w:rPr>
      <w:rFonts w:eastAsia="宋体"/>
      <w:sz w:val="21"/>
      <w:szCs w:val="24"/>
    </w:rPr>
  </w:style>
  <w:style w:type="paragraph" w:styleId="18">
    <w:name w:val="List Bullet 4"/>
    <w:basedOn w:val="1"/>
    <w:qFormat/>
    <w:locked/>
    <w:uiPriority w:val="0"/>
    <w:pPr>
      <w:widowControl w:val="0"/>
      <w:tabs>
        <w:tab w:val="left" w:pos="1620"/>
      </w:tabs>
      <w:spacing w:line="240" w:lineRule="auto"/>
      <w:ind w:left="900" w:hanging="420"/>
    </w:pPr>
    <w:rPr>
      <w:rFonts w:eastAsia="宋体"/>
      <w:sz w:val="21"/>
      <w:szCs w:val="24"/>
    </w:rPr>
  </w:style>
  <w:style w:type="paragraph" w:styleId="19">
    <w:name w:val="index 8"/>
    <w:basedOn w:val="1"/>
    <w:next w:val="1"/>
    <w:qFormat/>
    <w:locked/>
    <w:uiPriority w:val="0"/>
    <w:pPr>
      <w:widowControl w:val="0"/>
      <w:spacing w:line="240" w:lineRule="auto"/>
      <w:ind w:left="1680" w:hanging="210"/>
      <w:jc w:val="left"/>
    </w:pPr>
    <w:rPr>
      <w:rFonts w:eastAsia="宋体"/>
      <w:sz w:val="20"/>
      <w:szCs w:val="20"/>
    </w:rPr>
  </w:style>
  <w:style w:type="paragraph" w:styleId="20">
    <w:name w:val="E-mail Signature"/>
    <w:basedOn w:val="1"/>
    <w:link w:val="1472"/>
    <w:qFormat/>
    <w:locked/>
    <w:uiPriority w:val="0"/>
    <w:pPr>
      <w:widowControl w:val="0"/>
      <w:spacing w:line="240" w:lineRule="auto"/>
    </w:pPr>
    <w:rPr>
      <w:rFonts w:asciiTheme="minorHAnsi" w:hAnsiTheme="minorHAnsi" w:eastAsiaTheme="minorEastAsia" w:cstheme="minorBidi"/>
      <w:sz w:val="21"/>
      <w:szCs w:val="24"/>
    </w:rPr>
  </w:style>
  <w:style w:type="paragraph" w:styleId="21">
    <w:name w:val="List Number"/>
    <w:basedOn w:val="1"/>
    <w:qFormat/>
    <w:locked/>
    <w:uiPriority w:val="0"/>
    <w:pPr>
      <w:widowControl w:val="0"/>
      <w:tabs>
        <w:tab w:val="left" w:pos="360"/>
      </w:tabs>
      <w:spacing w:line="240" w:lineRule="auto"/>
      <w:ind w:left="900" w:hanging="420"/>
    </w:pPr>
    <w:rPr>
      <w:rFonts w:eastAsia="宋体"/>
      <w:sz w:val="21"/>
      <w:szCs w:val="24"/>
    </w:rPr>
  </w:style>
  <w:style w:type="paragraph" w:styleId="22">
    <w:name w:val="Normal Indent"/>
    <w:basedOn w:val="1"/>
    <w:next w:val="1"/>
    <w:link w:val="156"/>
    <w:autoRedefine/>
    <w:qFormat/>
    <w:uiPriority w:val="0"/>
    <w:pPr>
      <w:spacing w:line="240" w:lineRule="auto"/>
      <w:ind w:firstLine="420"/>
    </w:pPr>
    <w:rPr>
      <w:rFonts w:ascii="等线" w:hAnsi="等线"/>
      <w:kern w:val="0"/>
      <w:szCs w:val="20"/>
    </w:rPr>
  </w:style>
  <w:style w:type="paragraph" w:styleId="23">
    <w:name w:val="caption"/>
    <w:basedOn w:val="1"/>
    <w:next w:val="1"/>
    <w:link w:val="665"/>
    <w:autoRedefine/>
    <w:qFormat/>
    <w:uiPriority w:val="0"/>
    <w:rPr>
      <w:rFonts w:ascii="等线 Light" w:hAnsi="等线 Light" w:eastAsia="黑体"/>
      <w:sz w:val="20"/>
      <w:szCs w:val="20"/>
    </w:rPr>
  </w:style>
  <w:style w:type="paragraph" w:styleId="24">
    <w:name w:val="index 5"/>
    <w:basedOn w:val="1"/>
    <w:next w:val="1"/>
    <w:qFormat/>
    <w:locked/>
    <w:uiPriority w:val="0"/>
    <w:pPr>
      <w:widowControl w:val="0"/>
      <w:spacing w:line="240" w:lineRule="auto"/>
      <w:ind w:left="1050" w:hanging="210"/>
      <w:jc w:val="left"/>
    </w:pPr>
    <w:rPr>
      <w:rFonts w:eastAsia="宋体"/>
      <w:sz w:val="20"/>
      <w:szCs w:val="20"/>
    </w:rPr>
  </w:style>
  <w:style w:type="paragraph" w:styleId="25">
    <w:name w:val="List Bullet"/>
    <w:basedOn w:val="1"/>
    <w:qFormat/>
    <w:locked/>
    <w:uiPriority w:val="0"/>
    <w:pPr>
      <w:widowControl w:val="0"/>
      <w:tabs>
        <w:tab w:val="left" w:pos="360"/>
      </w:tabs>
      <w:spacing w:line="240" w:lineRule="auto"/>
      <w:ind w:left="-2" w:firstLine="482"/>
    </w:pPr>
    <w:rPr>
      <w:rFonts w:eastAsia="宋体"/>
      <w:sz w:val="21"/>
      <w:szCs w:val="24"/>
    </w:rPr>
  </w:style>
  <w:style w:type="paragraph" w:styleId="26">
    <w:name w:val="envelope address"/>
    <w:basedOn w:val="1"/>
    <w:qFormat/>
    <w:locked/>
    <w:uiPriority w:val="0"/>
    <w:pPr>
      <w:framePr w:w="7920" w:h="1980" w:hRule="exact" w:hSpace="180" w:wrap="around" w:vAnchor="margin" w:hAnchor="page" w:xAlign="center" w:yAlign="bottom"/>
      <w:widowControl w:val="0"/>
      <w:snapToGrid w:val="0"/>
      <w:spacing w:line="240" w:lineRule="auto"/>
      <w:ind w:left="100" w:leftChars="1400"/>
    </w:pPr>
    <w:rPr>
      <w:rFonts w:ascii="Arial" w:hAnsi="Arial" w:eastAsia="宋体" w:cs="Arial"/>
      <w:szCs w:val="24"/>
    </w:rPr>
  </w:style>
  <w:style w:type="paragraph" w:styleId="27">
    <w:name w:val="Document Map"/>
    <w:basedOn w:val="1"/>
    <w:link w:val="157"/>
    <w:autoRedefine/>
    <w:qFormat/>
    <w:uiPriority w:val="99"/>
    <w:pPr>
      <w:shd w:val="clear" w:color="auto" w:fill="000080"/>
      <w:spacing w:line="240" w:lineRule="auto"/>
    </w:pPr>
    <w:rPr>
      <w:rFonts w:eastAsia="宋体"/>
      <w:sz w:val="21"/>
      <w:szCs w:val="24"/>
    </w:rPr>
  </w:style>
  <w:style w:type="paragraph" w:styleId="28">
    <w:name w:val="toa heading"/>
    <w:basedOn w:val="1"/>
    <w:next w:val="1"/>
    <w:autoRedefine/>
    <w:qFormat/>
    <w:uiPriority w:val="0"/>
    <w:pPr>
      <w:autoSpaceDE w:val="0"/>
      <w:autoSpaceDN w:val="0"/>
      <w:adjustRightInd w:val="0"/>
      <w:spacing w:before="120" w:line="240" w:lineRule="auto"/>
      <w:jc w:val="left"/>
    </w:pPr>
    <w:rPr>
      <w:rFonts w:ascii="Arial" w:hAnsi="Arial" w:eastAsia="宋体" w:cs="Arial"/>
      <w:kern w:val="0"/>
      <w:szCs w:val="24"/>
    </w:rPr>
  </w:style>
  <w:style w:type="paragraph" w:styleId="29">
    <w:name w:val="annotation text"/>
    <w:basedOn w:val="1"/>
    <w:link w:val="158"/>
    <w:qFormat/>
    <w:uiPriority w:val="99"/>
    <w:pPr>
      <w:jc w:val="left"/>
    </w:pPr>
  </w:style>
  <w:style w:type="paragraph" w:styleId="30">
    <w:name w:val="index 6"/>
    <w:basedOn w:val="1"/>
    <w:next w:val="1"/>
    <w:qFormat/>
    <w:locked/>
    <w:uiPriority w:val="0"/>
    <w:pPr>
      <w:widowControl w:val="0"/>
      <w:spacing w:line="240" w:lineRule="auto"/>
      <w:ind w:left="1260" w:hanging="210"/>
      <w:jc w:val="left"/>
    </w:pPr>
    <w:rPr>
      <w:rFonts w:eastAsia="宋体"/>
      <w:sz w:val="20"/>
      <w:szCs w:val="20"/>
    </w:rPr>
  </w:style>
  <w:style w:type="paragraph" w:styleId="31">
    <w:name w:val="Salutation"/>
    <w:basedOn w:val="1"/>
    <w:next w:val="1"/>
    <w:link w:val="1471"/>
    <w:qFormat/>
    <w:locked/>
    <w:uiPriority w:val="0"/>
    <w:pPr>
      <w:widowControl w:val="0"/>
      <w:spacing w:line="240" w:lineRule="auto"/>
    </w:pPr>
    <w:rPr>
      <w:rFonts w:asciiTheme="minorHAnsi" w:hAnsiTheme="minorHAnsi" w:eastAsiaTheme="minorEastAsia" w:cstheme="minorBidi"/>
      <w:sz w:val="21"/>
      <w:szCs w:val="24"/>
    </w:rPr>
  </w:style>
  <w:style w:type="paragraph" w:styleId="32">
    <w:name w:val="Body Text 3"/>
    <w:basedOn w:val="1"/>
    <w:link w:val="543"/>
    <w:unhideWhenUsed/>
    <w:qFormat/>
    <w:locked/>
    <w:uiPriority w:val="0"/>
    <w:pPr>
      <w:spacing w:after="120" w:line="240" w:lineRule="auto"/>
      <w:jc w:val="left"/>
    </w:pPr>
    <w:rPr>
      <w:rFonts w:eastAsiaTheme="minorEastAsia" w:cstheme="minorBidi"/>
      <w:sz w:val="16"/>
      <w:szCs w:val="16"/>
    </w:rPr>
  </w:style>
  <w:style w:type="paragraph" w:styleId="33">
    <w:name w:val="Closing"/>
    <w:basedOn w:val="1"/>
    <w:link w:val="842"/>
    <w:qFormat/>
    <w:locked/>
    <w:uiPriority w:val="0"/>
    <w:pPr>
      <w:widowControl w:val="0"/>
      <w:spacing w:line="240" w:lineRule="auto"/>
      <w:ind w:left="100" w:leftChars="2100"/>
    </w:pPr>
    <w:rPr>
      <w:rFonts w:asciiTheme="minorHAnsi" w:hAnsiTheme="minorHAnsi" w:eastAsiaTheme="minorEastAsia" w:cstheme="minorBidi"/>
      <w:sz w:val="21"/>
      <w:szCs w:val="24"/>
    </w:rPr>
  </w:style>
  <w:style w:type="paragraph" w:styleId="34">
    <w:name w:val="List Bullet 3"/>
    <w:basedOn w:val="1"/>
    <w:qFormat/>
    <w:locked/>
    <w:uiPriority w:val="0"/>
    <w:pPr>
      <w:widowControl w:val="0"/>
      <w:numPr>
        <w:ilvl w:val="0"/>
        <w:numId w:val="1"/>
      </w:numPr>
      <w:adjustRightInd w:val="0"/>
      <w:snapToGrid w:val="0"/>
      <w:spacing w:line="240" w:lineRule="auto"/>
    </w:pPr>
    <w:rPr>
      <w:rFonts w:eastAsia="宋体"/>
      <w:snapToGrid w:val="0"/>
      <w:kern w:val="24"/>
      <w:szCs w:val="24"/>
    </w:rPr>
  </w:style>
  <w:style w:type="paragraph" w:styleId="35">
    <w:name w:val="Body Text"/>
    <w:basedOn w:val="1"/>
    <w:link w:val="159"/>
    <w:autoRedefine/>
    <w:qFormat/>
    <w:uiPriority w:val="99"/>
    <w:pPr>
      <w:ind w:firstLine="480" w:firstLineChars="200"/>
    </w:pPr>
    <w:rPr>
      <w:rFonts w:eastAsia="宋体"/>
      <w:bCs/>
      <w:snapToGrid w:val="0"/>
      <w:color w:val="000000" w:themeColor="text1"/>
      <w:szCs w:val="24"/>
      <w:lang w:val="en-GB"/>
      <w14:textFill>
        <w14:solidFill>
          <w14:schemeClr w14:val="tx1"/>
        </w14:solidFill>
      </w14:textFill>
    </w:rPr>
  </w:style>
  <w:style w:type="paragraph" w:styleId="36">
    <w:name w:val="Body Text Indent"/>
    <w:basedOn w:val="1"/>
    <w:link w:val="160"/>
    <w:autoRedefine/>
    <w:qFormat/>
    <w:uiPriority w:val="0"/>
    <w:pPr>
      <w:spacing w:after="120" w:line="240" w:lineRule="auto"/>
      <w:ind w:left="420" w:leftChars="200"/>
    </w:pPr>
    <w:rPr>
      <w:rFonts w:eastAsia="宋体"/>
      <w:sz w:val="21"/>
      <w:szCs w:val="24"/>
    </w:rPr>
  </w:style>
  <w:style w:type="paragraph" w:styleId="37">
    <w:name w:val="List Number 3"/>
    <w:basedOn w:val="1"/>
    <w:qFormat/>
    <w:locked/>
    <w:uiPriority w:val="0"/>
    <w:pPr>
      <w:widowControl w:val="0"/>
      <w:tabs>
        <w:tab w:val="left" w:pos="1200"/>
      </w:tabs>
      <w:spacing w:line="240" w:lineRule="auto"/>
      <w:ind w:firstLine="480"/>
    </w:pPr>
    <w:rPr>
      <w:rFonts w:eastAsia="宋体"/>
      <w:sz w:val="21"/>
      <w:szCs w:val="24"/>
    </w:rPr>
  </w:style>
  <w:style w:type="paragraph" w:styleId="38">
    <w:name w:val="List 2"/>
    <w:basedOn w:val="1"/>
    <w:qFormat/>
    <w:locked/>
    <w:uiPriority w:val="0"/>
    <w:pPr>
      <w:widowControl w:val="0"/>
      <w:spacing w:line="240" w:lineRule="auto"/>
      <w:ind w:left="100" w:leftChars="200" w:hanging="200" w:hangingChars="200"/>
    </w:pPr>
    <w:rPr>
      <w:rFonts w:eastAsia="宋体"/>
      <w:sz w:val="21"/>
      <w:szCs w:val="24"/>
    </w:rPr>
  </w:style>
  <w:style w:type="paragraph" w:styleId="39">
    <w:name w:val="List Continue"/>
    <w:basedOn w:val="1"/>
    <w:qFormat/>
    <w:locked/>
    <w:uiPriority w:val="0"/>
    <w:pPr>
      <w:widowControl w:val="0"/>
      <w:spacing w:after="120" w:line="240" w:lineRule="auto"/>
      <w:ind w:left="420" w:leftChars="200"/>
    </w:pPr>
    <w:rPr>
      <w:rFonts w:eastAsia="宋体"/>
      <w:sz w:val="21"/>
      <w:szCs w:val="24"/>
    </w:rPr>
  </w:style>
  <w:style w:type="paragraph" w:styleId="40">
    <w:name w:val="Block Text"/>
    <w:basedOn w:val="1"/>
    <w:link w:val="531"/>
    <w:qFormat/>
    <w:locked/>
    <w:uiPriority w:val="0"/>
    <w:pPr>
      <w:widowControl w:val="0"/>
      <w:adjustRightInd w:val="0"/>
      <w:snapToGrid w:val="0"/>
      <w:spacing w:line="240" w:lineRule="auto"/>
      <w:jc w:val="center"/>
    </w:pPr>
    <w:rPr>
      <w:rFonts w:eastAsia="宋体"/>
      <w:snapToGrid w:val="0"/>
      <w:kern w:val="21"/>
      <w:sz w:val="21"/>
      <w:szCs w:val="24"/>
    </w:rPr>
  </w:style>
  <w:style w:type="paragraph" w:styleId="41">
    <w:name w:val="List Bullet 2"/>
    <w:basedOn w:val="1"/>
    <w:qFormat/>
    <w:locked/>
    <w:uiPriority w:val="0"/>
    <w:pPr>
      <w:widowControl w:val="0"/>
      <w:tabs>
        <w:tab w:val="left" w:pos="780"/>
      </w:tabs>
      <w:spacing w:line="240" w:lineRule="auto"/>
      <w:ind w:firstLine="480"/>
    </w:pPr>
    <w:rPr>
      <w:rFonts w:eastAsia="宋体"/>
      <w:sz w:val="21"/>
      <w:szCs w:val="24"/>
    </w:rPr>
  </w:style>
  <w:style w:type="paragraph" w:styleId="42">
    <w:name w:val="HTML Address"/>
    <w:basedOn w:val="1"/>
    <w:link w:val="1164"/>
    <w:qFormat/>
    <w:locked/>
    <w:uiPriority w:val="0"/>
    <w:pPr>
      <w:widowControl w:val="0"/>
      <w:spacing w:line="240" w:lineRule="auto"/>
    </w:pPr>
    <w:rPr>
      <w:rFonts w:asciiTheme="minorHAnsi" w:hAnsiTheme="minorHAnsi" w:eastAsiaTheme="minorEastAsia" w:cstheme="minorBidi"/>
      <w:i/>
      <w:iCs/>
      <w:sz w:val="21"/>
      <w:szCs w:val="24"/>
    </w:rPr>
  </w:style>
  <w:style w:type="paragraph" w:styleId="43">
    <w:name w:val="index 4"/>
    <w:basedOn w:val="1"/>
    <w:next w:val="1"/>
    <w:qFormat/>
    <w:locked/>
    <w:uiPriority w:val="0"/>
    <w:pPr>
      <w:widowControl w:val="0"/>
      <w:spacing w:line="240" w:lineRule="auto"/>
      <w:ind w:left="840" w:hanging="210"/>
      <w:jc w:val="left"/>
    </w:pPr>
    <w:rPr>
      <w:rFonts w:eastAsia="宋体"/>
      <w:sz w:val="20"/>
      <w:szCs w:val="20"/>
    </w:rPr>
  </w:style>
  <w:style w:type="paragraph" w:styleId="44">
    <w:name w:val="toc 5"/>
    <w:basedOn w:val="1"/>
    <w:next w:val="1"/>
    <w:autoRedefine/>
    <w:qFormat/>
    <w:uiPriority w:val="39"/>
    <w:pPr>
      <w:spacing w:line="240" w:lineRule="auto"/>
      <w:ind w:left="1680" w:leftChars="800"/>
    </w:pPr>
    <w:rPr>
      <w:rFonts w:ascii="等线" w:hAnsi="等线"/>
      <w:sz w:val="21"/>
    </w:rPr>
  </w:style>
  <w:style w:type="paragraph" w:styleId="45">
    <w:name w:val="toc 3"/>
    <w:basedOn w:val="1"/>
    <w:next w:val="1"/>
    <w:autoRedefine/>
    <w:qFormat/>
    <w:uiPriority w:val="39"/>
    <w:pPr>
      <w:ind w:left="840" w:leftChars="400"/>
    </w:pPr>
  </w:style>
  <w:style w:type="paragraph" w:styleId="46">
    <w:name w:val="Plain Text"/>
    <w:basedOn w:val="1"/>
    <w:link w:val="161"/>
    <w:autoRedefine/>
    <w:qFormat/>
    <w:uiPriority w:val="99"/>
    <w:pPr>
      <w:spacing w:line="240" w:lineRule="auto"/>
    </w:pPr>
    <w:rPr>
      <w:rFonts w:ascii="宋体" w:hAnsi="Courier New" w:eastAsia="宋体" w:cs="宋体"/>
      <w:sz w:val="26"/>
      <w:szCs w:val="26"/>
    </w:rPr>
  </w:style>
  <w:style w:type="paragraph" w:styleId="47">
    <w:name w:val="List Bullet 5"/>
    <w:basedOn w:val="1"/>
    <w:autoRedefine/>
    <w:qFormat/>
    <w:locked/>
    <w:uiPriority w:val="99"/>
    <w:pPr>
      <w:numPr>
        <w:ilvl w:val="0"/>
        <w:numId w:val="2"/>
      </w:numPr>
    </w:pPr>
    <w:rPr>
      <w:rFonts w:eastAsia="宋体"/>
      <w:sz w:val="21"/>
      <w:szCs w:val="24"/>
    </w:rPr>
  </w:style>
  <w:style w:type="paragraph" w:styleId="48">
    <w:name w:val="List Number 4"/>
    <w:basedOn w:val="1"/>
    <w:qFormat/>
    <w:locked/>
    <w:uiPriority w:val="0"/>
    <w:pPr>
      <w:widowControl w:val="0"/>
      <w:tabs>
        <w:tab w:val="left" w:pos="1620"/>
      </w:tabs>
      <w:spacing w:line="240" w:lineRule="auto"/>
      <w:ind w:firstLine="480"/>
    </w:pPr>
    <w:rPr>
      <w:rFonts w:eastAsia="宋体"/>
      <w:sz w:val="21"/>
      <w:szCs w:val="24"/>
    </w:rPr>
  </w:style>
  <w:style w:type="paragraph" w:styleId="49">
    <w:name w:val="toc 8"/>
    <w:basedOn w:val="1"/>
    <w:next w:val="1"/>
    <w:qFormat/>
    <w:uiPriority w:val="39"/>
    <w:pPr>
      <w:spacing w:line="240" w:lineRule="auto"/>
      <w:ind w:left="2940" w:leftChars="1400"/>
    </w:pPr>
    <w:rPr>
      <w:rFonts w:ascii="等线" w:hAnsi="等线"/>
      <w:sz w:val="21"/>
    </w:rPr>
  </w:style>
  <w:style w:type="paragraph" w:styleId="50">
    <w:name w:val="index 3"/>
    <w:basedOn w:val="1"/>
    <w:next w:val="1"/>
    <w:qFormat/>
    <w:locked/>
    <w:uiPriority w:val="0"/>
    <w:pPr>
      <w:widowControl w:val="0"/>
      <w:spacing w:line="240" w:lineRule="auto"/>
      <w:ind w:left="630" w:hanging="210"/>
      <w:jc w:val="left"/>
    </w:pPr>
    <w:rPr>
      <w:rFonts w:eastAsia="宋体"/>
      <w:sz w:val="20"/>
      <w:szCs w:val="20"/>
    </w:rPr>
  </w:style>
  <w:style w:type="paragraph" w:styleId="51">
    <w:name w:val="Date"/>
    <w:basedOn w:val="1"/>
    <w:next w:val="1"/>
    <w:link w:val="162"/>
    <w:autoRedefine/>
    <w:qFormat/>
    <w:uiPriority w:val="99"/>
    <w:pPr>
      <w:ind w:left="100" w:leftChars="2500"/>
    </w:pPr>
  </w:style>
  <w:style w:type="paragraph" w:styleId="52">
    <w:name w:val="Body Text Indent 2"/>
    <w:basedOn w:val="1"/>
    <w:link w:val="163"/>
    <w:autoRedefine/>
    <w:qFormat/>
    <w:uiPriority w:val="99"/>
    <w:pPr>
      <w:spacing w:after="120" w:line="480" w:lineRule="auto"/>
      <w:ind w:left="420" w:leftChars="200"/>
    </w:pPr>
  </w:style>
  <w:style w:type="paragraph" w:styleId="53">
    <w:name w:val="endnote text"/>
    <w:basedOn w:val="1"/>
    <w:link w:val="1158"/>
    <w:qFormat/>
    <w:locked/>
    <w:uiPriority w:val="0"/>
    <w:pPr>
      <w:widowControl w:val="0"/>
      <w:snapToGrid w:val="0"/>
      <w:spacing w:line="240" w:lineRule="auto"/>
      <w:jc w:val="left"/>
    </w:pPr>
    <w:rPr>
      <w:rFonts w:asciiTheme="minorHAnsi" w:hAnsiTheme="minorHAnsi" w:eastAsiaTheme="minorEastAsia" w:cstheme="minorBidi"/>
      <w:sz w:val="21"/>
    </w:rPr>
  </w:style>
  <w:style w:type="paragraph" w:styleId="54">
    <w:name w:val="List Continue 5"/>
    <w:basedOn w:val="1"/>
    <w:qFormat/>
    <w:locked/>
    <w:uiPriority w:val="0"/>
    <w:pPr>
      <w:widowControl w:val="0"/>
      <w:spacing w:after="120" w:line="240" w:lineRule="auto"/>
      <w:ind w:left="2100" w:leftChars="1000"/>
    </w:pPr>
    <w:rPr>
      <w:rFonts w:eastAsia="宋体"/>
      <w:sz w:val="21"/>
      <w:szCs w:val="24"/>
    </w:rPr>
  </w:style>
  <w:style w:type="paragraph" w:styleId="55">
    <w:name w:val="Balloon Text"/>
    <w:basedOn w:val="1"/>
    <w:link w:val="164"/>
    <w:qFormat/>
    <w:uiPriority w:val="99"/>
    <w:pPr>
      <w:spacing w:line="240" w:lineRule="auto"/>
    </w:pPr>
    <w:rPr>
      <w:sz w:val="18"/>
      <w:szCs w:val="18"/>
    </w:rPr>
  </w:style>
  <w:style w:type="paragraph" w:styleId="56">
    <w:name w:val="footer"/>
    <w:basedOn w:val="1"/>
    <w:link w:val="165"/>
    <w:autoRedefine/>
    <w:qFormat/>
    <w:uiPriority w:val="99"/>
    <w:pPr>
      <w:tabs>
        <w:tab w:val="center" w:pos="4153"/>
        <w:tab w:val="right" w:pos="8306"/>
      </w:tabs>
      <w:snapToGrid w:val="0"/>
      <w:spacing w:line="240" w:lineRule="auto"/>
      <w:jc w:val="left"/>
    </w:pPr>
    <w:rPr>
      <w:sz w:val="18"/>
      <w:szCs w:val="18"/>
    </w:rPr>
  </w:style>
  <w:style w:type="paragraph" w:styleId="57">
    <w:name w:val="envelope return"/>
    <w:basedOn w:val="1"/>
    <w:qFormat/>
    <w:locked/>
    <w:uiPriority w:val="0"/>
    <w:pPr>
      <w:widowControl w:val="0"/>
      <w:snapToGrid w:val="0"/>
      <w:spacing w:line="240" w:lineRule="auto"/>
    </w:pPr>
    <w:rPr>
      <w:rFonts w:ascii="Arial" w:hAnsi="Arial" w:eastAsia="宋体" w:cs="Arial"/>
      <w:sz w:val="21"/>
      <w:szCs w:val="24"/>
    </w:rPr>
  </w:style>
  <w:style w:type="paragraph" w:styleId="58">
    <w:name w:val="header"/>
    <w:basedOn w:val="1"/>
    <w:link w:val="166"/>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59">
    <w:name w:val="Signature"/>
    <w:basedOn w:val="1"/>
    <w:link w:val="1160"/>
    <w:qFormat/>
    <w:locked/>
    <w:uiPriority w:val="0"/>
    <w:pPr>
      <w:widowControl w:val="0"/>
      <w:spacing w:line="240" w:lineRule="auto"/>
      <w:ind w:left="100" w:leftChars="2100"/>
    </w:pPr>
    <w:rPr>
      <w:rFonts w:asciiTheme="minorHAnsi" w:hAnsiTheme="minorHAnsi" w:eastAsiaTheme="minorEastAsia" w:cstheme="minorBidi"/>
      <w:sz w:val="21"/>
      <w:szCs w:val="24"/>
    </w:rPr>
  </w:style>
  <w:style w:type="paragraph" w:styleId="60">
    <w:name w:val="toc 1"/>
    <w:basedOn w:val="1"/>
    <w:next w:val="1"/>
    <w:autoRedefine/>
    <w:qFormat/>
    <w:uiPriority w:val="39"/>
  </w:style>
  <w:style w:type="paragraph" w:styleId="61">
    <w:name w:val="List Continue 4"/>
    <w:basedOn w:val="1"/>
    <w:qFormat/>
    <w:locked/>
    <w:uiPriority w:val="0"/>
    <w:pPr>
      <w:widowControl w:val="0"/>
      <w:spacing w:after="120" w:line="240" w:lineRule="auto"/>
      <w:ind w:left="1680" w:leftChars="800"/>
    </w:pPr>
    <w:rPr>
      <w:rFonts w:eastAsia="宋体"/>
      <w:sz w:val="21"/>
      <w:szCs w:val="24"/>
    </w:rPr>
  </w:style>
  <w:style w:type="paragraph" w:styleId="62">
    <w:name w:val="toc 4"/>
    <w:basedOn w:val="1"/>
    <w:next w:val="1"/>
    <w:autoRedefine/>
    <w:qFormat/>
    <w:uiPriority w:val="39"/>
    <w:pPr>
      <w:spacing w:line="240" w:lineRule="auto"/>
      <w:ind w:left="1260" w:leftChars="600"/>
    </w:pPr>
    <w:rPr>
      <w:rFonts w:ascii="等线" w:hAnsi="等线"/>
      <w:sz w:val="21"/>
    </w:rPr>
  </w:style>
  <w:style w:type="paragraph" w:styleId="63">
    <w:name w:val="index heading"/>
    <w:basedOn w:val="1"/>
    <w:next w:val="64"/>
    <w:qFormat/>
    <w:locked/>
    <w:uiPriority w:val="0"/>
    <w:pPr>
      <w:widowControl w:val="0"/>
      <w:spacing w:before="120" w:after="120" w:line="240" w:lineRule="auto"/>
      <w:jc w:val="left"/>
    </w:pPr>
    <w:rPr>
      <w:rFonts w:eastAsia="宋体"/>
      <w:b/>
      <w:bCs/>
      <w:i/>
      <w:iCs/>
      <w:sz w:val="20"/>
      <w:szCs w:val="20"/>
    </w:rPr>
  </w:style>
  <w:style w:type="paragraph" w:styleId="64">
    <w:name w:val="index 1"/>
    <w:basedOn w:val="1"/>
    <w:next w:val="1"/>
    <w:autoRedefine/>
    <w:unhideWhenUsed/>
    <w:qFormat/>
    <w:locked/>
    <w:uiPriority w:val="0"/>
  </w:style>
  <w:style w:type="paragraph" w:styleId="65">
    <w:name w:val="Subtitle"/>
    <w:basedOn w:val="1"/>
    <w:next w:val="1"/>
    <w:link w:val="557"/>
    <w:qFormat/>
    <w:locked/>
    <w:uiPriority w:val="99"/>
    <w:pPr>
      <w:widowControl w:val="0"/>
      <w:spacing w:before="240" w:after="60" w:line="480" w:lineRule="auto"/>
      <w:ind w:firstLine="200" w:firstLineChars="200"/>
      <w:jc w:val="left"/>
      <w:outlineLvl w:val="1"/>
    </w:pPr>
    <w:rPr>
      <w:rFonts w:asciiTheme="minorHAnsi" w:hAnsiTheme="minorHAnsi" w:eastAsiaTheme="minorEastAsia" w:cstheme="minorBidi"/>
      <w:b/>
      <w:bCs/>
      <w:kern w:val="28"/>
      <w:szCs w:val="32"/>
    </w:rPr>
  </w:style>
  <w:style w:type="paragraph" w:styleId="66">
    <w:name w:val="List Number 5"/>
    <w:basedOn w:val="1"/>
    <w:qFormat/>
    <w:locked/>
    <w:uiPriority w:val="0"/>
    <w:pPr>
      <w:widowControl w:val="0"/>
      <w:tabs>
        <w:tab w:val="left" w:pos="2040"/>
      </w:tabs>
      <w:spacing w:line="240" w:lineRule="auto"/>
      <w:ind w:left="900" w:hanging="420"/>
    </w:pPr>
    <w:rPr>
      <w:rFonts w:eastAsia="宋体"/>
      <w:sz w:val="21"/>
      <w:szCs w:val="24"/>
    </w:rPr>
  </w:style>
  <w:style w:type="paragraph" w:styleId="67">
    <w:name w:val="List"/>
    <w:basedOn w:val="1"/>
    <w:link w:val="1337"/>
    <w:unhideWhenUsed/>
    <w:qFormat/>
    <w:locked/>
    <w:uiPriority w:val="99"/>
    <w:pPr>
      <w:widowControl w:val="0"/>
      <w:spacing w:line="240" w:lineRule="auto"/>
      <w:ind w:left="200" w:hanging="200" w:hangingChars="200"/>
      <w:contextualSpacing/>
    </w:pPr>
    <w:rPr>
      <w:rFonts w:eastAsiaTheme="minorEastAsia" w:cstheme="minorBidi"/>
      <w:szCs w:val="21"/>
    </w:rPr>
  </w:style>
  <w:style w:type="paragraph" w:styleId="68">
    <w:name w:val="footnote text"/>
    <w:basedOn w:val="1"/>
    <w:link w:val="558"/>
    <w:qFormat/>
    <w:locked/>
    <w:uiPriority w:val="0"/>
    <w:pPr>
      <w:widowControl w:val="0"/>
      <w:snapToGrid w:val="0"/>
      <w:spacing w:before="120" w:after="120" w:line="520" w:lineRule="exact"/>
      <w:ind w:firstLine="200" w:firstLineChars="200"/>
      <w:jc w:val="left"/>
    </w:pPr>
    <w:rPr>
      <w:rFonts w:eastAsia="宋体"/>
      <w:sz w:val="18"/>
      <w:szCs w:val="18"/>
    </w:rPr>
  </w:style>
  <w:style w:type="paragraph" w:styleId="69">
    <w:name w:val="toc 6"/>
    <w:basedOn w:val="1"/>
    <w:next w:val="1"/>
    <w:autoRedefine/>
    <w:qFormat/>
    <w:uiPriority w:val="39"/>
    <w:pPr>
      <w:spacing w:line="240" w:lineRule="auto"/>
      <w:ind w:left="2100" w:leftChars="1000"/>
    </w:pPr>
    <w:rPr>
      <w:rFonts w:ascii="等线" w:hAnsi="等线"/>
      <w:sz w:val="21"/>
    </w:rPr>
  </w:style>
  <w:style w:type="paragraph" w:styleId="70">
    <w:name w:val="List 5"/>
    <w:basedOn w:val="1"/>
    <w:qFormat/>
    <w:locked/>
    <w:uiPriority w:val="0"/>
    <w:pPr>
      <w:widowControl w:val="0"/>
      <w:spacing w:line="240" w:lineRule="auto"/>
      <w:ind w:left="100" w:leftChars="800" w:hanging="200" w:hangingChars="200"/>
    </w:pPr>
    <w:rPr>
      <w:rFonts w:eastAsia="宋体"/>
      <w:sz w:val="21"/>
      <w:szCs w:val="24"/>
    </w:rPr>
  </w:style>
  <w:style w:type="paragraph" w:styleId="71">
    <w:name w:val="Body Text Indent 3"/>
    <w:basedOn w:val="1"/>
    <w:link w:val="559"/>
    <w:qFormat/>
    <w:locked/>
    <w:uiPriority w:val="0"/>
    <w:pPr>
      <w:widowControl w:val="0"/>
      <w:adjustRightInd w:val="0"/>
      <w:spacing w:before="120" w:after="120"/>
      <w:ind w:firstLine="560" w:firstLineChars="200"/>
      <w:textAlignment w:val="baseline"/>
    </w:pPr>
    <w:rPr>
      <w:rFonts w:ascii="宋体" w:hAnsi="宋体" w:eastAsia="宋体"/>
      <w:kern w:val="0"/>
      <w:sz w:val="28"/>
      <w:szCs w:val="20"/>
    </w:rPr>
  </w:style>
  <w:style w:type="paragraph" w:styleId="72">
    <w:name w:val="index 7"/>
    <w:basedOn w:val="1"/>
    <w:next w:val="1"/>
    <w:qFormat/>
    <w:locked/>
    <w:uiPriority w:val="0"/>
    <w:pPr>
      <w:widowControl w:val="0"/>
      <w:spacing w:line="240" w:lineRule="auto"/>
      <w:ind w:left="1470" w:hanging="210"/>
      <w:jc w:val="left"/>
    </w:pPr>
    <w:rPr>
      <w:rFonts w:eastAsia="宋体"/>
      <w:sz w:val="20"/>
      <w:szCs w:val="20"/>
    </w:rPr>
  </w:style>
  <w:style w:type="paragraph" w:styleId="73">
    <w:name w:val="index 9"/>
    <w:basedOn w:val="1"/>
    <w:next w:val="1"/>
    <w:qFormat/>
    <w:locked/>
    <w:uiPriority w:val="0"/>
    <w:pPr>
      <w:widowControl w:val="0"/>
      <w:spacing w:line="240" w:lineRule="auto"/>
      <w:ind w:left="1890" w:hanging="210"/>
      <w:jc w:val="left"/>
    </w:pPr>
    <w:rPr>
      <w:rFonts w:eastAsia="宋体"/>
      <w:sz w:val="20"/>
      <w:szCs w:val="20"/>
    </w:rPr>
  </w:style>
  <w:style w:type="paragraph" w:styleId="74">
    <w:name w:val="table of figures"/>
    <w:basedOn w:val="1"/>
    <w:next w:val="1"/>
    <w:qFormat/>
    <w:locked/>
    <w:uiPriority w:val="0"/>
    <w:pPr>
      <w:widowControl w:val="0"/>
      <w:spacing w:line="240" w:lineRule="auto"/>
      <w:ind w:left="840" w:leftChars="200" w:hanging="420" w:hangingChars="200"/>
    </w:pPr>
    <w:rPr>
      <w:rFonts w:eastAsia="宋体"/>
      <w:sz w:val="28"/>
      <w:szCs w:val="24"/>
    </w:rPr>
  </w:style>
  <w:style w:type="paragraph" w:styleId="75">
    <w:name w:val="toc 2"/>
    <w:basedOn w:val="1"/>
    <w:next w:val="1"/>
    <w:autoRedefine/>
    <w:qFormat/>
    <w:uiPriority w:val="39"/>
    <w:pPr>
      <w:ind w:left="420" w:leftChars="200"/>
    </w:pPr>
  </w:style>
  <w:style w:type="paragraph" w:styleId="76">
    <w:name w:val="toc 9"/>
    <w:basedOn w:val="1"/>
    <w:next w:val="1"/>
    <w:autoRedefine/>
    <w:qFormat/>
    <w:uiPriority w:val="39"/>
    <w:pPr>
      <w:spacing w:line="240" w:lineRule="auto"/>
      <w:ind w:left="3360" w:leftChars="1600"/>
    </w:pPr>
    <w:rPr>
      <w:rFonts w:ascii="等线" w:hAnsi="等线"/>
      <w:sz w:val="21"/>
    </w:rPr>
  </w:style>
  <w:style w:type="paragraph" w:styleId="77">
    <w:name w:val="Body Text 2"/>
    <w:basedOn w:val="1"/>
    <w:link w:val="167"/>
    <w:autoRedefine/>
    <w:qFormat/>
    <w:uiPriority w:val="0"/>
    <w:pPr>
      <w:spacing w:after="120" w:line="480" w:lineRule="auto"/>
    </w:pPr>
    <w:rPr>
      <w:rFonts w:eastAsia="宋体"/>
      <w:sz w:val="21"/>
      <w:szCs w:val="24"/>
    </w:rPr>
  </w:style>
  <w:style w:type="paragraph" w:styleId="78">
    <w:name w:val="List 4"/>
    <w:basedOn w:val="1"/>
    <w:qFormat/>
    <w:locked/>
    <w:uiPriority w:val="0"/>
    <w:pPr>
      <w:widowControl w:val="0"/>
      <w:spacing w:line="240" w:lineRule="auto"/>
      <w:ind w:left="100" w:leftChars="600" w:hanging="200" w:hangingChars="200"/>
    </w:pPr>
    <w:rPr>
      <w:rFonts w:eastAsia="宋体"/>
      <w:sz w:val="21"/>
      <w:szCs w:val="24"/>
    </w:rPr>
  </w:style>
  <w:style w:type="paragraph" w:styleId="79">
    <w:name w:val="List Continue 2"/>
    <w:basedOn w:val="1"/>
    <w:qFormat/>
    <w:locked/>
    <w:uiPriority w:val="0"/>
    <w:pPr>
      <w:widowControl w:val="0"/>
      <w:spacing w:after="120" w:line="240" w:lineRule="auto"/>
      <w:ind w:left="840" w:leftChars="400"/>
    </w:pPr>
    <w:rPr>
      <w:rFonts w:eastAsia="宋体"/>
      <w:sz w:val="21"/>
      <w:szCs w:val="24"/>
    </w:rPr>
  </w:style>
  <w:style w:type="paragraph" w:styleId="80">
    <w:name w:val="Message Header"/>
    <w:basedOn w:val="1"/>
    <w:link w:val="1167"/>
    <w:qFormat/>
    <w:locked/>
    <w:uiPriority w:val="0"/>
    <w:pPr>
      <w:widowControl w:val="0"/>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eastAsiaTheme="minorEastAsia"/>
      <w:szCs w:val="24"/>
    </w:rPr>
  </w:style>
  <w:style w:type="paragraph" w:styleId="81">
    <w:name w:val="HTML Preformatted"/>
    <w:basedOn w:val="1"/>
    <w:link w:val="168"/>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Cs w:val="24"/>
    </w:rPr>
  </w:style>
  <w:style w:type="paragraph" w:styleId="82">
    <w:name w:val="Normal (Web)"/>
    <w:basedOn w:val="1"/>
    <w:link w:val="2870"/>
    <w:autoRedefine/>
    <w:qFormat/>
    <w:uiPriority w:val="0"/>
  </w:style>
  <w:style w:type="paragraph" w:styleId="83">
    <w:name w:val="List Continue 3"/>
    <w:basedOn w:val="1"/>
    <w:qFormat/>
    <w:locked/>
    <w:uiPriority w:val="0"/>
    <w:pPr>
      <w:widowControl w:val="0"/>
      <w:spacing w:after="120" w:line="240" w:lineRule="auto"/>
      <w:ind w:left="1260" w:leftChars="600"/>
    </w:pPr>
    <w:rPr>
      <w:rFonts w:eastAsia="宋体"/>
      <w:sz w:val="21"/>
      <w:szCs w:val="24"/>
    </w:rPr>
  </w:style>
  <w:style w:type="paragraph" w:styleId="84">
    <w:name w:val="index 2"/>
    <w:basedOn w:val="1"/>
    <w:next w:val="1"/>
    <w:qFormat/>
    <w:locked/>
    <w:uiPriority w:val="0"/>
    <w:pPr>
      <w:widowControl w:val="0"/>
      <w:spacing w:line="240" w:lineRule="auto"/>
      <w:ind w:left="420" w:hanging="210"/>
      <w:jc w:val="left"/>
    </w:pPr>
    <w:rPr>
      <w:rFonts w:eastAsia="宋体"/>
      <w:sz w:val="20"/>
      <w:szCs w:val="20"/>
    </w:rPr>
  </w:style>
  <w:style w:type="paragraph" w:styleId="85">
    <w:name w:val="Title"/>
    <w:basedOn w:val="1"/>
    <w:next w:val="1"/>
    <w:link w:val="169"/>
    <w:autoRedefine/>
    <w:qFormat/>
    <w:uiPriority w:val="10"/>
    <w:pPr>
      <w:spacing w:line="240" w:lineRule="auto"/>
      <w:jc w:val="center"/>
    </w:pPr>
    <w:rPr>
      <w:rFonts w:ascii="Cambria" w:hAnsi="Cambria" w:eastAsia="宋体"/>
      <w:bCs/>
      <w:sz w:val="21"/>
      <w:szCs w:val="32"/>
    </w:rPr>
  </w:style>
  <w:style w:type="paragraph" w:styleId="86">
    <w:name w:val="annotation subject"/>
    <w:basedOn w:val="29"/>
    <w:next w:val="29"/>
    <w:link w:val="170"/>
    <w:autoRedefine/>
    <w:qFormat/>
    <w:uiPriority w:val="99"/>
    <w:rPr>
      <w:b/>
      <w:bCs/>
    </w:rPr>
  </w:style>
  <w:style w:type="paragraph" w:styleId="87">
    <w:name w:val="Body Text First Indent"/>
    <w:basedOn w:val="35"/>
    <w:link w:val="171"/>
    <w:autoRedefine/>
    <w:qFormat/>
    <w:uiPriority w:val="99"/>
    <w:pPr>
      <w:spacing w:before="100" w:beforeAutospacing="1"/>
      <w:ind w:firstLine="420" w:firstLineChars="100"/>
    </w:pPr>
    <w:rPr>
      <w:rFonts w:ascii="宋体" w:hAnsi="宋体" w:cs="宋体"/>
      <w:sz w:val="26"/>
      <w:szCs w:val="26"/>
    </w:rPr>
  </w:style>
  <w:style w:type="paragraph" w:styleId="88">
    <w:name w:val="Body Text First Indent 2"/>
    <w:basedOn w:val="36"/>
    <w:link w:val="172"/>
    <w:autoRedefine/>
    <w:qFormat/>
    <w:uiPriority w:val="0"/>
    <w:pPr>
      <w:ind w:firstLine="210"/>
    </w:pPr>
  </w:style>
  <w:style w:type="table" w:styleId="90">
    <w:name w:val="Table Grid"/>
    <w:basedOn w:val="89"/>
    <w:autoRedefine/>
    <w:qFormat/>
    <w:uiPriority w:val="0"/>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locked/>
    <w:uiPriority w:val="99"/>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qFormat/>
    <w:locked/>
    <w:uiPriority w:val="0"/>
    <w:pPr>
      <w:widowControl w:val="0"/>
      <w:jc w:val="both"/>
    </w:pPr>
    <w:rPr>
      <w:rFonts w:ascii="Times New Roman" w:hAnsi="Times New Roman" w:eastAsia="宋体"/>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qFormat/>
    <w:locked/>
    <w:uiPriority w:val="0"/>
    <w:pPr>
      <w:widowControl w:val="0"/>
      <w:jc w:val="both"/>
    </w:pPr>
    <w:rPr>
      <w:rFonts w:ascii="Times New Roman" w:hAnsi="Times New Roman" w:eastAsia="宋体"/>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qFormat/>
    <w:locked/>
    <w:uiPriority w:val="0"/>
    <w:pPr>
      <w:widowControl w:val="0"/>
      <w:jc w:val="both"/>
    </w:pPr>
    <w:rPr>
      <w:rFonts w:ascii="Times New Roman" w:hAnsi="Times New Roman" w:eastAsia="宋体"/>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qFormat/>
    <w:locked/>
    <w:uiPriority w:val="0"/>
    <w:pPr>
      <w:widowControl w:val="0"/>
      <w:jc w:val="both"/>
    </w:pPr>
    <w:rPr>
      <w:rFonts w:ascii="Times New Roman" w:hAnsi="Times New Roman" w:eastAsia="宋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qFormat/>
    <w:locked/>
    <w:uiPriority w:val="0"/>
    <w:pPr>
      <w:widowControl w:val="0"/>
      <w:jc w:val="both"/>
    </w:pPr>
    <w:rPr>
      <w:rFonts w:ascii="Times New Roman" w:hAnsi="Times New Roman" w:eastAsia="宋体"/>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qFormat/>
    <w:locked/>
    <w:uiPriority w:val="0"/>
    <w:pPr>
      <w:widowControl w:val="0"/>
      <w:jc w:val="both"/>
    </w:pPr>
    <w:rPr>
      <w:rFonts w:ascii="Times New Roman" w:hAnsi="Times New Roman" w:eastAsia="宋体"/>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qFormat/>
    <w:locked/>
    <w:uiPriority w:val="0"/>
    <w:pPr>
      <w:widowControl w:val="0"/>
      <w:jc w:val="both"/>
    </w:pPr>
    <w:rPr>
      <w:rFonts w:ascii="Times New Roman" w:hAnsi="Times New Roman" w:eastAsia="宋体"/>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qFormat/>
    <w:locked/>
    <w:uiPriority w:val="0"/>
    <w:pPr>
      <w:widowControl w:val="0"/>
      <w:jc w:val="both"/>
    </w:pPr>
    <w:rPr>
      <w:rFonts w:ascii="Times New Roman" w:hAnsi="Times New Roman" w:eastAsia="宋体"/>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qFormat/>
    <w:locked/>
    <w:uiPriority w:val="0"/>
    <w:pPr>
      <w:widowControl w:val="0"/>
      <w:jc w:val="both"/>
    </w:pPr>
    <w:rPr>
      <w:rFonts w:ascii="Times New Roman" w:hAnsi="Times New Roman" w:eastAsia="宋体"/>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qFormat/>
    <w:locked/>
    <w:uiPriority w:val="0"/>
    <w:pPr>
      <w:widowControl w:val="0"/>
      <w:jc w:val="both"/>
    </w:pPr>
    <w:rPr>
      <w:rFonts w:ascii="Times New Roman" w:hAnsi="Times New Roman" w:eastAsia="宋体"/>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qFormat/>
    <w:locked/>
    <w:uiPriority w:val="0"/>
    <w:pPr>
      <w:widowControl w:val="0"/>
      <w:jc w:val="both"/>
    </w:pPr>
    <w:rPr>
      <w:rFonts w:ascii="Times New Roman" w:hAnsi="Times New Roman" w:eastAsia="宋体"/>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qFormat/>
    <w:locked/>
    <w:uiPriority w:val="0"/>
    <w:pPr>
      <w:widowControl w:val="0"/>
      <w:jc w:val="both"/>
    </w:pPr>
    <w:rPr>
      <w:rFonts w:ascii="Times New Roman" w:hAnsi="Times New Roman" w:eastAsia="宋体"/>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qFormat/>
    <w:locked/>
    <w:uiPriority w:val="0"/>
    <w:pPr>
      <w:widowControl w:val="0"/>
      <w:jc w:val="both"/>
    </w:pPr>
    <w:rPr>
      <w:rFonts w:ascii="Times New Roman" w:hAnsi="Times New Roman" w:eastAsia="宋体"/>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qFormat/>
    <w:locked/>
    <w:uiPriority w:val="0"/>
    <w:pPr>
      <w:widowControl w:val="0"/>
      <w:jc w:val="both"/>
    </w:pPr>
    <w:rPr>
      <w:rFonts w:ascii="Times New Roman" w:hAnsi="Times New Roman" w:eastAsia="宋体"/>
    </w:r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qFormat/>
    <w:locked/>
    <w:uiPriority w:val="0"/>
    <w:pPr>
      <w:widowControl w:val="0"/>
      <w:jc w:val="both"/>
    </w:pPr>
    <w:rPr>
      <w:rFonts w:ascii="Times New Roman" w:hAnsi="Times New Roman" w:eastAsia="宋体"/>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qFormat/>
    <w:locked/>
    <w:uiPriority w:val="0"/>
    <w:pPr>
      <w:widowControl w:val="0"/>
      <w:jc w:val="both"/>
    </w:pPr>
    <w:rPr>
      <w:rFonts w:ascii="Times New Roman" w:hAnsi="Times New Roman" w:eastAsia="宋体"/>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qFormat/>
    <w:locked/>
    <w:uiPriority w:val="0"/>
    <w:pPr>
      <w:widowControl w:val="0"/>
      <w:jc w:val="both"/>
    </w:pPr>
    <w:rPr>
      <w:rFonts w:ascii="Times New Roman" w:hAnsi="Times New Roman" w:eastAsia="宋体"/>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qFormat/>
    <w:locked/>
    <w:uiPriority w:val="0"/>
    <w:pPr>
      <w:widowControl w:val="0"/>
      <w:jc w:val="both"/>
    </w:pPr>
    <w:rPr>
      <w:rFonts w:ascii="Times New Roman" w:hAnsi="Times New Roman" w:eastAsia="宋体"/>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qFormat/>
    <w:locked/>
    <w:uiPriority w:val="0"/>
    <w:pPr>
      <w:widowControl w:val="0"/>
      <w:jc w:val="both"/>
    </w:pPr>
    <w:rPr>
      <w:rFonts w:ascii="Times New Roman" w:hAnsi="Times New Roman" w:eastAsia="宋体"/>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qFormat/>
    <w:locked/>
    <w:uiPriority w:val="0"/>
    <w:pPr>
      <w:widowControl w:val="0"/>
      <w:jc w:val="both"/>
    </w:pPr>
    <w:rPr>
      <w:rFonts w:ascii="Times New Roman" w:hAnsi="Times New Roman" w:eastAsia="宋体"/>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2">
    <w:name w:val="Table List 5"/>
    <w:basedOn w:val="89"/>
    <w:qFormat/>
    <w:locked/>
    <w:uiPriority w:val="0"/>
    <w:pPr>
      <w:widowControl w:val="0"/>
      <w:jc w:val="both"/>
    </w:pPr>
    <w:rPr>
      <w:rFonts w:ascii="Times New Roman" w:hAnsi="Times New Roman" w:eastAsia="宋体"/>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qFormat/>
    <w:locked/>
    <w:uiPriority w:val="0"/>
    <w:pPr>
      <w:widowControl w:val="0"/>
      <w:jc w:val="both"/>
    </w:pPr>
    <w:rPr>
      <w:rFonts w:ascii="Times New Roman" w:hAnsi="Times New Roman" w:eastAsia="宋体"/>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qFormat/>
    <w:locked/>
    <w:uiPriority w:val="0"/>
    <w:pPr>
      <w:widowControl w:val="0"/>
      <w:jc w:val="both"/>
    </w:pPr>
    <w:rPr>
      <w:rFonts w:ascii="Times New Roman" w:hAnsi="Times New Roman" w:eastAsia="宋体"/>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qFormat/>
    <w:locked/>
    <w:uiPriority w:val="0"/>
    <w:pPr>
      <w:widowControl w:val="0"/>
      <w:jc w:val="both"/>
    </w:pPr>
    <w:rPr>
      <w:rFonts w:ascii="Times New Roman" w:hAnsi="Times New Roman" w:eastAsia="宋体"/>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qFormat/>
    <w:locked/>
    <w:uiPriority w:val="0"/>
    <w:pPr>
      <w:widowControl w:val="0"/>
      <w:jc w:val="both"/>
    </w:pPr>
    <w:rPr>
      <w:rFonts w:ascii="Times New Roman" w:hAnsi="Times New Roman" w:eastAsia="宋体"/>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qFormat/>
    <w:locked/>
    <w:uiPriority w:val="0"/>
    <w:pPr>
      <w:widowControl w:val="0"/>
      <w:jc w:val="both"/>
    </w:pPr>
    <w:rPr>
      <w:rFonts w:ascii="Times New Roman" w:hAnsi="Times New Roman" w:eastAsia="宋体"/>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qFormat/>
    <w:locked/>
    <w:uiPriority w:val="0"/>
    <w:pPr>
      <w:widowControl w:val="0"/>
      <w:jc w:val="both"/>
    </w:pPr>
    <w:rPr>
      <w:rFonts w:ascii="Times New Roman" w:hAnsi="Times New Roman" w:eastAsia="宋体"/>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qFormat/>
    <w:locked/>
    <w:uiPriority w:val="0"/>
    <w:pPr>
      <w:widowControl w:val="0"/>
      <w:jc w:val="both"/>
    </w:pPr>
    <w:rPr>
      <w:rFonts w:ascii="Times New Roman" w:hAnsi="Times New Roman" w:eastAsia="宋体"/>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qFormat/>
    <w:locked/>
    <w:uiPriority w:val="0"/>
    <w:pPr>
      <w:widowControl w:val="0"/>
      <w:jc w:val="both"/>
    </w:pPr>
    <w:rPr>
      <w:rFonts w:ascii="Times New Roman" w:hAnsi="Times New Roman" w:eastAsia="宋体"/>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qFormat/>
    <w:locked/>
    <w:uiPriority w:val="0"/>
    <w:pPr>
      <w:widowControl w:val="0"/>
      <w:jc w:val="both"/>
    </w:pPr>
    <w:rPr>
      <w:rFonts w:ascii="Times New Roman" w:hAnsi="Times New Roman" w:eastAsia="宋体"/>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locked/>
    <w:uiPriority w:val="0"/>
    <w:pPr>
      <w:widowControl w:val="0"/>
      <w:jc w:val="both"/>
    </w:pPr>
    <w:rPr>
      <w:rFonts w:ascii="Times New Roman" w:hAnsi="Times New Roman" w:eastAsia="宋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qFormat/>
    <w:locked/>
    <w:uiPriority w:val="0"/>
    <w:pPr>
      <w:widowControl w:val="0"/>
      <w:jc w:val="both"/>
    </w:pPr>
    <w:rPr>
      <w:rFonts w:ascii="Times New Roman" w:hAnsi="Times New Roman" w:eastAsia="宋体"/>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qFormat/>
    <w:locked/>
    <w:uiPriority w:val="0"/>
    <w:pPr>
      <w:widowControl w:val="0"/>
      <w:jc w:val="both"/>
    </w:pPr>
    <w:rPr>
      <w:rFonts w:ascii="Times New Roman" w:hAnsi="Times New Roman" w:eastAsia="宋体"/>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qFormat/>
    <w:locked/>
    <w:uiPriority w:val="0"/>
    <w:pPr>
      <w:widowControl w:val="0"/>
      <w:jc w:val="both"/>
    </w:pPr>
    <w:rPr>
      <w:rFonts w:ascii="Times New Roman" w:hAnsi="Times New Roman" w:eastAsia="宋体"/>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qFormat/>
    <w:locked/>
    <w:uiPriority w:val="0"/>
    <w:pPr>
      <w:widowControl w:val="0"/>
      <w:jc w:val="both"/>
    </w:pPr>
    <w:rPr>
      <w:rFonts w:ascii="Times New Roman" w:hAnsi="Times New Roman" w:eastAsia="宋体"/>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qFormat/>
    <w:locked/>
    <w:uiPriority w:val="0"/>
    <w:pPr>
      <w:widowControl w:val="0"/>
      <w:jc w:val="both"/>
    </w:pPr>
    <w:rPr>
      <w:rFonts w:ascii="Times New Roman" w:hAnsi="Times New Roman" w:eastAsia="宋体"/>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qFormat/>
    <w:locked/>
    <w:uiPriority w:val="0"/>
    <w:pPr>
      <w:widowControl w:val="0"/>
      <w:jc w:val="both"/>
    </w:pPr>
    <w:rPr>
      <w:rFonts w:ascii="Times New Roman" w:hAnsi="Times New Roman" w:eastAsia="宋体"/>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qFormat/>
    <w:locked/>
    <w:uiPriority w:val="0"/>
    <w:pPr>
      <w:widowControl w:val="0"/>
      <w:jc w:val="both"/>
    </w:pPr>
    <w:rPr>
      <w:rFonts w:ascii="Times New Roman" w:hAnsi="Times New Roman" w:eastAsia="宋体"/>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qFormat/>
    <w:locked/>
    <w:uiPriority w:val="0"/>
    <w:pPr>
      <w:widowControl w:val="0"/>
      <w:jc w:val="both"/>
    </w:pPr>
    <w:rPr>
      <w:rFonts w:ascii="Times New Roman" w:hAnsi="Times New Roman" w:eastAsia="宋体"/>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qFormat/>
    <w:locked/>
    <w:uiPriority w:val="0"/>
    <w:pPr>
      <w:widowControl w:val="0"/>
      <w:jc w:val="both"/>
    </w:pPr>
    <w:rPr>
      <w:rFonts w:ascii="Times New Roman" w:hAnsi="Times New Roman" w:eastAsia="宋体"/>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qFormat/>
    <w:locked/>
    <w:uiPriority w:val="0"/>
    <w:pPr>
      <w:widowControl w:val="0"/>
      <w:jc w:val="both"/>
    </w:pPr>
    <w:rPr>
      <w:rFonts w:ascii="Times New Roman" w:hAnsi="Times New Roman" w:eastAsia="宋体"/>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qFormat/>
    <w:locked/>
    <w:uiPriority w:val="0"/>
    <w:pPr>
      <w:widowControl w:val="0"/>
      <w:jc w:val="both"/>
    </w:pPr>
    <w:rPr>
      <w:rFonts w:ascii="Times New Roman" w:hAnsi="Times New Roman" w:eastAsia="宋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5">
    <w:name w:val="Strong"/>
    <w:basedOn w:val="134"/>
    <w:autoRedefine/>
    <w:qFormat/>
    <w:uiPriority w:val="22"/>
    <w:rPr>
      <w:rFonts w:cs="Times New Roman"/>
      <w:b/>
    </w:rPr>
  </w:style>
  <w:style w:type="character" w:styleId="136">
    <w:name w:val="endnote reference"/>
    <w:qFormat/>
    <w:locked/>
    <w:uiPriority w:val="0"/>
    <w:rPr>
      <w:vertAlign w:val="superscript"/>
    </w:rPr>
  </w:style>
  <w:style w:type="character" w:styleId="137">
    <w:name w:val="page number"/>
    <w:basedOn w:val="134"/>
    <w:autoRedefine/>
    <w:qFormat/>
    <w:uiPriority w:val="0"/>
    <w:rPr>
      <w:rFonts w:cs="Times New Roman"/>
    </w:rPr>
  </w:style>
  <w:style w:type="character" w:styleId="138">
    <w:name w:val="FollowedHyperlink"/>
    <w:basedOn w:val="134"/>
    <w:qFormat/>
    <w:uiPriority w:val="99"/>
    <w:rPr>
      <w:rFonts w:cs="Times New Roman"/>
      <w:color w:val="954F72"/>
      <w:u w:val="single"/>
    </w:rPr>
  </w:style>
  <w:style w:type="character" w:styleId="139">
    <w:name w:val="Emphasis"/>
    <w:basedOn w:val="134"/>
    <w:autoRedefine/>
    <w:qFormat/>
    <w:uiPriority w:val="0"/>
    <w:rPr>
      <w:rFonts w:cs="Times New Roman"/>
      <w:i/>
    </w:rPr>
  </w:style>
  <w:style w:type="character" w:styleId="140">
    <w:name w:val="line number"/>
    <w:basedOn w:val="134"/>
    <w:qFormat/>
    <w:locked/>
    <w:uiPriority w:val="0"/>
  </w:style>
  <w:style w:type="character" w:styleId="141">
    <w:name w:val="HTML Definition"/>
    <w:basedOn w:val="134"/>
    <w:autoRedefine/>
    <w:qFormat/>
    <w:uiPriority w:val="0"/>
    <w:rPr>
      <w:rFonts w:cs="Times New Roman"/>
      <w:i/>
    </w:rPr>
  </w:style>
  <w:style w:type="character" w:styleId="142">
    <w:name w:val="HTML Typewriter"/>
    <w:qFormat/>
    <w:locked/>
    <w:uiPriority w:val="0"/>
    <w:rPr>
      <w:rFonts w:ascii="Courier New" w:hAnsi="Courier New" w:cs="Courier New"/>
      <w:sz w:val="20"/>
      <w:szCs w:val="20"/>
    </w:rPr>
  </w:style>
  <w:style w:type="character" w:styleId="143">
    <w:name w:val="HTML Acronym"/>
    <w:basedOn w:val="134"/>
    <w:qFormat/>
    <w:locked/>
    <w:uiPriority w:val="0"/>
  </w:style>
  <w:style w:type="character" w:styleId="144">
    <w:name w:val="HTML Variable"/>
    <w:qFormat/>
    <w:locked/>
    <w:uiPriority w:val="0"/>
    <w:rPr>
      <w:i/>
      <w:iCs/>
    </w:rPr>
  </w:style>
  <w:style w:type="character" w:styleId="145">
    <w:name w:val="Hyperlink"/>
    <w:basedOn w:val="134"/>
    <w:autoRedefine/>
    <w:qFormat/>
    <w:uiPriority w:val="99"/>
    <w:rPr>
      <w:rFonts w:cs="Times New Roman"/>
      <w:color w:val="0000FF"/>
      <w:u w:val="single"/>
    </w:rPr>
  </w:style>
  <w:style w:type="character" w:styleId="146">
    <w:name w:val="HTML Code"/>
    <w:basedOn w:val="134"/>
    <w:autoRedefine/>
    <w:qFormat/>
    <w:uiPriority w:val="0"/>
    <w:rPr>
      <w:rFonts w:ascii="monospace" w:hAnsi="monospace" w:cs="Times New Roman"/>
      <w:sz w:val="21"/>
    </w:rPr>
  </w:style>
  <w:style w:type="character" w:styleId="147">
    <w:name w:val="annotation reference"/>
    <w:basedOn w:val="134"/>
    <w:autoRedefine/>
    <w:qFormat/>
    <w:uiPriority w:val="99"/>
    <w:rPr>
      <w:rFonts w:cs="Times New Roman"/>
      <w:sz w:val="21"/>
      <w:szCs w:val="21"/>
    </w:rPr>
  </w:style>
  <w:style w:type="character" w:styleId="148">
    <w:name w:val="HTML Cite"/>
    <w:qFormat/>
    <w:locked/>
    <w:uiPriority w:val="0"/>
    <w:rPr>
      <w:i/>
      <w:iCs/>
    </w:rPr>
  </w:style>
  <w:style w:type="character" w:styleId="149">
    <w:name w:val="footnote reference"/>
    <w:qFormat/>
    <w:locked/>
    <w:uiPriority w:val="0"/>
    <w:rPr>
      <w:vertAlign w:val="superscript"/>
    </w:rPr>
  </w:style>
  <w:style w:type="character" w:styleId="150">
    <w:name w:val="HTML Keyboard"/>
    <w:basedOn w:val="134"/>
    <w:autoRedefine/>
    <w:qFormat/>
    <w:uiPriority w:val="0"/>
    <w:rPr>
      <w:rFonts w:ascii="monospace" w:hAnsi="monospace" w:cs="Times New Roman"/>
      <w:sz w:val="21"/>
    </w:rPr>
  </w:style>
  <w:style w:type="character" w:styleId="151">
    <w:name w:val="HTML Sample"/>
    <w:basedOn w:val="134"/>
    <w:autoRedefine/>
    <w:qFormat/>
    <w:uiPriority w:val="0"/>
    <w:rPr>
      <w:rFonts w:ascii="monospace" w:hAnsi="monospace" w:cs="Times New Roman"/>
      <w:sz w:val="21"/>
    </w:rPr>
  </w:style>
  <w:style w:type="character" w:customStyle="1" w:styleId="152">
    <w:name w:val="标题 1 字符"/>
    <w:basedOn w:val="134"/>
    <w:link w:val="3"/>
    <w:autoRedefine/>
    <w:qFormat/>
    <w:locked/>
    <w:uiPriority w:val="9"/>
    <w:rPr>
      <w:rFonts w:ascii="Times New Roman" w:hAnsi="Times New Roman" w:cs="Times New Roman"/>
      <w:b/>
      <w:bCs/>
      <w:kern w:val="44"/>
      <w:sz w:val="44"/>
      <w:szCs w:val="44"/>
    </w:rPr>
  </w:style>
  <w:style w:type="character" w:customStyle="1" w:styleId="153">
    <w:name w:val="标题 2 字符"/>
    <w:basedOn w:val="134"/>
    <w:link w:val="4"/>
    <w:autoRedefine/>
    <w:qFormat/>
    <w:locked/>
    <w:uiPriority w:val="9"/>
    <w:rPr>
      <w:rFonts w:ascii="等线 Light" w:hAnsi="等线 Light" w:eastAsia="等线 Light" w:cs="Times New Roman"/>
      <w:b/>
      <w:bCs/>
      <w:sz w:val="32"/>
      <w:szCs w:val="32"/>
    </w:rPr>
  </w:style>
  <w:style w:type="character" w:customStyle="1" w:styleId="154">
    <w:name w:val="标题 3 字符"/>
    <w:basedOn w:val="134"/>
    <w:link w:val="5"/>
    <w:autoRedefine/>
    <w:qFormat/>
    <w:locked/>
    <w:uiPriority w:val="9"/>
    <w:rPr>
      <w:rFonts w:ascii="Times New Roman" w:hAnsi="Times New Roman" w:cs="Times New Roman"/>
      <w:b/>
      <w:bCs/>
      <w:sz w:val="32"/>
      <w:szCs w:val="32"/>
    </w:rPr>
  </w:style>
  <w:style w:type="character" w:customStyle="1" w:styleId="155">
    <w:name w:val="注释标题 字符"/>
    <w:basedOn w:val="134"/>
    <w:link w:val="17"/>
    <w:autoRedefine/>
    <w:qFormat/>
    <w:locked/>
    <w:uiPriority w:val="0"/>
    <w:rPr>
      <w:rFonts w:ascii="Times New Roman" w:hAnsi="Times New Roman" w:eastAsia="宋体" w:cs="Times New Roman"/>
      <w:sz w:val="24"/>
      <w:szCs w:val="24"/>
    </w:rPr>
  </w:style>
  <w:style w:type="character" w:customStyle="1" w:styleId="156">
    <w:name w:val="正文缩进 字符"/>
    <w:link w:val="22"/>
    <w:autoRedefine/>
    <w:qFormat/>
    <w:locked/>
    <w:uiPriority w:val="0"/>
    <w:rPr>
      <w:sz w:val="24"/>
    </w:rPr>
  </w:style>
  <w:style w:type="character" w:customStyle="1" w:styleId="157">
    <w:name w:val="文档结构图 字符"/>
    <w:basedOn w:val="134"/>
    <w:link w:val="27"/>
    <w:qFormat/>
    <w:locked/>
    <w:uiPriority w:val="99"/>
    <w:rPr>
      <w:rFonts w:ascii="Times New Roman" w:hAnsi="Times New Roman" w:eastAsia="宋体" w:cs="Times New Roman"/>
      <w:sz w:val="24"/>
      <w:szCs w:val="24"/>
      <w:shd w:val="clear" w:color="auto" w:fill="000080"/>
    </w:rPr>
  </w:style>
  <w:style w:type="character" w:customStyle="1" w:styleId="158">
    <w:name w:val="批注文字 字符"/>
    <w:basedOn w:val="134"/>
    <w:link w:val="29"/>
    <w:autoRedefine/>
    <w:qFormat/>
    <w:locked/>
    <w:uiPriority w:val="99"/>
    <w:rPr>
      <w:rFonts w:ascii="Times New Roman" w:hAnsi="Times New Roman" w:cs="Times New Roman"/>
      <w:sz w:val="24"/>
    </w:rPr>
  </w:style>
  <w:style w:type="character" w:customStyle="1" w:styleId="159">
    <w:name w:val="正文文本 字符"/>
    <w:basedOn w:val="134"/>
    <w:link w:val="35"/>
    <w:autoRedefine/>
    <w:qFormat/>
    <w:locked/>
    <w:uiPriority w:val="99"/>
    <w:rPr>
      <w:rFonts w:ascii="Times New Roman" w:hAnsi="Times New Roman" w:eastAsia="宋体"/>
      <w:bCs/>
      <w:snapToGrid w:val="0"/>
      <w:color w:val="000000" w:themeColor="text1"/>
      <w:kern w:val="2"/>
      <w:sz w:val="24"/>
      <w:szCs w:val="24"/>
      <w:lang w:val="en-GB"/>
      <w14:textFill>
        <w14:solidFill>
          <w14:schemeClr w14:val="tx1"/>
        </w14:solidFill>
      </w14:textFill>
    </w:rPr>
  </w:style>
  <w:style w:type="character" w:customStyle="1" w:styleId="160">
    <w:name w:val="正文文本缩进 字符"/>
    <w:basedOn w:val="134"/>
    <w:link w:val="36"/>
    <w:qFormat/>
    <w:locked/>
    <w:uiPriority w:val="0"/>
    <w:rPr>
      <w:rFonts w:ascii="Times New Roman" w:hAnsi="Times New Roman" w:eastAsia="宋体" w:cs="Times New Roman"/>
      <w:sz w:val="24"/>
      <w:szCs w:val="24"/>
    </w:rPr>
  </w:style>
  <w:style w:type="character" w:customStyle="1" w:styleId="161">
    <w:name w:val="纯文本 字符"/>
    <w:basedOn w:val="134"/>
    <w:link w:val="46"/>
    <w:autoRedefine/>
    <w:qFormat/>
    <w:locked/>
    <w:uiPriority w:val="99"/>
    <w:rPr>
      <w:rFonts w:ascii="宋体" w:hAnsi="Courier New" w:eastAsia="宋体" w:cs="宋体"/>
      <w:sz w:val="26"/>
      <w:szCs w:val="26"/>
    </w:rPr>
  </w:style>
  <w:style w:type="character" w:customStyle="1" w:styleId="162">
    <w:name w:val="日期 字符"/>
    <w:basedOn w:val="134"/>
    <w:link w:val="51"/>
    <w:autoRedefine/>
    <w:qFormat/>
    <w:locked/>
    <w:uiPriority w:val="99"/>
    <w:rPr>
      <w:rFonts w:ascii="Times New Roman" w:hAnsi="Times New Roman" w:cs="Times New Roman"/>
      <w:sz w:val="24"/>
    </w:rPr>
  </w:style>
  <w:style w:type="character" w:customStyle="1" w:styleId="163">
    <w:name w:val="正文文本缩进 2 字符"/>
    <w:basedOn w:val="134"/>
    <w:link w:val="52"/>
    <w:autoRedefine/>
    <w:qFormat/>
    <w:locked/>
    <w:uiPriority w:val="0"/>
    <w:rPr>
      <w:rFonts w:ascii="Times New Roman" w:hAnsi="Times New Roman" w:cs="Times New Roman"/>
      <w:sz w:val="24"/>
    </w:rPr>
  </w:style>
  <w:style w:type="character" w:customStyle="1" w:styleId="164">
    <w:name w:val="批注框文本 字符"/>
    <w:basedOn w:val="134"/>
    <w:link w:val="55"/>
    <w:autoRedefine/>
    <w:qFormat/>
    <w:locked/>
    <w:uiPriority w:val="99"/>
    <w:rPr>
      <w:rFonts w:ascii="Times New Roman" w:hAnsi="Times New Roman" w:cs="Times New Roman"/>
      <w:sz w:val="18"/>
      <w:szCs w:val="18"/>
    </w:rPr>
  </w:style>
  <w:style w:type="character" w:customStyle="1" w:styleId="165">
    <w:name w:val="页脚 字符"/>
    <w:basedOn w:val="134"/>
    <w:link w:val="56"/>
    <w:qFormat/>
    <w:locked/>
    <w:uiPriority w:val="99"/>
    <w:rPr>
      <w:rFonts w:ascii="Times New Roman" w:hAnsi="Times New Roman" w:cs="Times New Roman"/>
      <w:sz w:val="18"/>
      <w:szCs w:val="18"/>
    </w:rPr>
  </w:style>
  <w:style w:type="character" w:customStyle="1" w:styleId="166">
    <w:name w:val="页眉 字符"/>
    <w:basedOn w:val="134"/>
    <w:link w:val="58"/>
    <w:autoRedefine/>
    <w:qFormat/>
    <w:locked/>
    <w:uiPriority w:val="0"/>
    <w:rPr>
      <w:rFonts w:ascii="Times New Roman" w:hAnsi="Times New Roman" w:cs="Times New Roman"/>
      <w:sz w:val="18"/>
      <w:szCs w:val="18"/>
    </w:rPr>
  </w:style>
  <w:style w:type="character" w:customStyle="1" w:styleId="167">
    <w:name w:val="正文文本 2 字符"/>
    <w:basedOn w:val="134"/>
    <w:link w:val="77"/>
    <w:autoRedefine/>
    <w:qFormat/>
    <w:locked/>
    <w:uiPriority w:val="0"/>
    <w:rPr>
      <w:rFonts w:ascii="Times New Roman" w:hAnsi="Times New Roman" w:eastAsia="宋体" w:cs="Times New Roman"/>
      <w:sz w:val="24"/>
      <w:szCs w:val="24"/>
    </w:rPr>
  </w:style>
  <w:style w:type="character" w:customStyle="1" w:styleId="168">
    <w:name w:val="HTML 预设格式 字符"/>
    <w:basedOn w:val="134"/>
    <w:link w:val="81"/>
    <w:locked/>
    <w:uiPriority w:val="0"/>
    <w:rPr>
      <w:rFonts w:ascii="宋体" w:hAnsi="宋体" w:eastAsia="宋体" w:cs="Times New Roman"/>
      <w:kern w:val="0"/>
      <w:sz w:val="24"/>
      <w:szCs w:val="24"/>
    </w:rPr>
  </w:style>
  <w:style w:type="character" w:customStyle="1" w:styleId="169">
    <w:name w:val="标题 字符"/>
    <w:basedOn w:val="134"/>
    <w:link w:val="85"/>
    <w:autoRedefine/>
    <w:qFormat/>
    <w:locked/>
    <w:uiPriority w:val="10"/>
    <w:rPr>
      <w:rFonts w:ascii="Cambria" w:hAnsi="Cambria" w:eastAsia="宋体" w:cs="Times New Roman"/>
      <w:bCs/>
      <w:sz w:val="32"/>
      <w:szCs w:val="32"/>
    </w:rPr>
  </w:style>
  <w:style w:type="character" w:customStyle="1" w:styleId="170">
    <w:name w:val="批注主题 字符"/>
    <w:basedOn w:val="158"/>
    <w:link w:val="86"/>
    <w:autoRedefine/>
    <w:qFormat/>
    <w:locked/>
    <w:uiPriority w:val="99"/>
    <w:rPr>
      <w:rFonts w:ascii="Times New Roman" w:hAnsi="Times New Roman" w:cs="Times New Roman"/>
      <w:b/>
      <w:bCs/>
      <w:sz w:val="24"/>
    </w:rPr>
  </w:style>
  <w:style w:type="character" w:customStyle="1" w:styleId="171">
    <w:name w:val="正文首行缩进 字符"/>
    <w:basedOn w:val="159"/>
    <w:link w:val="87"/>
    <w:autoRedefine/>
    <w:qFormat/>
    <w:locked/>
    <w:uiPriority w:val="0"/>
    <w:rPr>
      <w:rFonts w:ascii="宋体" w:hAnsi="宋体" w:eastAsia="宋体" w:cs="宋体"/>
      <w:snapToGrid w:val="0"/>
      <w:color w:val="000000" w:themeColor="text1"/>
      <w:kern w:val="2"/>
      <w:sz w:val="26"/>
      <w:szCs w:val="26"/>
      <w:lang w:val="en-GB"/>
      <w14:textFill>
        <w14:solidFill>
          <w14:schemeClr w14:val="tx1"/>
        </w14:solidFill>
      </w14:textFill>
    </w:rPr>
  </w:style>
  <w:style w:type="character" w:customStyle="1" w:styleId="172">
    <w:name w:val="正文首行缩进 2 字符"/>
    <w:basedOn w:val="160"/>
    <w:link w:val="88"/>
    <w:autoRedefine/>
    <w:qFormat/>
    <w:locked/>
    <w:uiPriority w:val="0"/>
    <w:rPr>
      <w:rFonts w:ascii="Times New Roman" w:hAnsi="Times New Roman" w:eastAsia="宋体" w:cs="Times New Roman"/>
      <w:sz w:val="24"/>
      <w:szCs w:val="24"/>
    </w:rPr>
  </w:style>
  <w:style w:type="character" w:customStyle="1" w:styleId="173">
    <w:name w:val="Body Text First Indent Char1"/>
    <w:basedOn w:val="159"/>
    <w:autoRedefine/>
    <w:semiHidden/>
    <w:qFormat/>
    <w:locked/>
    <w:uiPriority w:val="0"/>
    <w:rPr>
      <w:rFonts w:ascii="Times New Roman" w:hAnsi="Times New Roman" w:eastAsia="宋体" w:cs="Times New Roman"/>
      <w:snapToGrid w:val="0"/>
      <w:color w:val="000000" w:themeColor="text1"/>
      <w:kern w:val="2"/>
      <w:sz w:val="24"/>
      <w:szCs w:val="21"/>
      <w:lang w:val="en-GB"/>
      <w14:textFill>
        <w14:solidFill>
          <w14:schemeClr w14:val="tx1"/>
        </w14:solidFill>
      </w14:textFill>
    </w:rPr>
  </w:style>
  <w:style w:type="character" w:customStyle="1" w:styleId="174">
    <w:name w:val="Plain Text Char1"/>
    <w:basedOn w:val="134"/>
    <w:autoRedefine/>
    <w:semiHidden/>
    <w:qFormat/>
    <w:locked/>
    <w:uiPriority w:val="99"/>
    <w:rPr>
      <w:rFonts w:ascii="宋体" w:hAnsi="Courier New" w:eastAsia="宋体" w:cs="Courier New"/>
      <w:sz w:val="21"/>
      <w:szCs w:val="21"/>
    </w:rPr>
  </w:style>
  <w:style w:type="character" w:customStyle="1" w:styleId="175">
    <w:name w:val="Date Char1"/>
    <w:basedOn w:val="134"/>
    <w:autoRedefine/>
    <w:semiHidden/>
    <w:qFormat/>
    <w:locked/>
    <w:uiPriority w:val="0"/>
    <w:rPr>
      <w:rFonts w:ascii="Times New Roman" w:hAnsi="Times New Roman" w:cs="Times New Roman"/>
      <w:sz w:val="24"/>
    </w:rPr>
  </w:style>
  <w:style w:type="character" w:customStyle="1" w:styleId="176">
    <w:name w:val="Footer Char1"/>
    <w:basedOn w:val="134"/>
    <w:autoRedefine/>
    <w:semiHidden/>
    <w:qFormat/>
    <w:locked/>
    <w:uiPriority w:val="0"/>
    <w:rPr>
      <w:rFonts w:ascii="Times New Roman" w:hAnsi="Times New Roman" w:cs="Times New Roman"/>
      <w:sz w:val="18"/>
      <w:szCs w:val="18"/>
    </w:rPr>
  </w:style>
  <w:style w:type="character" w:customStyle="1" w:styleId="177">
    <w:name w:val="Header Char1"/>
    <w:basedOn w:val="134"/>
    <w:autoRedefine/>
    <w:semiHidden/>
    <w:qFormat/>
    <w:locked/>
    <w:uiPriority w:val="0"/>
    <w:rPr>
      <w:rFonts w:ascii="Times New Roman" w:hAnsi="Times New Roman" w:cs="Times New Roman"/>
      <w:sz w:val="18"/>
      <w:szCs w:val="18"/>
    </w:rPr>
  </w:style>
  <w:style w:type="character" w:customStyle="1" w:styleId="178">
    <w:name w:val="标题2-2 Char"/>
    <w:basedOn w:val="153"/>
    <w:link w:val="179"/>
    <w:qFormat/>
    <w:locked/>
    <w:uiPriority w:val="0"/>
    <w:rPr>
      <w:rFonts w:ascii="Times New Roman" w:hAnsi="Times New Roman" w:eastAsia="等线 Light" w:cs="Times New Roman"/>
      <w:sz w:val="26"/>
      <w:szCs w:val="26"/>
    </w:rPr>
  </w:style>
  <w:style w:type="paragraph" w:customStyle="1" w:styleId="179">
    <w:name w:val="标题2-2"/>
    <w:basedOn w:val="4"/>
    <w:link w:val="178"/>
    <w:autoRedefine/>
    <w:qFormat/>
    <w:uiPriority w:val="0"/>
    <w:pPr>
      <w:spacing w:before="0" w:after="0" w:line="360" w:lineRule="auto"/>
    </w:pPr>
    <w:rPr>
      <w:rFonts w:ascii="Times New Roman" w:hAnsi="Times New Roman"/>
      <w:sz w:val="28"/>
      <w:szCs w:val="26"/>
    </w:rPr>
  </w:style>
  <w:style w:type="character" w:customStyle="1" w:styleId="180">
    <w:name w:val="标题1-1 Char"/>
    <w:basedOn w:val="152"/>
    <w:link w:val="181"/>
    <w:autoRedefine/>
    <w:qFormat/>
    <w:locked/>
    <w:uiPriority w:val="0"/>
    <w:rPr>
      <w:rFonts w:ascii="Times New Roman" w:hAnsi="Times New Roman" w:eastAsia="等线 Light" w:cs="Times New Roman"/>
      <w:kern w:val="44"/>
      <w:sz w:val="30"/>
      <w:szCs w:val="30"/>
    </w:rPr>
  </w:style>
  <w:style w:type="paragraph" w:customStyle="1" w:styleId="181">
    <w:name w:val="标题1-1"/>
    <w:basedOn w:val="3"/>
    <w:link w:val="180"/>
    <w:qFormat/>
    <w:uiPriority w:val="0"/>
    <w:pPr>
      <w:spacing w:before="0" w:after="0" w:line="360" w:lineRule="auto"/>
      <w:jc w:val="center"/>
    </w:pPr>
    <w:rPr>
      <w:rFonts w:eastAsia="等线 Light"/>
      <w:sz w:val="30"/>
      <w:szCs w:val="30"/>
    </w:rPr>
  </w:style>
  <w:style w:type="paragraph" w:customStyle="1" w:styleId="182">
    <w:name w:val="表格格式1-2"/>
    <w:basedOn w:val="1"/>
    <w:link w:val="183"/>
    <w:qFormat/>
    <w:uiPriority w:val="0"/>
    <w:pPr>
      <w:spacing w:line="240" w:lineRule="auto"/>
      <w:jc w:val="center"/>
    </w:pPr>
    <w:rPr>
      <w:sz w:val="21"/>
      <w:szCs w:val="21"/>
    </w:rPr>
  </w:style>
  <w:style w:type="character" w:customStyle="1" w:styleId="183">
    <w:name w:val="表格格式1-2 Char"/>
    <w:basedOn w:val="134"/>
    <w:link w:val="182"/>
    <w:qFormat/>
    <w:locked/>
    <w:uiPriority w:val="0"/>
    <w:rPr>
      <w:rFonts w:ascii="Times New Roman" w:hAnsi="Times New Roman" w:cs="Times New Roman"/>
      <w:sz w:val="21"/>
      <w:szCs w:val="21"/>
    </w:rPr>
  </w:style>
  <w:style w:type="paragraph" w:customStyle="1" w:styleId="184">
    <w:name w:val="表格名称"/>
    <w:basedOn w:val="1"/>
    <w:link w:val="185"/>
    <w:autoRedefine/>
    <w:qFormat/>
    <w:uiPriority w:val="0"/>
    <w:pPr>
      <w:jc w:val="center"/>
    </w:pPr>
    <w:rPr>
      <w:b/>
    </w:rPr>
  </w:style>
  <w:style w:type="character" w:customStyle="1" w:styleId="185">
    <w:name w:val="表格名称 Char"/>
    <w:basedOn w:val="134"/>
    <w:link w:val="184"/>
    <w:autoRedefine/>
    <w:qFormat/>
    <w:locked/>
    <w:uiPriority w:val="0"/>
    <w:rPr>
      <w:rFonts w:ascii="Times New Roman" w:hAnsi="Times New Roman" w:cs="Times New Roman"/>
      <w:b/>
      <w:sz w:val="24"/>
    </w:rPr>
  </w:style>
  <w:style w:type="paragraph" w:customStyle="1" w:styleId="186">
    <w:name w:val="表格1"/>
    <w:basedOn w:val="182"/>
    <w:link w:val="187"/>
    <w:autoRedefine/>
    <w:qFormat/>
    <w:uiPriority w:val="0"/>
    <w:rPr>
      <w:b/>
    </w:rPr>
  </w:style>
  <w:style w:type="character" w:customStyle="1" w:styleId="187">
    <w:name w:val="表格1 Char"/>
    <w:basedOn w:val="183"/>
    <w:link w:val="186"/>
    <w:autoRedefine/>
    <w:qFormat/>
    <w:locked/>
    <w:uiPriority w:val="0"/>
    <w:rPr>
      <w:rFonts w:ascii="Times New Roman" w:hAnsi="Times New Roman" w:cs="Times New Roman"/>
      <w:b/>
      <w:sz w:val="21"/>
      <w:szCs w:val="21"/>
    </w:rPr>
  </w:style>
  <w:style w:type="paragraph" w:customStyle="1" w:styleId="188">
    <w:name w:val="标题3-3"/>
    <w:basedOn w:val="5"/>
    <w:qFormat/>
    <w:uiPriority w:val="0"/>
    <w:pPr>
      <w:adjustRightInd w:val="0"/>
      <w:spacing w:before="0" w:after="0" w:line="360" w:lineRule="auto"/>
    </w:pPr>
    <w:rPr>
      <w:sz w:val="24"/>
    </w:rPr>
  </w:style>
  <w:style w:type="paragraph" w:customStyle="1" w:styleId="189">
    <w:name w:val="表格样式"/>
    <w:basedOn w:val="1"/>
    <w:autoRedefine/>
    <w:qFormat/>
    <w:uiPriority w:val="0"/>
    <w:pPr>
      <w:spacing w:line="320" w:lineRule="exact"/>
      <w:contextualSpacing/>
      <w:jc w:val="center"/>
    </w:pPr>
    <w:rPr>
      <w:rFonts w:eastAsia="宋体"/>
      <w:sz w:val="21"/>
      <w:szCs w:val="21"/>
    </w:rPr>
  </w:style>
  <w:style w:type="paragraph" w:customStyle="1" w:styleId="190">
    <w:name w:val="01正文"/>
    <w:basedOn w:val="182"/>
    <w:autoRedefine/>
    <w:qFormat/>
    <w:uiPriority w:val="0"/>
    <w:pPr>
      <w:keepNext/>
      <w:keepLines/>
      <w:adjustRightInd w:val="0"/>
      <w:outlineLvl w:val="2"/>
    </w:pPr>
    <w:rPr>
      <w:bCs/>
    </w:rPr>
  </w:style>
  <w:style w:type="table" w:customStyle="1" w:styleId="191">
    <w:name w:val="网格型1"/>
    <w:qFormat/>
    <w:uiPriority w:val="0"/>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2">
    <w:name w:val="目录 71"/>
    <w:basedOn w:val="1"/>
    <w:next w:val="1"/>
    <w:autoRedefine/>
    <w:qFormat/>
    <w:uiPriority w:val="39"/>
    <w:pPr>
      <w:spacing w:line="240" w:lineRule="auto"/>
      <w:ind w:left="2520" w:leftChars="1200"/>
    </w:pPr>
    <w:rPr>
      <w:rFonts w:ascii="Calibri" w:hAnsi="Calibri"/>
      <w:sz w:val="21"/>
    </w:rPr>
  </w:style>
  <w:style w:type="paragraph" w:customStyle="1" w:styleId="193">
    <w:name w:val="目录 51"/>
    <w:basedOn w:val="1"/>
    <w:next w:val="1"/>
    <w:autoRedefine/>
    <w:qFormat/>
    <w:uiPriority w:val="39"/>
    <w:pPr>
      <w:spacing w:line="240" w:lineRule="auto"/>
      <w:ind w:left="1680" w:leftChars="800"/>
    </w:pPr>
    <w:rPr>
      <w:rFonts w:ascii="Calibri" w:hAnsi="Calibri"/>
      <w:sz w:val="21"/>
    </w:rPr>
  </w:style>
  <w:style w:type="paragraph" w:customStyle="1" w:styleId="194">
    <w:name w:val="目录 81"/>
    <w:basedOn w:val="1"/>
    <w:next w:val="1"/>
    <w:autoRedefine/>
    <w:qFormat/>
    <w:uiPriority w:val="39"/>
    <w:pPr>
      <w:spacing w:line="240" w:lineRule="auto"/>
      <w:ind w:left="2940" w:leftChars="1400"/>
    </w:pPr>
    <w:rPr>
      <w:rFonts w:ascii="Calibri" w:hAnsi="Calibri"/>
      <w:sz w:val="21"/>
    </w:rPr>
  </w:style>
  <w:style w:type="paragraph" w:customStyle="1" w:styleId="195">
    <w:name w:val="目录 41"/>
    <w:basedOn w:val="1"/>
    <w:next w:val="1"/>
    <w:autoRedefine/>
    <w:qFormat/>
    <w:uiPriority w:val="39"/>
    <w:pPr>
      <w:spacing w:line="240" w:lineRule="auto"/>
      <w:ind w:left="1260" w:leftChars="600"/>
    </w:pPr>
    <w:rPr>
      <w:rFonts w:ascii="Calibri" w:hAnsi="Calibri"/>
      <w:sz w:val="21"/>
    </w:rPr>
  </w:style>
  <w:style w:type="paragraph" w:customStyle="1" w:styleId="196">
    <w:name w:val="目录 61"/>
    <w:basedOn w:val="1"/>
    <w:next w:val="1"/>
    <w:autoRedefine/>
    <w:qFormat/>
    <w:uiPriority w:val="39"/>
    <w:pPr>
      <w:spacing w:line="240" w:lineRule="auto"/>
      <w:ind w:left="2100" w:leftChars="1000"/>
    </w:pPr>
    <w:rPr>
      <w:rFonts w:ascii="Calibri" w:hAnsi="Calibri"/>
      <w:sz w:val="21"/>
    </w:rPr>
  </w:style>
  <w:style w:type="paragraph" w:customStyle="1" w:styleId="197">
    <w:name w:val="目录 91"/>
    <w:basedOn w:val="1"/>
    <w:next w:val="1"/>
    <w:autoRedefine/>
    <w:qFormat/>
    <w:uiPriority w:val="39"/>
    <w:pPr>
      <w:spacing w:line="240" w:lineRule="auto"/>
      <w:ind w:left="3360" w:leftChars="1600"/>
    </w:pPr>
    <w:rPr>
      <w:rFonts w:ascii="Calibri" w:hAnsi="Calibri"/>
      <w:sz w:val="21"/>
    </w:rPr>
  </w:style>
  <w:style w:type="table" w:customStyle="1" w:styleId="198">
    <w:name w:val="网格型2"/>
    <w:autoRedefine/>
    <w:qFormat/>
    <w:uiPriority w:val="0"/>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9">
    <w:name w:val="正文111111111"/>
    <w:basedOn w:val="1"/>
    <w:link w:val="1398"/>
    <w:autoRedefine/>
    <w:qFormat/>
    <w:uiPriority w:val="0"/>
    <w:pPr>
      <w:ind w:firstLine="480"/>
    </w:pPr>
    <w:rPr>
      <w:rFonts w:eastAsia="宋体" w:cs="宋体"/>
      <w:szCs w:val="24"/>
    </w:rPr>
  </w:style>
  <w:style w:type="paragraph" w:customStyle="1" w:styleId="200">
    <w:name w:val="正文样式 Char"/>
    <w:basedOn w:val="1"/>
    <w:autoRedefine/>
    <w:qFormat/>
    <w:uiPriority w:val="0"/>
    <w:pPr>
      <w:adjustRightInd w:val="0"/>
      <w:snapToGrid w:val="0"/>
      <w:spacing w:line="460" w:lineRule="exact"/>
    </w:pPr>
    <w:rPr>
      <w:rFonts w:eastAsia="宋体"/>
      <w:color w:val="000000"/>
      <w:sz w:val="26"/>
      <w:szCs w:val="26"/>
    </w:rPr>
  </w:style>
  <w:style w:type="character" w:customStyle="1" w:styleId="201">
    <w:name w:val="description"/>
    <w:basedOn w:val="134"/>
    <w:autoRedefine/>
    <w:qFormat/>
    <w:uiPriority w:val="0"/>
    <w:rPr>
      <w:rFonts w:cs="Times New Roman"/>
    </w:rPr>
  </w:style>
  <w:style w:type="paragraph" w:customStyle="1" w:styleId="202">
    <w:name w:val="Char Char Char Char Char Char Char Char Char Char Char Char Char Char Char Char Char Char Char"/>
    <w:basedOn w:val="1"/>
    <w:autoRedefine/>
    <w:qFormat/>
    <w:uiPriority w:val="99"/>
    <w:pPr>
      <w:spacing w:before="100" w:beforeAutospacing="1" w:after="100" w:afterAutospacing="1" w:line="240" w:lineRule="auto"/>
      <w:ind w:left="510"/>
    </w:pPr>
    <w:rPr>
      <w:rFonts w:ascii="宋体" w:hAnsi="宋体" w:eastAsia="宋体" w:cs="宋体"/>
      <w:sz w:val="21"/>
      <w:szCs w:val="21"/>
    </w:rPr>
  </w:style>
  <w:style w:type="paragraph" w:customStyle="1" w:styleId="203">
    <w:name w:val="正文四号"/>
    <w:basedOn w:val="1"/>
    <w:link w:val="204"/>
    <w:autoRedefine/>
    <w:qFormat/>
    <w:uiPriority w:val="0"/>
    <w:pPr>
      <w:spacing w:after="100" w:afterAutospacing="1"/>
    </w:pPr>
    <w:rPr>
      <w:rFonts w:eastAsia="宋体"/>
      <w:kern w:val="0"/>
      <w:sz w:val="26"/>
      <w:szCs w:val="20"/>
    </w:rPr>
  </w:style>
  <w:style w:type="character" w:customStyle="1" w:styleId="204">
    <w:name w:val="正文四号 Char"/>
    <w:link w:val="203"/>
    <w:autoRedefine/>
    <w:qFormat/>
    <w:locked/>
    <w:uiPriority w:val="0"/>
    <w:rPr>
      <w:rFonts w:ascii="Times New Roman" w:hAnsi="Times New Roman" w:eastAsia="宋体"/>
      <w:sz w:val="26"/>
    </w:rPr>
  </w:style>
  <w:style w:type="paragraph" w:customStyle="1" w:styleId="205">
    <w:name w:val="无间隔1"/>
    <w:basedOn w:val="1"/>
    <w:link w:val="206"/>
    <w:autoRedefine/>
    <w:qFormat/>
    <w:uiPriority w:val="0"/>
    <w:pPr>
      <w:spacing w:line="240" w:lineRule="auto"/>
    </w:pPr>
    <w:rPr>
      <w:rFonts w:ascii="宋体" w:hAnsi="宋体" w:eastAsia="宋体"/>
      <w:kern w:val="0"/>
      <w:sz w:val="21"/>
      <w:szCs w:val="20"/>
    </w:rPr>
  </w:style>
  <w:style w:type="character" w:customStyle="1" w:styleId="206">
    <w:name w:val="无间隔 Char"/>
    <w:link w:val="205"/>
    <w:autoRedefine/>
    <w:qFormat/>
    <w:locked/>
    <w:uiPriority w:val="1"/>
    <w:rPr>
      <w:rFonts w:ascii="宋体" w:hAnsi="宋体" w:eastAsia="宋体"/>
      <w:sz w:val="21"/>
    </w:rPr>
  </w:style>
  <w:style w:type="paragraph" w:customStyle="1" w:styleId="207">
    <w:name w:val="样式7"/>
    <w:basedOn w:val="1"/>
    <w:link w:val="1630"/>
    <w:autoRedefine/>
    <w:qFormat/>
    <w:uiPriority w:val="0"/>
    <w:pPr>
      <w:adjustRightInd w:val="0"/>
      <w:snapToGrid w:val="0"/>
      <w:spacing w:line="480" w:lineRule="exact"/>
    </w:pPr>
    <w:rPr>
      <w:rFonts w:ascii="宋体" w:hAnsi="宋体" w:eastAsia="宋体" w:cs="宋体"/>
      <w:sz w:val="26"/>
      <w:szCs w:val="26"/>
    </w:rPr>
  </w:style>
  <w:style w:type="paragraph" w:customStyle="1" w:styleId="208">
    <w:name w:val="表格标题"/>
    <w:basedOn w:val="1"/>
    <w:autoRedefine/>
    <w:qFormat/>
    <w:uiPriority w:val="0"/>
    <w:pPr>
      <w:spacing w:beforeLines="10" w:after="100" w:afterAutospacing="1" w:line="480" w:lineRule="exact"/>
      <w:jc w:val="center"/>
    </w:pPr>
    <w:rPr>
      <w:rFonts w:eastAsia="宋体"/>
      <w:b/>
      <w:bCs/>
      <w:color w:val="000000"/>
      <w:kern w:val="0"/>
      <w:sz w:val="26"/>
      <w:szCs w:val="26"/>
    </w:rPr>
  </w:style>
  <w:style w:type="paragraph" w:customStyle="1" w:styleId="209">
    <w:name w:val="流程图"/>
    <w:basedOn w:val="1"/>
    <w:autoRedefine/>
    <w:qFormat/>
    <w:uiPriority w:val="0"/>
    <w:pPr>
      <w:autoSpaceDE w:val="0"/>
      <w:autoSpaceDN w:val="0"/>
      <w:adjustRightInd w:val="0"/>
      <w:spacing w:after="100" w:afterAutospacing="1" w:line="240" w:lineRule="atLeast"/>
      <w:jc w:val="center"/>
      <w:textAlignment w:val="bottom"/>
    </w:pPr>
    <w:rPr>
      <w:rFonts w:ascii="宋体" w:eastAsia="宋体"/>
      <w:sz w:val="21"/>
      <w:szCs w:val="21"/>
    </w:rPr>
  </w:style>
  <w:style w:type="paragraph" w:customStyle="1" w:styleId="210">
    <w:name w:val="表"/>
    <w:basedOn w:val="1"/>
    <w:autoRedefine/>
    <w:qFormat/>
    <w:uiPriority w:val="0"/>
    <w:pPr>
      <w:spacing w:after="100" w:afterAutospacing="1" w:line="240" w:lineRule="auto"/>
    </w:pPr>
    <w:rPr>
      <w:rFonts w:eastAsia="宋体"/>
      <w:kern w:val="0"/>
      <w:sz w:val="26"/>
      <w:szCs w:val="26"/>
    </w:rPr>
  </w:style>
  <w:style w:type="paragraph" w:customStyle="1" w:styleId="211">
    <w:name w:val="正文1"/>
    <w:link w:val="739"/>
    <w:autoRedefine/>
    <w:qFormat/>
    <w:uiPriority w:val="0"/>
    <w:pPr>
      <w:spacing w:line="360" w:lineRule="auto"/>
      <w:jc w:val="both"/>
    </w:pPr>
    <w:rPr>
      <w:rFonts w:ascii="Arial" w:hAnsi="Arial" w:eastAsia="宋体" w:cs="Arial"/>
      <w:kern w:val="2"/>
      <w:sz w:val="21"/>
      <w:szCs w:val="21"/>
      <w:lang w:val="en-US" w:eastAsia="zh-CN" w:bidi="ar-SA"/>
    </w:rPr>
  </w:style>
  <w:style w:type="paragraph" w:customStyle="1" w:styleId="212">
    <w:name w:val="标题3"/>
    <w:basedOn w:val="1"/>
    <w:next w:val="5"/>
    <w:link w:val="2737"/>
    <w:autoRedefine/>
    <w:qFormat/>
    <w:uiPriority w:val="0"/>
    <w:pPr>
      <w:adjustRightInd w:val="0"/>
      <w:snapToGrid w:val="0"/>
      <w:spacing w:before="100" w:beforeAutospacing="1" w:after="100" w:afterAutospacing="1" w:line="460" w:lineRule="exact"/>
      <w:ind w:left="170" w:hanging="170"/>
      <w:jc w:val="left"/>
    </w:pPr>
    <w:rPr>
      <w:rFonts w:ascii="Wingdings" w:hAnsi="Wingdings" w:eastAsia="宋体" w:cs="宋体"/>
      <w:b/>
      <w:bCs/>
      <w:sz w:val="26"/>
      <w:szCs w:val="26"/>
    </w:rPr>
  </w:style>
  <w:style w:type="paragraph" w:customStyle="1" w:styleId="213">
    <w:name w:val="正文2"/>
    <w:basedOn w:val="1"/>
    <w:autoRedefine/>
    <w:qFormat/>
    <w:uiPriority w:val="0"/>
    <w:pPr>
      <w:spacing w:line="240" w:lineRule="auto"/>
    </w:pPr>
    <w:rPr>
      <w:rFonts w:ascii="Calibri" w:hAnsi="Calibri" w:eastAsia="宋体" w:cs="宋体"/>
      <w:sz w:val="21"/>
      <w:szCs w:val="21"/>
    </w:rPr>
  </w:style>
  <w:style w:type="character" w:customStyle="1" w:styleId="214">
    <w:name w:val="font61"/>
    <w:basedOn w:val="134"/>
    <w:autoRedefine/>
    <w:qFormat/>
    <w:uiPriority w:val="0"/>
    <w:rPr>
      <w:rFonts w:ascii="Times New Roman" w:hAnsi="Times New Roman" w:cs="Times New Roman"/>
      <w:b/>
      <w:bCs/>
      <w:color w:val="000000"/>
      <w:sz w:val="21"/>
      <w:szCs w:val="21"/>
      <w:u w:val="none"/>
    </w:rPr>
  </w:style>
  <w:style w:type="character" w:customStyle="1" w:styleId="215">
    <w:name w:val="font71"/>
    <w:basedOn w:val="134"/>
    <w:autoRedefine/>
    <w:qFormat/>
    <w:uiPriority w:val="0"/>
    <w:rPr>
      <w:rFonts w:ascii="Times New Roman" w:hAnsi="Times New Roman" w:cs="Times New Roman"/>
      <w:b/>
      <w:bCs/>
      <w:color w:val="000000"/>
      <w:sz w:val="21"/>
      <w:szCs w:val="21"/>
      <w:u w:val="none"/>
      <w:vertAlign w:val="superscript"/>
    </w:rPr>
  </w:style>
  <w:style w:type="character" w:customStyle="1" w:styleId="216">
    <w:name w:val="font81"/>
    <w:basedOn w:val="134"/>
    <w:autoRedefine/>
    <w:qFormat/>
    <w:uiPriority w:val="0"/>
    <w:rPr>
      <w:rFonts w:ascii="宋体" w:hAnsi="宋体" w:eastAsia="宋体" w:cs="Times New Roman"/>
      <w:b/>
      <w:bCs/>
      <w:color w:val="000000"/>
      <w:sz w:val="21"/>
      <w:szCs w:val="21"/>
      <w:u w:val="none"/>
    </w:rPr>
  </w:style>
  <w:style w:type="character" w:customStyle="1" w:styleId="217">
    <w:name w:val="font31"/>
    <w:basedOn w:val="134"/>
    <w:autoRedefine/>
    <w:qFormat/>
    <w:uiPriority w:val="0"/>
    <w:rPr>
      <w:rFonts w:ascii="宋体" w:hAnsi="宋体" w:eastAsia="宋体" w:cs="Times New Roman"/>
      <w:color w:val="000000"/>
      <w:sz w:val="21"/>
      <w:szCs w:val="21"/>
      <w:u w:val="none"/>
    </w:rPr>
  </w:style>
  <w:style w:type="character" w:customStyle="1" w:styleId="218">
    <w:name w:val="font91"/>
    <w:basedOn w:val="134"/>
    <w:autoRedefine/>
    <w:qFormat/>
    <w:uiPriority w:val="0"/>
    <w:rPr>
      <w:rFonts w:ascii="Times New Roman" w:hAnsi="Times New Roman" w:cs="Times New Roman"/>
      <w:color w:val="000000"/>
      <w:sz w:val="21"/>
      <w:szCs w:val="21"/>
      <w:u w:val="none"/>
      <w:vertAlign w:val="subscript"/>
    </w:rPr>
  </w:style>
  <w:style w:type="character" w:customStyle="1" w:styleId="219">
    <w:name w:val="font11"/>
    <w:basedOn w:val="134"/>
    <w:autoRedefine/>
    <w:qFormat/>
    <w:uiPriority w:val="0"/>
    <w:rPr>
      <w:rFonts w:ascii="Times New Roman" w:hAnsi="Times New Roman" w:cs="Times New Roman"/>
      <w:color w:val="000000"/>
      <w:sz w:val="21"/>
      <w:szCs w:val="21"/>
      <w:u w:val="none"/>
    </w:rPr>
  </w:style>
  <w:style w:type="character" w:customStyle="1" w:styleId="220">
    <w:name w:val="font21"/>
    <w:basedOn w:val="134"/>
    <w:autoRedefine/>
    <w:qFormat/>
    <w:uiPriority w:val="0"/>
    <w:rPr>
      <w:rFonts w:ascii="Times New Roman" w:hAnsi="Times New Roman" w:cs="Times New Roman"/>
      <w:b/>
      <w:bCs/>
      <w:color w:val="000000"/>
      <w:sz w:val="21"/>
      <w:szCs w:val="21"/>
      <w:u w:val="none"/>
    </w:rPr>
  </w:style>
  <w:style w:type="paragraph" w:customStyle="1" w:styleId="221">
    <w:name w:val="目录 72"/>
    <w:basedOn w:val="1"/>
    <w:next w:val="1"/>
    <w:autoRedefine/>
    <w:qFormat/>
    <w:uiPriority w:val="39"/>
    <w:pPr>
      <w:spacing w:line="240" w:lineRule="auto"/>
      <w:ind w:left="2520" w:leftChars="1200"/>
    </w:pPr>
    <w:rPr>
      <w:rFonts w:ascii="Calibri" w:hAnsi="Calibri"/>
      <w:sz w:val="21"/>
    </w:rPr>
  </w:style>
  <w:style w:type="paragraph" w:customStyle="1" w:styleId="222">
    <w:name w:val="目录 52"/>
    <w:basedOn w:val="1"/>
    <w:next w:val="1"/>
    <w:autoRedefine/>
    <w:qFormat/>
    <w:uiPriority w:val="39"/>
    <w:pPr>
      <w:spacing w:line="240" w:lineRule="auto"/>
      <w:ind w:left="1680" w:leftChars="800"/>
    </w:pPr>
    <w:rPr>
      <w:rFonts w:ascii="Calibri" w:hAnsi="Calibri"/>
      <w:sz w:val="21"/>
    </w:rPr>
  </w:style>
  <w:style w:type="paragraph" w:customStyle="1" w:styleId="223">
    <w:name w:val="目录 82"/>
    <w:basedOn w:val="1"/>
    <w:next w:val="1"/>
    <w:autoRedefine/>
    <w:qFormat/>
    <w:uiPriority w:val="39"/>
    <w:pPr>
      <w:spacing w:line="240" w:lineRule="auto"/>
      <w:ind w:left="2940" w:leftChars="1400"/>
    </w:pPr>
    <w:rPr>
      <w:rFonts w:ascii="Calibri" w:hAnsi="Calibri"/>
      <w:sz w:val="21"/>
    </w:rPr>
  </w:style>
  <w:style w:type="paragraph" w:customStyle="1" w:styleId="224">
    <w:name w:val="目录 42"/>
    <w:basedOn w:val="1"/>
    <w:next w:val="1"/>
    <w:autoRedefine/>
    <w:qFormat/>
    <w:uiPriority w:val="39"/>
    <w:pPr>
      <w:spacing w:line="240" w:lineRule="auto"/>
      <w:ind w:left="1260" w:leftChars="600"/>
    </w:pPr>
    <w:rPr>
      <w:rFonts w:ascii="Calibri" w:hAnsi="Calibri"/>
      <w:sz w:val="21"/>
    </w:rPr>
  </w:style>
  <w:style w:type="paragraph" w:customStyle="1" w:styleId="225">
    <w:name w:val="目录 62"/>
    <w:basedOn w:val="1"/>
    <w:next w:val="1"/>
    <w:autoRedefine/>
    <w:qFormat/>
    <w:uiPriority w:val="39"/>
    <w:pPr>
      <w:spacing w:line="240" w:lineRule="auto"/>
      <w:ind w:left="2100" w:leftChars="1000"/>
    </w:pPr>
    <w:rPr>
      <w:rFonts w:ascii="Calibri" w:hAnsi="Calibri"/>
      <w:sz w:val="21"/>
    </w:rPr>
  </w:style>
  <w:style w:type="paragraph" w:customStyle="1" w:styleId="226">
    <w:name w:val="目录 92"/>
    <w:basedOn w:val="1"/>
    <w:next w:val="1"/>
    <w:autoRedefine/>
    <w:qFormat/>
    <w:uiPriority w:val="39"/>
    <w:pPr>
      <w:spacing w:line="240" w:lineRule="auto"/>
      <w:ind w:left="3360" w:leftChars="1600"/>
    </w:pPr>
    <w:rPr>
      <w:rFonts w:ascii="Calibri" w:hAnsi="Calibri"/>
      <w:sz w:val="21"/>
    </w:rPr>
  </w:style>
  <w:style w:type="table" w:customStyle="1" w:styleId="227">
    <w:name w:val="网格型3"/>
    <w:autoRedefine/>
    <w:qFormat/>
    <w:uiPriority w:val="0"/>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8">
    <w:name w:val="Table Paragraph"/>
    <w:basedOn w:val="1"/>
    <w:autoRedefine/>
    <w:qFormat/>
    <w:uiPriority w:val="1"/>
    <w:pPr>
      <w:autoSpaceDE w:val="0"/>
      <w:autoSpaceDN w:val="0"/>
      <w:adjustRightInd w:val="0"/>
      <w:jc w:val="left"/>
    </w:pPr>
    <w:rPr>
      <w:rFonts w:eastAsia="宋体"/>
      <w:kern w:val="0"/>
      <w:szCs w:val="24"/>
    </w:rPr>
  </w:style>
  <w:style w:type="paragraph" w:customStyle="1" w:styleId="229">
    <w:name w:val="p0"/>
    <w:basedOn w:val="1"/>
    <w:autoRedefine/>
    <w:qFormat/>
    <w:uiPriority w:val="99"/>
    <w:pPr>
      <w:jc w:val="left"/>
    </w:pPr>
    <w:rPr>
      <w:szCs w:val="21"/>
    </w:rPr>
  </w:style>
  <w:style w:type="table" w:customStyle="1" w:styleId="230">
    <w:name w:val="网格型4"/>
    <w:autoRedefine/>
    <w:qFormat/>
    <w:uiPriority w:val="9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
    <w:name w:val="网格型5"/>
    <w:autoRedefine/>
    <w:qFormat/>
    <w:uiPriority w:val="0"/>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
    <w:name w:val="网格型6"/>
    <w:autoRedefine/>
    <w:qFormat/>
    <w:uiPriority w:val="0"/>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3">
    <w:name w:val="目录 73"/>
    <w:basedOn w:val="1"/>
    <w:next w:val="1"/>
    <w:autoRedefine/>
    <w:qFormat/>
    <w:uiPriority w:val="39"/>
    <w:pPr>
      <w:spacing w:line="240" w:lineRule="auto"/>
      <w:ind w:left="2520" w:leftChars="1200"/>
    </w:pPr>
    <w:rPr>
      <w:rFonts w:ascii="Calibri" w:hAnsi="Calibri"/>
      <w:sz w:val="21"/>
    </w:rPr>
  </w:style>
  <w:style w:type="paragraph" w:customStyle="1" w:styleId="234">
    <w:name w:val="目录 53"/>
    <w:basedOn w:val="1"/>
    <w:next w:val="1"/>
    <w:autoRedefine/>
    <w:qFormat/>
    <w:uiPriority w:val="39"/>
    <w:pPr>
      <w:spacing w:line="240" w:lineRule="auto"/>
      <w:ind w:left="1680" w:leftChars="800"/>
    </w:pPr>
    <w:rPr>
      <w:rFonts w:ascii="Calibri" w:hAnsi="Calibri"/>
      <w:sz w:val="21"/>
    </w:rPr>
  </w:style>
  <w:style w:type="paragraph" w:customStyle="1" w:styleId="235">
    <w:name w:val="目录 83"/>
    <w:basedOn w:val="1"/>
    <w:next w:val="1"/>
    <w:autoRedefine/>
    <w:qFormat/>
    <w:uiPriority w:val="39"/>
    <w:pPr>
      <w:spacing w:line="240" w:lineRule="auto"/>
      <w:ind w:left="2940" w:leftChars="1400"/>
    </w:pPr>
    <w:rPr>
      <w:rFonts w:ascii="Calibri" w:hAnsi="Calibri"/>
      <w:sz w:val="21"/>
    </w:rPr>
  </w:style>
  <w:style w:type="paragraph" w:customStyle="1" w:styleId="236">
    <w:name w:val="目录 43"/>
    <w:basedOn w:val="1"/>
    <w:next w:val="1"/>
    <w:autoRedefine/>
    <w:qFormat/>
    <w:uiPriority w:val="39"/>
    <w:pPr>
      <w:spacing w:line="240" w:lineRule="auto"/>
      <w:ind w:left="1260" w:leftChars="600"/>
    </w:pPr>
    <w:rPr>
      <w:rFonts w:ascii="Calibri" w:hAnsi="Calibri"/>
      <w:sz w:val="21"/>
    </w:rPr>
  </w:style>
  <w:style w:type="paragraph" w:customStyle="1" w:styleId="237">
    <w:name w:val="目录 63"/>
    <w:basedOn w:val="1"/>
    <w:next w:val="1"/>
    <w:autoRedefine/>
    <w:qFormat/>
    <w:uiPriority w:val="39"/>
    <w:pPr>
      <w:spacing w:line="240" w:lineRule="auto"/>
      <w:ind w:left="2100" w:leftChars="1000"/>
    </w:pPr>
    <w:rPr>
      <w:rFonts w:ascii="Calibri" w:hAnsi="Calibri"/>
      <w:sz w:val="21"/>
    </w:rPr>
  </w:style>
  <w:style w:type="paragraph" w:customStyle="1" w:styleId="238">
    <w:name w:val="目录 93"/>
    <w:basedOn w:val="1"/>
    <w:next w:val="1"/>
    <w:autoRedefine/>
    <w:qFormat/>
    <w:uiPriority w:val="39"/>
    <w:pPr>
      <w:spacing w:line="240" w:lineRule="auto"/>
      <w:ind w:left="3360" w:leftChars="1600"/>
    </w:pPr>
    <w:rPr>
      <w:rFonts w:ascii="Calibri" w:hAnsi="Calibri"/>
      <w:sz w:val="21"/>
    </w:rPr>
  </w:style>
  <w:style w:type="table" w:customStyle="1" w:styleId="239">
    <w:name w:val="网格型7"/>
    <w:autoRedefine/>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0">
    <w:name w:val="目录 74"/>
    <w:basedOn w:val="1"/>
    <w:next w:val="1"/>
    <w:autoRedefine/>
    <w:qFormat/>
    <w:uiPriority w:val="39"/>
    <w:pPr>
      <w:spacing w:line="240" w:lineRule="auto"/>
      <w:ind w:left="2520" w:leftChars="1200"/>
    </w:pPr>
    <w:rPr>
      <w:rFonts w:ascii="Calibri" w:hAnsi="Calibri"/>
      <w:sz w:val="21"/>
    </w:rPr>
  </w:style>
  <w:style w:type="paragraph" w:customStyle="1" w:styleId="241">
    <w:name w:val="目录 54"/>
    <w:basedOn w:val="1"/>
    <w:next w:val="1"/>
    <w:autoRedefine/>
    <w:qFormat/>
    <w:uiPriority w:val="39"/>
    <w:pPr>
      <w:spacing w:line="240" w:lineRule="auto"/>
      <w:ind w:left="1680" w:leftChars="800"/>
    </w:pPr>
    <w:rPr>
      <w:rFonts w:ascii="Calibri" w:hAnsi="Calibri"/>
      <w:sz w:val="21"/>
    </w:rPr>
  </w:style>
  <w:style w:type="paragraph" w:customStyle="1" w:styleId="242">
    <w:name w:val="目录 84"/>
    <w:basedOn w:val="1"/>
    <w:next w:val="1"/>
    <w:autoRedefine/>
    <w:qFormat/>
    <w:uiPriority w:val="39"/>
    <w:pPr>
      <w:spacing w:line="240" w:lineRule="auto"/>
      <w:ind w:left="2940" w:leftChars="1400"/>
    </w:pPr>
    <w:rPr>
      <w:rFonts w:ascii="Calibri" w:hAnsi="Calibri"/>
      <w:sz w:val="21"/>
    </w:rPr>
  </w:style>
  <w:style w:type="paragraph" w:customStyle="1" w:styleId="243">
    <w:name w:val="目录 44"/>
    <w:basedOn w:val="1"/>
    <w:next w:val="1"/>
    <w:autoRedefine/>
    <w:qFormat/>
    <w:uiPriority w:val="39"/>
    <w:pPr>
      <w:spacing w:line="240" w:lineRule="auto"/>
      <w:ind w:left="1260" w:leftChars="600"/>
    </w:pPr>
    <w:rPr>
      <w:rFonts w:ascii="Calibri" w:hAnsi="Calibri"/>
      <w:sz w:val="21"/>
    </w:rPr>
  </w:style>
  <w:style w:type="paragraph" w:customStyle="1" w:styleId="244">
    <w:name w:val="目录 64"/>
    <w:basedOn w:val="1"/>
    <w:next w:val="1"/>
    <w:autoRedefine/>
    <w:qFormat/>
    <w:uiPriority w:val="39"/>
    <w:pPr>
      <w:spacing w:line="240" w:lineRule="auto"/>
      <w:ind w:left="2100" w:leftChars="1000"/>
    </w:pPr>
    <w:rPr>
      <w:rFonts w:ascii="Calibri" w:hAnsi="Calibri"/>
      <w:sz w:val="21"/>
    </w:rPr>
  </w:style>
  <w:style w:type="paragraph" w:customStyle="1" w:styleId="245">
    <w:name w:val="目录 94"/>
    <w:basedOn w:val="1"/>
    <w:next w:val="1"/>
    <w:autoRedefine/>
    <w:qFormat/>
    <w:uiPriority w:val="39"/>
    <w:pPr>
      <w:spacing w:line="240" w:lineRule="auto"/>
      <w:ind w:left="3360" w:leftChars="1600"/>
    </w:pPr>
    <w:rPr>
      <w:rFonts w:ascii="Calibri" w:hAnsi="Calibri"/>
      <w:sz w:val="21"/>
    </w:rPr>
  </w:style>
  <w:style w:type="table" w:customStyle="1" w:styleId="246">
    <w:name w:val="网格型8"/>
    <w:autoRedefine/>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7">
    <w:name w:val="网格型9"/>
    <w:autoRedefine/>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8">
    <w:name w:val="网格型10"/>
    <w:autoRedefine/>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9">
    <w:name w:val="TOC 标题1"/>
    <w:basedOn w:val="3"/>
    <w:next w:val="1"/>
    <w:autoRedefine/>
    <w:qFormat/>
    <w:uiPriority w:val="39"/>
    <w:pPr>
      <w:spacing w:before="240" w:after="0" w:line="259" w:lineRule="auto"/>
      <w:jc w:val="left"/>
      <w:outlineLvl w:val="9"/>
    </w:pPr>
    <w:rPr>
      <w:rFonts w:ascii="等线 Light" w:hAnsi="等线 Light" w:eastAsia="等线 Light"/>
      <w:b w:val="0"/>
      <w:bCs w:val="0"/>
      <w:color w:val="2E74B5"/>
      <w:kern w:val="0"/>
      <w:sz w:val="32"/>
      <w:szCs w:val="32"/>
    </w:rPr>
  </w:style>
  <w:style w:type="paragraph" w:styleId="250">
    <w:name w:val="List Paragraph"/>
    <w:basedOn w:val="1"/>
    <w:link w:val="1542"/>
    <w:autoRedefine/>
    <w:qFormat/>
    <w:uiPriority w:val="34"/>
    <w:pPr>
      <w:ind w:firstLine="420"/>
    </w:pPr>
  </w:style>
  <w:style w:type="paragraph" w:customStyle="1" w:styleId="251">
    <w:name w:val="Default"/>
    <w:link w:val="1135"/>
    <w:autoRedefine/>
    <w:qFormat/>
    <w:uiPriority w:val="0"/>
    <w:pPr>
      <w:widowControl w:val="0"/>
      <w:autoSpaceDE w:val="0"/>
      <w:autoSpaceDN w:val="0"/>
      <w:adjustRightInd w:val="0"/>
      <w:spacing w:line="360" w:lineRule="auto"/>
      <w:jc w:val="both"/>
    </w:pPr>
    <w:rPr>
      <w:rFonts w:ascii="宋体" w:hAnsi="Times New Roman" w:eastAsia="宋体" w:cs="宋体"/>
      <w:color w:val="000000"/>
      <w:sz w:val="24"/>
      <w:szCs w:val="24"/>
      <w:lang w:val="en-US" w:eastAsia="zh-CN" w:bidi="ar-SA"/>
    </w:rPr>
  </w:style>
  <w:style w:type="character" w:styleId="252">
    <w:name w:val="Placeholder Text"/>
    <w:basedOn w:val="134"/>
    <w:autoRedefine/>
    <w:qFormat/>
    <w:uiPriority w:val="99"/>
    <w:rPr>
      <w:rFonts w:cs="Times New Roman"/>
      <w:color w:val="808080"/>
    </w:rPr>
  </w:style>
  <w:style w:type="character" w:customStyle="1" w:styleId="253">
    <w:name w:val="17"/>
    <w:basedOn w:val="134"/>
    <w:autoRedefine/>
    <w:qFormat/>
    <w:uiPriority w:val="0"/>
    <w:rPr>
      <w:rFonts w:ascii="宋体" w:hAnsi="宋体" w:eastAsia="宋体" w:cs="Times New Roman"/>
      <w:color w:val="000000"/>
      <w:sz w:val="24"/>
      <w:szCs w:val="24"/>
    </w:rPr>
  </w:style>
  <w:style w:type="paragraph" w:customStyle="1" w:styleId="254">
    <w:name w:val="表文煤矿排版"/>
    <w:basedOn w:val="1"/>
    <w:next w:val="1"/>
    <w:autoRedefine/>
    <w:qFormat/>
    <w:uiPriority w:val="0"/>
    <w:pPr>
      <w:adjustRightInd w:val="0"/>
      <w:snapToGrid w:val="0"/>
      <w:spacing w:line="240" w:lineRule="auto"/>
      <w:jc w:val="center"/>
    </w:pPr>
    <w:rPr>
      <w:rFonts w:eastAsia="宋体"/>
      <w:sz w:val="22"/>
    </w:rPr>
  </w:style>
  <w:style w:type="character" w:customStyle="1" w:styleId="255">
    <w:name w:val="纯文本 Char"/>
    <w:autoRedefine/>
    <w:qFormat/>
    <w:uiPriority w:val="99"/>
    <w:rPr>
      <w:rFonts w:ascii="宋体" w:hAnsi="Courier New" w:eastAsia="宋体"/>
      <w:kern w:val="2"/>
      <w:sz w:val="26"/>
      <w:lang w:val="en-US" w:eastAsia="zh-CN"/>
    </w:rPr>
  </w:style>
  <w:style w:type="paragraph" w:customStyle="1" w:styleId="256">
    <w:name w:val="【正文】"/>
    <w:basedOn w:val="1"/>
    <w:link w:val="1466"/>
    <w:autoRedefine/>
    <w:qFormat/>
    <w:uiPriority w:val="0"/>
    <w:pPr>
      <w:spacing w:line="440" w:lineRule="exact"/>
      <w:ind w:firstLine="544"/>
    </w:pPr>
    <w:rPr>
      <w:rFonts w:ascii="Calibri" w:hAnsi="Calibri" w:eastAsia="宋体"/>
      <w:kern w:val="0"/>
      <w:szCs w:val="24"/>
    </w:rPr>
  </w:style>
  <w:style w:type="paragraph" w:customStyle="1" w:styleId="257">
    <w:name w:val="表内字1"/>
    <w:basedOn w:val="1"/>
    <w:autoRedefine/>
    <w:qFormat/>
    <w:uiPriority w:val="0"/>
    <w:pPr>
      <w:adjustRightInd w:val="0"/>
      <w:snapToGrid w:val="0"/>
      <w:spacing w:line="300" w:lineRule="exact"/>
      <w:jc w:val="center"/>
    </w:pPr>
    <w:rPr>
      <w:rFonts w:eastAsia="宋体"/>
      <w:color w:val="000000"/>
      <w:sz w:val="22"/>
      <w:szCs w:val="21"/>
    </w:rPr>
  </w:style>
  <w:style w:type="paragraph" w:customStyle="1" w:styleId="258">
    <w:name w:val="正文   1"/>
    <w:basedOn w:val="1"/>
    <w:autoRedefine/>
    <w:qFormat/>
    <w:uiPriority w:val="0"/>
    <w:pPr>
      <w:snapToGrid w:val="0"/>
      <w:spacing w:line="460" w:lineRule="atLeast"/>
      <w:ind w:firstLine="520"/>
    </w:pPr>
    <w:rPr>
      <w:rFonts w:eastAsia="宋体"/>
      <w:bCs/>
      <w:sz w:val="26"/>
      <w:szCs w:val="24"/>
    </w:rPr>
  </w:style>
  <w:style w:type="paragraph" w:customStyle="1" w:styleId="259">
    <w:name w:val="Char Char1 Char Char"/>
    <w:basedOn w:val="1"/>
    <w:autoRedefine/>
    <w:semiHidden/>
    <w:qFormat/>
    <w:uiPriority w:val="0"/>
    <w:pPr>
      <w:spacing w:line="240" w:lineRule="auto"/>
    </w:pPr>
    <w:rPr>
      <w:rFonts w:ascii="Verdana" w:hAnsi="Verdana" w:eastAsia="仿宋_GB2312" w:cs="”“Times New Roman”“"/>
      <w:kern w:val="0"/>
      <w:sz w:val="28"/>
      <w:szCs w:val="28"/>
      <w:lang w:eastAsia="en-US"/>
    </w:rPr>
  </w:style>
  <w:style w:type="character" w:customStyle="1" w:styleId="260">
    <w:name w:val="表头 Char1"/>
    <w:link w:val="261"/>
    <w:autoRedefine/>
    <w:qFormat/>
    <w:locked/>
    <w:uiPriority w:val="0"/>
    <w:rPr>
      <w:rFonts w:ascii="Times New Roman" w:hAnsi="Times New Roman" w:eastAsia="宋体"/>
      <w:b/>
      <w:kern w:val="32"/>
      <w:sz w:val="24"/>
    </w:rPr>
  </w:style>
  <w:style w:type="paragraph" w:customStyle="1" w:styleId="261">
    <w:name w:val="表头"/>
    <w:basedOn w:val="35"/>
    <w:next w:val="1"/>
    <w:link w:val="260"/>
    <w:autoRedefine/>
    <w:qFormat/>
    <w:uiPriority w:val="0"/>
    <w:pPr>
      <w:snapToGrid w:val="0"/>
    </w:pPr>
    <w:rPr>
      <w:b/>
      <w:kern w:val="32"/>
      <w:szCs w:val="20"/>
    </w:rPr>
  </w:style>
  <w:style w:type="paragraph" w:customStyle="1" w:styleId="262">
    <w:name w:val="xl31"/>
    <w:basedOn w:val="1"/>
    <w:autoRedefine/>
    <w:qFormat/>
    <w:uiPriority w:val="0"/>
    <w:pPr>
      <w:spacing w:before="100" w:beforeAutospacing="1" w:after="100" w:afterAutospacing="1" w:line="240" w:lineRule="auto"/>
      <w:jc w:val="center"/>
    </w:pPr>
    <w:rPr>
      <w:rFonts w:eastAsia="宋体"/>
      <w:kern w:val="0"/>
      <w:szCs w:val="24"/>
    </w:rPr>
  </w:style>
  <w:style w:type="paragraph" w:customStyle="1" w:styleId="263">
    <w:name w:val="表内容"/>
    <w:basedOn w:val="1"/>
    <w:link w:val="1055"/>
    <w:autoRedefine/>
    <w:qFormat/>
    <w:uiPriority w:val="0"/>
    <w:pPr>
      <w:adjustRightInd w:val="0"/>
      <w:snapToGrid w:val="0"/>
      <w:spacing w:line="240" w:lineRule="auto"/>
      <w:jc w:val="center"/>
    </w:pPr>
    <w:rPr>
      <w:rFonts w:eastAsia="宋体"/>
      <w:sz w:val="21"/>
    </w:rPr>
  </w:style>
  <w:style w:type="character" w:customStyle="1" w:styleId="264">
    <w:name w:val="0正文 Char"/>
    <w:link w:val="265"/>
    <w:locked/>
    <w:uiPriority w:val="0"/>
    <w:rPr>
      <w:rFonts w:ascii="Times New Roman" w:hAnsi="Times New Roman" w:eastAsia="仿宋"/>
      <w:sz w:val="22"/>
    </w:rPr>
  </w:style>
  <w:style w:type="paragraph" w:customStyle="1" w:styleId="265">
    <w:name w:val="0正文"/>
    <w:basedOn w:val="1"/>
    <w:link w:val="264"/>
    <w:qFormat/>
    <w:uiPriority w:val="0"/>
    <w:pPr>
      <w:spacing w:line="460" w:lineRule="exact"/>
    </w:pPr>
    <w:rPr>
      <w:rFonts w:eastAsia="仿宋"/>
      <w:kern w:val="0"/>
      <w:sz w:val="22"/>
      <w:szCs w:val="20"/>
    </w:rPr>
  </w:style>
  <w:style w:type="character" w:customStyle="1" w:styleId="266">
    <w:name w:val="fontstyle01"/>
    <w:basedOn w:val="134"/>
    <w:autoRedefine/>
    <w:qFormat/>
    <w:uiPriority w:val="0"/>
    <w:rPr>
      <w:rFonts w:ascii="宋体" w:hAnsi="宋体" w:eastAsia="宋体" w:cs="Times New Roman"/>
      <w:color w:val="000000"/>
      <w:sz w:val="24"/>
      <w:szCs w:val="24"/>
    </w:rPr>
  </w:style>
  <w:style w:type="character" w:customStyle="1" w:styleId="267">
    <w:name w:val="fontstyle11"/>
    <w:basedOn w:val="134"/>
    <w:autoRedefine/>
    <w:uiPriority w:val="0"/>
    <w:rPr>
      <w:rFonts w:ascii="TimesNewRomanPSMT" w:hAnsi="TimesNewRomanPSMT" w:cs="Times New Roman"/>
      <w:color w:val="000000"/>
      <w:sz w:val="24"/>
      <w:szCs w:val="24"/>
    </w:rPr>
  </w:style>
  <w:style w:type="character" w:customStyle="1" w:styleId="268">
    <w:name w:val="fontstyle21"/>
    <w:basedOn w:val="134"/>
    <w:qFormat/>
    <w:uiPriority w:val="0"/>
    <w:rPr>
      <w:rFonts w:ascii="TimesNewRomanPSMT" w:hAnsi="TimesNewRomanPSMT" w:cs="Times New Roman"/>
      <w:color w:val="000000"/>
      <w:sz w:val="26"/>
      <w:szCs w:val="26"/>
    </w:rPr>
  </w:style>
  <w:style w:type="paragraph" w:customStyle="1" w:styleId="269">
    <w:name w:val="WPSOffice手动目录 1"/>
    <w:autoRedefine/>
    <w:qFormat/>
    <w:uiPriority w:val="99"/>
    <w:pPr>
      <w:spacing w:line="360" w:lineRule="auto"/>
      <w:jc w:val="both"/>
    </w:pPr>
    <w:rPr>
      <w:rFonts w:ascii="Times New Roman" w:hAnsi="Times New Roman" w:eastAsia="宋体" w:cs="Times New Roman"/>
      <w:lang w:val="en-US" w:eastAsia="zh-CN" w:bidi="ar-SA"/>
    </w:rPr>
  </w:style>
  <w:style w:type="paragraph" w:customStyle="1" w:styleId="270">
    <w:name w:val="表（CCTEG）"/>
    <w:basedOn w:val="1"/>
    <w:autoRedefine/>
    <w:uiPriority w:val="99"/>
    <w:pPr>
      <w:spacing w:line="240" w:lineRule="auto"/>
      <w:jc w:val="center"/>
    </w:pPr>
    <w:rPr>
      <w:rFonts w:eastAsia="宋体"/>
      <w:kern w:val="0"/>
      <w:sz w:val="22"/>
      <w:szCs w:val="20"/>
    </w:rPr>
  </w:style>
  <w:style w:type="character" w:customStyle="1" w:styleId="271">
    <w:name w:val="环评正文 Char"/>
    <w:link w:val="272"/>
    <w:autoRedefine/>
    <w:qFormat/>
    <w:locked/>
    <w:uiPriority w:val="0"/>
    <w:rPr>
      <w:sz w:val="24"/>
    </w:rPr>
  </w:style>
  <w:style w:type="paragraph" w:customStyle="1" w:styleId="272">
    <w:name w:val="环评正文"/>
    <w:basedOn w:val="1"/>
    <w:link w:val="271"/>
    <w:qFormat/>
    <w:uiPriority w:val="0"/>
    <w:pPr>
      <w:ind w:firstLine="562"/>
    </w:pPr>
    <w:rPr>
      <w:rFonts w:ascii="等线" w:hAnsi="等线"/>
      <w:kern w:val="0"/>
      <w:szCs w:val="20"/>
    </w:rPr>
  </w:style>
  <w:style w:type="paragraph" w:customStyle="1" w:styleId="273">
    <w:name w:val="引言"/>
    <w:basedOn w:val="1"/>
    <w:next w:val="1"/>
    <w:qFormat/>
    <w:uiPriority w:val="99"/>
    <w:pPr>
      <w:adjustRightInd w:val="0"/>
      <w:snapToGrid w:val="0"/>
      <w:spacing w:line="240" w:lineRule="auto"/>
      <w:jc w:val="center"/>
    </w:pPr>
    <w:rPr>
      <w:rFonts w:eastAsia="宋体"/>
      <w:bCs/>
      <w:color w:val="000000" w:themeColor="text1"/>
      <w:sz w:val="21"/>
      <w:szCs w:val="21"/>
      <w14:textFill>
        <w14:solidFill>
          <w14:schemeClr w14:val="tx1"/>
        </w14:solidFill>
      </w14:textFill>
    </w:rPr>
  </w:style>
  <w:style w:type="paragraph" w:customStyle="1" w:styleId="274">
    <w:name w:val="图标"/>
    <w:basedOn w:val="1"/>
    <w:next w:val="1"/>
    <w:autoRedefine/>
    <w:qFormat/>
    <w:uiPriority w:val="99"/>
    <w:pPr>
      <w:spacing w:line="240" w:lineRule="auto"/>
      <w:jc w:val="center"/>
    </w:pPr>
    <w:rPr>
      <w:rFonts w:eastAsia="宋体"/>
      <w:b/>
      <w:szCs w:val="20"/>
    </w:rPr>
  </w:style>
  <w:style w:type="paragraph" w:customStyle="1" w:styleId="275">
    <w:name w:val="正文 首行缩进:  2 字符"/>
    <w:basedOn w:val="1"/>
    <w:autoRedefine/>
    <w:qFormat/>
    <w:uiPriority w:val="0"/>
    <w:rPr>
      <w:rFonts w:ascii="宋体" w:hAnsi="宋体" w:eastAsia="宋体" w:cs="宋体"/>
      <w:color w:val="000000"/>
      <w:kern w:val="0"/>
      <w:szCs w:val="24"/>
    </w:rPr>
  </w:style>
  <w:style w:type="paragraph" w:customStyle="1" w:styleId="276">
    <w:name w:val="小四  缩进2 行距24"/>
    <w:basedOn w:val="1"/>
    <w:autoRedefine/>
    <w:qFormat/>
    <w:uiPriority w:val="99"/>
    <w:pPr>
      <w:spacing w:line="480" w:lineRule="exact"/>
      <w:ind w:firstLine="480"/>
    </w:pPr>
    <w:rPr>
      <w:rFonts w:ascii="宋体" w:hAnsi="宋体" w:eastAsia="宋体" w:cs="宋体"/>
      <w:szCs w:val="24"/>
    </w:rPr>
  </w:style>
  <w:style w:type="character" w:customStyle="1" w:styleId="277">
    <w:name w:val="新格式表 Char Char"/>
    <w:link w:val="278"/>
    <w:autoRedefine/>
    <w:locked/>
    <w:uiPriority w:val="99"/>
    <w:rPr>
      <w:b/>
      <w:snapToGrid w:val="0"/>
      <w:color w:val="FF0000"/>
      <w:sz w:val="21"/>
    </w:rPr>
  </w:style>
  <w:style w:type="paragraph" w:customStyle="1" w:styleId="278">
    <w:name w:val="新格式表"/>
    <w:basedOn w:val="1"/>
    <w:link w:val="277"/>
    <w:uiPriority w:val="99"/>
    <w:pPr>
      <w:spacing w:line="240" w:lineRule="auto"/>
      <w:jc w:val="center"/>
    </w:pPr>
    <w:rPr>
      <w:rFonts w:ascii="等线" w:hAnsi="等线"/>
      <w:b/>
      <w:color w:val="FF0000"/>
      <w:kern w:val="0"/>
      <w:sz w:val="21"/>
      <w:szCs w:val="20"/>
    </w:rPr>
  </w:style>
  <w:style w:type="paragraph" w:customStyle="1" w:styleId="279">
    <w:name w:val="ReMinD正文"/>
    <w:qFormat/>
    <w:uiPriority w:val="99"/>
    <w:pPr>
      <w:spacing w:line="50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280">
    <w:name w:val="环评表格文字 Char"/>
    <w:link w:val="281"/>
    <w:autoRedefine/>
    <w:qFormat/>
    <w:locked/>
    <w:uiPriority w:val="99"/>
    <w:rPr>
      <w:sz w:val="24"/>
    </w:rPr>
  </w:style>
  <w:style w:type="paragraph" w:customStyle="1" w:styleId="281">
    <w:name w:val="环评表格文字"/>
    <w:basedOn w:val="1"/>
    <w:next w:val="1"/>
    <w:link w:val="280"/>
    <w:autoRedefine/>
    <w:uiPriority w:val="99"/>
    <w:pPr>
      <w:spacing w:line="240" w:lineRule="auto"/>
    </w:pPr>
    <w:rPr>
      <w:rFonts w:ascii="等线" w:hAnsi="等线"/>
      <w:kern w:val="0"/>
      <w:szCs w:val="20"/>
    </w:rPr>
  </w:style>
  <w:style w:type="paragraph" w:customStyle="1" w:styleId="282">
    <w:name w:val="君邦正文"/>
    <w:basedOn w:val="1"/>
    <w:qFormat/>
    <w:uiPriority w:val="99"/>
    <w:pPr>
      <w:spacing w:after="60"/>
    </w:pPr>
    <w:rPr>
      <w:rFonts w:eastAsia="宋体"/>
      <w:kern w:val="0"/>
      <w:szCs w:val="24"/>
    </w:rPr>
  </w:style>
  <w:style w:type="paragraph" w:customStyle="1" w:styleId="283">
    <w:name w:val="纯文本1"/>
    <w:basedOn w:val="1"/>
    <w:autoRedefine/>
    <w:qFormat/>
    <w:uiPriority w:val="0"/>
    <w:pPr>
      <w:spacing w:line="240" w:lineRule="auto"/>
    </w:pPr>
    <w:rPr>
      <w:rFonts w:ascii="宋体" w:hAnsi="Courier New" w:eastAsia="宋体" w:cs="Dutch801 Rm BT"/>
      <w:sz w:val="21"/>
      <w:szCs w:val="24"/>
    </w:rPr>
  </w:style>
  <w:style w:type="character" w:customStyle="1" w:styleId="284">
    <w:name w:val="CCGL正文 Char"/>
    <w:link w:val="285"/>
    <w:autoRedefine/>
    <w:locked/>
    <w:uiPriority w:val="0"/>
    <w:rPr>
      <w:sz w:val="26"/>
    </w:rPr>
  </w:style>
  <w:style w:type="paragraph" w:customStyle="1" w:styleId="285">
    <w:name w:val="CCGL正文"/>
    <w:basedOn w:val="1"/>
    <w:link w:val="284"/>
    <w:autoRedefine/>
    <w:qFormat/>
    <w:uiPriority w:val="0"/>
    <w:pPr>
      <w:spacing w:line="460" w:lineRule="exact"/>
      <w:ind w:firstLine="420"/>
    </w:pPr>
    <w:rPr>
      <w:rFonts w:ascii="等线" w:hAnsi="等线"/>
      <w:kern w:val="0"/>
      <w:sz w:val="26"/>
      <w:szCs w:val="20"/>
    </w:rPr>
  </w:style>
  <w:style w:type="paragraph" w:customStyle="1" w:styleId="286">
    <w:name w:val="报告书正文"/>
    <w:basedOn w:val="52"/>
    <w:link w:val="1357"/>
    <w:qFormat/>
    <w:uiPriority w:val="0"/>
    <w:pPr>
      <w:tabs>
        <w:tab w:val="left" w:pos="6300"/>
      </w:tabs>
      <w:adjustRightInd w:val="0"/>
      <w:snapToGrid w:val="0"/>
      <w:spacing w:line="440" w:lineRule="exact"/>
    </w:pPr>
    <w:rPr>
      <w:rFonts w:ascii="Arial" w:hAnsi="Arial" w:eastAsia="宋体" w:cs="Arial"/>
      <w:bCs/>
      <w:color w:val="000000"/>
      <w:kern w:val="0"/>
      <w:sz w:val="21"/>
      <w:szCs w:val="24"/>
      <w:u w:color="000000"/>
    </w:rPr>
  </w:style>
  <w:style w:type="character" w:customStyle="1" w:styleId="287">
    <w:name w:val="1正文 Char"/>
    <w:link w:val="7"/>
    <w:autoRedefine/>
    <w:qFormat/>
    <w:locked/>
    <w:uiPriority w:val="0"/>
    <w:rPr>
      <w:rFonts w:hAnsi="宋体"/>
      <w:sz w:val="26"/>
    </w:rPr>
  </w:style>
  <w:style w:type="paragraph" w:customStyle="1" w:styleId="288">
    <w:name w:val="CCTEG 文本"/>
    <w:basedOn w:val="1"/>
    <w:qFormat/>
    <w:uiPriority w:val="99"/>
    <w:pPr>
      <w:spacing w:line="460" w:lineRule="exact"/>
      <w:ind w:firstLine="880"/>
    </w:pPr>
    <w:rPr>
      <w:rFonts w:eastAsia="宋体"/>
      <w:kern w:val="0"/>
      <w:sz w:val="26"/>
      <w:szCs w:val="26"/>
    </w:rPr>
  </w:style>
  <w:style w:type="paragraph" w:customStyle="1" w:styleId="289">
    <w:name w:val="正文（首行缩进2字）"/>
    <w:basedOn w:val="1"/>
    <w:autoRedefine/>
    <w:qFormat/>
    <w:uiPriority w:val="99"/>
    <w:pPr>
      <w:snapToGrid w:val="0"/>
      <w:spacing w:line="240" w:lineRule="auto"/>
      <w:ind w:firstLine="480"/>
      <w:jc w:val="left"/>
    </w:pPr>
    <w:rPr>
      <w:rFonts w:hAnsi="Calibri" w:eastAsia="宋体"/>
      <w:bCs/>
      <w:color w:val="000000"/>
      <w:kern w:val="0"/>
      <w:sz w:val="21"/>
      <w:szCs w:val="24"/>
    </w:rPr>
  </w:style>
  <w:style w:type="paragraph" w:customStyle="1" w:styleId="290">
    <w:name w:val="样式 正文缩进正文缩进2正文缩进 Char Char正文缩进 Char Char Char Char正文缩进 Char ..."/>
    <w:basedOn w:val="22"/>
    <w:autoRedefine/>
    <w:uiPriority w:val="99"/>
    <w:pPr>
      <w:tabs>
        <w:tab w:val="left" w:pos="105"/>
      </w:tabs>
      <w:spacing w:line="360" w:lineRule="auto"/>
      <w:ind w:firstLine="200"/>
    </w:pPr>
    <w:rPr>
      <w:rFonts w:ascii="Times New Roman" w:hAnsi="Times New Roman" w:eastAsia="宋体" w:cs="宋体"/>
    </w:rPr>
  </w:style>
  <w:style w:type="character" w:customStyle="1" w:styleId="291">
    <w:name w:val="表中文字 Char1"/>
    <w:link w:val="292"/>
    <w:locked/>
    <w:uiPriority w:val="99"/>
    <w:rPr>
      <w:rFonts w:ascii="宋体" w:eastAsia="宋体"/>
      <w:b/>
      <w:sz w:val="21"/>
    </w:rPr>
  </w:style>
  <w:style w:type="paragraph" w:customStyle="1" w:styleId="292">
    <w:name w:val="表中文字"/>
    <w:basedOn w:val="1"/>
    <w:link w:val="291"/>
    <w:qFormat/>
    <w:uiPriority w:val="0"/>
    <w:pPr>
      <w:adjustRightInd w:val="0"/>
      <w:snapToGrid w:val="0"/>
      <w:spacing w:line="240" w:lineRule="exact"/>
      <w:jc w:val="left"/>
    </w:pPr>
    <w:rPr>
      <w:rFonts w:ascii="宋体" w:hAnsi="等线" w:eastAsia="宋体"/>
      <w:b/>
      <w:kern w:val="0"/>
      <w:sz w:val="21"/>
      <w:szCs w:val="20"/>
    </w:rPr>
  </w:style>
  <w:style w:type="paragraph" w:customStyle="1" w:styleId="293">
    <w:name w:val="h正文表格文字"/>
    <w:basedOn w:val="1"/>
    <w:autoRedefine/>
    <w:qFormat/>
    <w:uiPriority w:val="0"/>
    <w:pPr>
      <w:spacing w:line="240" w:lineRule="auto"/>
      <w:jc w:val="center"/>
    </w:pPr>
    <w:rPr>
      <w:rFonts w:eastAsia="仿宋_GB2312"/>
      <w:sz w:val="21"/>
      <w:szCs w:val="24"/>
    </w:rPr>
  </w:style>
  <w:style w:type="paragraph" w:customStyle="1" w:styleId="294">
    <w:name w:val="表格"/>
    <w:basedOn w:val="22"/>
    <w:next w:val="1"/>
    <w:link w:val="295"/>
    <w:autoRedefine/>
    <w:qFormat/>
    <w:uiPriority w:val="0"/>
    <w:pPr>
      <w:jc w:val="center"/>
      <w:outlineLvl w:val="5"/>
    </w:pPr>
    <w:rPr>
      <w:rFonts w:ascii="Times New Roman" w:hAnsi="Times New Roman" w:eastAsia="宋体"/>
      <w:bCs/>
    </w:rPr>
  </w:style>
  <w:style w:type="character" w:customStyle="1" w:styleId="295">
    <w:name w:val="表格 Char"/>
    <w:link w:val="294"/>
    <w:qFormat/>
    <w:locked/>
    <w:uiPriority w:val="0"/>
    <w:rPr>
      <w:rFonts w:ascii="Times New Roman" w:hAnsi="Times New Roman" w:eastAsia="宋体"/>
      <w:bCs/>
      <w:sz w:val="24"/>
    </w:rPr>
  </w:style>
  <w:style w:type="paragraph" w:customStyle="1" w:styleId="296">
    <w:name w:val="表格文字"/>
    <w:basedOn w:val="22"/>
    <w:next w:val="1"/>
    <w:link w:val="297"/>
    <w:autoRedefine/>
    <w:qFormat/>
    <w:uiPriority w:val="0"/>
    <w:pPr>
      <w:adjustRightInd w:val="0"/>
      <w:spacing w:line="360" w:lineRule="auto"/>
      <w:jc w:val="center"/>
      <w:textAlignment w:val="baseline"/>
    </w:pPr>
    <w:rPr>
      <w:rFonts w:ascii="Times New Roman" w:hAnsi="Times New Roman" w:eastAsia="宋体"/>
      <w:szCs w:val="21"/>
    </w:rPr>
  </w:style>
  <w:style w:type="character" w:customStyle="1" w:styleId="297">
    <w:name w:val="表格文字 Char"/>
    <w:link w:val="296"/>
    <w:autoRedefine/>
    <w:qFormat/>
    <w:uiPriority w:val="0"/>
    <w:rPr>
      <w:rFonts w:ascii="Times New Roman" w:hAnsi="Times New Roman" w:eastAsia="宋体"/>
      <w:sz w:val="24"/>
      <w:szCs w:val="21"/>
    </w:rPr>
  </w:style>
  <w:style w:type="paragraph" w:customStyle="1" w:styleId="298">
    <w:name w:val="表格内居中文字"/>
    <w:basedOn w:val="1"/>
    <w:autoRedefine/>
    <w:qFormat/>
    <w:uiPriority w:val="0"/>
    <w:pPr>
      <w:spacing w:line="320" w:lineRule="exact"/>
      <w:jc w:val="center"/>
    </w:pPr>
    <w:rPr>
      <w:rFonts w:eastAsia="宋体"/>
      <w:sz w:val="22"/>
      <w:szCs w:val="24"/>
    </w:rPr>
  </w:style>
  <w:style w:type="paragraph" w:customStyle="1" w:styleId="299">
    <w:name w:val="Body Text 22"/>
    <w:basedOn w:val="1"/>
    <w:autoRedefine/>
    <w:qFormat/>
    <w:uiPriority w:val="99"/>
    <w:pPr>
      <w:spacing w:line="440" w:lineRule="atLeast"/>
      <w:ind w:firstLine="480"/>
      <w:textAlignment w:val="baseline"/>
    </w:pPr>
    <w:rPr>
      <w:rFonts w:eastAsia="仿宋_GB2312"/>
      <w:sz w:val="21"/>
      <w:szCs w:val="24"/>
    </w:rPr>
  </w:style>
  <w:style w:type="paragraph" w:customStyle="1" w:styleId="300">
    <w:name w:val="正文(首行缩进)"/>
    <w:basedOn w:val="1"/>
    <w:link w:val="1349"/>
    <w:autoRedefine/>
    <w:qFormat/>
    <w:uiPriority w:val="0"/>
    <w:pPr>
      <w:snapToGrid w:val="0"/>
      <w:ind w:firstLine="510"/>
    </w:pPr>
    <w:rPr>
      <w:rFonts w:ascii="宋体" w:hAnsi="宋体" w:eastAsia="宋体"/>
      <w:kern w:val="0"/>
      <w:sz w:val="21"/>
      <w:szCs w:val="20"/>
    </w:rPr>
  </w:style>
  <w:style w:type="paragraph" w:customStyle="1" w:styleId="301">
    <w:name w:val="1"/>
    <w:basedOn w:val="35"/>
    <w:next w:val="87"/>
    <w:autoRedefine/>
    <w:qFormat/>
    <w:uiPriority w:val="99"/>
    <w:pPr>
      <w:ind w:firstLine="420" w:firstLineChars="100"/>
    </w:pPr>
    <w:rPr>
      <w:rFonts w:ascii="宋体" w:cs="宋体"/>
    </w:rPr>
  </w:style>
  <w:style w:type="character" w:customStyle="1" w:styleId="302">
    <w:name w:val="text1"/>
    <w:autoRedefine/>
    <w:qFormat/>
    <w:uiPriority w:val="0"/>
    <w:rPr>
      <w:rFonts w:ascii="微软雅黑" w:hAnsi="微软雅黑" w:eastAsia="微软雅黑"/>
      <w:color w:val="804000"/>
      <w:sz w:val="24"/>
    </w:rPr>
  </w:style>
  <w:style w:type="character" w:customStyle="1" w:styleId="303">
    <w:name w:val="环评表头文字 Char"/>
    <w:link w:val="304"/>
    <w:autoRedefine/>
    <w:qFormat/>
    <w:locked/>
    <w:uiPriority w:val="99"/>
    <w:rPr>
      <w:b/>
      <w:sz w:val="24"/>
    </w:rPr>
  </w:style>
  <w:style w:type="paragraph" w:customStyle="1" w:styleId="304">
    <w:name w:val="环评表头文字"/>
    <w:basedOn w:val="1"/>
    <w:next w:val="1"/>
    <w:link w:val="303"/>
    <w:autoRedefine/>
    <w:qFormat/>
    <w:uiPriority w:val="99"/>
    <w:pPr>
      <w:spacing w:beforeLines="150" w:line="240" w:lineRule="auto"/>
      <w:jc w:val="center"/>
    </w:pPr>
    <w:rPr>
      <w:rFonts w:ascii="等线" w:hAnsi="等线"/>
      <w:b/>
      <w:kern w:val="0"/>
      <w:szCs w:val="20"/>
    </w:rPr>
  </w:style>
  <w:style w:type="character" w:customStyle="1" w:styleId="305">
    <w:name w:val="bg3"/>
    <w:autoRedefine/>
    <w:qFormat/>
    <w:uiPriority w:val="99"/>
    <w:rPr>
      <w:bdr w:val="single" w:color="C59433" w:sz="6" w:space="0"/>
      <w:shd w:val="clear" w:color="auto" w:fill="804000"/>
    </w:rPr>
  </w:style>
  <w:style w:type="character" w:customStyle="1" w:styleId="306">
    <w:name w:val="apple-converted-space"/>
    <w:basedOn w:val="134"/>
    <w:autoRedefine/>
    <w:qFormat/>
    <w:uiPriority w:val="0"/>
    <w:rPr>
      <w:rFonts w:cs="Times New Roman"/>
    </w:rPr>
  </w:style>
  <w:style w:type="character" w:customStyle="1" w:styleId="307">
    <w:name w:val="样式 样式 样式 报告书正文 + 首行缩进:  2 字符 + 首行缩进:  2 字符 + 自动设置 Char"/>
    <w:autoRedefine/>
    <w:qFormat/>
    <w:uiPriority w:val="99"/>
    <w:rPr>
      <w:rFonts w:ascii="Times New Roman" w:hAnsi="Times New Roman" w:eastAsia="宋体"/>
      <w:b/>
      <w:color w:val="000000"/>
      <w:kern w:val="2"/>
      <w:sz w:val="24"/>
      <w:lang w:val="en-US" w:eastAsia="zh-CN"/>
    </w:rPr>
  </w:style>
  <w:style w:type="character" w:customStyle="1" w:styleId="308">
    <w:name w:val="box-bg"/>
    <w:autoRedefine/>
    <w:qFormat/>
    <w:uiPriority w:val="99"/>
    <w:rPr>
      <w:shd w:val="clear" w:color="auto" w:fill="2C2C2C"/>
    </w:rPr>
  </w:style>
  <w:style w:type="character" w:customStyle="1" w:styleId="309">
    <w:name w:val="font01"/>
    <w:basedOn w:val="134"/>
    <w:autoRedefine/>
    <w:qFormat/>
    <w:uiPriority w:val="0"/>
    <w:rPr>
      <w:rFonts w:ascii="Times New Roman" w:hAnsi="Times New Roman" w:cs="Times New Roman"/>
      <w:color w:val="000000"/>
      <w:sz w:val="20"/>
      <w:szCs w:val="20"/>
      <w:u w:val="none"/>
      <w:vertAlign w:val="subscript"/>
    </w:rPr>
  </w:style>
  <w:style w:type="character" w:customStyle="1" w:styleId="310">
    <w:name w:val="text7"/>
    <w:autoRedefine/>
    <w:qFormat/>
    <w:uiPriority w:val="99"/>
    <w:rPr>
      <w:rFonts w:ascii="微软雅黑" w:hAnsi="微软雅黑" w:eastAsia="微软雅黑"/>
      <w:color w:val="804000"/>
      <w:sz w:val="24"/>
    </w:rPr>
  </w:style>
  <w:style w:type="character" w:customStyle="1" w:styleId="311">
    <w:name w:val="registration-number"/>
    <w:autoRedefine/>
    <w:qFormat/>
    <w:uiPriority w:val="99"/>
    <w:rPr>
      <w:rFonts w:ascii="???? Bold" w:hAnsi="???? Bold"/>
      <w:b/>
      <w:color w:val="4E4E4E"/>
      <w:sz w:val="36"/>
    </w:rPr>
  </w:style>
  <w:style w:type="character" w:customStyle="1" w:styleId="312">
    <w:name w:val="bg2"/>
    <w:autoRedefine/>
    <w:qFormat/>
    <w:uiPriority w:val="99"/>
    <w:rPr>
      <w:bdr w:val="single" w:color="C59433" w:sz="6" w:space="0"/>
      <w:shd w:val="clear" w:color="auto" w:fill="804000"/>
    </w:rPr>
  </w:style>
  <w:style w:type="character" w:customStyle="1" w:styleId="313">
    <w:name w:val="text2"/>
    <w:autoRedefine/>
    <w:qFormat/>
    <w:uiPriority w:val="0"/>
    <w:rPr>
      <w:rFonts w:ascii="微软雅黑" w:hAnsi="微软雅黑" w:eastAsia="微软雅黑"/>
      <w:color w:val="804000"/>
      <w:sz w:val="24"/>
    </w:rPr>
  </w:style>
  <w:style w:type="character" w:customStyle="1" w:styleId="314">
    <w:name w:val="bg"/>
    <w:autoRedefine/>
    <w:qFormat/>
    <w:uiPriority w:val="99"/>
    <w:rPr>
      <w:bdr w:val="single" w:color="C59433" w:sz="6" w:space="0"/>
      <w:shd w:val="clear" w:color="auto" w:fill="804000"/>
    </w:rPr>
  </w:style>
  <w:style w:type="character" w:customStyle="1" w:styleId="315">
    <w:name w:val="layui-layer-tabnow"/>
    <w:autoRedefine/>
    <w:qFormat/>
    <w:uiPriority w:val="99"/>
    <w:rPr>
      <w:bdr w:val="single" w:color="CCCCCC" w:sz="6" w:space="0"/>
      <w:shd w:val="clear" w:color="auto" w:fill="FFFFFF"/>
    </w:rPr>
  </w:style>
  <w:style w:type="character" w:customStyle="1" w:styleId="316">
    <w:name w:val="表文字 Char1"/>
    <w:link w:val="317"/>
    <w:autoRedefine/>
    <w:qFormat/>
    <w:locked/>
    <w:uiPriority w:val="99"/>
    <w:rPr>
      <w:kern w:val="2"/>
      <w:sz w:val="21"/>
      <w:lang w:val="en-US" w:eastAsia="zh-CN"/>
    </w:rPr>
  </w:style>
  <w:style w:type="paragraph" w:customStyle="1" w:styleId="317">
    <w:name w:val="表文字"/>
    <w:link w:val="316"/>
    <w:autoRedefine/>
    <w:qFormat/>
    <w:uiPriority w:val="99"/>
    <w:pPr>
      <w:widowControl w:val="0"/>
      <w:adjustRightInd w:val="0"/>
      <w:spacing w:line="240" w:lineRule="exact"/>
      <w:jc w:val="center"/>
      <w:textAlignment w:val="baseline"/>
    </w:pPr>
    <w:rPr>
      <w:rFonts w:ascii="等线" w:hAnsi="等线" w:eastAsia="等线" w:cs="Times New Roman"/>
      <w:kern w:val="2"/>
      <w:sz w:val="21"/>
      <w:szCs w:val="21"/>
      <w:lang w:val="en-US" w:eastAsia="zh-CN" w:bidi="ar-SA"/>
    </w:rPr>
  </w:style>
  <w:style w:type="character" w:customStyle="1" w:styleId="318">
    <w:name w:val="xinyong2"/>
    <w:autoRedefine/>
    <w:qFormat/>
    <w:uiPriority w:val="99"/>
    <w:rPr>
      <w:rFonts w:ascii="微软雅黑" w:hAnsi="微软雅黑" w:eastAsia="微软雅黑"/>
      <w:b/>
      <w:color w:val="545454"/>
      <w:sz w:val="21"/>
    </w:rPr>
  </w:style>
  <w:style w:type="character" w:customStyle="1" w:styleId="319">
    <w:name w:val="text4"/>
    <w:autoRedefine/>
    <w:qFormat/>
    <w:uiPriority w:val="99"/>
    <w:rPr>
      <w:rFonts w:ascii="微软雅黑" w:hAnsi="微软雅黑" w:eastAsia="微软雅黑"/>
      <w:color w:val="804000"/>
      <w:sz w:val="24"/>
    </w:rPr>
  </w:style>
  <w:style w:type="character" w:customStyle="1" w:styleId="320">
    <w:name w:val="正文样式 Char Char Char"/>
    <w:autoRedefine/>
    <w:qFormat/>
    <w:uiPriority w:val="99"/>
    <w:rPr>
      <w:rFonts w:eastAsia="宋体"/>
      <w:kern w:val="2"/>
      <w:sz w:val="26"/>
      <w:lang w:val="en-US" w:eastAsia="zh-CN"/>
    </w:rPr>
  </w:style>
  <w:style w:type="character" w:customStyle="1" w:styleId="321">
    <w:name w:val="zhu-number"/>
    <w:autoRedefine/>
    <w:qFormat/>
    <w:uiPriority w:val="99"/>
    <w:rPr>
      <w:color w:val="333333"/>
    </w:rPr>
  </w:style>
  <w:style w:type="character" w:customStyle="1" w:styleId="322">
    <w:name w:val="xinyong"/>
    <w:autoRedefine/>
    <w:qFormat/>
    <w:uiPriority w:val="99"/>
    <w:rPr>
      <w:rFonts w:ascii="微软雅黑" w:hAnsi="微软雅黑" w:eastAsia="微软雅黑"/>
      <w:b/>
      <w:color w:val="545454"/>
      <w:sz w:val="21"/>
    </w:rPr>
  </w:style>
  <w:style w:type="character" w:customStyle="1" w:styleId="323">
    <w:name w:val="use-help"/>
    <w:basedOn w:val="134"/>
    <w:autoRedefine/>
    <w:qFormat/>
    <w:uiPriority w:val="99"/>
    <w:rPr>
      <w:rFonts w:cs="Times New Roman"/>
    </w:rPr>
  </w:style>
  <w:style w:type="character" w:customStyle="1" w:styleId="324">
    <w:name w:val="bg8"/>
    <w:autoRedefine/>
    <w:qFormat/>
    <w:uiPriority w:val="99"/>
    <w:rPr>
      <w:bdr w:val="single" w:color="C59433" w:sz="6" w:space="0"/>
      <w:shd w:val="clear" w:color="auto" w:fill="804000"/>
    </w:rPr>
  </w:style>
  <w:style w:type="character" w:customStyle="1" w:styleId="325">
    <w:name w:val="样式2 Char"/>
    <w:link w:val="326"/>
    <w:autoRedefine/>
    <w:qFormat/>
    <w:locked/>
    <w:uiPriority w:val="99"/>
    <w:rPr>
      <w:sz w:val="26"/>
    </w:rPr>
  </w:style>
  <w:style w:type="paragraph" w:customStyle="1" w:styleId="326">
    <w:name w:val="样式2"/>
    <w:basedOn w:val="327"/>
    <w:link w:val="325"/>
    <w:autoRedefine/>
    <w:qFormat/>
    <w:uiPriority w:val="99"/>
    <w:pPr>
      <w:adjustRightInd w:val="0"/>
      <w:snapToGrid w:val="0"/>
      <w:spacing w:beforeLines="50"/>
      <w:jc w:val="center"/>
      <w:outlineLvl w:val="4"/>
    </w:pPr>
    <w:rPr>
      <w:rFonts w:ascii="等线" w:hAnsi="等线" w:eastAsia="等线"/>
      <w:kern w:val="0"/>
      <w:szCs w:val="20"/>
    </w:rPr>
  </w:style>
  <w:style w:type="paragraph" w:customStyle="1" w:styleId="327">
    <w:name w:val="样式1"/>
    <w:basedOn w:val="1"/>
    <w:link w:val="1340"/>
    <w:autoRedefine/>
    <w:qFormat/>
    <w:uiPriority w:val="99"/>
    <w:pPr>
      <w:spacing w:line="480" w:lineRule="exact"/>
      <w:ind w:firstLine="520"/>
    </w:pPr>
    <w:rPr>
      <w:rFonts w:eastAsia="宋体"/>
      <w:sz w:val="26"/>
      <w:szCs w:val="26"/>
    </w:rPr>
  </w:style>
  <w:style w:type="character" w:customStyle="1" w:styleId="328">
    <w:name w:val="xinyong1"/>
    <w:uiPriority w:val="99"/>
    <w:rPr>
      <w:rFonts w:ascii="???? Bold" w:hAnsi="???? Bold"/>
      <w:b/>
      <w:color w:val="545454"/>
    </w:rPr>
  </w:style>
  <w:style w:type="character" w:customStyle="1" w:styleId="329">
    <w:name w:val="box-bg1"/>
    <w:autoRedefine/>
    <w:qFormat/>
    <w:uiPriority w:val="99"/>
    <w:rPr>
      <w:shd w:val="clear" w:color="auto" w:fill="2C2C2C"/>
    </w:rPr>
  </w:style>
  <w:style w:type="character" w:customStyle="1" w:styleId="330">
    <w:name w:val="正文（首行缩进2字） Char"/>
    <w:basedOn w:val="134"/>
    <w:qFormat/>
    <w:uiPriority w:val="99"/>
    <w:rPr>
      <w:rFonts w:eastAsia="宋体" w:cs="Times New Roman"/>
      <w:kern w:val="2"/>
      <w:sz w:val="30"/>
      <w:szCs w:val="30"/>
      <w:lang w:val="en-US" w:eastAsia="zh-CN" w:bidi="ar-SA"/>
    </w:rPr>
  </w:style>
  <w:style w:type="character" w:customStyle="1" w:styleId="331">
    <w:name w:val="number2"/>
    <w:autoRedefine/>
    <w:qFormat/>
    <w:uiPriority w:val="99"/>
    <w:rPr>
      <w:rFonts w:ascii="???? Regular" w:hAnsi="???? Regular"/>
      <w:sz w:val="21"/>
    </w:rPr>
  </w:style>
  <w:style w:type="character" w:customStyle="1" w:styleId="332">
    <w:name w:val="use-help1"/>
    <w:basedOn w:val="134"/>
    <w:autoRedefine/>
    <w:qFormat/>
    <w:uiPriority w:val="99"/>
    <w:rPr>
      <w:rFonts w:cs="Times New Roman"/>
    </w:rPr>
  </w:style>
  <w:style w:type="character" w:customStyle="1" w:styleId="333">
    <w:name w:val="font41"/>
    <w:basedOn w:val="134"/>
    <w:autoRedefine/>
    <w:qFormat/>
    <w:uiPriority w:val="0"/>
    <w:rPr>
      <w:rFonts w:ascii="Times New Roman" w:hAnsi="Times New Roman" w:cs="Times New Roman"/>
      <w:color w:val="000000"/>
      <w:sz w:val="21"/>
      <w:szCs w:val="21"/>
      <w:u w:val="none"/>
      <w:vertAlign w:val="superscript"/>
    </w:rPr>
  </w:style>
  <w:style w:type="character" w:customStyle="1" w:styleId="334">
    <w:name w:val="box-bg11"/>
    <w:autoRedefine/>
    <w:qFormat/>
    <w:uiPriority w:val="99"/>
    <w:rPr>
      <w:shd w:val="clear" w:color="auto" w:fill="2C2C2C"/>
    </w:rPr>
  </w:style>
  <w:style w:type="character" w:customStyle="1" w:styleId="335">
    <w:name w:val="bg5"/>
    <w:qFormat/>
    <w:uiPriority w:val="99"/>
    <w:rPr>
      <w:bdr w:val="single" w:color="C59433" w:sz="6" w:space="0"/>
      <w:shd w:val="clear" w:color="auto" w:fill="804000"/>
    </w:rPr>
  </w:style>
  <w:style w:type="character" w:customStyle="1" w:styleId="336">
    <w:name w:val="font51"/>
    <w:autoRedefine/>
    <w:qFormat/>
    <w:uiPriority w:val="0"/>
    <w:rPr>
      <w:rFonts w:ascii="宋体" w:hAnsi="宋体" w:eastAsia="宋体"/>
      <w:color w:val="000000"/>
      <w:sz w:val="20"/>
      <w:u w:val="none"/>
      <w:vertAlign w:val="superscript"/>
    </w:rPr>
  </w:style>
  <w:style w:type="character" w:customStyle="1" w:styleId="337">
    <w:name w:val="number"/>
    <w:autoRedefine/>
    <w:qFormat/>
    <w:uiPriority w:val="99"/>
    <w:rPr>
      <w:rFonts w:ascii="???? Regular" w:hAnsi="???? Regular"/>
      <w:sz w:val="21"/>
    </w:rPr>
  </w:style>
  <w:style w:type="character" w:customStyle="1" w:styleId="338">
    <w:name w:val="first-child"/>
    <w:basedOn w:val="134"/>
    <w:autoRedefine/>
    <w:uiPriority w:val="99"/>
    <w:rPr>
      <w:rFonts w:cs="Times New Roman"/>
    </w:rPr>
  </w:style>
  <w:style w:type="character" w:customStyle="1" w:styleId="339">
    <w:name w:val="box-bg2"/>
    <w:autoRedefine/>
    <w:qFormat/>
    <w:uiPriority w:val="99"/>
    <w:rPr>
      <w:shd w:val="clear" w:color="auto" w:fill="2C2C2C"/>
    </w:rPr>
  </w:style>
  <w:style w:type="character" w:customStyle="1" w:styleId="340">
    <w:name w:val="text6"/>
    <w:qFormat/>
    <w:uiPriority w:val="99"/>
    <w:rPr>
      <w:rFonts w:ascii="微软雅黑" w:hAnsi="微软雅黑" w:eastAsia="微软雅黑"/>
      <w:color w:val="804000"/>
      <w:sz w:val="24"/>
    </w:rPr>
  </w:style>
  <w:style w:type="character" w:customStyle="1" w:styleId="341">
    <w:name w:val="text8"/>
    <w:autoRedefine/>
    <w:uiPriority w:val="99"/>
    <w:rPr>
      <w:rFonts w:ascii="微软雅黑" w:hAnsi="微软雅黑" w:eastAsia="微软雅黑"/>
      <w:color w:val="804000"/>
      <w:sz w:val="27"/>
      <w:u w:val="single"/>
    </w:rPr>
  </w:style>
  <w:style w:type="character" w:customStyle="1" w:styleId="342">
    <w:name w:val="环评图片标题 Char"/>
    <w:link w:val="343"/>
    <w:autoRedefine/>
    <w:qFormat/>
    <w:locked/>
    <w:uiPriority w:val="99"/>
    <w:rPr>
      <w:b/>
      <w:sz w:val="24"/>
      <w:u w:val="single"/>
    </w:rPr>
  </w:style>
  <w:style w:type="paragraph" w:customStyle="1" w:styleId="343">
    <w:name w:val="环评图片标题"/>
    <w:basedOn w:val="1"/>
    <w:next w:val="1"/>
    <w:link w:val="342"/>
    <w:uiPriority w:val="99"/>
    <w:pPr>
      <w:spacing w:line="240" w:lineRule="auto"/>
      <w:jc w:val="center"/>
    </w:pPr>
    <w:rPr>
      <w:rFonts w:ascii="等线" w:hAnsi="等线"/>
      <w:b/>
      <w:kern w:val="0"/>
      <w:szCs w:val="20"/>
      <w:u w:val="single"/>
    </w:rPr>
  </w:style>
  <w:style w:type="character" w:customStyle="1" w:styleId="344">
    <w:name w:val="number1"/>
    <w:autoRedefine/>
    <w:qFormat/>
    <w:uiPriority w:val="99"/>
    <w:rPr>
      <w:rFonts w:ascii="???? Regular" w:hAnsi="???? Regular"/>
      <w:color w:val="FFFFFF"/>
      <w:sz w:val="19"/>
      <w:shd w:val="clear" w:color="auto" w:fill="4695E2"/>
    </w:rPr>
  </w:style>
  <w:style w:type="character" w:customStyle="1" w:styleId="345">
    <w:name w:val="bg1"/>
    <w:qFormat/>
    <w:uiPriority w:val="0"/>
    <w:rPr>
      <w:bdr w:val="single" w:color="C59433" w:sz="6" w:space="0"/>
      <w:shd w:val="clear" w:color="auto" w:fill="804000"/>
    </w:rPr>
  </w:style>
  <w:style w:type="character" w:customStyle="1" w:styleId="346">
    <w:name w:val="bg4"/>
    <w:autoRedefine/>
    <w:qFormat/>
    <w:uiPriority w:val="99"/>
    <w:rPr>
      <w:bdr w:val="single" w:color="C59433" w:sz="6" w:space="0"/>
      <w:shd w:val="clear" w:color="auto" w:fill="804000"/>
    </w:rPr>
  </w:style>
  <w:style w:type="character" w:customStyle="1" w:styleId="347">
    <w:name w:val="text3"/>
    <w:autoRedefine/>
    <w:qFormat/>
    <w:uiPriority w:val="99"/>
    <w:rPr>
      <w:rFonts w:ascii="微软雅黑" w:hAnsi="微软雅黑" w:eastAsia="微软雅黑"/>
      <w:color w:val="804000"/>
      <w:sz w:val="24"/>
    </w:rPr>
  </w:style>
  <w:style w:type="character" w:customStyle="1" w:styleId="348">
    <w:name w:val="text"/>
    <w:autoRedefine/>
    <w:uiPriority w:val="99"/>
    <w:rPr>
      <w:rFonts w:ascii="微软雅黑" w:hAnsi="微软雅黑" w:eastAsia="微软雅黑"/>
      <w:color w:val="804000"/>
      <w:sz w:val="24"/>
    </w:rPr>
  </w:style>
  <w:style w:type="character" w:customStyle="1" w:styleId="349">
    <w:name w:val="bg7"/>
    <w:autoRedefine/>
    <w:qFormat/>
    <w:uiPriority w:val="99"/>
    <w:rPr>
      <w:bdr w:val="single" w:color="C59433" w:sz="6" w:space="0"/>
      <w:shd w:val="clear" w:color="auto" w:fill="804000"/>
    </w:rPr>
  </w:style>
  <w:style w:type="character" w:customStyle="1" w:styleId="350">
    <w:name w:val="xiangq"/>
    <w:qFormat/>
    <w:uiPriority w:val="99"/>
    <w:rPr>
      <w:rFonts w:ascii="???? Regular" w:hAnsi="???? Regular"/>
      <w:color w:val="FFFFFF"/>
      <w:sz w:val="19"/>
      <w:shd w:val="clear" w:color="auto" w:fill="EB5857"/>
    </w:rPr>
  </w:style>
  <w:style w:type="character" w:customStyle="1" w:styleId="351">
    <w:name w:val="text5"/>
    <w:autoRedefine/>
    <w:qFormat/>
    <w:uiPriority w:val="99"/>
    <w:rPr>
      <w:rFonts w:ascii="微软雅黑" w:hAnsi="微软雅黑" w:eastAsia="微软雅黑"/>
      <w:color w:val="804000"/>
      <w:sz w:val="24"/>
    </w:rPr>
  </w:style>
  <w:style w:type="character" w:customStyle="1" w:styleId="352">
    <w:name w:val="已访问的超链接1"/>
    <w:autoRedefine/>
    <w:qFormat/>
    <w:uiPriority w:val="0"/>
    <w:rPr>
      <w:color w:val="FFFFFF"/>
      <w:u w:val="none"/>
    </w:rPr>
  </w:style>
  <w:style w:type="character" w:customStyle="1" w:styleId="353">
    <w:name w:val="bg6"/>
    <w:autoRedefine/>
    <w:uiPriority w:val="99"/>
    <w:rPr>
      <w:bdr w:val="single" w:color="C59433" w:sz="6" w:space="0"/>
      <w:shd w:val="clear" w:color="auto" w:fill="804000"/>
    </w:rPr>
  </w:style>
  <w:style w:type="paragraph" w:customStyle="1" w:styleId="354">
    <w:name w:val="正文3"/>
    <w:autoRedefine/>
    <w:qFormat/>
    <w:uiPriority w:val="0"/>
    <w:pPr>
      <w:spacing w:line="360" w:lineRule="auto"/>
      <w:jc w:val="both"/>
    </w:pPr>
    <w:rPr>
      <w:rFonts w:ascii="Times New Roman" w:hAnsi="Times New Roman" w:eastAsia="宋体" w:cs="Times New Roman"/>
      <w:kern w:val="2"/>
      <w:sz w:val="21"/>
      <w:szCs w:val="21"/>
      <w:lang w:val="en-US" w:eastAsia="zh-CN" w:bidi="ar-SA"/>
    </w:rPr>
  </w:style>
  <w:style w:type="character" w:customStyle="1" w:styleId="355">
    <w:name w:val="批注文字 字符1"/>
    <w:basedOn w:val="134"/>
    <w:qFormat/>
    <w:uiPriority w:val="0"/>
    <w:rPr>
      <w:rFonts w:cs="Times New Roman"/>
      <w:kern w:val="2"/>
      <w:sz w:val="24"/>
      <w:szCs w:val="24"/>
    </w:rPr>
  </w:style>
  <w:style w:type="paragraph" w:customStyle="1" w:styleId="356">
    <w:name w:val="正文4"/>
    <w:autoRedefine/>
    <w:qFormat/>
    <w:uiPriority w:val="0"/>
    <w:pPr>
      <w:spacing w:line="360" w:lineRule="auto"/>
      <w:jc w:val="both"/>
    </w:pPr>
    <w:rPr>
      <w:rFonts w:ascii="Times New Roman" w:hAnsi="Times New Roman" w:eastAsia="宋体" w:cs="Times New Roman"/>
      <w:kern w:val="2"/>
      <w:sz w:val="21"/>
      <w:szCs w:val="21"/>
      <w:lang w:val="en-US" w:eastAsia="zh-CN" w:bidi="ar-SA"/>
    </w:rPr>
  </w:style>
  <w:style w:type="character" w:customStyle="1" w:styleId="357">
    <w:name w:val="正文文本缩进 2 字符1"/>
    <w:basedOn w:val="134"/>
    <w:autoRedefine/>
    <w:qFormat/>
    <w:uiPriority w:val="99"/>
    <w:rPr>
      <w:rFonts w:cs="Times New Roman"/>
      <w:kern w:val="2"/>
      <w:sz w:val="24"/>
      <w:szCs w:val="24"/>
    </w:rPr>
  </w:style>
  <w:style w:type="paragraph" w:customStyle="1" w:styleId="358">
    <w:name w:val="正文5"/>
    <w:autoRedefine/>
    <w:qFormat/>
    <w:uiPriority w:val="0"/>
    <w:pPr>
      <w:spacing w:line="360" w:lineRule="auto"/>
      <w:jc w:val="both"/>
    </w:pPr>
    <w:rPr>
      <w:rFonts w:ascii="宋体" w:hAnsi="宋体" w:eastAsia="宋体" w:cs="宋体"/>
      <w:kern w:val="2"/>
      <w:sz w:val="21"/>
      <w:szCs w:val="21"/>
      <w:lang w:val="en-US" w:eastAsia="zh-CN" w:bidi="ar-SA"/>
    </w:rPr>
  </w:style>
  <w:style w:type="character" w:customStyle="1" w:styleId="359">
    <w:name w:val="正文文本 字符1"/>
    <w:basedOn w:val="134"/>
    <w:autoRedefine/>
    <w:qFormat/>
    <w:uiPriority w:val="0"/>
    <w:rPr>
      <w:rFonts w:cs="Times New Roman"/>
      <w:kern w:val="2"/>
      <w:sz w:val="24"/>
      <w:szCs w:val="24"/>
    </w:rPr>
  </w:style>
  <w:style w:type="paragraph" w:customStyle="1" w:styleId="360">
    <w:name w:val="A 湖北慧智---正文"/>
    <w:basedOn w:val="87"/>
    <w:autoRedefine/>
    <w:qFormat/>
    <w:uiPriority w:val="99"/>
    <w:pPr>
      <w:spacing w:before="0" w:beforeAutospacing="0"/>
      <w:ind w:firstLine="752"/>
    </w:pPr>
    <w:rPr>
      <w:rFonts w:ascii="Calibri" w:hAnsi="Calibri" w:cs="Times New Roman"/>
      <w:kern w:val="0"/>
      <w:sz w:val="21"/>
      <w:szCs w:val="22"/>
    </w:rPr>
  </w:style>
  <w:style w:type="paragraph" w:customStyle="1" w:styleId="361">
    <w:name w:val="忠庆正文"/>
    <w:basedOn w:val="362"/>
    <w:qFormat/>
    <w:uiPriority w:val="99"/>
    <w:pPr>
      <w:spacing w:line="460" w:lineRule="exact"/>
      <w:ind w:firstLine="200" w:firstLineChars="200"/>
    </w:pPr>
    <w:rPr>
      <w:sz w:val="26"/>
    </w:rPr>
  </w:style>
  <w:style w:type="paragraph" w:customStyle="1" w:styleId="362">
    <w:name w:val="忠庆表格"/>
    <w:basedOn w:val="363"/>
    <w:autoRedefine/>
    <w:qFormat/>
    <w:uiPriority w:val="99"/>
    <w:rPr>
      <w:sz w:val="22"/>
    </w:rPr>
  </w:style>
  <w:style w:type="paragraph" w:styleId="363">
    <w:name w:val="No Spacing"/>
    <w:link w:val="728"/>
    <w:autoRedefine/>
    <w:qFormat/>
    <w:uiPriority w:val="1"/>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364">
    <w:name w:val="表格内容格式"/>
    <w:basedOn w:val="1"/>
    <w:next w:val="35"/>
    <w:autoRedefine/>
    <w:uiPriority w:val="99"/>
    <w:pPr>
      <w:spacing w:line="240" w:lineRule="auto"/>
      <w:jc w:val="center"/>
    </w:pPr>
    <w:rPr>
      <w:rFonts w:eastAsia="宋体"/>
      <w:kern w:val="0"/>
      <w:sz w:val="22"/>
      <w:lang w:eastAsia="en-US"/>
    </w:rPr>
  </w:style>
  <w:style w:type="paragraph" w:customStyle="1" w:styleId="365">
    <w:name w:val="_Style 11"/>
    <w:basedOn w:val="1"/>
    <w:autoRedefine/>
    <w:qFormat/>
    <w:uiPriority w:val="99"/>
    <w:pPr>
      <w:spacing w:after="160" w:line="240" w:lineRule="exact"/>
      <w:jc w:val="left"/>
    </w:pPr>
    <w:rPr>
      <w:rFonts w:eastAsia="宋体"/>
      <w:sz w:val="21"/>
      <w:szCs w:val="20"/>
    </w:rPr>
  </w:style>
  <w:style w:type="character" w:customStyle="1" w:styleId="366">
    <w:name w:val="纯文本 字符1"/>
    <w:basedOn w:val="134"/>
    <w:qFormat/>
    <w:uiPriority w:val="0"/>
    <w:rPr>
      <w:rFonts w:ascii="等线" w:hAnsi="Courier New" w:eastAsia="等线" w:cs="Courier New"/>
      <w:kern w:val="2"/>
      <w:sz w:val="24"/>
      <w:szCs w:val="24"/>
    </w:rPr>
  </w:style>
  <w:style w:type="paragraph" w:customStyle="1" w:styleId="367">
    <w:name w:val="1文章"/>
    <w:basedOn w:val="1"/>
    <w:link w:val="1251"/>
    <w:autoRedefine/>
    <w:qFormat/>
    <w:uiPriority w:val="0"/>
    <w:pPr>
      <w:snapToGrid w:val="0"/>
      <w:spacing w:line="420" w:lineRule="auto"/>
      <w:ind w:firstLine="454"/>
      <w:outlineLvl w:val="4"/>
    </w:pPr>
    <w:rPr>
      <w:rFonts w:eastAsia="宋体"/>
      <w:spacing w:val="4"/>
      <w:sz w:val="21"/>
      <w:szCs w:val="24"/>
    </w:rPr>
  </w:style>
  <w:style w:type="paragraph" w:customStyle="1" w:styleId="368">
    <w:name w:val="p16"/>
    <w:basedOn w:val="1"/>
    <w:autoRedefine/>
    <w:qFormat/>
    <w:uiPriority w:val="99"/>
    <w:rPr>
      <w:rFonts w:eastAsia="宋体"/>
      <w:kern w:val="0"/>
      <w:sz w:val="21"/>
      <w:szCs w:val="24"/>
    </w:rPr>
  </w:style>
  <w:style w:type="paragraph" w:customStyle="1" w:styleId="369">
    <w:name w:val="Char Char Char1 Char Char Char Char"/>
    <w:basedOn w:val="1"/>
    <w:autoRedefine/>
    <w:semiHidden/>
    <w:uiPriority w:val="99"/>
    <w:pPr>
      <w:adjustRightInd w:val="0"/>
      <w:snapToGrid w:val="0"/>
      <w:spacing w:line="240" w:lineRule="auto"/>
    </w:pPr>
    <w:rPr>
      <w:rFonts w:ascii="宋体" w:hAnsi="宋体" w:eastAsia="宋体" w:cs="宋体"/>
      <w:sz w:val="21"/>
      <w:szCs w:val="26"/>
    </w:rPr>
  </w:style>
  <w:style w:type="paragraph" w:customStyle="1" w:styleId="370">
    <w:name w:val="CCGL-11-表"/>
    <w:basedOn w:val="1"/>
    <w:autoRedefine/>
    <w:qFormat/>
    <w:uiPriority w:val="99"/>
    <w:pPr>
      <w:spacing w:line="240" w:lineRule="auto"/>
      <w:jc w:val="center"/>
    </w:pPr>
    <w:rPr>
      <w:rFonts w:eastAsia="宋体"/>
      <w:kern w:val="0"/>
      <w:sz w:val="22"/>
      <w:lang w:val="fr-FR"/>
    </w:rPr>
  </w:style>
  <w:style w:type="paragraph" w:customStyle="1" w:styleId="371">
    <w:name w:val="Char Char1"/>
    <w:basedOn w:val="1"/>
    <w:semiHidden/>
    <w:qFormat/>
    <w:uiPriority w:val="99"/>
    <w:pPr>
      <w:adjustRightInd w:val="0"/>
      <w:snapToGrid w:val="0"/>
      <w:spacing w:line="240" w:lineRule="auto"/>
    </w:pPr>
    <w:rPr>
      <w:rFonts w:ascii="宋体" w:hAnsi="宋体" w:eastAsia="宋体" w:cs="宋体"/>
      <w:sz w:val="21"/>
      <w:szCs w:val="26"/>
    </w:rPr>
  </w:style>
  <w:style w:type="paragraph" w:customStyle="1" w:styleId="372">
    <w:name w:val="样式4"/>
    <w:basedOn w:val="1"/>
    <w:autoRedefine/>
    <w:qFormat/>
    <w:uiPriority w:val="0"/>
    <w:pPr>
      <w:ind w:firstLine="480"/>
    </w:pPr>
    <w:rPr>
      <w:rFonts w:eastAsia="宋体"/>
      <w:szCs w:val="24"/>
    </w:rPr>
  </w:style>
  <w:style w:type="paragraph" w:customStyle="1" w:styleId="373">
    <w:name w:val="CCGL-13-正文"/>
    <w:basedOn w:val="1"/>
    <w:next w:val="1"/>
    <w:autoRedefine/>
    <w:qFormat/>
    <w:uiPriority w:val="99"/>
    <w:pPr>
      <w:spacing w:line="480" w:lineRule="exact"/>
      <w:ind w:firstLine="960"/>
    </w:pPr>
    <w:rPr>
      <w:rFonts w:eastAsia="宋体"/>
      <w:kern w:val="0"/>
      <w:sz w:val="26"/>
      <w:szCs w:val="24"/>
    </w:rPr>
  </w:style>
  <w:style w:type="paragraph" w:customStyle="1" w:styleId="374">
    <w:name w:val="0正文缩"/>
    <w:basedOn w:val="1"/>
    <w:uiPriority w:val="99"/>
    <w:pPr>
      <w:adjustRightInd w:val="0"/>
      <w:snapToGrid w:val="0"/>
      <w:spacing w:line="460" w:lineRule="exact"/>
    </w:pPr>
    <w:rPr>
      <w:rFonts w:eastAsia="宋体"/>
      <w:kern w:val="0"/>
      <w:szCs w:val="21"/>
    </w:rPr>
  </w:style>
  <w:style w:type="character" w:customStyle="1" w:styleId="375">
    <w:name w:val="正文首行缩进 字符1"/>
    <w:basedOn w:val="359"/>
    <w:autoRedefine/>
    <w:qFormat/>
    <w:uiPriority w:val="99"/>
    <w:rPr>
      <w:rFonts w:cs="Times New Roman"/>
      <w:kern w:val="2"/>
      <w:sz w:val="24"/>
      <w:szCs w:val="24"/>
    </w:rPr>
  </w:style>
  <w:style w:type="paragraph" w:customStyle="1" w:styleId="376">
    <w:name w:val="我的"/>
    <w:basedOn w:val="1"/>
    <w:qFormat/>
    <w:uiPriority w:val="99"/>
    <w:pPr>
      <w:spacing w:line="240" w:lineRule="auto"/>
    </w:pPr>
    <w:rPr>
      <w:rFonts w:eastAsia="宋体"/>
      <w:sz w:val="21"/>
      <w:szCs w:val="24"/>
    </w:rPr>
  </w:style>
  <w:style w:type="paragraph" w:customStyle="1" w:styleId="377">
    <w:name w:val="CCGL表"/>
    <w:basedOn w:val="1"/>
    <w:autoRedefine/>
    <w:qFormat/>
    <w:uiPriority w:val="99"/>
    <w:pPr>
      <w:spacing w:line="240" w:lineRule="auto"/>
      <w:jc w:val="center"/>
    </w:pPr>
    <w:rPr>
      <w:rFonts w:eastAsia="宋体"/>
      <w:sz w:val="22"/>
      <w:szCs w:val="24"/>
    </w:rPr>
  </w:style>
  <w:style w:type="paragraph" w:customStyle="1" w:styleId="378">
    <w:name w:val="IDC A-Head (2nd Line)"/>
    <w:basedOn w:val="1"/>
    <w:next w:val="1"/>
    <w:autoRedefine/>
    <w:qFormat/>
    <w:uiPriority w:val="99"/>
    <w:pPr>
      <w:spacing w:line="240" w:lineRule="auto"/>
      <w:jc w:val="center"/>
    </w:pPr>
    <w:rPr>
      <w:rFonts w:eastAsia="宋体"/>
      <w:caps/>
      <w:kern w:val="0"/>
      <w:szCs w:val="20"/>
    </w:rPr>
  </w:style>
  <w:style w:type="paragraph" w:customStyle="1" w:styleId="379">
    <w:name w:val="城口文本"/>
    <w:basedOn w:val="1"/>
    <w:autoRedefine/>
    <w:uiPriority w:val="99"/>
    <w:pPr>
      <w:autoSpaceDE w:val="0"/>
      <w:autoSpaceDN w:val="0"/>
      <w:adjustRightInd w:val="0"/>
      <w:spacing w:line="460" w:lineRule="exact"/>
      <w:textAlignment w:val="baseline"/>
    </w:pPr>
    <w:rPr>
      <w:rFonts w:eastAsia="宋体"/>
      <w:color w:val="000000"/>
      <w:sz w:val="26"/>
      <w:szCs w:val="26"/>
    </w:rPr>
  </w:style>
  <w:style w:type="paragraph" w:customStyle="1" w:styleId="380">
    <w:name w:val="_Style 5"/>
    <w:basedOn w:val="1"/>
    <w:autoRedefine/>
    <w:qFormat/>
    <w:uiPriority w:val="99"/>
    <w:pPr>
      <w:spacing w:line="240" w:lineRule="auto"/>
      <w:ind w:firstLine="420"/>
    </w:pPr>
    <w:rPr>
      <w:rFonts w:ascii="Calibri" w:hAnsi="Calibri" w:eastAsia="宋体"/>
      <w:sz w:val="21"/>
      <w:szCs w:val="24"/>
    </w:rPr>
  </w:style>
  <w:style w:type="paragraph" w:customStyle="1" w:styleId="381">
    <w:name w:val="样式18"/>
    <w:basedOn w:val="1"/>
    <w:qFormat/>
    <w:uiPriority w:val="99"/>
    <w:pPr>
      <w:adjustRightInd w:val="0"/>
      <w:snapToGrid w:val="0"/>
      <w:spacing w:line="460" w:lineRule="exact"/>
      <w:ind w:firstLine="567" w:firstLineChars="218"/>
    </w:pPr>
    <w:rPr>
      <w:rFonts w:eastAsia="宋体"/>
      <w:sz w:val="21"/>
      <w:szCs w:val="26"/>
    </w:rPr>
  </w:style>
  <w:style w:type="paragraph" w:customStyle="1" w:styleId="382">
    <w:name w:val="ACCGL正文"/>
    <w:basedOn w:val="1"/>
    <w:autoRedefine/>
    <w:qFormat/>
    <w:uiPriority w:val="99"/>
    <w:pPr>
      <w:spacing w:line="460" w:lineRule="exact"/>
      <w:ind w:firstLine="420"/>
    </w:pPr>
    <w:rPr>
      <w:rFonts w:eastAsia="宋体"/>
      <w:kern w:val="0"/>
      <w:sz w:val="26"/>
    </w:rPr>
  </w:style>
  <w:style w:type="paragraph" w:customStyle="1" w:styleId="383">
    <w:name w:val="修订1"/>
    <w:autoRedefine/>
    <w:qFormat/>
    <w:uiPriority w:val="99"/>
    <w:pPr>
      <w:spacing w:line="360" w:lineRule="auto"/>
      <w:jc w:val="both"/>
    </w:pPr>
    <w:rPr>
      <w:rFonts w:ascii="Times New Roman" w:hAnsi="Times New Roman" w:eastAsia="宋体" w:cs="Times New Roman"/>
      <w:kern w:val="2"/>
      <w:sz w:val="21"/>
      <w:szCs w:val="24"/>
      <w:lang w:val="en-US" w:eastAsia="zh-CN" w:bidi="ar-SA"/>
    </w:rPr>
  </w:style>
  <w:style w:type="paragraph" w:customStyle="1" w:styleId="384">
    <w:name w:val="表头1"/>
    <w:basedOn w:val="1"/>
    <w:next w:val="1"/>
    <w:link w:val="1351"/>
    <w:autoRedefine/>
    <w:qFormat/>
    <w:uiPriority w:val="0"/>
    <w:pPr>
      <w:adjustRightInd w:val="0"/>
      <w:snapToGrid w:val="0"/>
      <w:spacing w:line="400" w:lineRule="exact"/>
      <w:jc w:val="center"/>
    </w:pPr>
    <w:rPr>
      <w:rFonts w:eastAsia="黑体"/>
      <w:kern w:val="0"/>
      <w:sz w:val="21"/>
      <w:szCs w:val="28"/>
    </w:rPr>
  </w:style>
  <w:style w:type="paragraph" w:customStyle="1" w:styleId="385">
    <w:name w:val="xl24"/>
    <w:basedOn w:val="1"/>
    <w:link w:val="993"/>
    <w:autoRedefine/>
    <w:qFormat/>
    <w:uiPriority w:val="0"/>
    <w:pPr>
      <w:spacing w:before="100" w:beforeAutospacing="1" w:after="100" w:afterAutospacing="1" w:line="240" w:lineRule="auto"/>
      <w:jc w:val="center"/>
      <w:textAlignment w:val="center"/>
    </w:pPr>
    <w:rPr>
      <w:rFonts w:ascii="Arial Unicode MS" w:hAnsi="Arial Unicode MS"/>
      <w:kern w:val="0"/>
      <w:sz w:val="22"/>
    </w:rPr>
  </w:style>
  <w:style w:type="paragraph" w:customStyle="1" w:styleId="386">
    <w:name w:val="排版正文"/>
    <w:basedOn w:val="1"/>
    <w:qFormat/>
    <w:uiPriority w:val="0"/>
    <w:pPr>
      <w:snapToGrid w:val="0"/>
      <w:spacing w:line="460" w:lineRule="exact"/>
      <w:ind w:firstLine="520"/>
    </w:pPr>
    <w:rPr>
      <w:rFonts w:eastAsia="宋体"/>
      <w:kern w:val="0"/>
      <w:sz w:val="20"/>
      <w:szCs w:val="24"/>
    </w:rPr>
  </w:style>
  <w:style w:type="paragraph" w:customStyle="1" w:styleId="387">
    <w:name w:val="Char Char Char Char"/>
    <w:basedOn w:val="1"/>
    <w:autoRedefine/>
    <w:semiHidden/>
    <w:qFormat/>
    <w:uiPriority w:val="99"/>
    <w:pPr>
      <w:adjustRightInd w:val="0"/>
      <w:snapToGrid w:val="0"/>
      <w:spacing w:line="240" w:lineRule="auto"/>
    </w:pPr>
    <w:rPr>
      <w:rFonts w:ascii="宋体" w:hAnsi="宋体" w:eastAsia="宋体" w:cs="宋体"/>
      <w:sz w:val="21"/>
      <w:szCs w:val="26"/>
    </w:rPr>
  </w:style>
  <w:style w:type="paragraph" w:customStyle="1" w:styleId="388">
    <w:name w:val="德胜表格内容"/>
    <w:basedOn w:val="1"/>
    <w:autoRedefine/>
    <w:qFormat/>
    <w:uiPriority w:val="99"/>
    <w:pPr>
      <w:adjustRightInd w:val="0"/>
      <w:snapToGrid w:val="0"/>
      <w:spacing w:line="240" w:lineRule="auto"/>
      <w:jc w:val="center"/>
    </w:pPr>
    <w:rPr>
      <w:rFonts w:eastAsia="宋体" w:cs="宋体"/>
      <w:color w:val="0000FF"/>
      <w:sz w:val="21"/>
      <w:szCs w:val="21"/>
    </w:rPr>
  </w:style>
  <w:style w:type="paragraph" w:customStyle="1" w:styleId="389">
    <w:name w:val="样式20"/>
    <w:basedOn w:val="1"/>
    <w:autoRedefine/>
    <w:qFormat/>
    <w:uiPriority w:val="99"/>
    <w:pPr>
      <w:adjustRightInd w:val="0"/>
      <w:snapToGrid w:val="0"/>
      <w:spacing w:line="320" w:lineRule="exact"/>
      <w:jc w:val="center"/>
    </w:pPr>
    <w:rPr>
      <w:rFonts w:ascii="宋体" w:hAnsi="宋体" w:eastAsia="宋体"/>
      <w:sz w:val="22"/>
    </w:rPr>
  </w:style>
  <w:style w:type="paragraph" w:customStyle="1" w:styleId="390">
    <w:name w:val="A表中文字"/>
    <w:basedOn w:val="1"/>
    <w:autoRedefine/>
    <w:uiPriority w:val="99"/>
    <w:pPr>
      <w:spacing w:line="240" w:lineRule="auto"/>
      <w:jc w:val="center"/>
    </w:pPr>
    <w:rPr>
      <w:rFonts w:eastAsia="宋体"/>
      <w:sz w:val="21"/>
      <w:szCs w:val="21"/>
    </w:rPr>
  </w:style>
  <w:style w:type="paragraph" w:customStyle="1" w:styleId="391">
    <w:name w:val="样式 表中文字 +"/>
    <w:basedOn w:val="292"/>
    <w:autoRedefine/>
    <w:qFormat/>
    <w:uiPriority w:val="99"/>
  </w:style>
  <w:style w:type="paragraph" w:customStyle="1" w:styleId="392">
    <w:name w:val="正文 A"/>
    <w:basedOn w:val="1"/>
    <w:qFormat/>
    <w:uiPriority w:val="99"/>
    <w:pPr>
      <w:spacing w:line="240" w:lineRule="auto"/>
    </w:pPr>
    <w:rPr>
      <w:rFonts w:cs="Arial Unicode MS"/>
      <w:color w:val="000000"/>
      <w:sz w:val="21"/>
      <w:szCs w:val="21"/>
    </w:rPr>
  </w:style>
  <w:style w:type="paragraph" w:customStyle="1" w:styleId="393">
    <w:name w:val="样式19"/>
    <w:basedOn w:val="1"/>
    <w:autoRedefine/>
    <w:qFormat/>
    <w:uiPriority w:val="99"/>
    <w:pPr>
      <w:spacing w:line="480" w:lineRule="exact"/>
      <w:ind w:firstLine="522"/>
      <w:jc w:val="center"/>
    </w:pPr>
    <w:rPr>
      <w:rFonts w:eastAsia="宋体"/>
      <w:sz w:val="26"/>
      <w:szCs w:val="26"/>
    </w:rPr>
  </w:style>
  <w:style w:type="paragraph" w:customStyle="1" w:styleId="394">
    <w:name w:val="样式 Times New Roman 小四 加粗 居中 行距: 固定值 18 磅"/>
    <w:basedOn w:val="1"/>
    <w:autoRedefine/>
    <w:qFormat/>
    <w:uiPriority w:val="99"/>
    <w:pPr>
      <w:spacing w:line="500" w:lineRule="exact"/>
      <w:jc w:val="center"/>
    </w:pPr>
    <w:rPr>
      <w:rFonts w:eastAsia="宋体" w:cs="宋体"/>
      <w:b/>
      <w:bCs/>
      <w:szCs w:val="24"/>
    </w:rPr>
  </w:style>
  <w:style w:type="paragraph" w:customStyle="1" w:styleId="395">
    <w:name w:val="纯文本2"/>
    <w:basedOn w:val="1"/>
    <w:autoRedefine/>
    <w:qFormat/>
    <w:uiPriority w:val="0"/>
    <w:pPr>
      <w:spacing w:line="240" w:lineRule="auto"/>
    </w:pPr>
    <w:rPr>
      <w:rFonts w:ascii="宋体" w:hAnsi="Courier New" w:eastAsia="宋体" w:cs="Dutch801 Rm BT"/>
      <w:sz w:val="21"/>
      <w:szCs w:val="24"/>
    </w:rPr>
  </w:style>
  <w:style w:type="paragraph" w:customStyle="1" w:styleId="396">
    <w:name w:val="xl25"/>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eastAsia="宋体"/>
      <w:kern w:val="0"/>
      <w:szCs w:val="24"/>
    </w:rPr>
  </w:style>
  <w:style w:type="paragraph" w:customStyle="1" w:styleId="397">
    <w:name w:val="文档二级标题"/>
    <w:basedOn w:val="1"/>
    <w:qFormat/>
    <w:uiPriority w:val="99"/>
    <w:pPr>
      <w:spacing w:line="240" w:lineRule="auto"/>
    </w:pPr>
    <w:rPr>
      <w:rFonts w:ascii="楷体_GB2312" w:hAnsi="华文仿宋" w:eastAsia="楷体_GB2312"/>
      <w:sz w:val="28"/>
      <w:szCs w:val="24"/>
    </w:rPr>
  </w:style>
  <w:style w:type="paragraph" w:customStyle="1" w:styleId="398">
    <w:name w:val="z正文 Char Char Char"/>
    <w:basedOn w:val="1"/>
    <w:autoRedefine/>
    <w:qFormat/>
    <w:uiPriority w:val="99"/>
    <w:pPr>
      <w:spacing w:line="480" w:lineRule="exact"/>
    </w:pPr>
    <w:rPr>
      <w:rFonts w:ascii="宋体" w:hAnsi="宋体" w:eastAsia="宋体" w:cs="宋体"/>
      <w:sz w:val="21"/>
      <w:szCs w:val="28"/>
    </w:rPr>
  </w:style>
  <w:style w:type="paragraph" w:customStyle="1" w:styleId="399">
    <w:name w:val="文本"/>
    <w:basedOn w:val="1"/>
    <w:autoRedefine/>
    <w:qFormat/>
    <w:uiPriority w:val="0"/>
    <w:pPr>
      <w:ind w:firstLine="480"/>
      <w:jc w:val="left"/>
    </w:pPr>
    <w:rPr>
      <w:rFonts w:ascii="宋体" w:hAnsi="宋体" w:eastAsia="宋体"/>
      <w:szCs w:val="24"/>
    </w:rPr>
  </w:style>
  <w:style w:type="paragraph" w:customStyle="1" w:styleId="400">
    <w:name w:val="样式 首行缩进:  2 字符"/>
    <w:basedOn w:val="1"/>
    <w:link w:val="1372"/>
    <w:autoRedefine/>
    <w:qFormat/>
    <w:uiPriority w:val="0"/>
    <w:rPr>
      <w:rFonts w:eastAsia="宋体" w:cs="宋体"/>
      <w:bCs/>
      <w:sz w:val="21"/>
      <w:szCs w:val="20"/>
    </w:rPr>
  </w:style>
  <w:style w:type="paragraph" w:customStyle="1" w:styleId="401">
    <w:name w:val="正文-欣欣"/>
    <w:basedOn w:val="1"/>
    <w:next w:val="1"/>
    <w:autoRedefine/>
    <w:qFormat/>
    <w:uiPriority w:val="99"/>
    <w:pPr>
      <w:ind w:firstLine="480"/>
    </w:pPr>
    <w:rPr>
      <w:rFonts w:eastAsia="宋体"/>
      <w:bCs/>
      <w:szCs w:val="24"/>
    </w:rPr>
  </w:style>
  <w:style w:type="character" w:customStyle="1" w:styleId="402">
    <w:name w:val="15"/>
    <w:qFormat/>
    <w:uiPriority w:val="0"/>
    <w:rPr>
      <w:rFonts w:hint="default" w:ascii="Times New Roman" w:hAnsi="Times New Roman" w:cs="Times New Roman"/>
      <w:sz w:val="20"/>
      <w:szCs w:val="20"/>
    </w:rPr>
  </w:style>
  <w:style w:type="character" w:customStyle="1" w:styleId="403">
    <w:name w:val="表内字 Char Char"/>
    <w:link w:val="404"/>
    <w:autoRedefine/>
    <w:qFormat/>
    <w:locked/>
    <w:uiPriority w:val="0"/>
    <w:rPr>
      <w:rFonts w:ascii="Tahoma" w:hAnsi="Tahoma"/>
      <w:kern w:val="2"/>
      <w:sz w:val="21"/>
      <w:szCs w:val="21"/>
    </w:rPr>
  </w:style>
  <w:style w:type="paragraph" w:customStyle="1" w:styleId="404">
    <w:name w:val="表内字"/>
    <w:link w:val="403"/>
    <w:autoRedefine/>
    <w:qFormat/>
    <w:uiPriority w:val="99"/>
    <w:pPr>
      <w:widowControl w:val="0"/>
      <w:autoSpaceDE w:val="0"/>
      <w:autoSpaceDN w:val="0"/>
      <w:adjustRightInd w:val="0"/>
      <w:snapToGrid w:val="0"/>
      <w:spacing w:line="360" w:lineRule="auto"/>
      <w:jc w:val="center"/>
    </w:pPr>
    <w:rPr>
      <w:rFonts w:ascii="Tahoma" w:hAnsi="Tahoma" w:eastAsia="等线" w:cs="Times New Roman"/>
      <w:kern w:val="2"/>
      <w:sz w:val="21"/>
      <w:szCs w:val="21"/>
      <w:lang w:val="en-US" w:eastAsia="zh-CN" w:bidi="ar-SA"/>
    </w:rPr>
  </w:style>
  <w:style w:type="paragraph" w:customStyle="1" w:styleId="405">
    <w:name w:val="文本11"/>
    <w:basedOn w:val="1"/>
    <w:link w:val="406"/>
    <w:autoRedefine/>
    <w:qFormat/>
    <w:uiPriority w:val="0"/>
    <w:rPr>
      <w:rFonts w:eastAsia="宋体"/>
      <w:color w:val="000000"/>
      <w:szCs w:val="24"/>
    </w:rPr>
  </w:style>
  <w:style w:type="character" w:customStyle="1" w:styleId="406">
    <w:name w:val="文本11 Char"/>
    <w:link w:val="405"/>
    <w:autoRedefine/>
    <w:qFormat/>
    <w:uiPriority w:val="0"/>
    <w:rPr>
      <w:rFonts w:ascii="Times New Roman" w:hAnsi="Times New Roman" w:eastAsia="宋体"/>
      <w:color w:val="000000"/>
      <w:kern w:val="2"/>
      <w:sz w:val="24"/>
      <w:szCs w:val="24"/>
    </w:rPr>
  </w:style>
  <w:style w:type="paragraph" w:customStyle="1" w:styleId="407">
    <w:name w:val="缩进正文"/>
    <w:basedOn w:val="1"/>
    <w:qFormat/>
    <w:uiPriority w:val="0"/>
    <w:pPr>
      <w:ind w:firstLine="720"/>
    </w:pPr>
    <w:rPr>
      <w:rFonts w:eastAsia="宋体"/>
      <w:szCs w:val="24"/>
    </w:rPr>
  </w:style>
  <w:style w:type="character" w:customStyle="1" w:styleId="408">
    <w:name w:val="表头 Char"/>
    <w:autoRedefine/>
    <w:qFormat/>
    <w:uiPriority w:val="0"/>
    <w:rPr>
      <w:rFonts w:ascii="仿宋_GB2312" w:hAnsi="Tahoma"/>
      <w:kern w:val="2"/>
      <w:sz w:val="24"/>
      <w:szCs w:val="24"/>
    </w:rPr>
  </w:style>
  <w:style w:type="paragraph" w:customStyle="1" w:styleId="409">
    <w:name w:val="msonormal"/>
    <w:basedOn w:val="1"/>
    <w:autoRedefine/>
    <w:qFormat/>
    <w:uiPriority w:val="0"/>
    <w:pPr>
      <w:spacing w:before="100" w:beforeAutospacing="1" w:after="100" w:afterAutospacing="1" w:line="240" w:lineRule="auto"/>
      <w:jc w:val="left"/>
    </w:pPr>
    <w:rPr>
      <w:rFonts w:ascii="宋体" w:hAnsi="宋体" w:eastAsia="宋体" w:cs="宋体"/>
      <w:kern w:val="0"/>
      <w:szCs w:val="24"/>
    </w:rPr>
  </w:style>
  <w:style w:type="paragraph" w:customStyle="1" w:styleId="410">
    <w:name w:val="font1"/>
    <w:basedOn w:val="1"/>
    <w:autoRedefine/>
    <w:qFormat/>
    <w:uiPriority w:val="0"/>
    <w:pPr>
      <w:spacing w:before="100" w:beforeAutospacing="1" w:after="100" w:afterAutospacing="1" w:line="240" w:lineRule="auto"/>
      <w:jc w:val="left"/>
    </w:pPr>
    <w:rPr>
      <w:rFonts w:ascii="等线" w:hAnsi="等线" w:cs="宋体"/>
      <w:color w:val="000000"/>
      <w:kern w:val="0"/>
      <w:sz w:val="22"/>
    </w:rPr>
  </w:style>
  <w:style w:type="paragraph" w:customStyle="1" w:styleId="411">
    <w:name w:val="font5"/>
    <w:basedOn w:val="1"/>
    <w:autoRedefine/>
    <w:qFormat/>
    <w:uiPriority w:val="0"/>
    <w:pPr>
      <w:spacing w:before="100" w:beforeAutospacing="1" w:after="100" w:afterAutospacing="1" w:line="240" w:lineRule="auto"/>
      <w:jc w:val="left"/>
    </w:pPr>
    <w:rPr>
      <w:rFonts w:ascii="宋体" w:hAnsi="宋体" w:eastAsia="宋体" w:cs="宋体"/>
      <w:b/>
      <w:bCs/>
      <w:color w:val="000000"/>
      <w:kern w:val="0"/>
      <w:sz w:val="21"/>
      <w:szCs w:val="21"/>
    </w:rPr>
  </w:style>
  <w:style w:type="paragraph" w:customStyle="1" w:styleId="412">
    <w:name w:val="font6"/>
    <w:basedOn w:val="1"/>
    <w:qFormat/>
    <w:uiPriority w:val="0"/>
    <w:pPr>
      <w:spacing w:before="100" w:beforeAutospacing="1" w:after="100" w:afterAutospacing="1" w:line="240" w:lineRule="auto"/>
      <w:jc w:val="left"/>
    </w:pPr>
    <w:rPr>
      <w:rFonts w:eastAsia="宋体"/>
      <w:color w:val="000000"/>
      <w:kern w:val="0"/>
      <w:sz w:val="21"/>
      <w:szCs w:val="21"/>
    </w:rPr>
  </w:style>
  <w:style w:type="paragraph" w:customStyle="1" w:styleId="413">
    <w:name w:val="font7"/>
    <w:basedOn w:val="1"/>
    <w:autoRedefine/>
    <w:qFormat/>
    <w:uiPriority w:val="0"/>
    <w:pPr>
      <w:spacing w:before="100" w:beforeAutospacing="1" w:after="100" w:afterAutospacing="1" w:line="240" w:lineRule="auto"/>
      <w:jc w:val="left"/>
    </w:pPr>
    <w:rPr>
      <w:rFonts w:eastAsia="宋体"/>
      <w:b/>
      <w:bCs/>
      <w:color w:val="000000"/>
      <w:kern w:val="0"/>
      <w:sz w:val="21"/>
      <w:szCs w:val="21"/>
    </w:rPr>
  </w:style>
  <w:style w:type="paragraph" w:customStyle="1" w:styleId="414">
    <w:name w:val="font8"/>
    <w:basedOn w:val="1"/>
    <w:autoRedefine/>
    <w:qFormat/>
    <w:uiPriority w:val="0"/>
    <w:pPr>
      <w:spacing w:before="100" w:beforeAutospacing="1" w:after="100" w:afterAutospacing="1" w:line="240" w:lineRule="auto"/>
      <w:jc w:val="left"/>
    </w:pPr>
    <w:rPr>
      <w:rFonts w:ascii="宋体" w:hAnsi="宋体" w:eastAsia="宋体" w:cs="宋体"/>
      <w:color w:val="000000"/>
      <w:kern w:val="0"/>
      <w:sz w:val="21"/>
      <w:szCs w:val="21"/>
    </w:rPr>
  </w:style>
  <w:style w:type="paragraph" w:customStyle="1" w:styleId="415">
    <w:name w:val="font9"/>
    <w:basedOn w:val="1"/>
    <w:autoRedefine/>
    <w:qFormat/>
    <w:uiPriority w:val="0"/>
    <w:pPr>
      <w:spacing w:before="100" w:beforeAutospacing="1" w:after="100" w:afterAutospacing="1" w:line="240" w:lineRule="auto"/>
      <w:jc w:val="left"/>
    </w:pPr>
    <w:rPr>
      <w:rFonts w:ascii="等线" w:hAnsi="等线" w:cs="宋体"/>
      <w:kern w:val="0"/>
      <w:sz w:val="18"/>
      <w:szCs w:val="18"/>
    </w:rPr>
  </w:style>
  <w:style w:type="paragraph" w:customStyle="1" w:styleId="416">
    <w:name w:val="xl65"/>
    <w:basedOn w:val="1"/>
    <w:autoRedefine/>
    <w:qFormat/>
    <w:uiPriority w:val="0"/>
    <w:pPr>
      <w:pBdr>
        <w:bottom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17">
    <w:name w:val="xl66"/>
    <w:basedOn w:val="1"/>
    <w:qFormat/>
    <w:uiPriority w:val="0"/>
    <w:pPr>
      <w:pBdr>
        <w:bottom w:val="single" w:color="auto" w:sz="8" w:space="0"/>
        <w:right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18">
    <w:name w:val="xl67"/>
    <w:basedOn w:val="1"/>
    <w:autoRedefine/>
    <w:qFormat/>
    <w:uiPriority w:val="0"/>
    <w:pPr>
      <w:pBdr>
        <w:bottom w:val="single" w:color="auto" w:sz="8" w:space="0"/>
        <w:right w:val="single" w:color="auto" w:sz="8" w:space="0"/>
      </w:pBdr>
      <w:spacing w:before="100" w:beforeAutospacing="1" w:after="100" w:afterAutospacing="1" w:line="240" w:lineRule="auto"/>
      <w:jc w:val="center"/>
    </w:pPr>
    <w:rPr>
      <w:rFonts w:eastAsia="宋体"/>
      <w:b/>
      <w:bCs/>
      <w:color w:val="000000"/>
      <w:kern w:val="0"/>
      <w:sz w:val="21"/>
      <w:szCs w:val="21"/>
    </w:rPr>
  </w:style>
  <w:style w:type="paragraph" w:customStyle="1" w:styleId="419">
    <w:name w:val="xl68"/>
    <w:basedOn w:val="1"/>
    <w:autoRedefine/>
    <w:qFormat/>
    <w:uiPriority w:val="0"/>
    <w:pPr>
      <w:pBdr>
        <w:bottom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0">
    <w:name w:val="xl69"/>
    <w:basedOn w:val="1"/>
    <w:autoRedefine/>
    <w:qFormat/>
    <w:uiPriority w:val="0"/>
    <w:pPr>
      <w:pBdr>
        <w:bottom w:val="single" w:color="auto" w:sz="8" w:space="0"/>
        <w:right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21">
    <w:name w:val="xl70"/>
    <w:basedOn w:val="1"/>
    <w:autoRedefine/>
    <w:qFormat/>
    <w:uiPriority w:val="0"/>
    <w:pPr>
      <w:pBdr>
        <w:top w:val="single" w:color="auto" w:sz="8" w:space="0"/>
        <w:left w:val="single" w:color="auto" w:sz="8" w:space="0"/>
        <w:bottom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22">
    <w:name w:val="xl71"/>
    <w:basedOn w:val="1"/>
    <w:autoRedefine/>
    <w:qFormat/>
    <w:uiPriority w:val="0"/>
    <w:pPr>
      <w:pBdr>
        <w:bottom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3">
    <w:name w:val="xl72"/>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4">
    <w:name w:val="xl73"/>
    <w:basedOn w:val="1"/>
    <w:qFormat/>
    <w:uiPriority w:val="0"/>
    <w:pPr>
      <w:pBdr>
        <w:lef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5">
    <w:name w:val="xl74"/>
    <w:basedOn w:val="1"/>
    <w:qFormat/>
    <w:uiPriority w:val="0"/>
    <w:pPr>
      <w:pBdr>
        <w:left w:val="single" w:color="auto" w:sz="8" w:space="0"/>
        <w:bottom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6">
    <w:name w:val="xl75"/>
    <w:basedOn w:val="1"/>
    <w:autoRedefine/>
    <w:qFormat/>
    <w:uiPriority w:val="0"/>
    <w:pPr>
      <w:pBdr>
        <w:top w:val="single" w:color="auto" w:sz="8" w:space="0"/>
        <w:left w:val="single" w:color="auto" w:sz="8" w:space="0"/>
        <w:bottom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7">
    <w:name w:val="xl76"/>
    <w:basedOn w:val="1"/>
    <w:qFormat/>
    <w:uiPriority w:val="0"/>
    <w:pPr>
      <w:pBdr>
        <w:top w:val="single" w:color="auto" w:sz="8" w:space="0"/>
        <w:bottom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8">
    <w:name w:val="xl77"/>
    <w:basedOn w:val="1"/>
    <w:autoRedefine/>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29">
    <w:name w:val="xl78"/>
    <w:basedOn w:val="1"/>
    <w:autoRedefine/>
    <w:qFormat/>
    <w:uiPriority w:val="0"/>
    <w:pPr>
      <w:pBdr>
        <w:top w:val="single" w:color="auto" w:sz="8" w:space="0"/>
        <w:left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30">
    <w:name w:val="xl79"/>
    <w:basedOn w:val="1"/>
    <w:qFormat/>
    <w:uiPriority w:val="0"/>
    <w:pPr>
      <w:pBdr>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31">
    <w:name w:val="xl80"/>
    <w:basedOn w:val="1"/>
    <w:qFormat/>
    <w:uiPriority w:val="0"/>
    <w:pPr>
      <w:pBdr>
        <w:left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32">
    <w:name w:val="xl81"/>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pPr>
    <w:rPr>
      <w:rFonts w:ascii="宋体" w:hAnsi="宋体" w:eastAsia="宋体" w:cs="宋体"/>
      <w:color w:val="000000"/>
      <w:kern w:val="0"/>
      <w:sz w:val="21"/>
      <w:szCs w:val="21"/>
    </w:rPr>
  </w:style>
  <w:style w:type="paragraph" w:customStyle="1" w:styleId="433">
    <w:name w:val="xl82"/>
    <w:basedOn w:val="1"/>
    <w:autoRedefine/>
    <w:qFormat/>
    <w:uiPriority w:val="0"/>
    <w:pPr>
      <w:pBdr>
        <w:left w:val="single" w:color="auto" w:sz="8" w:space="0"/>
        <w:right w:val="single" w:color="auto" w:sz="8" w:space="0"/>
      </w:pBdr>
      <w:spacing w:before="100" w:beforeAutospacing="1" w:after="100" w:afterAutospacing="1" w:line="240" w:lineRule="auto"/>
      <w:jc w:val="center"/>
    </w:pPr>
    <w:rPr>
      <w:rFonts w:ascii="宋体" w:hAnsi="宋体" w:eastAsia="宋体" w:cs="宋体"/>
      <w:color w:val="000000"/>
      <w:kern w:val="0"/>
      <w:sz w:val="21"/>
      <w:szCs w:val="21"/>
    </w:rPr>
  </w:style>
  <w:style w:type="paragraph" w:customStyle="1" w:styleId="434">
    <w:name w:val="xl83"/>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color w:val="000000"/>
      <w:kern w:val="0"/>
      <w:sz w:val="21"/>
      <w:szCs w:val="21"/>
    </w:rPr>
  </w:style>
  <w:style w:type="paragraph" w:customStyle="1" w:styleId="435">
    <w:name w:val="xl84"/>
    <w:basedOn w:val="1"/>
    <w:autoRedefine/>
    <w:qFormat/>
    <w:uiPriority w:val="0"/>
    <w:pPr>
      <w:pBdr>
        <w:top w:val="single" w:color="auto" w:sz="8" w:space="0"/>
        <w:right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36">
    <w:name w:val="xl85"/>
    <w:basedOn w:val="1"/>
    <w:qFormat/>
    <w:uiPriority w:val="0"/>
    <w:pPr>
      <w:pBdr>
        <w:right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37">
    <w:name w:val="xl86"/>
    <w:basedOn w:val="1"/>
    <w:autoRedefine/>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eastAsia="宋体"/>
      <w:color w:val="000000"/>
      <w:kern w:val="0"/>
      <w:sz w:val="21"/>
      <w:szCs w:val="21"/>
    </w:rPr>
  </w:style>
  <w:style w:type="paragraph" w:customStyle="1" w:styleId="438">
    <w:name w:val="xl87"/>
    <w:basedOn w:val="1"/>
    <w:autoRedefine/>
    <w:qFormat/>
    <w:uiPriority w:val="0"/>
    <w:pPr>
      <w:pBdr>
        <w:top w:val="single" w:color="auto" w:sz="8" w:space="0"/>
        <w:righ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39">
    <w:name w:val="xl88"/>
    <w:basedOn w:val="1"/>
    <w:qFormat/>
    <w:uiPriority w:val="0"/>
    <w:pPr>
      <w:pBdr>
        <w:top w:val="single" w:color="auto" w:sz="8" w:space="0"/>
        <w:left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40">
    <w:name w:val="xl89"/>
    <w:basedOn w:val="1"/>
    <w:qFormat/>
    <w:uiPriority w:val="0"/>
    <w:pPr>
      <w:pBdr>
        <w:top w:val="single" w:color="auto" w:sz="8" w:space="0"/>
      </w:pBdr>
      <w:spacing w:before="100" w:beforeAutospacing="1" w:after="100" w:afterAutospacing="1" w:line="240" w:lineRule="auto"/>
      <w:jc w:val="center"/>
    </w:pPr>
    <w:rPr>
      <w:rFonts w:ascii="宋体" w:hAnsi="宋体" w:eastAsia="宋体" w:cs="宋体"/>
      <w:b/>
      <w:bCs/>
      <w:color w:val="000000"/>
      <w:kern w:val="0"/>
      <w:sz w:val="21"/>
      <w:szCs w:val="21"/>
    </w:rPr>
  </w:style>
  <w:style w:type="paragraph" w:customStyle="1" w:styleId="441">
    <w:name w:val="xl90"/>
    <w:basedOn w:val="1"/>
    <w:qFormat/>
    <w:uiPriority w:val="0"/>
    <w:pPr>
      <w:pBdr>
        <w:top w:val="single" w:color="auto" w:sz="8" w:space="0"/>
        <w:left w:val="single" w:color="auto" w:sz="8" w:space="0"/>
        <w:bottom w:val="single" w:color="auto" w:sz="8" w:space="0"/>
      </w:pBdr>
      <w:spacing w:before="100" w:beforeAutospacing="1" w:after="100" w:afterAutospacing="1" w:line="240" w:lineRule="auto"/>
      <w:jc w:val="center"/>
    </w:pPr>
    <w:rPr>
      <w:rFonts w:ascii="宋体" w:hAnsi="宋体" w:eastAsia="宋体" w:cs="宋体"/>
      <w:color w:val="000000"/>
      <w:kern w:val="0"/>
      <w:sz w:val="21"/>
      <w:szCs w:val="21"/>
    </w:rPr>
  </w:style>
  <w:style w:type="paragraph" w:customStyle="1" w:styleId="442">
    <w:name w:val="xl91"/>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color w:val="000000"/>
      <w:kern w:val="0"/>
      <w:sz w:val="21"/>
      <w:szCs w:val="21"/>
    </w:rPr>
  </w:style>
  <w:style w:type="paragraph" w:customStyle="1" w:styleId="443">
    <w:name w:val="xl92"/>
    <w:basedOn w:val="1"/>
    <w:qFormat/>
    <w:uiPriority w:val="0"/>
    <w:pPr>
      <w:pBdr>
        <w:top w:val="single" w:color="auto" w:sz="8" w:space="0"/>
      </w:pBdr>
      <w:spacing w:before="100" w:beforeAutospacing="1" w:after="100" w:afterAutospacing="1" w:line="240" w:lineRule="auto"/>
      <w:jc w:val="left"/>
    </w:pPr>
    <w:rPr>
      <w:rFonts w:ascii="宋体" w:hAnsi="宋体" w:eastAsia="宋体" w:cs="宋体"/>
      <w:color w:val="000000"/>
      <w:kern w:val="0"/>
      <w:sz w:val="21"/>
      <w:szCs w:val="21"/>
    </w:rPr>
  </w:style>
  <w:style w:type="paragraph" w:customStyle="1" w:styleId="444">
    <w:name w:val="xl93"/>
    <w:basedOn w:val="1"/>
    <w:autoRedefine/>
    <w:qFormat/>
    <w:uiPriority w:val="0"/>
    <w:pPr>
      <w:pBdr>
        <w:bottom w:val="single" w:color="auto" w:sz="8" w:space="0"/>
      </w:pBdr>
      <w:spacing w:before="100" w:beforeAutospacing="1" w:after="100" w:afterAutospacing="1" w:line="240" w:lineRule="auto"/>
      <w:jc w:val="left"/>
    </w:pPr>
    <w:rPr>
      <w:rFonts w:ascii="宋体" w:hAnsi="宋体" w:eastAsia="宋体" w:cs="宋体"/>
      <w:color w:val="000000"/>
      <w:kern w:val="0"/>
      <w:sz w:val="21"/>
      <w:szCs w:val="21"/>
    </w:rPr>
  </w:style>
  <w:style w:type="paragraph" w:customStyle="1" w:styleId="445">
    <w:name w:val="xl94"/>
    <w:basedOn w:val="1"/>
    <w:autoRedefine/>
    <w:qFormat/>
    <w:uiPriority w:val="0"/>
    <w:pPr>
      <w:pBdr>
        <w:top w:val="single" w:color="auto" w:sz="8" w:space="0"/>
        <w:left w:val="single" w:color="auto" w:sz="8" w:space="0"/>
        <w:bottom w:val="single" w:color="auto" w:sz="8" w:space="0"/>
      </w:pBdr>
      <w:spacing w:before="100" w:beforeAutospacing="1" w:after="100" w:afterAutospacing="1" w:line="240" w:lineRule="auto"/>
      <w:jc w:val="center"/>
    </w:pPr>
    <w:rPr>
      <w:rFonts w:eastAsia="宋体"/>
      <w:b/>
      <w:bCs/>
      <w:color w:val="000000"/>
      <w:kern w:val="0"/>
      <w:sz w:val="21"/>
      <w:szCs w:val="21"/>
    </w:rPr>
  </w:style>
  <w:style w:type="paragraph" w:customStyle="1" w:styleId="446">
    <w:name w:val="表头新"/>
    <w:basedOn w:val="1"/>
    <w:autoRedefine/>
    <w:qFormat/>
    <w:uiPriority w:val="0"/>
    <w:pPr>
      <w:adjustRightInd w:val="0"/>
      <w:snapToGrid w:val="0"/>
      <w:spacing w:line="240" w:lineRule="auto"/>
      <w:jc w:val="center"/>
    </w:pPr>
    <w:rPr>
      <w:rFonts w:ascii="宋体" w:hAnsi="宋体" w:eastAsia="宋体"/>
      <w:color w:val="000000"/>
      <w:szCs w:val="26"/>
    </w:rPr>
  </w:style>
  <w:style w:type="paragraph" w:customStyle="1" w:styleId="447">
    <w:name w:val="表格内容"/>
    <w:basedOn w:val="1"/>
    <w:link w:val="1333"/>
    <w:autoRedefine/>
    <w:qFormat/>
    <w:uiPriority w:val="0"/>
    <w:pPr>
      <w:adjustRightInd w:val="0"/>
      <w:snapToGrid w:val="0"/>
      <w:spacing w:line="240" w:lineRule="auto"/>
      <w:jc w:val="center"/>
    </w:pPr>
    <w:rPr>
      <w:rFonts w:ascii="宋体" w:hAnsi="宋体" w:eastAsia="宋体" w:cs="Tahoma"/>
      <w:color w:val="000000"/>
      <w:sz w:val="21"/>
      <w:szCs w:val="18"/>
    </w:rPr>
  </w:style>
  <w:style w:type="paragraph" w:customStyle="1" w:styleId="448">
    <w:name w:val="L表内容"/>
    <w:basedOn w:val="1"/>
    <w:autoRedefine/>
    <w:qFormat/>
    <w:uiPriority w:val="0"/>
    <w:pPr>
      <w:adjustRightInd w:val="0"/>
      <w:snapToGrid w:val="0"/>
      <w:spacing w:line="240" w:lineRule="atLeast"/>
      <w:jc w:val="center"/>
    </w:pPr>
    <w:rPr>
      <w:rFonts w:ascii="宋体" w:hAnsi="宋体" w:eastAsia="宋体" w:cs="Tahoma"/>
      <w:sz w:val="21"/>
      <w:szCs w:val="24"/>
    </w:rPr>
  </w:style>
  <w:style w:type="character" w:customStyle="1" w:styleId="449">
    <w:name w:val="表格正文 Char"/>
    <w:link w:val="450"/>
    <w:autoRedefine/>
    <w:qFormat/>
    <w:locked/>
    <w:uiPriority w:val="0"/>
    <w:rPr>
      <w:rFonts w:ascii="Arial" w:hAnsi="Arial"/>
      <w:color w:val="000000"/>
      <w:kern w:val="2"/>
      <w:sz w:val="21"/>
      <w:szCs w:val="24"/>
    </w:rPr>
  </w:style>
  <w:style w:type="paragraph" w:customStyle="1" w:styleId="450">
    <w:name w:val="表格正文"/>
    <w:basedOn w:val="1"/>
    <w:link w:val="449"/>
    <w:qFormat/>
    <w:uiPriority w:val="0"/>
    <w:pPr>
      <w:widowControl w:val="0"/>
      <w:spacing w:line="360" w:lineRule="exact"/>
      <w:jc w:val="center"/>
    </w:pPr>
    <w:rPr>
      <w:rFonts w:ascii="Arial" w:hAnsi="Arial"/>
      <w:color w:val="000000"/>
      <w:sz w:val="21"/>
      <w:szCs w:val="24"/>
    </w:rPr>
  </w:style>
  <w:style w:type="character" w:customStyle="1" w:styleId="451">
    <w:name w:val="Char171"/>
    <w:autoRedefine/>
    <w:qFormat/>
    <w:uiPriority w:val="0"/>
    <w:rPr>
      <w:rFonts w:ascii="Times New Roman" w:hAnsi="Times New Roman" w:eastAsia="宋体" w:cs="Times New Roman"/>
      <w:sz w:val="24"/>
      <w:szCs w:val="24"/>
      <w:shd w:val="clear" w:color="auto" w:fill="auto"/>
      <w:lang w:bidi="ar-SA"/>
    </w:rPr>
  </w:style>
  <w:style w:type="paragraph" w:customStyle="1" w:styleId="452">
    <w:name w:val="表内容-L"/>
    <w:basedOn w:val="1"/>
    <w:link w:val="453"/>
    <w:autoRedefine/>
    <w:qFormat/>
    <w:uiPriority w:val="0"/>
    <w:pPr>
      <w:widowControl w:val="0"/>
      <w:adjustRightInd w:val="0"/>
      <w:snapToGrid w:val="0"/>
      <w:spacing w:line="240" w:lineRule="auto"/>
      <w:jc w:val="center"/>
    </w:pPr>
    <w:rPr>
      <w:rFonts w:eastAsia="宋体"/>
      <w:kern w:val="0"/>
      <w:sz w:val="21"/>
      <w:szCs w:val="20"/>
    </w:rPr>
  </w:style>
  <w:style w:type="character" w:customStyle="1" w:styleId="453">
    <w:name w:val="表内容-L 字符"/>
    <w:basedOn w:val="134"/>
    <w:link w:val="452"/>
    <w:autoRedefine/>
    <w:qFormat/>
    <w:uiPriority w:val="0"/>
    <w:rPr>
      <w:rFonts w:ascii="Times New Roman" w:hAnsi="Times New Roman" w:eastAsia="宋体"/>
      <w:sz w:val="21"/>
    </w:rPr>
  </w:style>
  <w:style w:type="paragraph" w:customStyle="1" w:styleId="454">
    <w:name w:val="0表格内容"/>
    <w:basedOn w:val="1"/>
    <w:qFormat/>
    <w:uiPriority w:val="0"/>
    <w:pPr>
      <w:widowControl w:val="0"/>
      <w:adjustRightInd w:val="0"/>
      <w:spacing w:line="240" w:lineRule="exact"/>
      <w:jc w:val="center"/>
    </w:pPr>
    <w:rPr>
      <w:rFonts w:eastAsia="宋体"/>
      <w:sz w:val="18"/>
      <w:szCs w:val="18"/>
    </w:rPr>
  </w:style>
  <w:style w:type="character" w:customStyle="1" w:styleId="455">
    <w:name w:val="标题 4 字符"/>
    <w:basedOn w:val="134"/>
    <w:qFormat/>
    <w:uiPriority w:val="9"/>
    <w:rPr>
      <w:rFonts w:asciiTheme="majorHAnsi" w:hAnsiTheme="majorHAnsi" w:eastAsiaTheme="majorEastAsia" w:cstheme="majorBidi"/>
      <w:b/>
      <w:bCs/>
      <w:kern w:val="2"/>
      <w:sz w:val="28"/>
      <w:szCs w:val="28"/>
    </w:rPr>
  </w:style>
  <w:style w:type="character" w:customStyle="1" w:styleId="456">
    <w:name w:val="标题 5 字符"/>
    <w:basedOn w:val="134"/>
    <w:qFormat/>
    <w:uiPriority w:val="9"/>
    <w:rPr>
      <w:rFonts w:ascii="Times New Roman" w:hAnsi="Times New Roman"/>
      <w:b/>
      <w:bCs/>
      <w:kern w:val="2"/>
      <w:sz w:val="28"/>
      <w:szCs w:val="28"/>
    </w:rPr>
  </w:style>
  <w:style w:type="character" w:customStyle="1" w:styleId="457">
    <w:name w:val="标题 6 字符"/>
    <w:basedOn w:val="134"/>
    <w:qFormat/>
    <w:uiPriority w:val="0"/>
    <w:rPr>
      <w:rFonts w:asciiTheme="majorHAnsi" w:hAnsiTheme="majorHAnsi" w:eastAsiaTheme="majorEastAsia" w:cstheme="majorBidi"/>
      <w:b/>
      <w:bCs/>
      <w:kern w:val="2"/>
      <w:sz w:val="24"/>
      <w:szCs w:val="24"/>
    </w:rPr>
  </w:style>
  <w:style w:type="character" w:customStyle="1" w:styleId="458">
    <w:name w:val="标题 7 字符"/>
    <w:basedOn w:val="134"/>
    <w:qFormat/>
    <w:uiPriority w:val="0"/>
    <w:rPr>
      <w:rFonts w:ascii="Times New Roman" w:hAnsi="Times New Roman"/>
      <w:b/>
      <w:bCs/>
      <w:kern w:val="2"/>
      <w:sz w:val="24"/>
      <w:szCs w:val="24"/>
    </w:rPr>
  </w:style>
  <w:style w:type="character" w:customStyle="1" w:styleId="459">
    <w:name w:val="标题 8 字符"/>
    <w:basedOn w:val="134"/>
    <w:uiPriority w:val="0"/>
    <w:rPr>
      <w:rFonts w:asciiTheme="majorHAnsi" w:hAnsiTheme="majorHAnsi" w:eastAsiaTheme="majorEastAsia" w:cstheme="majorBidi"/>
      <w:kern w:val="2"/>
      <w:sz w:val="24"/>
      <w:szCs w:val="24"/>
    </w:rPr>
  </w:style>
  <w:style w:type="character" w:customStyle="1" w:styleId="460">
    <w:name w:val="标题 9 字符"/>
    <w:basedOn w:val="134"/>
    <w:uiPriority w:val="0"/>
    <w:rPr>
      <w:rFonts w:asciiTheme="majorHAnsi" w:hAnsiTheme="majorHAnsi" w:eastAsiaTheme="majorEastAsia" w:cstheme="majorBidi"/>
      <w:kern w:val="2"/>
      <w:sz w:val="21"/>
      <w:szCs w:val="21"/>
    </w:rPr>
  </w:style>
  <w:style w:type="character" w:customStyle="1" w:styleId="461">
    <w:name w:val="宏文本 字符"/>
    <w:basedOn w:val="134"/>
    <w:uiPriority w:val="0"/>
    <w:rPr>
      <w:rFonts w:ascii="Courier New" w:hAnsi="Courier New" w:eastAsia="宋体" w:cs="Courier New"/>
      <w:kern w:val="2"/>
      <w:sz w:val="24"/>
      <w:szCs w:val="24"/>
    </w:rPr>
  </w:style>
  <w:style w:type="character" w:customStyle="1" w:styleId="462">
    <w:name w:val="电子邮件签名 字符"/>
    <w:basedOn w:val="134"/>
    <w:uiPriority w:val="0"/>
    <w:rPr>
      <w:rFonts w:ascii="Times New Roman" w:hAnsi="Times New Roman"/>
      <w:kern w:val="2"/>
      <w:sz w:val="24"/>
      <w:szCs w:val="22"/>
    </w:rPr>
  </w:style>
  <w:style w:type="character" w:customStyle="1" w:styleId="463">
    <w:name w:val="称呼 字符"/>
    <w:basedOn w:val="134"/>
    <w:uiPriority w:val="0"/>
    <w:rPr>
      <w:rFonts w:ascii="Times New Roman" w:hAnsi="Times New Roman"/>
      <w:kern w:val="2"/>
      <w:sz w:val="24"/>
      <w:szCs w:val="22"/>
    </w:rPr>
  </w:style>
  <w:style w:type="character" w:customStyle="1" w:styleId="464">
    <w:name w:val="正文文本 3 字符"/>
    <w:basedOn w:val="134"/>
    <w:uiPriority w:val="0"/>
    <w:rPr>
      <w:rFonts w:ascii="Times New Roman" w:hAnsi="Times New Roman"/>
      <w:kern w:val="2"/>
      <w:sz w:val="16"/>
      <w:szCs w:val="16"/>
    </w:rPr>
  </w:style>
  <w:style w:type="character" w:customStyle="1" w:styleId="465">
    <w:name w:val="结束语 字符"/>
    <w:basedOn w:val="134"/>
    <w:qFormat/>
    <w:uiPriority w:val="0"/>
    <w:rPr>
      <w:rFonts w:ascii="Times New Roman" w:hAnsi="Times New Roman"/>
      <w:kern w:val="2"/>
      <w:sz w:val="24"/>
      <w:szCs w:val="22"/>
    </w:rPr>
  </w:style>
  <w:style w:type="character" w:customStyle="1" w:styleId="466">
    <w:name w:val="HTML 地址 字符"/>
    <w:basedOn w:val="134"/>
    <w:qFormat/>
    <w:uiPriority w:val="0"/>
    <w:rPr>
      <w:rFonts w:ascii="Times New Roman" w:hAnsi="Times New Roman"/>
      <w:i/>
      <w:iCs/>
      <w:kern w:val="2"/>
      <w:sz w:val="24"/>
      <w:szCs w:val="22"/>
    </w:rPr>
  </w:style>
  <w:style w:type="character" w:customStyle="1" w:styleId="467">
    <w:name w:val="尾注文本 字符"/>
    <w:basedOn w:val="134"/>
    <w:uiPriority w:val="0"/>
    <w:rPr>
      <w:rFonts w:ascii="Times New Roman" w:hAnsi="Times New Roman"/>
      <w:kern w:val="2"/>
      <w:sz w:val="24"/>
      <w:szCs w:val="22"/>
    </w:rPr>
  </w:style>
  <w:style w:type="character" w:customStyle="1" w:styleId="468">
    <w:name w:val="签名 字符"/>
    <w:basedOn w:val="134"/>
    <w:uiPriority w:val="0"/>
    <w:rPr>
      <w:rFonts w:ascii="Times New Roman" w:hAnsi="Times New Roman"/>
      <w:kern w:val="2"/>
      <w:sz w:val="24"/>
      <w:szCs w:val="22"/>
    </w:rPr>
  </w:style>
  <w:style w:type="character" w:customStyle="1" w:styleId="469">
    <w:name w:val="副标题 字符"/>
    <w:basedOn w:val="134"/>
    <w:uiPriority w:val="0"/>
    <w:rPr>
      <w:rFonts w:asciiTheme="minorHAnsi" w:hAnsiTheme="minorHAnsi" w:eastAsiaTheme="minorEastAsia" w:cstheme="minorBidi"/>
      <w:b/>
      <w:bCs/>
      <w:kern w:val="28"/>
      <w:sz w:val="32"/>
      <w:szCs w:val="32"/>
    </w:rPr>
  </w:style>
  <w:style w:type="character" w:customStyle="1" w:styleId="470">
    <w:name w:val="脚注文本 字符"/>
    <w:basedOn w:val="134"/>
    <w:uiPriority w:val="0"/>
    <w:rPr>
      <w:rFonts w:ascii="Times New Roman" w:hAnsi="Times New Roman"/>
      <w:kern w:val="2"/>
      <w:sz w:val="18"/>
      <w:szCs w:val="18"/>
    </w:rPr>
  </w:style>
  <w:style w:type="character" w:customStyle="1" w:styleId="471">
    <w:name w:val="正文文本缩进 3 字符"/>
    <w:basedOn w:val="134"/>
    <w:uiPriority w:val="0"/>
    <w:rPr>
      <w:rFonts w:ascii="Times New Roman" w:hAnsi="Times New Roman"/>
      <w:kern w:val="2"/>
      <w:sz w:val="16"/>
      <w:szCs w:val="16"/>
    </w:rPr>
  </w:style>
  <w:style w:type="character" w:customStyle="1" w:styleId="472">
    <w:name w:val="信息标题 字符"/>
    <w:basedOn w:val="134"/>
    <w:uiPriority w:val="0"/>
    <w:rPr>
      <w:rFonts w:asciiTheme="majorHAnsi" w:hAnsiTheme="majorHAnsi" w:eastAsiaTheme="majorEastAsia" w:cstheme="majorBidi"/>
      <w:kern w:val="2"/>
      <w:sz w:val="24"/>
      <w:szCs w:val="24"/>
      <w:shd w:val="pct20" w:color="auto" w:fill="auto"/>
    </w:rPr>
  </w:style>
  <w:style w:type="character" w:customStyle="1" w:styleId="473">
    <w:name w:val="标题 1 字符3"/>
    <w:basedOn w:val="134"/>
    <w:qFormat/>
    <w:uiPriority w:val="9"/>
    <w:rPr>
      <w:rFonts w:ascii="Times New Roman" w:hAnsi="Times New Roman"/>
      <w:b/>
      <w:bCs/>
      <w:kern w:val="44"/>
      <w:sz w:val="32"/>
      <w:szCs w:val="44"/>
    </w:rPr>
  </w:style>
  <w:style w:type="character" w:customStyle="1" w:styleId="474">
    <w:name w:val="标题 2 字符3"/>
    <w:basedOn w:val="134"/>
    <w:qFormat/>
    <w:uiPriority w:val="9"/>
    <w:rPr>
      <w:rFonts w:ascii="Times New Roman" w:hAnsi="Times New Roman" w:eastAsiaTheme="majorEastAsia" w:cstheme="majorBidi"/>
      <w:b/>
      <w:bCs/>
      <w:sz w:val="28"/>
      <w:szCs w:val="32"/>
    </w:rPr>
  </w:style>
  <w:style w:type="character" w:customStyle="1" w:styleId="475">
    <w:name w:val="标题 3 字符3"/>
    <w:basedOn w:val="134"/>
    <w:qFormat/>
    <w:uiPriority w:val="9"/>
    <w:rPr>
      <w:rFonts w:ascii="Times New Roman" w:hAnsi="Times New Roman"/>
      <w:b/>
      <w:bCs/>
      <w:sz w:val="24"/>
      <w:szCs w:val="32"/>
    </w:rPr>
  </w:style>
  <w:style w:type="character" w:customStyle="1" w:styleId="476">
    <w:name w:val="标题 4 字符3"/>
    <w:basedOn w:val="134"/>
    <w:link w:val="6"/>
    <w:qFormat/>
    <w:uiPriority w:val="9"/>
    <w:rPr>
      <w:rFonts w:ascii="Times New Roman" w:hAnsi="Times New Roman" w:eastAsiaTheme="majorEastAsia" w:cstheme="majorBidi"/>
      <w:bCs/>
      <w:kern w:val="2"/>
      <w:sz w:val="24"/>
      <w:szCs w:val="28"/>
    </w:rPr>
  </w:style>
  <w:style w:type="character" w:customStyle="1" w:styleId="477">
    <w:name w:val="标题 5 字符3"/>
    <w:basedOn w:val="134"/>
    <w:link w:val="8"/>
    <w:qFormat/>
    <w:uiPriority w:val="9"/>
    <w:rPr>
      <w:rFonts w:ascii="Times New Roman" w:hAnsi="Times New Roman" w:eastAsiaTheme="minorEastAsia" w:cstheme="minorBidi"/>
      <w:b/>
      <w:bCs/>
      <w:kern w:val="2"/>
      <w:sz w:val="28"/>
      <w:szCs w:val="28"/>
    </w:rPr>
  </w:style>
  <w:style w:type="paragraph" w:customStyle="1" w:styleId="478">
    <w:name w:val="我的表格"/>
    <w:link w:val="479"/>
    <w:qFormat/>
    <w:uiPriority w:val="0"/>
    <w:pPr>
      <w:spacing w:line="280" w:lineRule="exact"/>
      <w:jc w:val="center"/>
    </w:pPr>
    <w:rPr>
      <w:rFonts w:ascii="Times New Roman" w:hAnsi="Times New Roman" w:eastAsiaTheme="minorEastAsia" w:cstheme="minorBidi"/>
      <w:kern w:val="2"/>
      <w:sz w:val="18"/>
      <w:szCs w:val="21"/>
      <w:lang w:val="en-US" w:eastAsia="zh-CN" w:bidi="ar-SA"/>
    </w:rPr>
  </w:style>
  <w:style w:type="character" w:customStyle="1" w:styleId="479">
    <w:name w:val="我的表格 Char"/>
    <w:basedOn w:val="134"/>
    <w:link w:val="478"/>
    <w:qFormat/>
    <w:uiPriority w:val="0"/>
    <w:rPr>
      <w:rFonts w:ascii="Times New Roman" w:hAnsi="Times New Roman" w:eastAsiaTheme="minorEastAsia" w:cstheme="minorBidi"/>
      <w:kern w:val="2"/>
      <w:sz w:val="18"/>
      <w:szCs w:val="21"/>
    </w:rPr>
  </w:style>
  <w:style w:type="character" w:customStyle="1" w:styleId="480">
    <w:name w:val="页眉 字符3"/>
    <w:basedOn w:val="134"/>
    <w:qFormat/>
    <w:uiPriority w:val="0"/>
    <w:rPr>
      <w:rFonts w:ascii="Times New Roman" w:hAnsi="Times New Roman"/>
      <w:sz w:val="18"/>
      <w:szCs w:val="18"/>
    </w:rPr>
  </w:style>
  <w:style w:type="character" w:customStyle="1" w:styleId="481">
    <w:name w:val="页脚 字符3"/>
    <w:basedOn w:val="134"/>
    <w:qFormat/>
    <w:uiPriority w:val="0"/>
    <w:rPr>
      <w:rFonts w:ascii="Times New Roman" w:hAnsi="Times New Roman"/>
      <w:sz w:val="18"/>
      <w:szCs w:val="18"/>
    </w:rPr>
  </w:style>
  <w:style w:type="character" w:customStyle="1" w:styleId="482">
    <w:name w:val="批注框文本 字符3"/>
    <w:basedOn w:val="134"/>
    <w:qFormat/>
    <w:uiPriority w:val="99"/>
    <w:rPr>
      <w:rFonts w:ascii="Times New Roman" w:hAnsi="Times New Roman"/>
      <w:sz w:val="18"/>
      <w:szCs w:val="18"/>
    </w:rPr>
  </w:style>
  <w:style w:type="character" w:customStyle="1" w:styleId="483">
    <w:name w:val="标题 字符2"/>
    <w:basedOn w:val="134"/>
    <w:qFormat/>
    <w:uiPriority w:val="10"/>
    <w:rPr>
      <w:rFonts w:eastAsia="宋体" w:asciiTheme="majorHAnsi" w:hAnsiTheme="majorHAnsi" w:cstheme="majorBidi"/>
      <w:b/>
      <w:bCs/>
      <w:sz w:val="32"/>
      <w:szCs w:val="32"/>
    </w:rPr>
  </w:style>
  <w:style w:type="paragraph" w:customStyle="1" w:styleId="484">
    <w:name w:val="0表头"/>
    <w:basedOn w:val="1"/>
    <w:qFormat/>
    <w:uiPriority w:val="0"/>
    <w:pPr>
      <w:widowControl w:val="0"/>
      <w:adjustRightInd w:val="0"/>
      <w:spacing w:line="240" w:lineRule="exact"/>
      <w:jc w:val="center"/>
    </w:pPr>
    <w:rPr>
      <w:rFonts w:eastAsia="宋体"/>
      <w:b/>
      <w:sz w:val="18"/>
      <w:szCs w:val="18"/>
    </w:rPr>
  </w:style>
  <w:style w:type="paragraph" w:customStyle="1" w:styleId="485">
    <w:name w:val="图片"/>
    <w:link w:val="486"/>
    <w:qFormat/>
    <w:uiPriority w:val="0"/>
    <w:pPr>
      <w:spacing w:before="50" w:beforeLines="50" w:after="50" w:afterLines="50"/>
      <w:jc w:val="center"/>
    </w:pPr>
    <w:rPr>
      <w:rFonts w:ascii="Times New Roman" w:hAnsi="Times New Roman" w:eastAsiaTheme="minorEastAsia" w:cstheme="minorBidi"/>
      <w:kern w:val="2"/>
      <w:sz w:val="24"/>
      <w:szCs w:val="21"/>
      <w:lang w:val="en-US" w:eastAsia="zh-CN" w:bidi="ar-SA"/>
    </w:rPr>
  </w:style>
  <w:style w:type="character" w:customStyle="1" w:styleId="486">
    <w:name w:val="图片 Char"/>
    <w:basedOn w:val="134"/>
    <w:link w:val="485"/>
    <w:qFormat/>
    <w:uiPriority w:val="0"/>
    <w:rPr>
      <w:rFonts w:ascii="Times New Roman" w:hAnsi="Times New Roman" w:eastAsiaTheme="minorEastAsia" w:cstheme="minorBidi"/>
      <w:kern w:val="2"/>
      <w:sz w:val="24"/>
      <w:szCs w:val="21"/>
    </w:rPr>
  </w:style>
  <w:style w:type="paragraph" w:customStyle="1" w:styleId="487">
    <w:name w:val="0我的正文"/>
    <w:basedOn w:val="1"/>
    <w:link w:val="488"/>
    <w:qFormat/>
    <w:uiPriority w:val="0"/>
    <w:pPr>
      <w:widowControl w:val="0"/>
      <w:adjustRightInd w:val="0"/>
      <w:spacing w:line="240" w:lineRule="auto"/>
      <w:ind w:firstLine="480"/>
    </w:pPr>
    <w:rPr>
      <w:rFonts w:eastAsia="宋体"/>
      <w:szCs w:val="24"/>
    </w:rPr>
  </w:style>
  <w:style w:type="character" w:customStyle="1" w:styleId="488">
    <w:name w:val="0我的正文 Char"/>
    <w:link w:val="487"/>
    <w:qFormat/>
    <w:uiPriority w:val="0"/>
    <w:rPr>
      <w:rFonts w:ascii="Times New Roman" w:hAnsi="Times New Roman" w:eastAsia="宋体"/>
      <w:kern w:val="2"/>
      <w:sz w:val="24"/>
      <w:szCs w:val="24"/>
    </w:rPr>
  </w:style>
  <w:style w:type="character" w:customStyle="1" w:styleId="489">
    <w:name w:val="正文缩进 字符3"/>
    <w:qFormat/>
    <w:uiPriority w:val="0"/>
    <w:rPr>
      <w:rFonts w:ascii="Times New Roman" w:hAnsi="Times New Roman" w:eastAsia="宋体" w:cs="Times New Roman"/>
      <w:szCs w:val="20"/>
    </w:rPr>
  </w:style>
  <w:style w:type="paragraph" w:customStyle="1" w:styleId="490">
    <w:name w:val="wg"/>
    <w:basedOn w:val="1"/>
    <w:qFormat/>
    <w:uiPriority w:val="0"/>
    <w:pPr>
      <w:widowControl w:val="0"/>
      <w:spacing w:line="240" w:lineRule="auto"/>
    </w:pPr>
    <w:rPr>
      <w:rFonts w:eastAsia="宋体"/>
      <w:sz w:val="28"/>
    </w:rPr>
  </w:style>
  <w:style w:type="paragraph" w:customStyle="1" w:styleId="491">
    <w:name w:val="表名/图名"/>
    <w:basedOn w:val="1"/>
    <w:qFormat/>
    <w:uiPriority w:val="0"/>
    <w:pPr>
      <w:widowControl w:val="0"/>
      <w:adjustRightInd w:val="0"/>
      <w:spacing w:line="240" w:lineRule="atLeast"/>
      <w:ind w:firstLine="210"/>
      <w:jc w:val="center"/>
      <w:textAlignment w:val="baseline"/>
    </w:pPr>
    <w:rPr>
      <w:rFonts w:ascii="宋体" w:hAnsi="宋体" w:eastAsia="宋体"/>
      <w:b/>
      <w:kern w:val="0"/>
      <w:sz w:val="21"/>
      <w:szCs w:val="21"/>
    </w:rPr>
  </w:style>
  <w:style w:type="character" w:customStyle="1" w:styleId="492">
    <w:name w:val="批注文字 字符3"/>
    <w:basedOn w:val="134"/>
    <w:qFormat/>
    <w:uiPriority w:val="0"/>
    <w:rPr>
      <w:rFonts w:ascii="Times New Roman" w:hAnsi="Times New Roman" w:eastAsia="宋体" w:cs="Times New Roman"/>
      <w:sz w:val="24"/>
      <w:szCs w:val="21"/>
    </w:rPr>
  </w:style>
  <w:style w:type="character" w:customStyle="1" w:styleId="493">
    <w:name w:val="批注主题 字符3"/>
    <w:basedOn w:val="492"/>
    <w:qFormat/>
    <w:uiPriority w:val="99"/>
    <w:rPr>
      <w:rFonts w:ascii="Times New Roman" w:hAnsi="Times New Roman" w:eastAsia="宋体" w:cs="Times New Roman"/>
      <w:b/>
      <w:bCs/>
      <w:sz w:val="24"/>
      <w:szCs w:val="21"/>
    </w:rPr>
  </w:style>
  <w:style w:type="paragraph" w:customStyle="1" w:styleId="494">
    <w:name w:val="0我的表格"/>
    <w:basedOn w:val="1"/>
    <w:link w:val="495"/>
    <w:qFormat/>
    <w:uiPriority w:val="99"/>
    <w:pPr>
      <w:spacing w:line="280" w:lineRule="exact"/>
      <w:jc w:val="center"/>
    </w:pPr>
    <w:rPr>
      <w:rFonts w:eastAsia="宋体"/>
      <w:sz w:val="18"/>
      <w:szCs w:val="24"/>
    </w:rPr>
  </w:style>
  <w:style w:type="character" w:customStyle="1" w:styleId="495">
    <w:name w:val="0我的表格 Char"/>
    <w:link w:val="494"/>
    <w:qFormat/>
    <w:uiPriority w:val="99"/>
    <w:rPr>
      <w:rFonts w:ascii="Times New Roman" w:hAnsi="Times New Roman" w:eastAsia="宋体"/>
      <w:kern w:val="2"/>
      <w:sz w:val="18"/>
      <w:szCs w:val="24"/>
    </w:rPr>
  </w:style>
  <w:style w:type="character" w:customStyle="1" w:styleId="496">
    <w:name w:val="文档结构图 字符3"/>
    <w:basedOn w:val="134"/>
    <w:qFormat/>
    <w:uiPriority w:val="99"/>
    <w:rPr>
      <w:rFonts w:ascii="宋体" w:hAnsi="Times New Roman" w:eastAsia="宋体"/>
      <w:sz w:val="18"/>
      <w:szCs w:val="18"/>
    </w:rPr>
  </w:style>
  <w:style w:type="paragraph" w:customStyle="1" w:styleId="497">
    <w:name w:val="表格内字体"/>
    <w:link w:val="498"/>
    <w:qFormat/>
    <w:uiPriority w:val="0"/>
    <w:pPr>
      <w:widowControl w:val="0"/>
      <w:adjustRightInd w:val="0"/>
      <w:snapToGrid w:val="0"/>
      <w:jc w:val="center"/>
    </w:pPr>
    <w:rPr>
      <w:rFonts w:ascii="Times New Roman" w:hAnsi="Times New Roman" w:eastAsia="宋体" w:cs="Times New Roman"/>
      <w:snapToGrid w:val="0"/>
      <w:kern w:val="21"/>
      <w:sz w:val="18"/>
      <w:lang w:val="en-US" w:eastAsia="zh-CN" w:bidi="ar-SA"/>
    </w:rPr>
  </w:style>
  <w:style w:type="character" w:customStyle="1" w:styleId="498">
    <w:name w:val="表格内字体 Char"/>
    <w:link w:val="497"/>
    <w:qFormat/>
    <w:uiPriority w:val="0"/>
    <w:rPr>
      <w:rFonts w:ascii="Times New Roman" w:hAnsi="Times New Roman" w:eastAsia="宋体"/>
      <w:snapToGrid w:val="0"/>
      <w:kern w:val="21"/>
      <w:sz w:val="18"/>
    </w:rPr>
  </w:style>
  <w:style w:type="paragraph" w:customStyle="1" w:styleId="499">
    <w:name w:val="图 带文本框文字"/>
    <w:link w:val="500"/>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500">
    <w:name w:val="图 带文本框文字 Char"/>
    <w:link w:val="499"/>
    <w:qFormat/>
    <w:uiPriority w:val="0"/>
    <w:rPr>
      <w:rFonts w:ascii="Times New Roman" w:hAnsi="Times New Roman" w:eastAsia="宋体"/>
      <w:snapToGrid w:val="0"/>
      <w:kern w:val="21"/>
      <w:sz w:val="21"/>
      <w:szCs w:val="21"/>
    </w:rPr>
  </w:style>
  <w:style w:type="paragraph" w:customStyle="1" w:styleId="501">
    <w:name w:val="图 无文本框文字"/>
    <w:link w:val="502"/>
    <w:qFormat/>
    <w:uiPriority w:val="0"/>
    <w:pPr>
      <w:adjustRightInd w:val="0"/>
      <w:snapToGrid w:val="0"/>
      <w:jc w:val="center"/>
    </w:pPr>
    <w:rPr>
      <w:rFonts w:ascii="Times New Roman" w:hAnsi="Times New Roman" w:eastAsia="宋体" w:cs="Times New Roman"/>
      <w:snapToGrid w:val="0"/>
      <w:kern w:val="18"/>
      <w:sz w:val="18"/>
      <w:szCs w:val="18"/>
      <w:lang w:val="en-US" w:eastAsia="zh-CN" w:bidi="ar-SA"/>
    </w:rPr>
  </w:style>
  <w:style w:type="character" w:customStyle="1" w:styleId="502">
    <w:name w:val="图 无文本框文字 Char"/>
    <w:link w:val="501"/>
    <w:qFormat/>
    <w:uiPriority w:val="0"/>
    <w:rPr>
      <w:rFonts w:ascii="Times New Roman" w:hAnsi="Times New Roman" w:eastAsia="宋体"/>
      <w:snapToGrid w:val="0"/>
      <w:kern w:val="18"/>
      <w:sz w:val="18"/>
      <w:szCs w:val="18"/>
    </w:rPr>
  </w:style>
  <w:style w:type="paragraph" w:customStyle="1" w:styleId="503">
    <w:name w:val="业主资料"/>
    <w:basedOn w:val="294"/>
    <w:link w:val="504"/>
    <w:qFormat/>
    <w:uiPriority w:val="0"/>
    <w:pPr>
      <w:widowControl w:val="0"/>
      <w:spacing w:line="280" w:lineRule="exact"/>
      <w:ind w:firstLine="0"/>
      <w:jc w:val="left"/>
      <w:outlineLvl w:val="3"/>
    </w:pPr>
    <w:rPr>
      <w:rFonts w:eastAsiaTheme="minorEastAsia" w:cstheme="minorBidi"/>
      <w:bCs w:val="0"/>
      <w:color w:val="0000CC"/>
      <w:kern w:val="2"/>
      <w:sz w:val="18"/>
      <w:szCs w:val="21"/>
    </w:rPr>
  </w:style>
  <w:style w:type="character" w:customStyle="1" w:styleId="504">
    <w:name w:val="业主资料 Char"/>
    <w:basedOn w:val="295"/>
    <w:link w:val="503"/>
    <w:qFormat/>
    <w:uiPriority w:val="0"/>
    <w:rPr>
      <w:rFonts w:ascii="Times New Roman" w:hAnsi="Times New Roman" w:eastAsiaTheme="minorEastAsia" w:cstheme="minorBidi"/>
      <w:bCs w:val="0"/>
      <w:color w:val="0000CC"/>
      <w:kern w:val="2"/>
      <w:sz w:val="18"/>
      <w:szCs w:val="21"/>
    </w:rPr>
  </w:style>
  <w:style w:type="character" w:customStyle="1" w:styleId="505">
    <w:name w:val="fs_141"/>
    <w:unhideWhenUsed/>
    <w:qFormat/>
    <w:uiPriority w:val="0"/>
    <w:rPr>
      <w:sz w:val="21"/>
      <w:szCs w:val="21"/>
    </w:rPr>
  </w:style>
  <w:style w:type="character" w:customStyle="1" w:styleId="506">
    <w:name w:val="环评正文 Char1"/>
    <w:qFormat/>
    <w:uiPriority w:val="0"/>
    <w:rPr>
      <w:rFonts w:ascii="Times New Roman" w:hAnsi="Times New Roman" w:eastAsia="仿宋_GB2312" w:cs="Times New Roman"/>
      <w:kern w:val="44"/>
      <w:sz w:val="24"/>
      <w:szCs w:val="20"/>
    </w:rPr>
  </w:style>
  <w:style w:type="paragraph" w:customStyle="1" w:styleId="507">
    <w:name w:val="Normal_147"/>
    <w:unhideWhenUsed/>
    <w:qFormat/>
    <w:uiPriority w:val="0"/>
    <w:pPr>
      <w:spacing w:before="120" w:after="240"/>
      <w:jc w:val="both"/>
    </w:pPr>
    <w:rPr>
      <w:rFonts w:ascii="Calibri" w:hAnsi="Calibri" w:eastAsia="Calibri" w:cs="Times New Roman"/>
      <w:sz w:val="22"/>
      <w:szCs w:val="22"/>
      <w:lang w:val="ru-RU" w:eastAsia="en-US" w:bidi="ar-SA"/>
    </w:rPr>
  </w:style>
  <w:style w:type="paragraph" w:customStyle="1" w:styleId="508">
    <w:name w:val="Normal_156"/>
    <w:unhideWhenUsed/>
    <w:qFormat/>
    <w:uiPriority w:val="0"/>
    <w:pPr>
      <w:spacing w:before="120" w:after="240"/>
      <w:jc w:val="both"/>
    </w:pPr>
    <w:rPr>
      <w:rFonts w:ascii="Calibri" w:hAnsi="Calibri" w:eastAsia="Calibri" w:cs="Times New Roman"/>
      <w:sz w:val="22"/>
      <w:szCs w:val="22"/>
      <w:lang w:val="ru-RU" w:eastAsia="en-US" w:bidi="ar-SA"/>
    </w:rPr>
  </w:style>
  <w:style w:type="paragraph" w:customStyle="1" w:styleId="509">
    <w:name w:val="表格文字-hao-居中"/>
    <w:next w:val="1"/>
    <w:link w:val="510"/>
    <w:qFormat/>
    <w:uiPriority w:val="0"/>
    <w:pPr>
      <w:widowControl w:val="0"/>
      <w:adjustRightInd w:val="0"/>
      <w:snapToGrid w:val="0"/>
      <w:spacing w:line="320" w:lineRule="exact"/>
      <w:jc w:val="center"/>
      <w:textAlignment w:val="center"/>
    </w:pPr>
    <w:rPr>
      <w:rFonts w:ascii="Times New Roman" w:hAnsi="Times New Roman" w:eastAsia="宋体" w:cs="Times New Roman"/>
      <w:bCs/>
      <w:snapToGrid w:val="0"/>
      <w:kern w:val="2"/>
      <w:sz w:val="22"/>
      <w:szCs w:val="18"/>
      <w:lang w:val="en-US" w:eastAsia="zh-CN" w:bidi="ar-SA"/>
    </w:rPr>
  </w:style>
  <w:style w:type="character" w:customStyle="1" w:styleId="510">
    <w:name w:val="表格文字-hao-居中 Char"/>
    <w:link w:val="509"/>
    <w:qFormat/>
    <w:uiPriority w:val="0"/>
    <w:rPr>
      <w:rFonts w:ascii="Times New Roman" w:hAnsi="Times New Roman" w:eastAsia="宋体"/>
      <w:bCs/>
      <w:snapToGrid w:val="0"/>
      <w:kern w:val="2"/>
      <w:sz w:val="22"/>
      <w:szCs w:val="18"/>
    </w:rPr>
  </w:style>
  <w:style w:type="paragraph" w:customStyle="1" w:styleId="511">
    <w:name w:val="正业主"/>
    <w:link w:val="512"/>
    <w:qFormat/>
    <w:uiPriority w:val="0"/>
    <w:pPr>
      <w:jc w:val="both"/>
    </w:pPr>
    <w:rPr>
      <w:rFonts w:ascii="Times New Roman" w:hAnsi="Times New Roman" w:eastAsiaTheme="minorEastAsia" w:cstheme="minorBidi"/>
      <w:color w:val="0000FF"/>
      <w:kern w:val="2"/>
      <w:sz w:val="18"/>
      <w:szCs w:val="21"/>
      <w:lang w:val="en-US" w:eastAsia="zh-CN" w:bidi="ar-SA"/>
    </w:rPr>
  </w:style>
  <w:style w:type="character" w:customStyle="1" w:styleId="512">
    <w:name w:val="正业主 Char"/>
    <w:basedOn w:val="295"/>
    <w:link w:val="511"/>
    <w:qFormat/>
    <w:uiPriority w:val="0"/>
    <w:rPr>
      <w:rFonts w:ascii="Times New Roman" w:hAnsi="Times New Roman" w:eastAsiaTheme="minorEastAsia" w:cstheme="minorBidi"/>
      <w:bCs w:val="0"/>
      <w:color w:val="0000FF"/>
      <w:kern w:val="2"/>
      <w:sz w:val="18"/>
      <w:szCs w:val="21"/>
    </w:rPr>
  </w:style>
  <w:style w:type="paragraph" w:customStyle="1" w:styleId="513">
    <w:name w:val="csp"/>
    <w:basedOn w:val="1"/>
    <w:qFormat/>
    <w:uiPriority w:val="0"/>
    <w:pPr>
      <w:adjustRightInd w:val="0"/>
      <w:snapToGrid w:val="0"/>
      <w:spacing w:line="240" w:lineRule="auto"/>
      <w:jc w:val="center"/>
    </w:pPr>
    <w:rPr>
      <w:rFonts w:ascii="宋体" w:hAnsi="宋体" w:eastAsia="宋体" w:cs="宋体"/>
      <w:kern w:val="0"/>
      <w:sz w:val="21"/>
      <w:szCs w:val="30"/>
    </w:rPr>
  </w:style>
  <w:style w:type="character" w:customStyle="1" w:styleId="514">
    <w:name w:val="表格标题 Char1"/>
    <w:qFormat/>
    <w:uiPriority w:val="0"/>
    <w:rPr>
      <w:rFonts w:ascii="新宋体" w:eastAsia="新宋体"/>
      <w:w w:val="90"/>
      <w:kern w:val="2"/>
      <w:sz w:val="22"/>
    </w:rPr>
  </w:style>
  <w:style w:type="character" w:customStyle="1" w:styleId="515">
    <w:name w:val="纯文本 字符3"/>
    <w:basedOn w:val="134"/>
    <w:qFormat/>
    <w:uiPriority w:val="99"/>
    <w:rPr>
      <w:rFonts w:ascii="宋体" w:hAnsi="Courier New" w:eastAsia="Times New Roman" w:cs="Times New Roman"/>
      <w:szCs w:val="20"/>
    </w:rPr>
  </w:style>
  <w:style w:type="character" w:customStyle="1" w:styleId="516">
    <w:name w:val="日期 字符3"/>
    <w:basedOn w:val="134"/>
    <w:qFormat/>
    <w:uiPriority w:val="99"/>
    <w:rPr>
      <w:rFonts w:ascii="Times New Roman" w:hAnsi="Times New Roman"/>
      <w:sz w:val="24"/>
      <w:szCs w:val="21"/>
    </w:rPr>
  </w:style>
  <w:style w:type="paragraph" w:customStyle="1" w:styleId="517">
    <w:name w:val="h正文"/>
    <w:basedOn w:val="1"/>
    <w:qFormat/>
    <w:uiPriority w:val="0"/>
    <w:pPr>
      <w:widowControl w:val="0"/>
      <w:autoSpaceDE w:val="0"/>
      <w:autoSpaceDN w:val="0"/>
      <w:adjustRightInd w:val="0"/>
      <w:spacing w:line="312" w:lineRule="atLeast"/>
      <w:textAlignment w:val="baseline"/>
    </w:pPr>
    <w:rPr>
      <w:rFonts w:eastAsia="宋体"/>
      <w:kern w:val="21"/>
      <w:sz w:val="21"/>
      <w:szCs w:val="20"/>
    </w:rPr>
  </w:style>
  <w:style w:type="character" w:customStyle="1" w:styleId="518">
    <w:name w:val="0正文样式 Char"/>
    <w:link w:val="519"/>
    <w:qFormat/>
    <w:locked/>
    <w:uiPriority w:val="0"/>
    <w:rPr>
      <w:sz w:val="24"/>
      <w:szCs w:val="24"/>
    </w:rPr>
  </w:style>
  <w:style w:type="paragraph" w:customStyle="1" w:styleId="519">
    <w:name w:val="0正文样式"/>
    <w:basedOn w:val="1"/>
    <w:link w:val="518"/>
    <w:qFormat/>
    <w:uiPriority w:val="0"/>
    <w:pPr>
      <w:widowControl w:val="0"/>
      <w:spacing w:line="240" w:lineRule="auto"/>
    </w:pPr>
    <w:rPr>
      <w:rFonts w:ascii="等线" w:hAnsi="等线"/>
      <w:kern w:val="0"/>
      <w:szCs w:val="24"/>
    </w:rPr>
  </w:style>
  <w:style w:type="table" w:customStyle="1" w:styleId="520">
    <w:name w:val="网格型刘1"/>
    <w:basedOn w:val="89"/>
    <w:qFormat/>
    <w:uiPriority w:val="0"/>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1">
    <w:name w:val="0表格样式 Char"/>
    <w:link w:val="522"/>
    <w:qFormat/>
    <w:uiPriority w:val="0"/>
    <w:rPr>
      <w:sz w:val="18"/>
      <w:szCs w:val="24"/>
    </w:rPr>
  </w:style>
  <w:style w:type="paragraph" w:customStyle="1" w:styleId="522">
    <w:name w:val="0表格样式"/>
    <w:basedOn w:val="1"/>
    <w:link w:val="521"/>
    <w:qFormat/>
    <w:uiPriority w:val="0"/>
    <w:pPr>
      <w:widowControl w:val="0"/>
      <w:spacing w:line="280" w:lineRule="exact"/>
      <w:jc w:val="center"/>
    </w:pPr>
    <w:rPr>
      <w:rFonts w:ascii="等线" w:hAnsi="等线"/>
      <w:kern w:val="0"/>
      <w:sz w:val="18"/>
      <w:szCs w:val="24"/>
    </w:rPr>
  </w:style>
  <w:style w:type="character" w:customStyle="1" w:styleId="523">
    <w:name w:val="页眉 Char1"/>
    <w:basedOn w:val="134"/>
    <w:qFormat/>
    <w:uiPriority w:val="0"/>
    <w:rPr>
      <w:rFonts w:ascii="Times New Roman" w:hAnsi="Times New Roman" w:eastAsia="宋体" w:cs="Times New Roman"/>
      <w:sz w:val="18"/>
      <w:szCs w:val="18"/>
    </w:rPr>
  </w:style>
  <w:style w:type="character" w:customStyle="1" w:styleId="524">
    <w:name w:val="纯文本 Char1"/>
    <w:basedOn w:val="134"/>
    <w:qFormat/>
    <w:uiPriority w:val="99"/>
    <w:rPr>
      <w:rFonts w:ascii="宋体" w:hAnsi="Courier New" w:eastAsia="宋体" w:cs="Courier New"/>
    </w:rPr>
  </w:style>
  <w:style w:type="table" w:customStyle="1" w:styleId="525">
    <w:name w:val="网格型刘2"/>
    <w:basedOn w:val="89"/>
    <w:qFormat/>
    <w:uiPriority w:val="0"/>
    <w:rPr>
      <w:rFonts w:ascii="Calibri" w:hAnsi="Calibri"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6">
    <w:name w:val="网格型刘3"/>
    <w:basedOn w:val="89"/>
    <w:qFormat/>
    <w:uiPriority w:val="0"/>
    <w:rPr>
      <w:rFonts w:ascii="Calibri" w:hAnsi="Calibri"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7">
    <w:name w:val="网格型刘5"/>
    <w:basedOn w:val="89"/>
    <w:qFormat/>
    <w:uiPriority w:val="0"/>
    <w:rPr>
      <w:rFonts w:ascii="Calibri" w:hAnsi="Calibri"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8">
    <w:name w:val="xl28"/>
    <w:basedOn w:val="1"/>
    <w:qFormat/>
    <w:uiPriority w:val="0"/>
    <w:pPr>
      <w:pBdr>
        <w:bottom w:val="single" w:color="auto" w:sz="4" w:space="0"/>
        <w:right w:val="single" w:color="auto" w:sz="4" w:space="0"/>
      </w:pBdr>
      <w:spacing w:before="100" w:beforeAutospacing="1" w:after="100" w:afterAutospacing="1" w:line="240" w:lineRule="auto"/>
    </w:pPr>
    <w:rPr>
      <w:rFonts w:ascii="宋体" w:hAnsi="宋体" w:eastAsia="宋体"/>
      <w:kern w:val="0"/>
      <w:szCs w:val="24"/>
    </w:rPr>
  </w:style>
  <w:style w:type="paragraph" w:customStyle="1" w:styleId="529">
    <w:name w:val="正文首行缩进:  2 字符"/>
    <w:basedOn w:val="1"/>
    <w:qFormat/>
    <w:uiPriority w:val="0"/>
    <w:pPr>
      <w:widowControl w:val="0"/>
      <w:spacing w:line="240" w:lineRule="auto"/>
      <w:ind w:firstLine="480"/>
    </w:pPr>
    <w:rPr>
      <w:rFonts w:eastAsia="宋体"/>
      <w:szCs w:val="20"/>
    </w:rPr>
  </w:style>
  <w:style w:type="table" w:customStyle="1" w:styleId="530">
    <w:name w:val="网格型刘6"/>
    <w:basedOn w:val="89"/>
    <w:qFormat/>
    <w:uiPriority w:val="0"/>
    <w:rPr>
      <w:rFonts w:ascii="Calibri" w:hAnsi="Calibri" w:eastAsia="宋体"/>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1">
    <w:name w:val="文本块 字符3"/>
    <w:link w:val="40"/>
    <w:qFormat/>
    <w:uiPriority w:val="0"/>
    <w:rPr>
      <w:rFonts w:ascii="Times New Roman" w:hAnsi="Times New Roman" w:eastAsia="宋体"/>
      <w:snapToGrid w:val="0"/>
      <w:kern w:val="21"/>
      <w:sz w:val="21"/>
      <w:szCs w:val="24"/>
    </w:rPr>
  </w:style>
  <w:style w:type="paragraph" w:customStyle="1" w:styleId="532">
    <w:name w:val="疑问"/>
    <w:link w:val="533"/>
    <w:qFormat/>
    <w:uiPriority w:val="0"/>
    <w:pPr>
      <w:spacing w:line="500" w:lineRule="exact"/>
      <w:outlineLvl w:val="4"/>
    </w:pPr>
    <w:rPr>
      <w:rFonts w:ascii="Times New Roman" w:hAnsi="Times New Roman" w:eastAsiaTheme="minorEastAsia" w:cstheme="minorBidi"/>
      <w:color w:val="FF00FF"/>
      <w:kern w:val="2"/>
      <w:sz w:val="28"/>
      <w:szCs w:val="21"/>
      <w:lang w:val="en-US" w:eastAsia="zh-CN" w:bidi="ar-SA"/>
    </w:rPr>
  </w:style>
  <w:style w:type="character" w:customStyle="1" w:styleId="533">
    <w:name w:val="疑问 Char"/>
    <w:basedOn w:val="504"/>
    <w:link w:val="532"/>
    <w:qFormat/>
    <w:uiPriority w:val="0"/>
    <w:rPr>
      <w:rFonts w:ascii="Times New Roman" w:hAnsi="Times New Roman" w:eastAsiaTheme="minorEastAsia" w:cstheme="minorBidi"/>
      <w:color w:val="FF00FF"/>
      <w:kern w:val="2"/>
      <w:sz w:val="28"/>
      <w:szCs w:val="21"/>
    </w:rPr>
  </w:style>
  <w:style w:type="paragraph" w:customStyle="1" w:styleId="534">
    <w:name w:val="五号框图文字"/>
    <w:basedOn w:val="1"/>
    <w:qFormat/>
    <w:uiPriority w:val="0"/>
    <w:pPr>
      <w:widowControl w:val="0"/>
      <w:tabs>
        <w:tab w:val="left" w:pos="567"/>
      </w:tabs>
      <w:spacing w:line="240" w:lineRule="auto"/>
      <w:jc w:val="center"/>
    </w:pPr>
    <w:rPr>
      <w:rFonts w:eastAsia="华文中宋"/>
      <w:sz w:val="21"/>
      <w:szCs w:val="21"/>
    </w:rPr>
  </w:style>
  <w:style w:type="character" w:customStyle="1" w:styleId="535">
    <w:name w:val="xb1"/>
    <w:qFormat/>
    <w:uiPriority w:val="0"/>
    <w:rPr>
      <w:sz w:val="20"/>
      <w:szCs w:val="20"/>
      <w:vertAlign w:val="subscript"/>
    </w:rPr>
  </w:style>
  <w:style w:type="character" w:customStyle="1" w:styleId="536">
    <w:name w:val="正文文本缩进 字符2"/>
    <w:basedOn w:val="134"/>
    <w:qFormat/>
    <w:uiPriority w:val="0"/>
    <w:rPr>
      <w:rFonts w:ascii="Times New Roman" w:hAnsi="Times New Roman" w:eastAsia="宋体" w:cs="Times New Roman"/>
      <w:sz w:val="24"/>
      <w:szCs w:val="20"/>
    </w:rPr>
  </w:style>
  <w:style w:type="character" w:customStyle="1" w:styleId="537">
    <w:name w:val="EmailStyle672"/>
    <w:qFormat/>
    <w:uiPriority w:val="0"/>
    <w:rPr>
      <w:rFonts w:ascii="Arial" w:hAnsi="Arial" w:eastAsia="宋体" w:cs="Arial"/>
      <w:color w:val="auto"/>
      <w:sz w:val="20"/>
    </w:rPr>
  </w:style>
  <w:style w:type="character" w:customStyle="1" w:styleId="538">
    <w:name w:val="正文文本 字符3"/>
    <w:basedOn w:val="134"/>
    <w:qFormat/>
    <w:uiPriority w:val="99"/>
    <w:rPr>
      <w:rFonts w:ascii="Times New Roman" w:hAnsi="Times New Roman"/>
      <w:sz w:val="24"/>
      <w:szCs w:val="21"/>
    </w:rPr>
  </w:style>
  <w:style w:type="paragraph" w:customStyle="1" w:styleId="539">
    <w:name w:val="默认段落字体 Para Char"/>
    <w:basedOn w:val="1"/>
    <w:qFormat/>
    <w:uiPriority w:val="0"/>
    <w:pPr>
      <w:widowControl w:val="0"/>
      <w:adjustRightInd w:val="0"/>
      <w:snapToGrid w:val="0"/>
      <w:spacing w:line="440" w:lineRule="exact"/>
      <w:ind w:firstLine="880" w:firstLineChars="200"/>
    </w:pPr>
    <w:rPr>
      <w:rFonts w:ascii="宋体" w:hAnsi="宋体" w:eastAsia="宋体"/>
      <w:szCs w:val="24"/>
    </w:rPr>
  </w:style>
  <w:style w:type="paragraph" w:customStyle="1" w:styleId="540">
    <w:name w:val="列出段落1"/>
    <w:basedOn w:val="1"/>
    <w:link w:val="1522"/>
    <w:qFormat/>
    <w:uiPriority w:val="0"/>
    <w:pPr>
      <w:widowControl w:val="0"/>
      <w:adjustRightInd w:val="0"/>
      <w:snapToGrid w:val="0"/>
      <w:spacing w:line="440" w:lineRule="exact"/>
      <w:ind w:firstLine="420" w:firstLineChars="200"/>
    </w:pPr>
    <w:rPr>
      <w:rFonts w:ascii="宋体" w:hAnsi="宋体" w:eastAsia="宋体"/>
      <w:szCs w:val="24"/>
    </w:rPr>
  </w:style>
  <w:style w:type="paragraph" w:customStyle="1" w:styleId="541">
    <w:name w:val="正文_41"/>
    <w:qFormat/>
    <w:uiPriority w:val="99"/>
    <w:pPr>
      <w:widowControl w:val="0"/>
      <w:jc w:val="both"/>
    </w:pPr>
    <w:rPr>
      <w:rFonts w:ascii="Calibri" w:hAnsi="Calibri" w:eastAsia="宋体" w:cs="Times New Roman"/>
      <w:kern w:val="2"/>
      <w:sz w:val="21"/>
      <w:lang w:val="en-US" w:eastAsia="zh-CN" w:bidi="ar-SA"/>
    </w:rPr>
  </w:style>
  <w:style w:type="paragraph" w:customStyle="1" w:styleId="542">
    <w:name w:val="表格内文字"/>
    <w:basedOn w:val="1"/>
    <w:link w:val="1394"/>
    <w:qFormat/>
    <w:uiPriority w:val="0"/>
    <w:pPr>
      <w:widowControl w:val="0"/>
      <w:adjustRightInd w:val="0"/>
      <w:snapToGrid w:val="0"/>
      <w:spacing w:line="240" w:lineRule="auto"/>
      <w:jc w:val="center"/>
    </w:pPr>
    <w:rPr>
      <w:rFonts w:eastAsia="宋体" w:cs="宋体"/>
      <w:snapToGrid w:val="0"/>
      <w:kern w:val="24"/>
      <w:sz w:val="18"/>
      <w:szCs w:val="20"/>
    </w:rPr>
  </w:style>
  <w:style w:type="character" w:customStyle="1" w:styleId="543">
    <w:name w:val="正文文本 3 字符3"/>
    <w:link w:val="32"/>
    <w:qFormat/>
    <w:uiPriority w:val="0"/>
    <w:rPr>
      <w:rFonts w:ascii="Times New Roman" w:hAnsi="Times New Roman" w:eastAsiaTheme="minorEastAsia" w:cstheme="minorBidi"/>
      <w:kern w:val="2"/>
      <w:sz w:val="16"/>
      <w:szCs w:val="16"/>
    </w:rPr>
  </w:style>
  <w:style w:type="character" w:customStyle="1" w:styleId="544">
    <w:name w:val="正文文本 3 Char1"/>
    <w:basedOn w:val="134"/>
    <w:qFormat/>
    <w:uiPriority w:val="0"/>
    <w:rPr>
      <w:rFonts w:ascii="Times New Roman" w:hAnsi="Times New Roman"/>
      <w:sz w:val="16"/>
      <w:szCs w:val="16"/>
    </w:rPr>
  </w:style>
  <w:style w:type="paragraph" w:customStyle="1" w:styleId="545">
    <w:name w:val="日期1"/>
    <w:basedOn w:val="1"/>
    <w:next w:val="1"/>
    <w:link w:val="546"/>
    <w:qFormat/>
    <w:uiPriority w:val="0"/>
    <w:pPr>
      <w:adjustRightInd w:val="0"/>
      <w:spacing w:line="240" w:lineRule="auto"/>
      <w:jc w:val="left"/>
      <w:textAlignment w:val="baseline"/>
    </w:pPr>
    <w:rPr>
      <w:rFonts w:eastAsia="宋体"/>
      <w:sz w:val="21"/>
      <w:szCs w:val="20"/>
    </w:rPr>
  </w:style>
  <w:style w:type="character" w:customStyle="1" w:styleId="546">
    <w:name w:val="Date Char Char"/>
    <w:link w:val="545"/>
    <w:qFormat/>
    <w:uiPriority w:val="0"/>
    <w:rPr>
      <w:rFonts w:ascii="Times New Roman" w:hAnsi="Times New Roman" w:eastAsia="宋体"/>
      <w:kern w:val="2"/>
      <w:sz w:val="21"/>
    </w:rPr>
  </w:style>
  <w:style w:type="paragraph" w:customStyle="1" w:styleId="547">
    <w:name w:val="表体"/>
    <w:basedOn w:val="1"/>
    <w:qFormat/>
    <w:uiPriority w:val="99"/>
    <w:pPr>
      <w:widowControl w:val="0"/>
      <w:spacing w:line="220" w:lineRule="exact"/>
    </w:pPr>
    <w:rPr>
      <w:rFonts w:eastAsia="宋体"/>
      <w:sz w:val="18"/>
      <w:szCs w:val="18"/>
    </w:rPr>
  </w:style>
  <w:style w:type="paragraph" w:customStyle="1" w:styleId="548">
    <w:name w:val="BG1"/>
    <w:basedOn w:val="1"/>
    <w:qFormat/>
    <w:uiPriority w:val="0"/>
    <w:pPr>
      <w:widowControl w:val="0"/>
      <w:spacing w:line="220" w:lineRule="exact"/>
      <w:jc w:val="center"/>
    </w:pPr>
    <w:rPr>
      <w:rFonts w:eastAsia="宋体"/>
      <w:color w:val="000000"/>
      <w:sz w:val="18"/>
      <w:szCs w:val="18"/>
    </w:rPr>
  </w:style>
  <w:style w:type="paragraph" w:customStyle="1" w:styleId="549">
    <w:name w:val="样式 正文（首行缩进两字） + 宋体"/>
    <w:basedOn w:val="22"/>
    <w:qFormat/>
    <w:uiPriority w:val="99"/>
    <w:pPr>
      <w:widowControl w:val="0"/>
      <w:adjustRightInd w:val="0"/>
      <w:ind w:firstLine="0"/>
    </w:pPr>
    <w:rPr>
      <w:rFonts w:ascii="宋体" w:hAnsi="宋体" w:eastAsia="宋体"/>
      <w:kern w:val="2"/>
      <w:sz w:val="28"/>
    </w:rPr>
  </w:style>
  <w:style w:type="character" w:customStyle="1" w:styleId="550">
    <w:name w:val="标题 6 字符2"/>
    <w:basedOn w:val="134"/>
    <w:link w:val="9"/>
    <w:qFormat/>
    <w:uiPriority w:val="9"/>
    <w:rPr>
      <w:rFonts w:ascii="Arial" w:hAnsi="Arial" w:eastAsia="黑体"/>
      <w:b/>
      <w:sz w:val="24"/>
    </w:rPr>
  </w:style>
  <w:style w:type="character" w:customStyle="1" w:styleId="551">
    <w:name w:val="标题 7 字符2"/>
    <w:basedOn w:val="134"/>
    <w:link w:val="10"/>
    <w:qFormat/>
    <w:uiPriority w:val="9"/>
    <w:rPr>
      <w:rFonts w:ascii="Times New Roman" w:hAnsi="Times New Roman" w:eastAsia="华文楷体"/>
      <w:b/>
      <w:bCs/>
      <w:kern w:val="2"/>
      <w:sz w:val="24"/>
      <w:szCs w:val="24"/>
    </w:rPr>
  </w:style>
  <w:style w:type="character" w:customStyle="1" w:styleId="552">
    <w:name w:val="标题 8 字符3"/>
    <w:basedOn w:val="134"/>
    <w:link w:val="11"/>
    <w:qFormat/>
    <w:uiPriority w:val="9"/>
    <w:rPr>
      <w:rFonts w:ascii="Arial" w:hAnsi="Arial" w:eastAsia="黑体"/>
      <w:kern w:val="2"/>
      <w:sz w:val="24"/>
      <w:szCs w:val="24"/>
    </w:rPr>
  </w:style>
  <w:style w:type="character" w:customStyle="1" w:styleId="553">
    <w:name w:val="标题 9 字符3"/>
    <w:basedOn w:val="134"/>
    <w:link w:val="12"/>
    <w:qFormat/>
    <w:uiPriority w:val="9"/>
    <w:rPr>
      <w:rFonts w:ascii="Arial" w:hAnsi="Arial" w:eastAsia="黑体"/>
      <w:kern w:val="2"/>
      <w:sz w:val="21"/>
      <w:szCs w:val="21"/>
    </w:rPr>
  </w:style>
  <w:style w:type="paragraph" w:customStyle="1" w:styleId="554">
    <w:name w:val="样式 两端对齐 首行缩进:  1.04 厘米 行距: 1.5 倍行距"/>
    <w:basedOn w:val="1"/>
    <w:qFormat/>
    <w:uiPriority w:val="99"/>
    <w:pPr>
      <w:spacing w:before="120" w:after="120"/>
      <w:ind w:firstLine="590" w:firstLineChars="200"/>
    </w:pPr>
    <w:rPr>
      <w:rFonts w:ascii="Garamond" w:hAnsi="Garamond" w:eastAsia="华文楷体" w:cs="宋体"/>
      <w:kern w:val="28"/>
      <w:sz w:val="28"/>
      <w:szCs w:val="28"/>
    </w:rPr>
  </w:style>
  <w:style w:type="character" w:customStyle="1" w:styleId="555">
    <w:name w:val="正文首行缩进 字符3"/>
    <w:basedOn w:val="538"/>
    <w:qFormat/>
    <w:uiPriority w:val="99"/>
    <w:rPr>
      <w:rFonts w:ascii="楷体_GB2312" w:hAnsi="Times New Roman" w:eastAsia="楷体_GB2312" w:cs="Times New Roman"/>
      <w:sz w:val="28"/>
      <w:szCs w:val="28"/>
    </w:rPr>
  </w:style>
  <w:style w:type="character" w:customStyle="1" w:styleId="556">
    <w:name w:val="正文文本缩进 2 字符2"/>
    <w:basedOn w:val="134"/>
    <w:qFormat/>
    <w:uiPriority w:val="99"/>
    <w:rPr>
      <w:rFonts w:ascii="Times New Roman" w:hAnsi="Times New Roman" w:eastAsia="宋体" w:cs="Times New Roman"/>
      <w:kern w:val="0"/>
      <w:sz w:val="28"/>
      <w:szCs w:val="20"/>
    </w:rPr>
  </w:style>
  <w:style w:type="character" w:customStyle="1" w:styleId="557">
    <w:name w:val="副标题 字符2"/>
    <w:basedOn w:val="134"/>
    <w:link w:val="65"/>
    <w:qFormat/>
    <w:uiPriority w:val="99"/>
    <w:rPr>
      <w:rFonts w:asciiTheme="minorHAnsi" w:hAnsiTheme="minorHAnsi" w:eastAsiaTheme="minorEastAsia" w:cstheme="minorBidi"/>
      <w:b/>
      <w:bCs/>
      <w:kern w:val="28"/>
      <w:sz w:val="24"/>
      <w:szCs w:val="32"/>
    </w:rPr>
  </w:style>
  <w:style w:type="character" w:customStyle="1" w:styleId="558">
    <w:name w:val="脚注文本 字符3"/>
    <w:basedOn w:val="134"/>
    <w:link w:val="68"/>
    <w:qFormat/>
    <w:uiPriority w:val="0"/>
    <w:rPr>
      <w:rFonts w:ascii="Times New Roman" w:hAnsi="Times New Roman" w:eastAsia="宋体"/>
      <w:kern w:val="2"/>
      <w:sz w:val="18"/>
      <w:szCs w:val="18"/>
    </w:rPr>
  </w:style>
  <w:style w:type="character" w:customStyle="1" w:styleId="559">
    <w:name w:val="正文文本缩进 3 字符3"/>
    <w:basedOn w:val="134"/>
    <w:link w:val="71"/>
    <w:qFormat/>
    <w:uiPriority w:val="0"/>
    <w:rPr>
      <w:rFonts w:ascii="宋体" w:hAnsi="宋体" w:eastAsia="宋体"/>
      <w:sz w:val="28"/>
    </w:rPr>
  </w:style>
  <w:style w:type="character" w:customStyle="1" w:styleId="560">
    <w:name w:val="正文首行缩进 2 字符3"/>
    <w:basedOn w:val="536"/>
    <w:qFormat/>
    <w:uiPriority w:val="0"/>
    <w:rPr>
      <w:rFonts w:ascii="宋体" w:hAnsi="宋体" w:eastAsia="华文楷体" w:cs="Times New Roman"/>
      <w:color w:val="FF0000"/>
      <w:sz w:val="28"/>
      <w:szCs w:val="20"/>
    </w:rPr>
  </w:style>
  <w:style w:type="paragraph" w:customStyle="1" w:styleId="561">
    <w:name w:val="Plain Text1"/>
    <w:basedOn w:val="1"/>
    <w:qFormat/>
    <w:uiPriority w:val="0"/>
    <w:pPr>
      <w:widowControl w:val="0"/>
      <w:adjustRightInd w:val="0"/>
      <w:spacing w:before="120" w:after="120" w:line="520" w:lineRule="exact"/>
      <w:ind w:firstLine="200" w:firstLineChars="200"/>
      <w:textAlignment w:val="baseline"/>
    </w:pPr>
    <w:rPr>
      <w:rFonts w:ascii="宋体" w:hAnsi="Courier New" w:eastAsia="华文楷体"/>
      <w:sz w:val="21"/>
      <w:szCs w:val="20"/>
    </w:rPr>
  </w:style>
  <w:style w:type="paragraph" w:customStyle="1" w:styleId="562">
    <w:name w:val="标准"/>
    <w:basedOn w:val="1"/>
    <w:qFormat/>
    <w:uiPriority w:val="0"/>
    <w:pPr>
      <w:widowControl w:val="0"/>
      <w:adjustRightInd w:val="0"/>
      <w:spacing w:before="120" w:after="120" w:line="312" w:lineRule="atLeast"/>
      <w:ind w:firstLine="200" w:firstLineChars="200"/>
      <w:jc w:val="center"/>
      <w:textAlignment w:val="baseline"/>
    </w:pPr>
    <w:rPr>
      <w:rFonts w:eastAsia="华文楷体"/>
      <w:kern w:val="0"/>
      <w:sz w:val="28"/>
      <w:szCs w:val="20"/>
    </w:rPr>
  </w:style>
  <w:style w:type="paragraph" w:customStyle="1" w:styleId="563">
    <w:name w:val="Definition Term"/>
    <w:basedOn w:val="1"/>
    <w:next w:val="564"/>
    <w:qFormat/>
    <w:uiPriority w:val="99"/>
    <w:pPr>
      <w:widowControl w:val="0"/>
      <w:autoSpaceDE w:val="0"/>
      <w:autoSpaceDN w:val="0"/>
      <w:adjustRightInd w:val="0"/>
      <w:spacing w:before="120" w:after="120" w:line="520" w:lineRule="exact"/>
      <w:ind w:firstLine="200" w:firstLineChars="200"/>
      <w:jc w:val="left"/>
    </w:pPr>
    <w:rPr>
      <w:rFonts w:eastAsia="华文楷体"/>
      <w:kern w:val="0"/>
      <w:szCs w:val="20"/>
    </w:rPr>
  </w:style>
  <w:style w:type="paragraph" w:customStyle="1" w:styleId="564">
    <w:name w:val="Definition List"/>
    <w:basedOn w:val="1"/>
    <w:next w:val="563"/>
    <w:qFormat/>
    <w:uiPriority w:val="99"/>
    <w:pPr>
      <w:widowControl w:val="0"/>
      <w:autoSpaceDE w:val="0"/>
      <w:autoSpaceDN w:val="0"/>
      <w:adjustRightInd w:val="0"/>
      <w:spacing w:before="120" w:after="120" w:line="520" w:lineRule="exact"/>
      <w:ind w:left="360" w:firstLine="200" w:firstLineChars="200"/>
      <w:jc w:val="left"/>
    </w:pPr>
    <w:rPr>
      <w:rFonts w:eastAsia="华文楷体"/>
      <w:kern w:val="0"/>
      <w:szCs w:val="20"/>
    </w:rPr>
  </w:style>
  <w:style w:type="character" w:customStyle="1" w:styleId="565">
    <w:name w:val="Definition"/>
    <w:qFormat/>
    <w:uiPriority w:val="0"/>
    <w:rPr>
      <w:i/>
    </w:rPr>
  </w:style>
  <w:style w:type="paragraph" w:customStyle="1" w:styleId="566">
    <w:name w:val="H1"/>
    <w:basedOn w:val="1"/>
    <w:next w:val="1"/>
    <w:qFormat/>
    <w:uiPriority w:val="99"/>
    <w:pPr>
      <w:keepNext/>
      <w:widowControl w:val="0"/>
      <w:autoSpaceDE w:val="0"/>
      <w:autoSpaceDN w:val="0"/>
      <w:adjustRightInd w:val="0"/>
      <w:spacing w:before="100" w:after="100" w:line="520" w:lineRule="exact"/>
      <w:ind w:firstLine="200" w:firstLineChars="200"/>
      <w:jc w:val="left"/>
      <w:outlineLvl w:val="1"/>
    </w:pPr>
    <w:rPr>
      <w:rFonts w:eastAsia="华文楷体"/>
      <w:b/>
      <w:kern w:val="36"/>
      <w:sz w:val="48"/>
      <w:szCs w:val="20"/>
    </w:rPr>
  </w:style>
  <w:style w:type="paragraph" w:customStyle="1" w:styleId="567">
    <w:name w:val="H2"/>
    <w:basedOn w:val="1"/>
    <w:next w:val="1"/>
    <w:qFormat/>
    <w:uiPriority w:val="99"/>
    <w:pPr>
      <w:keepNext/>
      <w:widowControl w:val="0"/>
      <w:autoSpaceDE w:val="0"/>
      <w:autoSpaceDN w:val="0"/>
      <w:adjustRightInd w:val="0"/>
      <w:spacing w:before="100" w:after="100" w:line="520" w:lineRule="exact"/>
      <w:ind w:firstLine="200" w:firstLineChars="200"/>
      <w:jc w:val="left"/>
      <w:outlineLvl w:val="2"/>
    </w:pPr>
    <w:rPr>
      <w:rFonts w:eastAsia="华文楷体"/>
      <w:b/>
      <w:kern w:val="0"/>
      <w:sz w:val="36"/>
      <w:szCs w:val="20"/>
    </w:rPr>
  </w:style>
  <w:style w:type="paragraph" w:customStyle="1" w:styleId="568">
    <w:name w:val="H3"/>
    <w:basedOn w:val="1"/>
    <w:next w:val="1"/>
    <w:qFormat/>
    <w:uiPriority w:val="99"/>
    <w:pPr>
      <w:keepNext/>
      <w:widowControl w:val="0"/>
      <w:autoSpaceDE w:val="0"/>
      <w:autoSpaceDN w:val="0"/>
      <w:adjustRightInd w:val="0"/>
      <w:spacing w:before="100" w:after="100" w:line="520" w:lineRule="exact"/>
      <w:ind w:firstLine="200" w:firstLineChars="200"/>
      <w:jc w:val="left"/>
      <w:outlineLvl w:val="3"/>
    </w:pPr>
    <w:rPr>
      <w:rFonts w:eastAsia="华文楷体"/>
      <w:b/>
      <w:kern w:val="0"/>
      <w:sz w:val="28"/>
      <w:szCs w:val="20"/>
    </w:rPr>
  </w:style>
  <w:style w:type="paragraph" w:customStyle="1" w:styleId="569">
    <w:name w:val="H4"/>
    <w:basedOn w:val="1"/>
    <w:next w:val="1"/>
    <w:qFormat/>
    <w:uiPriority w:val="99"/>
    <w:pPr>
      <w:keepNext/>
      <w:widowControl w:val="0"/>
      <w:autoSpaceDE w:val="0"/>
      <w:autoSpaceDN w:val="0"/>
      <w:adjustRightInd w:val="0"/>
      <w:spacing w:before="100" w:after="100" w:line="520" w:lineRule="exact"/>
      <w:ind w:firstLine="200" w:firstLineChars="200"/>
      <w:jc w:val="left"/>
      <w:outlineLvl w:val="4"/>
    </w:pPr>
    <w:rPr>
      <w:rFonts w:eastAsia="华文楷体"/>
      <w:b/>
      <w:kern w:val="0"/>
      <w:szCs w:val="20"/>
    </w:rPr>
  </w:style>
  <w:style w:type="paragraph" w:customStyle="1" w:styleId="570">
    <w:name w:val="H5"/>
    <w:basedOn w:val="1"/>
    <w:next w:val="1"/>
    <w:qFormat/>
    <w:uiPriority w:val="99"/>
    <w:pPr>
      <w:keepNext/>
      <w:widowControl w:val="0"/>
      <w:autoSpaceDE w:val="0"/>
      <w:autoSpaceDN w:val="0"/>
      <w:adjustRightInd w:val="0"/>
      <w:spacing w:before="100" w:after="100" w:line="520" w:lineRule="exact"/>
      <w:ind w:firstLine="200" w:firstLineChars="200"/>
      <w:jc w:val="left"/>
      <w:outlineLvl w:val="5"/>
    </w:pPr>
    <w:rPr>
      <w:rFonts w:eastAsia="华文楷体"/>
      <w:b/>
      <w:kern w:val="0"/>
      <w:sz w:val="20"/>
      <w:szCs w:val="20"/>
    </w:rPr>
  </w:style>
  <w:style w:type="paragraph" w:customStyle="1" w:styleId="571">
    <w:name w:val="H6"/>
    <w:basedOn w:val="1"/>
    <w:next w:val="1"/>
    <w:qFormat/>
    <w:uiPriority w:val="99"/>
    <w:pPr>
      <w:keepNext/>
      <w:widowControl w:val="0"/>
      <w:autoSpaceDE w:val="0"/>
      <w:autoSpaceDN w:val="0"/>
      <w:adjustRightInd w:val="0"/>
      <w:spacing w:before="100" w:after="100" w:line="520" w:lineRule="exact"/>
      <w:ind w:firstLine="200" w:firstLineChars="200"/>
      <w:jc w:val="left"/>
      <w:outlineLvl w:val="6"/>
    </w:pPr>
    <w:rPr>
      <w:rFonts w:eastAsia="华文楷体"/>
      <w:b/>
      <w:kern w:val="0"/>
      <w:sz w:val="16"/>
      <w:szCs w:val="20"/>
    </w:rPr>
  </w:style>
  <w:style w:type="paragraph" w:customStyle="1" w:styleId="572">
    <w:name w:val="Address"/>
    <w:basedOn w:val="1"/>
    <w:next w:val="1"/>
    <w:qFormat/>
    <w:uiPriority w:val="99"/>
    <w:pPr>
      <w:widowControl w:val="0"/>
      <w:autoSpaceDE w:val="0"/>
      <w:autoSpaceDN w:val="0"/>
      <w:adjustRightInd w:val="0"/>
      <w:spacing w:before="120" w:after="120" w:line="520" w:lineRule="exact"/>
      <w:ind w:firstLine="200" w:firstLineChars="200"/>
      <w:jc w:val="left"/>
    </w:pPr>
    <w:rPr>
      <w:rFonts w:eastAsia="华文楷体"/>
      <w:i/>
      <w:kern w:val="0"/>
      <w:szCs w:val="20"/>
    </w:rPr>
  </w:style>
  <w:style w:type="paragraph" w:customStyle="1" w:styleId="573">
    <w:name w:val="Blockquote"/>
    <w:basedOn w:val="1"/>
    <w:qFormat/>
    <w:uiPriority w:val="99"/>
    <w:pPr>
      <w:widowControl w:val="0"/>
      <w:autoSpaceDE w:val="0"/>
      <w:autoSpaceDN w:val="0"/>
      <w:adjustRightInd w:val="0"/>
      <w:spacing w:before="100" w:after="100" w:line="520" w:lineRule="exact"/>
      <w:ind w:left="360" w:right="360" w:firstLine="200" w:firstLineChars="200"/>
      <w:jc w:val="left"/>
    </w:pPr>
    <w:rPr>
      <w:rFonts w:eastAsia="华文楷体"/>
      <w:kern w:val="0"/>
      <w:szCs w:val="20"/>
    </w:rPr>
  </w:style>
  <w:style w:type="character" w:customStyle="1" w:styleId="574">
    <w:name w:val="CITE"/>
    <w:qFormat/>
    <w:uiPriority w:val="0"/>
    <w:rPr>
      <w:i/>
    </w:rPr>
  </w:style>
  <w:style w:type="character" w:customStyle="1" w:styleId="575">
    <w:name w:val="CODE"/>
    <w:qFormat/>
    <w:uiPriority w:val="0"/>
    <w:rPr>
      <w:rFonts w:ascii="Courier New" w:hAnsi="Courier New"/>
      <w:sz w:val="20"/>
    </w:rPr>
  </w:style>
  <w:style w:type="character" w:customStyle="1" w:styleId="576">
    <w:name w:val="Keyboard"/>
    <w:qFormat/>
    <w:uiPriority w:val="0"/>
    <w:rPr>
      <w:rFonts w:ascii="Courier New" w:hAnsi="Courier New"/>
      <w:b/>
      <w:sz w:val="20"/>
    </w:rPr>
  </w:style>
  <w:style w:type="paragraph" w:customStyle="1" w:styleId="577">
    <w:name w:val="Preformatted"/>
    <w:basedOn w:val="1"/>
    <w:qFormat/>
    <w:uiPriority w:val="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before="120" w:after="120" w:line="520" w:lineRule="exact"/>
      <w:ind w:firstLine="200" w:firstLineChars="200"/>
      <w:jc w:val="left"/>
    </w:pPr>
    <w:rPr>
      <w:rFonts w:ascii="Courier New" w:hAnsi="Courier New" w:eastAsia="华文楷体"/>
      <w:kern w:val="0"/>
      <w:sz w:val="20"/>
      <w:szCs w:val="20"/>
    </w:rPr>
  </w:style>
  <w:style w:type="paragraph" w:customStyle="1" w:styleId="578">
    <w:name w:val="z-Bottom of Form"/>
    <w:next w:val="1"/>
    <w:hidden/>
    <w:qFormat/>
    <w:uiPriority w:val="99"/>
    <w:pPr>
      <w:widowControl w:val="0"/>
      <w:pBdr>
        <w:top w:val="double" w:color="000000" w:sz="2" w:space="0"/>
      </w:pBdr>
      <w:autoSpaceDE w:val="0"/>
      <w:autoSpaceDN w:val="0"/>
      <w:adjustRightInd w:val="0"/>
      <w:spacing w:before="120" w:after="120" w:line="520" w:lineRule="exact"/>
      <w:ind w:firstLine="200" w:firstLineChars="200"/>
      <w:jc w:val="center"/>
    </w:pPr>
    <w:rPr>
      <w:rFonts w:ascii="Arial" w:hAnsi="Arial" w:eastAsia="宋体" w:cs="Times New Roman"/>
      <w:vanish/>
      <w:sz w:val="16"/>
      <w:lang w:val="en-US" w:eastAsia="zh-CN" w:bidi="ar-SA"/>
    </w:rPr>
  </w:style>
  <w:style w:type="paragraph" w:customStyle="1" w:styleId="579">
    <w:name w:val="z-Top of Form"/>
    <w:next w:val="1"/>
    <w:hidden/>
    <w:qFormat/>
    <w:uiPriority w:val="99"/>
    <w:pPr>
      <w:widowControl w:val="0"/>
      <w:pBdr>
        <w:bottom w:val="double" w:color="000000" w:sz="2" w:space="0"/>
      </w:pBdr>
      <w:autoSpaceDE w:val="0"/>
      <w:autoSpaceDN w:val="0"/>
      <w:adjustRightInd w:val="0"/>
      <w:spacing w:before="120" w:after="120" w:line="520" w:lineRule="exact"/>
      <w:ind w:firstLine="200" w:firstLineChars="200"/>
      <w:jc w:val="center"/>
    </w:pPr>
    <w:rPr>
      <w:rFonts w:ascii="Arial" w:hAnsi="Arial" w:eastAsia="宋体" w:cs="Times New Roman"/>
      <w:vanish/>
      <w:sz w:val="16"/>
      <w:lang w:val="en-US" w:eastAsia="zh-CN" w:bidi="ar-SA"/>
    </w:rPr>
  </w:style>
  <w:style w:type="character" w:customStyle="1" w:styleId="580">
    <w:name w:val="Sample"/>
    <w:qFormat/>
    <w:uiPriority w:val="0"/>
    <w:rPr>
      <w:rFonts w:ascii="Courier New" w:hAnsi="Courier New"/>
    </w:rPr>
  </w:style>
  <w:style w:type="character" w:customStyle="1" w:styleId="581">
    <w:name w:val="Typewriter"/>
    <w:qFormat/>
    <w:uiPriority w:val="0"/>
    <w:rPr>
      <w:rFonts w:ascii="Courier New" w:hAnsi="Courier New"/>
      <w:sz w:val="20"/>
    </w:rPr>
  </w:style>
  <w:style w:type="character" w:customStyle="1" w:styleId="582">
    <w:name w:val="Variable"/>
    <w:qFormat/>
    <w:uiPriority w:val="0"/>
    <w:rPr>
      <w:i/>
    </w:rPr>
  </w:style>
  <w:style w:type="character" w:customStyle="1" w:styleId="583">
    <w:name w:val="HTML Markup"/>
    <w:qFormat/>
    <w:uiPriority w:val="0"/>
    <w:rPr>
      <w:vanish/>
      <w:color w:val="FF0000"/>
    </w:rPr>
  </w:style>
  <w:style w:type="character" w:customStyle="1" w:styleId="584">
    <w:name w:val="Comment"/>
    <w:qFormat/>
    <w:uiPriority w:val="0"/>
    <w:rPr>
      <w:vanish/>
    </w:rPr>
  </w:style>
  <w:style w:type="paragraph" w:customStyle="1" w:styleId="585">
    <w:name w:val="ÕýÎÄ"/>
    <w:qFormat/>
    <w:uiPriority w:val="99"/>
    <w:pPr>
      <w:widowControl w:val="0"/>
      <w:overflowPunct w:val="0"/>
      <w:autoSpaceDE w:val="0"/>
      <w:autoSpaceDN w:val="0"/>
      <w:adjustRightInd w:val="0"/>
      <w:spacing w:before="120" w:after="120" w:line="360" w:lineRule="atLeast"/>
      <w:ind w:firstLine="200" w:firstLineChars="200"/>
      <w:jc w:val="center"/>
      <w:textAlignment w:val="baseline"/>
    </w:pPr>
    <w:rPr>
      <w:rFonts w:ascii="宋体" w:hAnsi="Times New Roman" w:eastAsia="宋体" w:cs="Times New Roman"/>
      <w:kern w:val="44"/>
      <w:sz w:val="24"/>
      <w:lang w:val="en-US" w:eastAsia="zh-CN" w:bidi="ar-SA"/>
    </w:rPr>
  </w:style>
  <w:style w:type="paragraph" w:customStyle="1" w:styleId="586">
    <w:name w:val="样式 19 Arial 五号 倾斜 段前: 6 磅 段后: 6 磅"/>
    <w:basedOn w:val="1"/>
    <w:qFormat/>
    <w:uiPriority w:val="99"/>
    <w:pPr>
      <w:widowControl w:val="0"/>
      <w:numPr>
        <w:ilvl w:val="0"/>
        <w:numId w:val="3"/>
      </w:numPr>
      <w:tabs>
        <w:tab w:val="left" w:pos="1134"/>
        <w:tab w:val="left" w:pos="5600"/>
        <w:tab w:val="right" w:pos="7560"/>
        <w:tab w:val="left" w:pos="7840"/>
      </w:tabs>
      <w:snapToGrid w:val="0"/>
      <w:spacing w:before="120" w:after="120" w:line="520" w:lineRule="exact"/>
      <w:ind w:left="1134" w:firstLine="200" w:firstLineChars="200"/>
      <w:contextualSpacing/>
    </w:pPr>
    <w:rPr>
      <w:rFonts w:ascii="Arial" w:hAnsi="Arial" w:eastAsia="Arial" w:cs="宋体"/>
      <w:i/>
      <w:iCs/>
      <w:kern w:val="28"/>
      <w:sz w:val="21"/>
      <w:szCs w:val="20"/>
    </w:rPr>
  </w:style>
  <w:style w:type="character" w:customStyle="1" w:styleId="587">
    <w:name w:val="样式 (西文) 宋体 (中文) MS Mincho"/>
    <w:qFormat/>
    <w:uiPriority w:val="0"/>
    <w:rPr>
      <w:rFonts w:ascii="宋体" w:hAnsi="宋体" w:eastAsia="Garamond"/>
    </w:rPr>
  </w:style>
  <w:style w:type="character" w:customStyle="1" w:styleId="588">
    <w:name w:val="样式 (中文) MS Mincho"/>
    <w:qFormat/>
    <w:uiPriority w:val="0"/>
    <w:rPr>
      <w:rFonts w:eastAsia="Garamond"/>
    </w:rPr>
  </w:style>
  <w:style w:type="paragraph" w:customStyle="1" w:styleId="589">
    <w:name w:val="Char"/>
    <w:basedOn w:val="1"/>
    <w:qFormat/>
    <w:uiPriority w:val="0"/>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0">
    <w:name w:val="正文表格"/>
    <w:basedOn w:val="1"/>
    <w:qFormat/>
    <w:uiPriority w:val="99"/>
    <w:pPr>
      <w:keepNext/>
      <w:widowControl w:val="0"/>
      <w:adjustRightInd w:val="0"/>
      <w:spacing w:before="120" w:after="120" w:line="520" w:lineRule="exact"/>
      <w:ind w:firstLine="200" w:firstLineChars="200"/>
      <w:jc w:val="center"/>
      <w:textAlignment w:val="baseline"/>
    </w:pPr>
    <w:rPr>
      <w:rFonts w:ascii="Arial" w:hAnsi="Arial" w:eastAsia="华文楷体"/>
      <w:kern w:val="28"/>
      <w:szCs w:val="24"/>
    </w:rPr>
  </w:style>
  <w:style w:type="paragraph" w:customStyle="1" w:styleId="591">
    <w:name w:val="Char Char3 Char Char Char Char"/>
    <w:basedOn w:val="1"/>
    <w:qFormat/>
    <w:uiPriority w:val="99"/>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2">
    <w:name w:val="Char4"/>
    <w:basedOn w:val="1"/>
    <w:qFormat/>
    <w:uiPriority w:val="0"/>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3">
    <w:name w:val="Char3"/>
    <w:basedOn w:val="1"/>
    <w:qFormat/>
    <w:uiPriority w:val="99"/>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4">
    <w:name w:val="Char Char3 Char Char Char Char3"/>
    <w:basedOn w:val="1"/>
    <w:qFormat/>
    <w:uiPriority w:val="99"/>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5">
    <w:name w:val="Char2"/>
    <w:basedOn w:val="1"/>
    <w:qFormat/>
    <w:uiPriority w:val="99"/>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596">
    <w:name w:val="居中_楷二"/>
    <w:qFormat/>
    <w:uiPriority w:val="99"/>
    <w:pPr>
      <w:spacing w:before="120" w:after="120" w:afterLines="100" w:line="520" w:lineRule="exact"/>
      <w:ind w:left="280" w:leftChars="100" w:right="280" w:rightChars="100"/>
      <w:jc w:val="center"/>
    </w:pPr>
    <w:rPr>
      <w:rFonts w:ascii="黑体" w:hAnsi="华文楷体" w:eastAsia="黑体" w:cs="宋体"/>
      <w:sz w:val="48"/>
      <w:szCs w:val="48"/>
      <w:lang w:val="en-US" w:eastAsia="zh-CN" w:bidi="ar-SA"/>
    </w:rPr>
  </w:style>
  <w:style w:type="paragraph" w:customStyle="1" w:styleId="597">
    <w:name w:val="居中_楷初"/>
    <w:qFormat/>
    <w:uiPriority w:val="99"/>
    <w:pPr>
      <w:widowControl w:val="0"/>
      <w:adjustRightInd w:val="0"/>
      <w:snapToGrid w:val="0"/>
      <w:spacing w:before="120" w:beforeLines="200" w:line="520" w:lineRule="exact"/>
      <w:jc w:val="center"/>
    </w:pPr>
    <w:rPr>
      <w:rFonts w:ascii="华文楷体" w:hAnsi="华文楷体" w:eastAsia="华文楷体" w:cs="宋体"/>
      <w:b/>
      <w:sz w:val="72"/>
      <w:szCs w:val="72"/>
      <w:lang w:val="en-US" w:eastAsia="zh-CN" w:bidi="ar-SA"/>
    </w:rPr>
  </w:style>
  <w:style w:type="paragraph" w:customStyle="1" w:styleId="598">
    <w:name w:val="居中_楷三"/>
    <w:qFormat/>
    <w:uiPriority w:val="99"/>
    <w:pPr>
      <w:spacing w:before="120" w:after="120" w:line="520" w:lineRule="exact"/>
      <w:ind w:firstLine="200" w:firstLineChars="200"/>
      <w:jc w:val="center"/>
    </w:pPr>
    <w:rPr>
      <w:rFonts w:ascii="华文楷体" w:hAnsi="华文楷体" w:eastAsia="华文楷体" w:cs="宋体"/>
      <w:sz w:val="36"/>
      <w:szCs w:val="36"/>
      <w:lang w:val="en-US" w:eastAsia="zh-CN" w:bidi="ar-SA"/>
    </w:rPr>
  </w:style>
  <w:style w:type="paragraph" w:customStyle="1" w:styleId="599">
    <w:name w:val="齐左_楷四"/>
    <w:qFormat/>
    <w:uiPriority w:val="99"/>
    <w:pPr>
      <w:spacing w:before="120" w:after="120" w:line="520" w:lineRule="exact"/>
      <w:ind w:firstLine="200" w:firstLineChars="200"/>
      <w:jc w:val="center"/>
    </w:pPr>
    <w:rPr>
      <w:rFonts w:ascii="Garamond" w:hAnsi="Garamond" w:eastAsia="楷体_GB2312" w:cs="宋体"/>
      <w:color w:val="000000"/>
      <w:sz w:val="28"/>
      <w:szCs w:val="28"/>
      <w:lang w:val="en-US" w:eastAsia="zh-CN" w:bidi="ar-SA"/>
    </w:rPr>
  </w:style>
  <w:style w:type="paragraph" w:customStyle="1" w:styleId="600">
    <w:name w:val="修订12"/>
    <w:hidden/>
    <w:qFormat/>
    <w:uiPriority w:val="99"/>
    <w:pPr>
      <w:spacing w:before="120" w:after="120" w:line="520" w:lineRule="exact"/>
      <w:ind w:firstLine="200" w:firstLineChars="200"/>
      <w:jc w:val="center"/>
    </w:pPr>
    <w:rPr>
      <w:rFonts w:ascii="Times New Roman" w:hAnsi="Times New Roman" w:eastAsia="宋体" w:cs="Times New Roman"/>
      <w:kern w:val="2"/>
      <w:sz w:val="28"/>
      <w:lang w:val="en-US" w:eastAsia="zh-CN" w:bidi="ar-SA"/>
    </w:rPr>
  </w:style>
  <w:style w:type="character" w:customStyle="1" w:styleId="601">
    <w:name w:val="more"/>
    <w:basedOn w:val="134"/>
    <w:qFormat/>
    <w:uiPriority w:val="0"/>
  </w:style>
  <w:style w:type="paragraph" w:customStyle="1" w:styleId="602">
    <w:name w:val="表格文字左对齐"/>
    <w:basedOn w:val="1"/>
    <w:qFormat/>
    <w:uiPriority w:val="99"/>
    <w:pPr>
      <w:widowControl w:val="0"/>
      <w:spacing w:before="120" w:after="120" w:line="300" w:lineRule="auto"/>
      <w:ind w:firstLine="200" w:firstLineChars="200"/>
      <w:jc w:val="center"/>
    </w:pPr>
    <w:rPr>
      <w:rFonts w:ascii="Arial Narrow" w:hAnsi="Arial Narrow" w:eastAsia="仿宋_GB2312"/>
      <w:sz w:val="21"/>
      <w:szCs w:val="24"/>
    </w:rPr>
  </w:style>
  <w:style w:type="paragraph" w:customStyle="1" w:styleId="603">
    <w:name w:val="xl33"/>
    <w:basedOn w:val="1"/>
    <w:qFormat/>
    <w:uiPriority w:val="0"/>
    <w:pPr>
      <w:pBdr>
        <w:left w:val="single" w:color="auto" w:sz="8" w:space="0"/>
      </w:pBdr>
      <w:spacing w:before="100" w:beforeAutospacing="1" w:after="100" w:afterAutospacing="1" w:line="520" w:lineRule="exact"/>
      <w:ind w:firstLine="200" w:firstLineChars="200"/>
      <w:jc w:val="center"/>
    </w:pPr>
    <w:rPr>
      <w:rFonts w:ascii="宋体" w:hAnsi="宋体" w:eastAsia="华文楷体"/>
      <w:kern w:val="0"/>
      <w:szCs w:val="24"/>
    </w:rPr>
  </w:style>
  <w:style w:type="paragraph" w:customStyle="1" w:styleId="604">
    <w:name w:val="图文字"/>
    <w:basedOn w:val="1"/>
    <w:next w:val="1"/>
    <w:qFormat/>
    <w:uiPriority w:val="99"/>
    <w:pPr>
      <w:widowControl w:val="0"/>
      <w:snapToGrid w:val="0"/>
      <w:spacing w:before="120" w:after="120" w:line="520" w:lineRule="exact"/>
      <w:ind w:firstLine="200" w:firstLineChars="200"/>
    </w:pPr>
    <w:rPr>
      <w:rFonts w:ascii="Arial" w:hAnsi="Arial" w:eastAsia="楷体_GB2312"/>
      <w:szCs w:val="20"/>
    </w:rPr>
  </w:style>
  <w:style w:type="character" w:customStyle="1" w:styleId="605">
    <w:name w:val="表题_01 Char Char"/>
    <w:link w:val="606"/>
    <w:qFormat/>
    <w:uiPriority w:val="0"/>
    <w:rPr>
      <w:rFonts w:ascii="Garamond" w:hAnsi="Garamond" w:eastAsia="楷体_GB2312"/>
      <w:sz w:val="24"/>
      <w:szCs w:val="24"/>
    </w:rPr>
  </w:style>
  <w:style w:type="paragraph" w:customStyle="1" w:styleId="606">
    <w:name w:val="表题_01 Char"/>
    <w:link w:val="605"/>
    <w:qFormat/>
    <w:uiPriority w:val="0"/>
    <w:pPr>
      <w:keepNext/>
      <w:widowControl w:val="0"/>
      <w:tabs>
        <w:tab w:val="left" w:pos="-20"/>
      </w:tabs>
      <w:spacing w:before="120" w:beforeLines="50" w:after="120" w:afterLines="50" w:line="240" w:lineRule="atLeast"/>
      <w:ind w:left="48" w:leftChars="4" w:hanging="37" w:hangingChars="16"/>
      <w:jc w:val="center"/>
    </w:pPr>
    <w:rPr>
      <w:rFonts w:ascii="Garamond" w:hAnsi="Garamond" w:eastAsia="楷体_GB2312" w:cs="Times New Roman"/>
      <w:sz w:val="24"/>
      <w:szCs w:val="24"/>
      <w:lang w:val="en-US" w:eastAsia="zh-CN" w:bidi="ar-SA"/>
    </w:rPr>
  </w:style>
  <w:style w:type="paragraph" w:customStyle="1" w:styleId="607">
    <w:name w:val="表文_M5"/>
    <w:qFormat/>
    <w:uiPriority w:val="99"/>
    <w:pPr>
      <w:spacing w:before="120" w:after="120" w:line="520" w:lineRule="exact"/>
      <w:ind w:firstLine="200" w:firstLineChars="200"/>
      <w:jc w:val="center"/>
    </w:pPr>
    <w:rPr>
      <w:rFonts w:ascii="华文楷体" w:hAnsi="华文楷体" w:eastAsia="华文楷体" w:cs="Times New Roman"/>
      <w:bCs/>
      <w:sz w:val="28"/>
      <w:szCs w:val="28"/>
      <w:lang w:val="en-US" w:eastAsia="zh-CN" w:bidi="ar-SA"/>
    </w:rPr>
  </w:style>
  <w:style w:type="paragraph" w:customStyle="1" w:styleId="608">
    <w:name w:val="符号_01"/>
    <w:link w:val="611"/>
    <w:qFormat/>
    <w:uiPriority w:val="99"/>
    <w:pPr>
      <w:numPr>
        <w:ilvl w:val="0"/>
        <w:numId w:val="4"/>
      </w:numPr>
      <w:tabs>
        <w:tab w:val="right" w:leader="dot" w:pos="6896"/>
        <w:tab w:val="left" w:pos="7070"/>
      </w:tabs>
      <w:spacing w:before="120" w:after="120" w:afterLines="50" w:line="240" w:lineRule="atLeast"/>
      <w:ind w:right="420" w:rightChars="200" w:firstLine="200" w:firstLineChars="200"/>
      <w:contextualSpacing/>
      <w:jc w:val="both"/>
    </w:pPr>
    <w:rPr>
      <w:rFonts w:ascii="Garamond" w:hAnsi="Garamond" w:eastAsia="楷体_GB2312" w:cs="Times New Roman"/>
      <w:kern w:val="2"/>
      <w:sz w:val="28"/>
      <w:szCs w:val="28"/>
      <w:lang w:val="en-US" w:eastAsia="zh-CN" w:bidi="ar-SA"/>
    </w:rPr>
  </w:style>
  <w:style w:type="paragraph" w:customStyle="1" w:styleId="609">
    <w:name w:val="正文_01"/>
    <w:link w:val="610"/>
    <w:qFormat/>
    <w:uiPriority w:val="0"/>
    <w:pPr>
      <w:widowControl w:val="0"/>
      <w:spacing w:before="120" w:after="120" w:line="520" w:lineRule="exact"/>
      <w:ind w:firstLine="548" w:firstLineChars="200"/>
      <w:jc w:val="both"/>
    </w:pPr>
    <w:rPr>
      <w:rFonts w:ascii="华文楷体" w:hAnsi="华文楷体" w:eastAsia="华文楷体" w:cs="Times New Roman"/>
      <w:bCs/>
      <w:color w:val="0000FF"/>
      <w:sz w:val="28"/>
      <w:lang w:val="en-US" w:eastAsia="zh-CN" w:bidi="ar-SA"/>
    </w:rPr>
  </w:style>
  <w:style w:type="character" w:customStyle="1" w:styleId="610">
    <w:name w:val="正文_01 Char"/>
    <w:link w:val="609"/>
    <w:qFormat/>
    <w:uiPriority w:val="0"/>
    <w:rPr>
      <w:rFonts w:ascii="华文楷体" w:hAnsi="华文楷体" w:eastAsia="华文楷体"/>
      <w:bCs/>
      <w:color w:val="0000FF"/>
      <w:sz w:val="28"/>
    </w:rPr>
  </w:style>
  <w:style w:type="character" w:customStyle="1" w:styleId="611">
    <w:name w:val="符号_01 Char"/>
    <w:link w:val="608"/>
    <w:qFormat/>
    <w:uiPriority w:val="99"/>
    <w:rPr>
      <w:rFonts w:ascii="Garamond" w:hAnsi="Garamond" w:eastAsia="楷体_GB2312"/>
      <w:kern w:val="2"/>
      <w:sz w:val="28"/>
      <w:szCs w:val="28"/>
    </w:rPr>
  </w:style>
  <w:style w:type="paragraph" w:customStyle="1" w:styleId="612">
    <w:name w:val="表文_L5"/>
    <w:qFormat/>
    <w:uiPriority w:val="99"/>
    <w:pPr>
      <w:spacing w:before="120" w:after="120" w:line="520" w:lineRule="exact"/>
      <w:ind w:firstLine="200" w:firstLineChars="200"/>
      <w:jc w:val="center"/>
    </w:pPr>
    <w:rPr>
      <w:rFonts w:ascii="华文楷体" w:hAnsi="华文楷体" w:eastAsia="华文楷体" w:cs="Times New Roman"/>
      <w:bCs/>
      <w:kern w:val="2"/>
      <w:sz w:val="28"/>
      <w:szCs w:val="28"/>
      <w:lang w:val="en-US" w:eastAsia="zh-CN" w:bidi="ar-SA"/>
    </w:rPr>
  </w:style>
  <w:style w:type="paragraph" w:customStyle="1" w:styleId="613">
    <w:name w:val="Char Char3 Char Char Char Char2"/>
    <w:basedOn w:val="1"/>
    <w:qFormat/>
    <w:uiPriority w:val="99"/>
    <w:pPr>
      <w:spacing w:before="120" w:after="160" w:line="240" w:lineRule="exact"/>
      <w:ind w:firstLine="200" w:firstLineChars="200"/>
      <w:jc w:val="left"/>
    </w:pPr>
    <w:rPr>
      <w:rFonts w:ascii="Verdana" w:hAnsi="Verdana" w:eastAsia="华文楷体"/>
      <w:kern w:val="0"/>
      <w:sz w:val="20"/>
      <w:szCs w:val="20"/>
      <w:lang w:eastAsia="en-US"/>
    </w:rPr>
  </w:style>
  <w:style w:type="paragraph" w:customStyle="1" w:styleId="614">
    <w:name w:val="表文_R5"/>
    <w:qFormat/>
    <w:uiPriority w:val="99"/>
    <w:pPr>
      <w:spacing w:before="120" w:after="120" w:line="520" w:lineRule="exact"/>
      <w:ind w:right="395" w:rightChars="141" w:firstLine="200" w:firstLineChars="200"/>
      <w:jc w:val="right"/>
    </w:pPr>
    <w:rPr>
      <w:rFonts w:ascii="华文楷体" w:hAnsi="华文楷体" w:eastAsia="华文楷体" w:cs="Times New Roman"/>
      <w:bCs/>
      <w:kern w:val="2"/>
      <w:sz w:val="24"/>
      <w:szCs w:val="24"/>
      <w:lang w:val="en-US" w:eastAsia="zh-CN" w:bidi="ar-SA"/>
    </w:rPr>
  </w:style>
  <w:style w:type="character" w:customStyle="1" w:styleId="615">
    <w:name w:val="普通文字 Char1"/>
    <w:qFormat/>
    <w:uiPriority w:val="0"/>
    <w:rPr>
      <w:rFonts w:ascii="宋体" w:hAnsi="Courier New"/>
      <w:kern w:val="2"/>
      <w:sz w:val="21"/>
    </w:rPr>
  </w:style>
  <w:style w:type="paragraph" w:customStyle="1" w:styleId="616">
    <w:name w:val="正文01"/>
    <w:basedOn w:val="1"/>
    <w:link w:val="1254"/>
    <w:qFormat/>
    <w:uiPriority w:val="0"/>
    <w:pPr>
      <w:widowControl w:val="0"/>
      <w:spacing w:before="60" w:after="120" w:line="460" w:lineRule="exact"/>
      <w:ind w:firstLine="200" w:firstLineChars="200"/>
    </w:pPr>
    <w:rPr>
      <w:rFonts w:eastAsia="华文楷体"/>
      <w:bCs/>
      <w:szCs w:val="24"/>
    </w:rPr>
  </w:style>
  <w:style w:type="character" w:customStyle="1" w:styleId="617">
    <w:name w:val="表格文字 Char Char"/>
    <w:qFormat/>
    <w:uiPriority w:val="0"/>
    <w:rPr>
      <w:rFonts w:eastAsia="宋体"/>
      <w:kern w:val="2"/>
      <w:sz w:val="24"/>
      <w:lang w:val="en-US" w:eastAsia="zh-CN" w:bidi="ar-SA"/>
    </w:rPr>
  </w:style>
  <w:style w:type="paragraph" w:customStyle="1" w:styleId="618">
    <w:name w:val="表底注释 Char"/>
    <w:basedOn w:val="1"/>
    <w:link w:val="619"/>
    <w:qFormat/>
    <w:uiPriority w:val="0"/>
    <w:pPr>
      <w:widowControl w:val="0"/>
      <w:tabs>
        <w:tab w:val="left" w:pos="1727"/>
        <w:tab w:val="left" w:pos="1884"/>
      </w:tabs>
      <w:adjustRightInd w:val="0"/>
      <w:snapToGrid w:val="0"/>
      <w:spacing w:before="120" w:after="120" w:afterLines="50" w:line="520" w:lineRule="exact"/>
      <w:ind w:firstLine="480" w:firstLineChars="200"/>
      <w:jc w:val="left"/>
    </w:pPr>
    <w:rPr>
      <w:rFonts w:eastAsia="宋体"/>
      <w:snapToGrid w:val="0"/>
      <w:szCs w:val="24"/>
    </w:rPr>
  </w:style>
  <w:style w:type="character" w:customStyle="1" w:styleId="619">
    <w:name w:val="表底注释 Char Char"/>
    <w:link w:val="618"/>
    <w:qFormat/>
    <w:uiPriority w:val="0"/>
    <w:rPr>
      <w:rFonts w:ascii="Times New Roman" w:hAnsi="Times New Roman" w:eastAsia="宋体"/>
      <w:snapToGrid w:val="0"/>
      <w:kern w:val="2"/>
      <w:sz w:val="24"/>
      <w:szCs w:val="24"/>
    </w:rPr>
  </w:style>
  <w:style w:type="paragraph" w:customStyle="1" w:styleId="620">
    <w:name w:val="表题_01"/>
    <w:qFormat/>
    <w:uiPriority w:val="99"/>
    <w:pPr>
      <w:keepNext/>
      <w:widowControl w:val="0"/>
      <w:tabs>
        <w:tab w:val="left" w:pos="-20"/>
      </w:tabs>
      <w:spacing w:before="120" w:beforeLines="50" w:after="120" w:afterLines="50" w:line="520" w:lineRule="exact"/>
      <w:ind w:left="55" w:leftChars="4" w:hanging="44" w:hangingChars="16"/>
      <w:jc w:val="center"/>
    </w:pPr>
    <w:rPr>
      <w:rFonts w:ascii="华文楷体" w:hAnsi="华文楷体" w:eastAsia="华文楷体" w:cs="Times New Roman"/>
      <w:color w:val="0000FF"/>
      <w:kern w:val="2"/>
      <w:sz w:val="28"/>
      <w:szCs w:val="28"/>
      <w:lang w:val="en-US" w:eastAsia="zh-CN" w:bidi="ar-SA"/>
    </w:rPr>
  </w:style>
  <w:style w:type="paragraph" w:customStyle="1" w:styleId="621">
    <w:name w:val="表格文字左 Char Char"/>
    <w:basedOn w:val="1"/>
    <w:link w:val="622"/>
    <w:qFormat/>
    <w:uiPriority w:val="0"/>
    <w:pPr>
      <w:widowControl w:val="0"/>
      <w:tabs>
        <w:tab w:val="left" w:pos="628"/>
        <w:tab w:val="left" w:pos="681"/>
        <w:tab w:val="left" w:pos="1727"/>
        <w:tab w:val="left" w:pos="1884"/>
        <w:tab w:val="center" w:pos="4153"/>
        <w:tab w:val="right" w:pos="8306"/>
      </w:tabs>
      <w:adjustRightInd w:val="0"/>
      <w:snapToGrid w:val="0"/>
      <w:spacing w:before="120" w:after="120" w:line="520" w:lineRule="exact"/>
      <w:ind w:left="20" w:leftChars="20" w:right="-50" w:rightChars="-50" w:firstLine="200" w:firstLineChars="200"/>
      <w:jc w:val="left"/>
    </w:pPr>
    <w:rPr>
      <w:rFonts w:eastAsia="宋体"/>
      <w:szCs w:val="20"/>
    </w:rPr>
  </w:style>
  <w:style w:type="character" w:customStyle="1" w:styleId="622">
    <w:name w:val="表格文字左 Char Char Char"/>
    <w:link w:val="621"/>
    <w:qFormat/>
    <w:uiPriority w:val="0"/>
    <w:rPr>
      <w:rFonts w:ascii="Times New Roman" w:hAnsi="Times New Roman" w:eastAsia="宋体"/>
      <w:kern w:val="2"/>
      <w:sz w:val="24"/>
    </w:rPr>
  </w:style>
  <w:style w:type="paragraph" w:customStyle="1" w:styleId="623">
    <w:name w:val="样式 样式 样式 标题 2标题2 + 居中 段前: 36 磅 段后: 42 磅 + 段前: 1.5 行 段后: 2 行 + 段前..."/>
    <w:basedOn w:val="1"/>
    <w:qFormat/>
    <w:uiPriority w:val="99"/>
    <w:pPr>
      <w:keepNext/>
      <w:widowControl w:val="0"/>
      <w:numPr>
        <w:ilvl w:val="1"/>
        <w:numId w:val="5"/>
      </w:numPr>
      <w:adjustRightInd w:val="0"/>
      <w:spacing w:before="120" w:beforeLines="350" w:after="120" w:afterLines="300"/>
      <w:ind w:firstLine="200" w:firstLineChars="200"/>
      <w:jc w:val="center"/>
      <w:textAlignment w:val="baseline"/>
      <w:outlineLvl w:val="1"/>
    </w:pPr>
    <w:rPr>
      <w:rFonts w:ascii="Garamond" w:hAnsi="Garamond" w:eastAsia="华文楷体" w:cs="宋体"/>
      <w:sz w:val="28"/>
      <w:szCs w:val="20"/>
    </w:rPr>
  </w:style>
  <w:style w:type="paragraph" w:customStyle="1" w:styleId="624">
    <w:name w:val="表底注释"/>
    <w:basedOn w:val="1"/>
    <w:qFormat/>
    <w:uiPriority w:val="99"/>
    <w:pPr>
      <w:widowControl w:val="0"/>
      <w:tabs>
        <w:tab w:val="left" w:pos="1727"/>
        <w:tab w:val="left" w:pos="1884"/>
      </w:tabs>
      <w:adjustRightInd w:val="0"/>
      <w:snapToGrid w:val="0"/>
      <w:spacing w:before="120" w:after="120" w:line="520" w:lineRule="exact"/>
      <w:jc w:val="left"/>
    </w:pPr>
    <w:rPr>
      <w:rFonts w:eastAsia="华文楷体"/>
      <w:snapToGrid w:val="0"/>
      <w:kern w:val="0"/>
      <w:szCs w:val="24"/>
    </w:rPr>
  </w:style>
  <w:style w:type="paragraph" w:customStyle="1" w:styleId="625">
    <w:name w:val="图（中）"/>
    <w:basedOn w:val="1"/>
    <w:qFormat/>
    <w:uiPriority w:val="99"/>
    <w:pPr>
      <w:widowControl w:val="0"/>
      <w:tabs>
        <w:tab w:val="left" w:pos="1727"/>
        <w:tab w:val="left" w:pos="1884"/>
      </w:tabs>
      <w:spacing w:before="120" w:after="120" w:line="520" w:lineRule="exact"/>
      <w:ind w:firstLine="200" w:firstLineChars="200"/>
      <w:jc w:val="center"/>
    </w:pPr>
    <w:rPr>
      <w:rFonts w:eastAsia="华文楷体"/>
      <w:sz w:val="28"/>
      <w:szCs w:val="20"/>
    </w:rPr>
  </w:style>
  <w:style w:type="paragraph" w:customStyle="1" w:styleId="626">
    <w:name w:val="默认段落字体 Para Char Char Char Char"/>
    <w:basedOn w:val="1"/>
    <w:qFormat/>
    <w:uiPriority w:val="0"/>
    <w:pPr>
      <w:widowControl w:val="0"/>
      <w:spacing w:before="120" w:after="120" w:line="520" w:lineRule="exact"/>
      <w:ind w:firstLine="200" w:firstLineChars="200"/>
    </w:pPr>
    <w:rPr>
      <w:rFonts w:eastAsia="华文楷体"/>
      <w:spacing w:val="-2"/>
      <w:kern w:val="0"/>
      <w:szCs w:val="24"/>
    </w:rPr>
  </w:style>
  <w:style w:type="paragraph" w:customStyle="1" w:styleId="627">
    <w:name w:val="表格文字左"/>
    <w:basedOn w:val="22"/>
    <w:link w:val="628"/>
    <w:qFormat/>
    <w:uiPriority w:val="0"/>
    <w:pPr>
      <w:widowControl w:val="0"/>
      <w:tabs>
        <w:tab w:val="left" w:pos="628"/>
        <w:tab w:val="left" w:pos="681"/>
        <w:tab w:val="left" w:pos="1727"/>
        <w:tab w:val="left" w:pos="1884"/>
        <w:tab w:val="center" w:pos="4153"/>
        <w:tab w:val="right" w:pos="8306"/>
      </w:tabs>
      <w:adjustRightInd w:val="0"/>
      <w:snapToGrid w:val="0"/>
      <w:spacing w:before="120" w:after="120" w:line="520" w:lineRule="exact"/>
      <w:ind w:left="20" w:leftChars="20" w:right="-50" w:rightChars="-50" w:firstLine="200" w:firstLineChars="200"/>
      <w:jc w:val="left"/>
    </w:pPr>
    <w:rPr>
      <w:rFonts w:ascii="华文楷体" w:hAnsi="华文楷体" w:eastAsia="华文楷体"/>
    </w:rPr>
  </w:style>
  <w:style w:type="character" w:customStyle="1" w:styleId="628">
    <w:name w:val="表格文字左 Char"/>
    <w:link w:val="627"/>
    <w:qFormat/>
    <w:uiPriority w:val="0"/>
    <w:rPr>
      <w:rFonts w:ascii="华文楷体" w:hAnsi="华文楷体" w:eastAsia="华文楷体"/>
      <w:sz w:val="24"/>
    </w:rPr>
  </w:style>
  <w:style w:type="paragraph" w:customStyle="1" w:styleId="629">
    <w:name w:val="表文_KL_LX4"/>
    <w:link w:val="632"/>
    <w:qFormat/>
    <w:uiPriority w:val="0"/>
    <w:pPr>
      <w:spacing w:before="120" w:after="120" w:line="320" w:lineRule="exact"/>
      <w:ind w:left="-140" w:leftChars="-50" w:firstLine="200" w:firstLineChars="200"/>
      <w:jc w:val="both"/>
    </w:pPr>
    <w:rPr>
      <w:rFonts w:ascii="Garamond" w:hAnsi="Garamond" w:eastAsia="方正楷体简体" w:cs="Times New Roman"/>
      <w:snapToGrid w:val="0"/>
      <w:color w:val="000000"/>
      <w:spacing w:val="-2"/>
      <w:sz w:val="24"/>
      <w:szCs w:val="21"/>
      <w:lang w:val="en-US" w:eastAsia="zh-CN" w:bidi="ar-SA"/>
    </w:rPr>
  </w:style>
  <w:style w:type="character" w:customStyle="1" w:styleId="630">
    <w:name w:val="表文_KL_MX4 Char"/>
    <w:link w:val="631"/>
    <w:qFormat/>
    <w:uiPriority w:val="0"/>
    <w:rPr>
      <w:rFonts w:ascii="Garamond" w:hAnsi="Garamond" w:eastAsia="方正楷体简体" w:cs="Arial"/>
      <w:snapToGrid w:val="0"/>
      <w:color w:val="000000"/>
      <w:spacing w:val="-2"/>
      <w:sz w:val="22"/>
    </w:rPr>
  </w:style>
  <w:style w:type="paragraph" w:customStyle="1" w:styleId="631">
    <w:name w:val="表文_KL_MX4"/>
    <w:link w:val="630"/>
    <w:qFormat/>
    <w:uiPriority w:val="0"/>
    <w:pPr>
      <w:widowControl w:val="0"/>
      <w:spacing w:before="120" w:after="120" w:line="320" w:lineRule="exact"/>
      <w:ind w:firstLine="200" w:firstLineChars="200"/>
      <w:jc w:val="center"/>
    </w:pPr>
    <w:rPr>
      <w:rFonts w:ascii="Garamond" w:hAnsi="Garamond" w:eastAsia="方正楷体简体" w:cs="Arial"/>
      <w:snapToGrid w:val="0"/>
      <w:color w:val="000000"/>
      <w:spacing w:val="-2"/>
      <w:sz w:val="22"/>
      <w:lang w:val="en-US" w:eastAsia="zh-CN" w:bidi="ar-SA"/>
    </w:rPr>
  </w:style>
  <w:style w:type="character" w:customStyle="1" w:styleId="632">
    <w:name w:val="表文_KL_LX4 Char"/>
    <w:link w:val="629"/>
    <w:qFormat/>
    <w:uiPriority w:val="0"/>
    <w:rPr>
      <w:rFonts w:ascii="Garamond" w:hAnsi="Garamond" w:eastAsia="方正楷体简体"/>
      <w:snapToGrid w:val="0"/>
      <w:color w:val="000000"/>
      <w:spacing w:val="-2"/>
      <w:sz w:val="24"/>
      <w:szCs w:val="21"/>
    </w:rPr>
  </w:style>
  <w:style w:type="paragraph" w:customStyle="1" w:styleId="633">
    <w:name w:val="表文_KL_RX4"/>
    <w:link w:val="634"/>
    <w:qFormat/>
    <w:uiPriority w:val="0"/>
    <w:pPr>
      <w:spacing w:before="120" w:after="120" w:line="320" w:lineRule="exact"/>
      <w:ind w:firstLine="200" w:firstLineChars="200"/>
      <w:jc w:val="right"/>
    </w:pPr>
    <w:rPr>
      <w:rFonts w:ascii="Garamond" w:hAnsi="Garamond" w:eastAsia="楷体_GB2312" w:cs="Times New Roman"/>
      <w:snapToGrid w:val="0"/>
      <w:color w:val="000000"/>
      <w:spacing w:val="-2"/>
      <w:kern w:val="2"/>
      <w:sz w:val="24"/>
      <w:szCs w:val="21"/>
      <w:lang w:val="en-US" w:eastAsia="zh-CN" w:bidi="ar-SA"/>
    </w:rPr>
  </w:style>
  <w:style w:type="character" w:customStyle="1" w:styleId="634">
    <w:name w:val="表文_KL_RX4 Char"/>
    <w:link w:val="633"/>
    <w:qFormat/>
    <w:uiPriority w:val="0"/>
    <w:rPr>
      <w:rFonts w:ascii="Garamond" w:hAnsi="Garamond" w:eastAsia="楷体_GB2312"/>
      <w:snapToGrid w:val="0"/>
      <w:color w:val="000000"/>
      <w:spacing w:val="-2"/>
      <w:kern w:val="2"/>
      <w:sz w:val="24"/>
      <w:szCs w:val="21"/>
    </w:rPr>
  </w:style>
  <w:style w:type="paragraph" w:customStyle="1" w:styleId="635">
    <w:name w:val="图表_KL_02"/>
    <w:link w:val="636"/>
    <w:qFormat/>
    <w:uiPriority w:val="0"/>
    <w:pPr>
      <w:keepNext/>
      <w:tabs>
        <w:tab w:val="left" w:pos="1400"/>
      </w:tabs>
      <w:spacing w:before="120" w:after="120" w:line="560" w:lineRule="exact"/>
      <w:ind w:firstLine="200" w:firstLineChars="200"/>
      <w:jc w:val="center"/>
      <w:textAlignment w:val="center"/>
    </w:pPr>
    <w:rPr>
      <w:rFonts w:ascii="Garamond" w:hAnsi="Garamond" w:eastAsia="方正楷体简体" w:cs="Times New Roman"/>
      <w:kern w:val="28"/>
      <w:sz w:val="28"/>
      <w:szCs w:val="24"/>
      <w:lang w:val="en-US" w:eastAsia="zh-CN" w:bidi="ar-SA"/>
    </w:rPr>
  </w:style>
  <w:style w:type="character" w:customStyle="1" w:styleId="636">
    <w:name w:val="图表_KL_02 Char"/>
    <w:link w:val="635"/>
    <w:qFormat/>
    <w:uiPriority w:val="0"/>
    <w:rPr>
      <w:rFonts w:ascii="Garamond" w:hAnsi="Garamond" w:eastAsia="方正楷体简体"/>
      <w:kern w:val="28"/>
      <w:sz w:val="28"/>
      <w:szCs w:val="24"/>
    </w:rPr>
  </w:style>
  <w:style w:type="paragraph" w:customStyle="1" w:styleId="637">
    <w:name w:val="表格文字五号"/>
    <w:basedOn w:val="1"/>
    <w:next w:val="1"/>
    <w:qFormat/>
    <w:uiPriority w:val="99"/>
    <w:pPr>
      <w:widowControl w:val="0"/>
      <w:spacing w:before="120" w:beforeLines="50" w:after="120" w:afterLines="50" w:line="520" w:lineRule="exact"/>
      <w:ind w:firstLine="200" w:firstLineChars="200"/>
      <w:jc w:val="center"/>
    </w:pPr>
    <w:rPr>
      <w:rFonts w:ascii="Times" w:hAnsi="Times" w:eastAsia="宋体"/>
      <w:kern w:val="21"/>
      <w:sz w:val="21"/>
      <w:szCs w:val="21"/>
    </w:rPr>
  </w:style>
  <w:style w:type="character" w:customStyle="1" w:styleId="638">
    <w:name w:val="标题 Char1"/>
    <w:qFormat/>
    <w:uiPriority w:val="0"/>
    <w:rPr>
      <w:rFonts w:ascii="Cambria" w:hAnsi="Cambria" w:cs="Times New Roman"/>
      <w:b/>
      <w:bCs/>
      <w:kern w:val="2"/>
      <w:sz w:val="32"/>
      <w:szCs w:val="32"/>
    </w:rPr>
  </w:style>
  <w:style w:type="paragraph" w:customStyle="1" w:styleId="639">
    <w:name w:val="样式28"/>
    <w:basedOn w:val="1"/>
    <w:qFormat/>
    <w:uiPriority w:val="99"/>
    <w:pPr>
      <w:widowControl w:val="0"/>
      <w:tabs>
        <w:tab w:val="left" w:pos="840"/>
        <w:tab w:val="left" w:pos="2710"/>
      </w:tabs>
      <w:spacing w:before="120" w:after="120" w:line="480" w:lineRule="exact"/>
      <w:ind w:firstLine="560" w:firstLineChars="200"/>
    </w:pPr>
    <w:rPr>
      <w:rFonts w:ascii="华文楷体" w:hAnsi="华文楷体" w:eastAsia="华文楷体" w:cs="Arial"/>
      <w:sz w:val="28"/>
      <w:szCs w:val="24"/>
    </w:rPr>
  </w:style>
  <w:style w:type="paragraph" w:customStyle="1" w:styleId="640">
    <w:name w:val="样式31"/>
    <w:basedOn w:val="1"/>
    <w:qFormat/>
    <w:uiPriority w:val="99"/>
    <w:pPr>
      <w:spacing w:before="240" w:after="120" w:afterLines="50" w:line="480" w:lineRule="exact"/>
      <w:jc w:val="center"/>
    </w:pPr>
    <w:rPr>
      <w:rFonts w:ascii="华文楷体" w:hAnsi="华文楷体" w:eastAsia="华文楷体" w:cs="宋体"/>
      <w:kern w:val="28"/>
      <w:sz w:val="28"/>
      <w:szCs w:val="28"/>
    </w:rPr>
  </w:style>
  <w:style w:type="paragraph" w:customStyle="1" w:styleId="641">
    <w:name w:val="备注_01"/>
    <w:qFormat/>
    <w:uiPriority w:val="99"/>
    <w:pPr>
      <w:numPr>
        <w:ilvl w:val="0"/>
        <w:numId w:val="6"/>
      </w:numPr>
      <w:tabs>
        <w:tab w:val="left" w:pos="735"/>
        <w:tab w:val="clear" w:pos="1134"/>
      </w:tabs>
      <w:spacing w:before="120" w:beforeLines="50" w:after="120" w:afterLines="100" w:line="520" w:lineRule="exact"/>
      <w:ind w:firstLine="200" w:firstLineChars="200"/>
      <w:jc w:val="center"/>
    </w:pPr>
    <w:rPr>
      <w:rFonts w:ascii="Garamond" w:hAnsi="Garamond" w:eastAsia="楷体_GB2312" w:cs="Times New Roman"/>
      <w:color w:val="000000"/>
      <w:kern w:val="28"/>
      <w:sz w:val="28"/>
      <w:szCs w:val="28"/>
      <w:lang w:val="en-US" w:eastAsia="zh-CN" w:bidi="ar-SA"/>
    </w:rPr>
  </w:style>
  <w:style w:type="paragraph" w:customStyle="1" w:styleId="642">
    <w:name w:val="居中_楷一"/>
    <w:qFormat/>
    <w:uiPriority w:val="99"/>
    <w:pPr>
      <w:spacing w:before="120" w:after="120" w:line="520" w:lineRule="exact"/>
      <w:ind w:firstLine="200" w:firstLineChars="200"/>
      <w:jc w:val="center"/>
    </w:pPr>
    <w:rPr>
      <w:rFonts w:ascii="Garamond" w:hAnsi="Garamond" w:eastAsia="楷体_GB2312" w:cs="宋体"/>
      <w:b/>
      <w:color w:val="000000"/>
      <w:sz w:val="84"/>
      <w:szCs w:val="84"/>
      <w:lang w:val="en-US" w:eastAsia="zh-CN" w:bidi="ar-SA"/>
    </w:rPr>
  </w:style>
  <w:style w:type="paragraph" w:customStyle="1" w:styleId="643">
    <w:name w:val="齐拉_楷四"/>
    <w:qFormat/>
    <w:uiPriority w:val="99"/>
    <w:pPr>
      <w:spacing w:before="120" w:after="120" w:line="240" w:lineRule="atLeast"/>
      <w:ind w:left="57" w:right="57" w:firstLine="200" w:firstLineChars="200"/>
      <w:jc w:val="distribute"/>
    </w:pPr>
    <w:rPr>
      <w:rFonts w:ascii="Garamond" w:hAnsi="Garamond" w:eastAsia="楷体_GB2312" w:cs="宋体"/>
      <w:color w:val="000000"/>
      <w:sz w:val="28"/>
      <w:szCs w:val="28"/>
      <w:lang w:val="en-US" w:eastAsia="zh-CN" w:bidi="ar-SA"/>
    </w:rPr>
  </w:style>
  <w:style w:type="character" w:customStyle="1" w:styleId="644">
    <w:name w:val="contenttext1"/>
    <w:qFormat/>
    <w:uiPriority w:val="0"/>
    <w:rPr>
      <w:color w:val="333333"/>
      <w:spacing w:val="360"/>
      <w:sz w:val="21"/>
      <w:szCs w:val="21"/>
      <w:u w:val="none"/>
    </w:rPr>
  </w:style>
  <w:style w:type="paragraph" w:customStyle="1" w:styleId="645">
    <w:name w:val="表格文字右"/>
    <w:basedOn w:val="22"/>
    <w:qFormat/>
    <w:uiPriority w:val="99"/>
    <w:pPr>
      <w:widowControl w:val="0"/>
      <w:tabs>
        <w:tab w:val="left" w:pos="628"/>
        <w:tab w:val="left" w:pos="681"/>
        <w:tab w:val="left" w:pos="1727"/>
        <w:tab w:val="left" w:pos="1884"/>
        <w:tab w:val="center" w:pos="4153"/>
        <w:tab w:val="right" w:pos="8306"/>
      </w:tabs>
      <w:adjustRightInd w:val="0"/>
      <w:snapToGrid w:val="0"/>
      <w:spacing w:before="120" w:after="120"/>
      <w:ind w:left="-50" w:leftChars="-50" w:right="50" w:rightChars="50" w:firstLine="0"/>
      <w:jc w:val="right"/>
    </w:pPr>
    <w:rPr>
      <w:rFonts w:ascii="Times New Roman" w:hAnsi="Times New Roman" w:eastAsia="宋体"/>
      <w:szCs w:val="24"/>
    </w:rPr>
  </w:style>
  <w:style w:type="paragraph" w:customStyle="1" w:styleId="646">
    <w:name w:val="表 Char"/>
    <w:link w:val="684"/>
    <w:qFormat/>
    <w:uiPriority w:val="99"/>
    <w:pPr>
      <w:numPr>
        <w:ilvl w:val="0"/>
        <w:numId w:val="7"/>
      </w:numPr>
      <w:spacing w:before="120" w:after="120" w:line="300" w:lineRule="auto"/>
      <w:ind w:firstLine="200" w:firstLineChars="200"/>
      <w:jc w:val="center"/>
    </w:pPr>
    <w:rPr>
      <w:rFonts w:ascii="Times New Roman" w:hAnsi="Times New Roman" w:eastAsia="黑体" w:cs="Times New Roman"/>
      <w:sz w:val="24"/>
      <w:lang w:val="en-US" w:eastAsia="zh-CN" w:bidi="ar-SA"/>
    </w:rPr>
  </w:style>
  <w:style w:type="paragraph" w:customStyle="1" w:styleId="647">
    <w:name w:val="样式 标题 2二级标题标题 2!1.1标题 21.1标题21节标2_Heading 2一级条二级标题，黑粗..."/>
    <w:basedOn w:val="4"/>
    <w:qFormat/>
    <w:uiPriority w:val="99"/>
    <w:pPr>
      <w:keepNext w:val="0"/>
      <w:keepLines w:val="0"/>
      <w:widowControl w:val="0"/>
      <w:tabs>
        <w:tab w:val="left" w:pos="360"/>
        <w:tab w:val="left" w:pos="1146"/>
      </w:tabs>
      <w:adjustRightInd w:val="0"/>
      <w:snapToGrid w:val="0"/>
      <w:spacing w:before="120" w:beforeLines="50" w:after="120" w:line="360" w:lineRule="auto"/>
      <w:ind w:left="12" w:firstLine="200" w:firstLineChars="200"/>
      <w:jc w:val="left"/>
    </w:pPr>
    <w:rPr>
      <w:rFonts w:ascii="Times New Roman" w:hAnsi="Times New Roman" w:eastAsia="黑体" w:cs="宋体"/>
      <w:b w:val="0"/>
      <w:bCs w:val="0"/>
      <w:sz w:val="28"/>
      <w:szCs w:val="20"/>
    </w:rPr>
  </w:style>
  <w:style w:type="paragraph" w:customStyle="1" w:styleId="648">
    <w:name w:val="表格文字右2"/>
    <w:basedOn w:val="645"/>
    <w:qFormat/>
    <w:uiPriority w:val="99"/>
    <w:pPr>
      <w:ind w:right="120" w:rightChars="120"/>
    </w:pPr>
  </w:style>
  <w:style w:type="paragraph" w:customStyle="1" w:styleId="649">
    <w:name w:val="表头标题"/>
    <w:basedOn w:val="1"/>
    <w:next w:val="1"/>
    <w:qFormat/>
    <w:uiPriority w:val="99"/>
    <w:pPr>
      <w:widowControl w:val="0"/>
      <w:tabs>
        <w:tab w:val="left" w:pos="1727"/>
        <w:tab w:val="left" w:pos="1884"/>
      </w:tabs>
      <w:spacing w:before="120" w:beforeLines="20" w:after="120" w:line="240" w:lineRule="auto"/>
      <w:ind w:firstLine="1120" w:firstLineChars="400"/>
      <w:jc w:val="left"/>
    </w:pPr>
    <w:rPr>
      <w:rFonts w:eastAsia="宋体"/>
      <w:sz w:val="28"/>
      <w:szCs w:val="20"/>
    </w:rPr>
  </w:style>
  <w:style w:type="paragraph" w:customStyle="1" w:styleId="650">
    <w:name w:val="目录"/>
    <w:basedOn w:val="60"/>
    <w:qFormat/>
    <w:uiPriority w:val="99"/>
    <w:pPr>
      <w:widowControl w:val="0"/>
      <w:tabs>
        <w:tab w:val="left" w:pos="840"/>
        <w:tab w:val="right" w:leader="dot" w:pos="8400"/>
      </w:tabs>
      <w:snapToGrid w:val="0"/>
      <w:spacing w:before="120" w:after="120" w:line="240" w:lineRule="auto"/>
      <w:jc w:val="left"/>
    </w:pPr>
    <w:rPr>
      <w:rFonts w:eastAsia="宋体"/>
      <w:b/>
      <w:bCs/>
      <w:caps/>
      <w:szCs w:val="20"/>
    </w:rPr>
  </w:style>
  <w:style w:type="paragraph" w:customStyle="1" w:styleId="651">
    <w:name w:val="目录1"/>
    <w:basedOn w:val="60"/>
    <w:qFormat/>
    <w:uiPriority w:val="0"/>
    <w:pPr>
      <w:widowControl w:val="0"/>
      <w:tabs>
        <w:tab w:val="left" w:pos="840"/>
        <w:tab w:val="right" w:leader="dot" w:pos="8400"/>
      </w:tabs>
      <w:snapToGrid w:val="0"/>
      <w:spacing w:before="120" w:after="120" w:line="240" w:lineRule="auto"/>
      <w:jc w:val="left"/>
    </w:pPr>
    <w:rPr>
      <w:rFonts w:eastAsia="宋体"/>
      <w:b/>
      <w:bCs/>
      <w:caps/>
      <w:szCs w:val="20"/>
    </w:rPr>
  </w:style>
  <w:style w:type="paragraph" w:customStyle="1" w:styleId="652">
    <w:name w:val="样式 目录 2 + 行距: 单倍行距"/>
    <w:basedOn w:val="75"/>
    <w:qFormat/>
    <w:uiPriority w:val="99"/>
    <w:pPr>
      <w:widowControl w:val="0"/>
      <w:tabs>
        <w:tab w:val="left" w:pos="840"/>
        <w:tab w:val="right" w:leader="dot" w:pos="8400"/>
      </w:tabs>
      <w:spacing w:before="120" w:after="120" w:line="240" w:lineRule="auto"/>
      <w:ind w:left="280" w:leftChars="0" w:right="280"/>
      <w:jc w:val="left"/>
    </w:pPr>
    <w:rPr>
      <w:rFonts w:eastAsia="宋体" w:cs="宋体"/>
      <w:smallCaps/>
      <w:szCs w:val="20"/>
    </w:rPr>
  </w:style>
  <w:style w:type="paragraph" w:customStyle="1" w:styleId="653">
    <w:name w:val="样式 目录 2 + 行距: 单倍行距1"/>
    <w:basedOn w:val="75"/>
    <w:qFormat/>
    <w:uiPriority w:val="99"/>
    <w:pPr>
      <w:widowControl w:val="0"/>
      <w:tabs>
        <w:tab w:val="left" w:pos="840"/>
        <w:tab w:val="right" w:leader="dot" w:pos="8400"/>
      </w:tabs>
      <w:spacing w:before="120" w:after="120" w:line="240" w:lineRule="atLeast"/>
      <w:ind w:left="280" w:leftChars="0" w:right="280"/>
      <w:jc w:val="left"/>
    </w:pPr>
    <w:rPr>
      <w:rFonts w:eastAsia="宋体" w:cs="宋体"/>
      <w:smallCaps/>
      <w:szCs w:val="20"/>
    </w:rPr>
  </w:style>
  <w:style w:type="paragraph" w:customStyle="1" w:styleId="654">
    <w:name w:val="样式 目录 2 + 行距: 最小值 12 磅"/>
    <w:basedOn w:val="75"/>
    <w:qFormat/>
    <w:uiPriority w:val="99"/>
    <w:pPr>
      <w:widowControl w:val="0"/>
      <w:tabs>
        <w:tab w:val="left" w:pos="840"/>
        <w:tab w:val="right" w:leader="dot" w:pos="8400"/>
      </w:tabs>
      <w:snapToGrid w:val="0"/>
      <w:spacing w:before="120" w:after="120" w:line="240" w:lineRule="auto"/>
      <w:ind w:left="278" w:leftChars="0" w:right="280" w:firstLine="561"/>
      <w:jc w:val="left"/>
    </w:pPr>
    <w:rPr>
      <w:rFonts w:eastAsia="宋体" w:cs="宋体"/>
      <w:smallCaps/>
      <w:szCs w:val="20"/>
    </w:rPr>
  </w:style>
  <w:style w:type="paragraph" w:customStyle="1" w:styleId="655">
    <w:name w:val="报告名"/>
    <w:basedOn w:val="1"/>
    <w:qFormat/>
    <w:uiPriority w:val="99"/>
    <w:pPr>
      <w:widowControl w:val="0"/>
      <w:tabs>
        <w:tab w:val="left" w:pos="1727"/>
        <w:tab w:val="left" w:pos="1884"/>
      </w:tabs>
      <w:adjustRightInd w:val="0"/>
      <w:spacing w:before="120" w:after="120"/>
      <w:jc w:val="center"/>
    </w:pPr>
    <w:rPr>
      <w:rFonts w:ascii="文鼎大标宋简" w:eastAsia="文鼎大标宋简"/>
      <w:sz w:val="52"/>
      <w:szCs w:val="44"/>
    </w:rPr>
  </w:style>
  <w:style w:type="paragraph" w:customStyle="1" w:styleId="656">
    <w:name w:val="目录名称"/>
    <w:basedOn w:val="1"/>
    <w:qFormat/>
    <w:uiPriority w:val="99"/>
    <w:pPr>
      <w:widowControl w:val="0"/>
      <w:tabs>
        <w:tab w:val="left" w:pos="1727"/>
        <w:tab w:val="left" w:pos="1884"/>
      </w:tabs>
      <w:spacing w:before="120" w:beforeLines="100" w:after="120" w:afterLines="50"/>
      <w:jc w:val="center"/>
    </w:pPr>
    <w:rPr>
      <w:rFonts w:eastAsia="黑体"/>
      <w:sz w:val="32"/>
      <w:szCs w:val="20"/>
    </w:rPr>
  </w:style>
  <w:style w:type="paragraph" w:customStyle="1" w:styleId="657">
    <w:name w:val="样式 目录 2 + 行距: 单倍行距2"/>
    <w:basedOn w:val="75"/>
    <w:qFormat/>
    <w:uiPriority w:val="99"/>
    <w:pPr>
      <w:widowControl w:val="0"/>
      <w:tabs>
        <w:tab w:val="left" w:pos="840"/>
        <w:tab w:val="right" w:leader="dot" w:pos="8400"/>
      </w:tabs>
      <w:snapToGrid w:val="0"/>
      <w:spacing w:before="120" w:after="120" w:line="240" w:lineRule="auto"/>
      <w:ind w:left="280" w:leftChars="0" w:right="280"/>
      <w:jc w:val="left"/>
    </w:pPr>
    <w:rPr>
      <w:rFonts w:eastAsia="宋体" w:cs="宋体"/>
      <w:smallCaps/>
      <w:szCs w:val="20"/>
    </w:rPr>
  </w:style>
  <w:style w:type="paragraph" w:customStyle="1" w:styleId="658">
    <w:name w:val="目录内容"/>
    <w:qFormat/>
    <w:uiPriority w:val="99"/>
    <w:pPr>
      <w:spacing w:before="120" w:after="120" w:line="520" w:lineRule="exact"/>
      <w:ind w:firstLine="200" w:firstLineChars="200"/>
      <w:jc w:val="center"/>
    </w:pPr>
    <w:rPr>
      <w:rFonts w:ascii="宋体" w:hAnsi="宋体" w:eastAsia="宋体" w:cs="Times New Roman"/>
      <w:b/>
      <w:bCs/>
      <w:caps/>
      <w:kern w:val="2"/>
      <w:sz w:val="24"/>
      <w:lang w:val="en-US" w:eastAsia="zh-CN" w:bidi="ar-SA"/>
    </w:rPr>
  </w:style>
  <w:style w:type="paragraph" w:customStyle="1" w:styleId="659">
    <w:name w:val="图章"/>
    <w:basedOn w:val="1"/>
    <w:qFormat/>
    <w:uiPriority w:val="99"/>
    <w:pPr>
      <w:widowControl w:val="0"/>
      <w:tabs>
        <w:tab w:val="left" w:pos="1727"/>
        <w:tab w:val="left" w:pos="1884"/>
      </w:tabs>
      <w:adjustRightInd w:val="0"/>
      <w:snapToGrid w:val="0"/>
      <w:spacing w:before="120" w:after="120" w:line="240" w:lineRule="auto"/>
      <w:jc w:val="left"/>
      <w:outlineLvl w:val="0"/>
    </w:pPr>
    <w:rPr>
      <w:rFonts w:ascii="宋体" w:eastAsia="宋体"/>
      <w:snapToGrid w:val="0"/>
      <w:kern w:val="0"/>
      <w:szCs w:val="24"/>
    </w:rPr>
  </w:style>
  <w:style w:type="paragraph" w:customStyle="1" w:styleId="660">
    <w:name w:val="Char Char Char Char Char Char Char Char Char Char Char Char Char"/>
    <w:basedOn w:val="1"/>
    <w:qFormat/>
    <w:uiPriority w:val="0"/>
    <w:pPr>
      <w:spacing w:before="120" w:after="160" w:line="240" w:lineRule="exact"/>
      <w:jc w:val="left"/>
    </w:pPr>
    <w:rPr>
      <w:rFonts w:ascii="Arial" w:hAnsi="Arial" w:eastAsia="Times New Roman" w:cs="Verdana"/>
      <w:b/>
      <w:kern w:val="0"/>
      <w:szCs w:val="24"/>
      <w:lang w:eastAsia="en-US"/>
    </w:rPr>
  </w:style>
  <w:style w:type="paragraph" w:customStyle="1" w:styleId="661">
    <w:name w:val="标题(1)"/>
    <w:basedOn w:val="1"/>
    <w:link w:val="662"/>
    <w:qFormat/>
    <w:uiPriority w:val="99"/>
    <w:pPr>
      <w:widowControl w:val="0"/>
      <w:numPr>
        <w:ilvl w:val="0"/>
        <w:numId w:val="8"/>
      </w:numPr>
      <w:tabs>
        <w:tab w:val="left" w:pos="1267"/>
        <w:tab w:val="clear" w:pos="1152"/>
      </w:tabs>
      <w:spacing w:before="120" w:after="120"/>
      <w:ind w:firstLine="0"/>
    </w:pPr>
    <w:rPr>
      <w:rFonts w:eastAsia="宋体"/>
      <w:sz w:val="28"/>
      <w:szCs w:val="28"/>
    </w:rPr>
  </w:style>
  <w:style w:type="character" w:customStyle="1" w:styleId="662">
    <w:name w:val="标题(1) Char Char"/>
    <w:link w:val="661"/>
    <w:qFormat/>
    <w:uiPriority w:val="99"/>
    <w:rPr>
      <w:rFonts w:ascii="Times New Roman" w:hAnsi="Times New Roman" w:eastAsia="宋体"/>
      <w:kern w:val="2"/>
      <w:sz w:val="28"/>
      <w:szCs w:val="28"/>
    </w:rPr>
  </w:style>
  <w:style w:type="paragraph" w:customStyle="1" w:styleId="663">
    <w:name w:val="表中居中文字!"/>
    <w:basedOn w:val="1"/>
    <w:qFormat/>
    <w:uiPriority w:val="99"/>
    <w:pPr>
      <w:keepNext/>
      <w:widowControl w:val="0"/>
      <w:autoSpaceDE w:val="0"/>
      <w:autoSpaceDN w:val="0"/>
      <w:adjustRightInd w:val="0"/>
      <w:spacing w:before="120" w:after="120" w:line="240" w:lineRule="auto"/>
    </w:pPr>
    <w:rPr>
      <w:rFonts w:ascii="宋体" w:eastAsia="宋体" w:cs="宋体"/>
      <w:color w:val="000000"/>
      <w:kern w:val="0"/>
      <w:sz w:val="21"/>
      <w:szCs w:val="21"/>
    </w:rPr>
  </w:style>
  <w:style w:type="paragraph" w:customStyle="1" w:styleId="664">
    <w:name w:val="XX篇"/>
    <w:basedOn w:val="655"/>
    <w:qFormat/>
    <w:uiPriority w:val="99"/>
    <w:pPr>
      <w:outlineLvl w:val="0"/>
    </w:pPr>
  </w:style>
  <w:style w:type="character" w:customStyle="1" w:styleId="665">
    <w:name w:val="题注 字符2"/>
    <w:link w:val="23"/>
    <w:qFormat/>
    <w:uiPriority w:val="0"/>
    <w:rPr>
      <w:rFonts w:ascii="等线 Light" w:hAnsi="等线 Light" w:eastAsia="黑体"/>
      <w:kern w:val="2"/>
    </w:rPr>
  </w:style>
  <w:style w:type="paragraph" w:customStyle="1" w:styleId="666">
    <w:name w:val="表格右"/>
    <w:basedOn w:val="22"/>
    <w:qFormat/>
    <w:uiPriority w:val="99"/>
    <w:pPr>
      <w:keepNext/>
      <w:widowControl w:val="0"/>
      <w:tabs>
        <w:tab w:val="left" w:pos="628"/>
        <w:tab w:val="left" w:pos="681"/>
        <w:tab w:val="left" w:pos="1727"/>
        <w:tab w:val="left" w:pos="1884"/>
      </w:tabs>
      <w:adjustRightInd w:val="0"/>
      <w:snapToGrid w:val="0"/>
      <w:spacing w:before="120" w:after="120"/>
      <w:ind w:right="20" w:rightChars="20" w:firstLine="0"/>
      <w:jc w:val="right"/>
    </w:pPr>
    <w:rPr>
      <w:rFonts w:ascii="Times New Roman" w:hAnsi="Times New Roman" w:eastAsia="宋体"/>
      <w:kern w:val="2"/>
      <w:szCs w:val="24"/>
    </w:rPr>
  </w:style>
  <w:style w:type="paragraph" w:customStyle="1" w:styleId="667">
    <w:name w:val="进度表"/>
    <w:basedOn w:val="1"/>
    <w:qFormat/>
    <w:uiPriority w:val="99"/>
    <w:pPr>
      <w:widowControl w:val="0"/>
      <w:tabs>
        <w:tab w:val="left" w:pos="1727"/>
        <w:tab w:val="left" w:pos="1884"/>
      </w:tabs>
      <w:spacing w:before="120" w:after="120" w:line="240" w:lineRule="auto"/>
      <w:ind w:left="56" w:leftChars="20"/>
    </w:pPr>
    <w:rPr>
      <w:rFonts w:ascii="Garamond" w:hAnsi="Garamond" w:eastAsia="楷体_GB2312"/>
      <w:spacing w:val="-20"/>
      <w:kern w:val="0"/>
      <w:szCs w:val="20"/>
    </w:rPr>
  </w:style>
  <w:style w:type="paragraph" w:customStyle="1" w:styleId="668">
    <w:name w:val="样式 表格文字左 + 两端对齐 左侧:  0.2 字符 右侧:  -0.5 字符"/>
    <w:basedOn w:val="627"/>
    <w:qFormat/>
    <w:uiPriority w:val="99"/>
    <w:pPr>
      <w:tabs>
        <w:tab w:val="clear" w:pos="4153"/>
        <w:tab w:val="clear" w:pos="8306"/>
      </w:tabs>
      <w:spacing w:line="240" w:lineRule="auto"/>
      <w:ind w:right="0" w:rightChars="0" w:firstLine="0" w:firstLineChars="0"/>
      <w:jc w:val="both"/>
    </w:pPr>
    <w:rPr>
      <w:rFonts w:ascii="Times New Roman" w:hAnsi="Times New Roman" w:eastAsia="宋体" w:cs="宋体"/>
      <w:kern w:val="2"/>
      <w:szCs w:val="24"/>
    </w:rPr>
  </w:style>
  <w:style w:type="paragraph" w:customStyle="1" w:styleId="669">
    <w:name w:val="备注"/>
    <w:basedOn w:val="609"/>
    <w:qFormat/>
    <w:uiPriority w:val="99"/>
    <w:pPr>
      <w:spacing w:line="360" w:lineRule="auto"/>
      <w:ind w:firstLine="480"/>
      <w:textAlignment w:val="center"/>
    </w:pPr>
    <w:rPr>
      <w:rFonts w:ascii="楷体_GB2312" w:hAnsi="Garamond" w:eastAsia="楷体_GB2312"/>
      <w:bCs w:val="0"/>
      <w:color w:val="auto"/>
      <w:sz w:val="24"/>
      <w:szCs w:val="24"/>
    </w:rPr>
  </w:style>
  <w:style w:type="character" w:customStyle="1" w:styleId="670">
    <w:name w:val="Heading 3 Char"/>
    <w:qFormat/>
    <w:locked/>
    <w:uiPriority w:val="0"/>
    <w:rPr>
      <w:rFonts w:eastAsia="宋体"/>
      <w:b/>
      <w:bCs/>
      <w:color w:val="000000"/>
      <w:kern w:val="2"/>
      <w:sz w:val="32"/>
      <w:szCs w:val="32"/>
      <w:lang w:val="en-US" w:eastAsia="zh-CN" w:bidi="ar-SA"/>
    </w:rPr>
  </w:style>
  <w:style w:type="character" w:customStyle="1" w:styleId="671">
    <w:name w:val="Heading 4 Char"/>
    <w:qFormat/>
    <w:locked/>
    <w:uiPriority w:val="0"/>
    <w:rPr>
      <w:rFonts w:ascii="Arial" w:hAnsi="Arial" w:eastAsia="黑体"/>
      <w:b/>
      <w:bCs/>
      <w:color w:val="000000"/>
      <w:kern w:val="2"/>
      <w:sz w:val="28"/>
      <w:szCs w:val="28"/>
      <w:lang w:val="en-US" w:eastAsia="zh-CN" w:bidi="ar-SA"/>
    </w:rPr>
  </w:style>
  <w:style w:type="character" w:customStyle="1" w:styleId="672">
    <w:name w:val="Heading 5 Char"/>
    <w:qFormat/>
    <w:locked/>
    <w:uiPriority w:val="0"/>
    <w:rPr>
      <w:rFonts w:eastAsia="宋体"/>
      <w:b/>
      <w:bCs/>
      <w:color w:val="000000"/>
      <w:kern w:val="2"/>
      <w:sz w:val="28"/>
      <w:szCs w:val="28"/>
      <w:lang w:val="en-US" w:eastAsia="zh-CN" w:bidi="ar-SA"/>
    </w:rPr>
  </w:style>
  <w:style w:type="paragraph" w:customStyle="1" w:styleId="673">
    <w:name w:val="样式 四号 行距: 多倍行距 1.25 字行"/>
    <w:basedOn w:val="1"/>
    <w:qFormat/>
    <w:uiPriority w:val="99"/>
    <w:pPr>
      <w:widowControl w:val="0"/>
      <w:adjustRightInd w:val="0"/>
      <w:snapToGrid w:val="0"/>
      <w:spacing w:before="120" w:after="120" w:line="300" w:lineRule="auto"/>
      <w:ind w:firstLine="200" w:firstLineChars="200"/>
    </w:pPr>
    <w:rPr>
      <w:rFonts w:eastAsia="宋体" w:cs="宋体"/>
      <w:sz w:val="28"/>
      <w:szCs w:val="20"/>
    </w:rPr>
  </w:style>
  <w:style w:type="character" w:customStyle="1" w:styleId="674">
    <w:name w:val="Char Char8"/>
    <w:qFormat/>
    <w:uiPriority w:val="0"/>
    <w:rPr>
      <w:rFonts w:eastAsia="宋体"/>
      <w:color w:val="000000"/>
      <w:kern w:val="2"/>
      <w:sz w:val="18"/>
      <w:szCs w:val="18"/>
      <w:lang w:val="en-US" w:eastAsia="zh-CN" w:bidi="ar-SA"/>
    </w:rPr>
  </w:style>
  <w:style w:type="character" w:customStyle="1" w:styleId="675">
    <w:name w:val="Char Char7"/>
    <w:qFormat/>
    <w:uiPriority w:val="0"/>
    <w:rPr>
      <w:rFonts w:eastAsia="宋体"/>
      <w:color w:val="000000"/>
      <w:kern w:val="2"/>
      <w:sz w:val="18"/>
      <w:szCs w:val="18"/>
      <w:lang w:val="en-US" w:eastAsia="zh-CN" w:bidi="ar-SA"/>
    </w:rPr>
  </w:style>
  <w:style w:type="paragraph" w:customStyle="1" w:styleId="676">
    <w:name w:val="齐中_楷四"/>
    <w:basedOn w:val="1"/>
    <w:qFormat/>
    <w:uiPriority w:val="99"/>
    <w:pPr>
      <w:widowControl w:val="0"/>
      <w:spacing w:before="120" w:after="120" w:line="240" w:lineRule="atLeast"/>
      <w:ind w:right="42" w:rightChars="20"/>
      <w:jc w:val="center"/>
    </w:pPr>
    <w:rPr>
      <w:rFonts w:ascii="楷体_GB2312" w:eastAsia="宋体"/>
      <w:sz w:val="28"/>
      <w:szCs w:val="28"/>
    </w:rPr>
  </w:style>
  <w:style w:type="paragraph" w:customStyle="1" w:styleId="677">
    <w:name w:val="表格标题--"/>
    <w:basedOn w:val="87"/>
    <w:link w:val="678"/>
    <w:qFormat/>
    <w:uiPriority w:val="0"/>
    <w:pPr>
      <w:widowControl w:val="0"/>
      <w:adjustRightInd w:val="0"/>
      <w:snapToGrid w:val="0"/>
      <w:spacing w:before="120" w:beforeAutospacing="0"/>
      <w:ind w:firstLine="0" w:firstLineChars="0"/>
    </w:pPr>
    <w:rPr>
      <w:rFonts w:ascii="楷体_GB2312" w:hAnsi="Times New Roman" w:eastAsia="黑体" w:cs="Times New Roman"/>
      <w:snapToGrid/>
      <w:sz w:val="24"/>
      <w:szCs w:val="24"/>
    </w:rPr>
  </w:style>
  <w:style w:type="character" w:customStyle="1" w:styleId="678">
    <w:name w:val="表格标题-- Char"/>
    <w:link w:val="677"/>
    <w:qFormat/>
    <w:uiPriority w:val="0"/>
    <w:rPr>
      <w:rFonts w:ascii="楷体_GB2312" w:hAnsi="Times New Roman" w:eastAsia="黑体"/>
      <w:snapToGrid w:val="0"/>
      <w:kern w:val="2"/>
      <w:sz w:val="24"/>
      <w:szCs w:val="24"/>
    </w:rPr>
  </w:style>
  <w:style w:type="paragraph" w:customStyle="1" w:styleId="679">
    <w:name w:val="样式 标题 2_Heading 2标题2节_Heading 2 Char一级条2Majorsect1.1标题 ..."/>
    <w:basedOn w:val="4"/>
    <w:link w:val="680"/>
    <w:qFormat/>
    <w:uiPriority w:val="0"/>
    <w:pPr>
      <w:keepNext w:val="0"/>
      <w:keepLines w:val="0"/>
      <w:tabs>
        <w:tab w:val="left" w:pos="576"/>
      </w:tabs>
      <w:adjustRightInd w:val="0"/>
      <w:snapToGrid w:val="0"/>
      <w:spacing w:before="120" w:after="120" w:line="300" w:lineRule="auto"/>
      <w:jc w:val="left"/>
    </w:pPr>
    <w:rPr>
      <w:rFonts w:ascii="Times New Roman" w:hAnsi="Times New Roman" w:eastAsia="黑体"/>
      <w:b w:val="0"/>
      <w:bCs w:val="0"/>
      <w:snapToGrid w:val="0"/>
      <w:kern w:val="0"/>
      <w:sz w:val="28"/>
    </w:rPr>
  </w:style>
  <w:style w:type="character" w:customStyle="1" w:styleId="680">
    <w:name w:val="样式 标题 2_Heading 2标题2节_Heading 2 Char一级条2Majorsect1.1标题 ... Char"/>
    <w:link w:val="679"/>
    <w:qFormat/>
    <w:uiPriority w:val="0"/>
    <w:rPr>
      <w:rFonts w:ascii="Times New Roman" w:hAnsi="Times New Roman" w:eastAsia="黑体"/>
      <w:snapToGrid w:val="0"/>
      <w:sz w:val="28"/>
      <w:szCs w:val="32"/>
    </w:rPr>
  </w:style>
  <w:style w:type="paragraph" w:customStyle="1" w:styleId="681">
    <w:name w:val="表内文字"/>
    <w:link w:val="683"/>
    <w:qFormat/>
    <w:uiPriority w:val="0"/>
    <w:pPr>
      <w:widowControl w:val="0"/>
      <w:adjustRightInd w:val="0"/>
      <w:snapToGrid w:val="0"/>
      <w:spacing w:before="120" w:after="120" w:line="240" w:lineRule="atLeast"/>
      <w:ind w:firstLine="200" w:firstLineChars="200"/>
      <w:jc w:val="center"/>
    </w:pPr>
    <w:rPr>
      <w:rFonts w:ascii="Times New Roman" w:hAnsi="Times New Roman" w:eastAsia="宋体" w:cs="Times New Roman"/>
      <w:snapToGrid w:val="0"/>
      <w:sz w:val="21"/>
      <w:lang w:val="en-US" w:eastAsia="zh-CN" w:bidi="ar-SA"/>
    </w:rPr>
  </w:style>
  <w:style w:type="character" w:customStyle="1" w:styleId="682">
    <w:name w:val="标题 4 Char1"/>
    <w:qFormat/>
    <w:uiPriority w:val="0"/>
    <w:rPr>
      <w:rFonts w:ascii="Verdana" w:hAnsi="Verdana" w:eastAsia="楷体_GB2312"/>
      <w:color w:val="000000"/>
      <w:kern w:val="2"/>
      <w:sz w:val="30"/>
      <w:szCs w:val="28"/>
      <w:lang w:val="en-US" w:eastAsia="zh-CN" w:bidi="ar-SA"/>
    </w:rPr>
  </w:style>
  <w:style w:type="character" w:customStyle="1" w:styleId="683">
    <w:name w:val="表内文字 Char"/>
    <w:link w:val="681"/>
    <w:qFormat/>
    <w:uiPriority w:val="0"/>
    <w:rPr>
      <w:rFonts w:ascii="Times New Roman" w:hAnsi="Times New Roman" w:eastAsia="宋体"/>
      <w:snapToGrid w:val="0"/>
      <w:sz w:val="21"/>
    </w:rPr>
  </w:style>
  <w:style w:type="character" w:customStyle="1" w:styleId="684">
    <w:name w:val="表 Char Char Char"/>
    <w:link w:val="646"/>
    <w:qFormat/>
    <w:uiPriority w:val="99"/>
    <w:rPr>
      <w:rFonts w:ascii="Times New Roman" w:hAnsi="Times New Roman" w:eastAsia="黑体"/>
      <w:sz w:val="24"/>
    </w:rPr>
  </w:style>
  <w:style w:type="paragraph" w:customStyle="1" w:styleId="685">
    <w:name w:val="表题"/>
    <w:qFormat/>
    <w:uiPriority w:val="99"/>
    <w:pPr>
      <w:widowControl w:val="0"/>
      <w:adjustRightInd w:val="0"/>
      <w:snapToGrid w:val="0"/>
      <w:spacing w:before="120" w:after="120" w:line="520" w:lineRule="exact"/>
      <w:ind w:firstLine="200" w:firstLineChars="200"/>
      <w:jc w:val="center"/>
    </w:pPr>
    <w:rPr>
      <w:rFonts w:ascii="黑体" w:hAnsi="Times New Roman" w:eastAsia="黑体" w:cs="Times New Roman"/>
      <w:sz w:val="24"/>
      <w:szCs w:val="24"/>
      <w:lang w:val="en-US" w:eastAsia="zh-CN" w:bidi="ar-SA"/>
    </w:rPr>
  </w:style>
  <w:style w:type="paragraph" w:customStyle="1" w:styleId="686">
    <w:name w:val="项目符号1"/>
    <w:basedOn w:val="1"/>
    <w:qFormat/>
    <w:uiPriority w:val="0"/>
    <w:pPr>
      <w:widowControl w:val="0"/>
      <w:tabs>
        <w:tab w:val="left" w:pos="1545"/>
      </w:tabs>
      <w:overflowPunct w:val="0"/>
      <w:snapToGrid w:val="0"/>
      <w:spacing w:before="120" w:after="120" w:line="480" w:lineRule="exact"/>
      <w:ind w:left="1545" w:hanging="720"/>
    </w:pPr>
    <w:rPr>
      <w:rFonts w:ascii="Arial" w:hAnsi="Arial" w:eastAsia="仿宋_GB2312"/>
      <w:sz w:val="28"/>
      <w:szCs w:val="20"/>
    </w:rPr>
  </w:style>
  <w:style w:type="paragraph" w:customStyle="1" w:styleId="687">
    <w:name w:val="首行缩进2字符 Char"/>
    <w:qFormat/>
    <w:uiPriority w:val="99"/>
    <w:pPr>
      <w:widowControl w:val="0"/>
      <w:suppressAutoHyphens/>
      <w:adjustRightInd w:val="0"/>
      <w:snapToGrid w:val="0"/>
      <w:spacing w:before="120" w:after="120" w:line="300" w:lineRule="auto"/>
      <w:ind w:firstLine="200" w:firstLineChars="200"/>
      <w:jc w:val="center"/>
    </w:pPr>
    <w:rPr>
      <w:rFonts w:ascii="Times New Roman" w:hAnsi="Times New Roman" w:eastAsia="宋体" w:cs="宋体"/>
      <w:kern w:val="2"/>
      <w:sz w:val="28"/>
      <w:lang w:val="en-US" w:eastAsia="zh-CN" w:bidi="ar-SA"/>
    </w:rPr>
  </w:style>
  <w:style w:type="paragraph" w:customStyle="1" w:styleId="688">
    <w:name w:val="正文缩"/>
    <w:basedOn w:val="1"/>
    <w:qFormat/>
    <w:uiPriority w:val="99"/>
    <w:pPr>
      <w:widowControl w:val="0"/>
      <w:autoSpaceDE w:val="0"/>
      <w:autoSpaceDN w:val="0"/>
      <w:adjustRightInd w:val="0"/>
      <w:snapToGrid w:val="0"/>
      <w:spacing w:before="120" w:after="120" w:line="480" w:lineRule="atLeast"/>
      <w:ind w:firstLine="200" w:firstLineChars="200"/>
      <w:textAlignment w:val="baseline"/>
    </w:pPr>
    <w:rPr>
      <w:rFonts w:ascii="宋体" w:eastAsia="宋体"/>
      <w:snapToGrid w:val="0"/>
      <w:spacing w:val="6"/>
      <w:kern w:val="0"/>
      <w:sz w:val="28"/>
      <w:szCs w:val="20"/>
    </w:rPr>
  </w:style>
  <w:style w:type="character" w:customStyle="1" w:styleId="689">
    <w:name w:val="标题 5! Char"/>
    <w:qFormat/>
    <w:uiPriority w:val="0"/>
    <w:rPr>
      <w:rFonts w:eastAsia="宋体"/>
      <w:color w:val="000000"/>
      <w:kern w:val="2"/>
      <w:sz w:val="28"/>
      <w:szCs w:val="21"/>
      <w:lang w:val="en-US" w:eastAsia="zh-CN" w:bidi="ar-SA"/>
    </w:rPr>
  </w:style>
  <w:style w:type="paragraph" w:customStyle="1" w:styleId="690">
    <w:name w:val="样式 目录 1 + 行距: 单倍行距"/>
    <w:basedOn w:val="60"/>
    <w:qFormat/>
    <w:uiPriority w:val="99"/>
    <w:pPr>
      <w:keepNext/>
      <w:widowControl w:val="0"/>
      <w:tabs>
        <w:tab w:val="left" w:pos="681"/>
        <w:tab w:val="left" w:pos="1120"/>
        <w:tab w:val="right" w:leader="dot" w:pos="8495"/>
      </w:tabs>
      <w:snapToGrid w:val="0"/>
      <w:spacing w:before="120" w:after="120" w:line="240" w:lineRule="auto"/>
      <w:ind w:firstLine="480" w:firstLineChars="200"/>
    </w:pPr>
    <w:rPr>
      <w:rFonts w:eastAsia="宋体" w:cs="宋体"/>
      <w:b/>
      <w:bCs/>
      <w:caps/>
      <w:szCs w:val="24"/>
    </w:rPr>
  </w:style>
  <w:style w:type="paragraph" w:customStyle="1" w:styleId="691">
    <w:name w:val="列表1"/>
    <w:basedOn w:val="67"/>
    <w:qFormat/>
    <w:uiPriority w:val="99"/>
    <w:pPr>
      <w:tabs>
        <w:tab w:val="left" w:pos="1727"/>
        <w:tab w:val="left" w:pos="1884"/>
      </w:tabs>
      <w:spacing w:before="120" w:after="120" w:line="360" w:lineRule="auto"/>
      <w:ind w:left="0" w:firstLine="0" w:firstLineChars="200"/>
      <w:contextualSpacing w:val="0"/>
      <w:jc w:val="left"/>
    </w:pPr>
    <w:rPr>
      <w:rFonts w:eastAsia="宋体" w:cs="Times New Roman"/>
      <w:sz w:val="32"/>
      <w:szCs w:val="20"/>
    </w:rPr>
  </w:style>
  <w:style w:type="character" w:customStyle="1" w:styleId="692">
    <w:name w:val="Char Char3"/>
    <w:qFormat/>
    <w:uiPriority w:val="0"/>
    <w:rPr>
      <w:rFonts w:eastAsia="宋体"/>
      <w:color w:val="000000"/>
      <w:kern w:val="2"/>
      <w:sz w:val="18"/>
      <w:szCs w:val="21"/>
      <w:lang w:val="en-US" w:eastAsia="zh-CN" w:bidi="ar-SA"/>
    </w:rPr>
  </w:style>
  <w:style w:type="character" w:customStyle="1" w:styleId="693">
    <w:name w:val="Char Char2"/>
    <w:qFormat/>
    <w:uiPriority w:val="0"/>
    <w:rPr>
      <w:rFonts w:eastAsia="宋体"/>
      <w:color w:val="000000"/>
      <w:kern w:val="2"/>
      <w:sz w:val="18"/>
      <w:szCs w:val="21"/>
      <w:lang w:val="en-US" w:eastAsia="zh-CN" w:bidi="ar-SA"/>
    </w:rPr>
  </w:style>
  <w:style w:type="paragraph" w:customStyle="1" w:styleId="694">
    <w:name w:val="页眉1"/>
    <w:basedOn w:val="58"/>
    <w:qFormat/>
    <w:uiPriority w:val="99"/>
    <w:pPr>
      <w:widowControl w:val="0"/>
      <w:pBdr>
        <w:bottom w:val="none" w:color="auto" w:sz="0" w:space="0"/>
      </w:pBdr>
      <w:tabs>
        <w:tab w:val="left" w:pos="1727"/>
        <w:tab w:val="left" w:pos="1884"/>
      </w:tabs>
      <w:spacing w:before="120" w:after="120"/>
      <w:ind w:firstLine="560" w:firstLineChars="200"/>
      <w:jc w:val="left"/>
    </w:pPr>
    <w:rPr>
      <w:rFonts w:eastAsia="宋体"/>
      <w:szCs w:val="20"/>
    </w:rPr>
  </w:style>
  <w:style w:type="paragraph" w:customStyle="1" w:styleId="695">
    <w:name w:val="表格居中"/>
    <w:basedOn w:val="67"/>
    <w:qFormat/>
    <w:uiPriority w:val="99"/>
    <w:pPr>
      <w:tabs>
        <w:tab w:val="left" w:pos="1727"/>
        <w:tab w:val="left" w:pos="1884"/>
      </w:tabs>
      <w:adjustRightInd w:val="0"/>
      <w:snapToGrid w:val="0"/>
      <w:spacing w:before="120" w:after="120" w:line="360" w:lineRule="auto"/>
      <w:ind w:left="0" w:firstLine="0" w:firstLineChars="200"/>
      <w:contextualSpacing w:val="0"/>
      <w:jc w:val="left"/>
      <w:outlineLvl w:val="6"/>
    </w:pPr>
    <w:rPr>
      <w:rFonts w:eastAsia="宋体" w:cs="Times New Roman"/>
      <w:szCs w:val="24"/>
    </w:rPr>
  </w:style>
  <w:style w:type="paragraph" w:customStyle="1" w:styleId="696">
    <w:name w:val="付报告名"/>
    <w:basedOn w:val="655"/>
    <w:qFormat/>
    <w:uiPriority w:val="99"/>
    <w:pPr>
      <w:ind w:firstLine="200" w:firstLineChars="200"/>
    </w:pPr>
  </w:style>
  <w:style w:type="paragraph" w:customStyle="1" w:styleId="697">
    <w:name w:val="目录需要"/>
    <w:basedOn w:val="1"/>
    <w:qFormat/>
    <w:uiPriority w:val="99"/>
    <w:pPr>
      <w:widowControl w:val="0"/>
      <w:tabs>
        <w:tab w:val="left" w:pos="628"/>
        <w:tab w:val="left" w:pos="1727"/>
        <w:tab w:val="left" w:pos="1884"/>
      </w:tabs>
      <w:adjustRightInd w:val="0"/>
      <w:snapToGrid w:val="0"/>
      <w:spacing w:before="120" w:after="120"/>
      <w:ind w:firstLine="200" w:firstLineChars="200"/>
      <w:jc w:val="left"/>
      <w:outlineLvl w:val="0"/>
    </w:pPr>
    <w:rPr>
      <w:rFonts w:ascii="黑体" w:hAnsi="宋体" w:eastAsia="黑体"/>
      <w:b/>
      <w:sz w:val="26"/>
      <w:szCs w:val="26"/>
    </w:rPr>
  </w:style>
  <w:style w:type="paragraph" w:customStyle="1" w:styleId="698">
    <w:name w:val="正文内容模板"/>
    <w:basedOn w:val="1"/>
    <w:qFormat/>
    <w:uiPriority w:val="99"/>
    <w:pPr>
      <w:widowControl w:val="0"/>
      <w:snapToGrid w:val="0"/>
      <w:spacing w:before="120" w:after="120"/>
      <w:ind w:firstLine="200" w:firstLineChars="200"/>
      <w:jc w:val="left"/>
    </w:pPr>
    <w:rPr>
      <w:rFonts w:eastAsia="宋体" w:cs="宋体"/>
      <w:sz w:val="28"/>
      <w:szCs w:val="20"/>
    </w:rPr>
  </w:style>
  <w:style w:type="paragraph" w:customStyle="1" w:styleId="699">
    <w:name w:val="封面 黑体 小初 居中"/>
    <w:basedOn w:val="1"/>
    <w:qFormat/>
    <w:uiPriority w:val="99"/>
    <w:pPr>
      <w:widowControl w:val="0"/>
      <w:spacing w:before="120" w:after="120" w:line="240" w:lineRule="auto"/>
      <w:ind w:firstLine="200" w:firstLineChars="200"/>
      <w:jc w:val="center"/>
    </w:pPr>
    <w:rPr>
      <w:rFonts w:ascii="黑体" w:eastAsia="黑体" w:cs="宋体"/>
      <w:sz w:val="72"/>
      <w:szCs w:val="20"/>
    </w:rPr>
  </w:style>
  <w:style w:type="paragraph" w:customStyle="1" w:styleId="700">
    <w:name w:val="表字"/>
    <w:basedOn w:val="1"/>
    <w:link w:val="1359"/>
    <w:qFormat/>
    <w:uiPriority w:val="0"/>
    <w:pPr>
      <w:widowControl w:val="0"/>
      <w:spacing w:before="120" w:after="120" w:line="240" w:lineRule="auto"/>
      <w:ind w:firstLine="200" w:firstLineChars="200"/>
      <w:jc w:val="center"/>
    </w:pPr>
    <w:rPr>
      <w:rFonts w:ascii="宋体" w:eastAsia="宋体"/>
      <w:sz w:val="21"/>
      <w:szCs w:val="20"/>
    </w:rPr>
  </w:style>
  <w:style w:type="paragraph" w:customStyle="1" w:styleId="701">
    <w:name w:val="样式_表格小四加粗"/>
    <w:qFormat/>
    <w:uiPriority w:val="99"/>
    <w:pPr>
      <w:snapToGrid w:val="0"/>
      <w:spacing w:before="120" w:after="120" w:line="520" w:lineRule="exact"/>
      <w:ind w:firstLine="200" w:firstLineChars="200"/>
      <w:jc w:val="center"/>
    </w:pPr>
    <w:rPr>
      <w:rFonts w:ascii="Times New Roman" w:hAnsi="Times New Roman" w:eastAsia="宋体" w:cs="Times New Roman"/>
      <w:b/>
      <w:sz w:val="24"/>
      <w:szCs w:val="24"/>
      <w:lang w:val="en-US" w:eastAsia="zh-CN" w:bidi="ar-SA"/>
    </w:rPr>
  </w:style>
  <w:style w:type="paragraph" w:customStyle="1" w:styleId="702">
    <w:name w:val="样式_表格小四居中"/>
    <w:qFormat/>
    <w:uiPriority w:val="99"/>
    <w:pPr>
      <w:adjustRightInd w:val="0"/>
      <w:snapToGrid w:val="0"/>
      <w:spacing w:before="120" w:after="120" w:line="520" w:lineRule="exact"/>
      <w:ind w:firstLine="200" w:firstLineChars="200"/>
      <w:jc w:val="center"/>
    </w:pPr>
    <w:rPr>
      <w:rFonts w:ascii="Times New Roman" w:hAnsi="Times New Roman" w:eastAsia="宋体" w:cs="Times New Roman"/>
      <w:sz w:val="24"/>
      <w:szCs w:val="24"/>
      <w:lang w:val="en-US" w:eastAsia="zh-CN" w:bidi="ar-SA"/>
    </w:rPr>
  </w:style>
  <w:style w:type="paragraph" w:customStyle="1" w:styleId="703">
    <w:name w:val="表格文字居中"/>
    <w:basedOn w:val="1"/>
    <w:next w:val="87"/>
    <w:link w:val="704"/>
    <w:semiHidden/>
    <w:qFormat/>
    <w:uiPriority w:val="0"/>
    <w:pPr>
      <w:widowControl w:val="0"/>
      <w:tabs>
        <w:tab w:val="left" w:pos="1727"/>
        <w:tab w:val="left" w:pos="1884"/>
      </w:tabs>
      <w:adjustRightInd w:val="0"/>
      <w:snapToGrid w:val="0"/>
      <w:spacing w:before="120" w:after="120" w:line="240" w:lineRule="auto"/>
      <w:ind w:left="374" w:hanging="374" w:hangingChars="178"/>
      <w:jc w:val="center"/>
    </w:pPr>
    <w:rPr>
      <w:rFonts w:ascii="宋体" w:hAnsi="宋体" w:eastAsia="宋体"/>
      <w:sz w:val="21"/>
      <w:szCs w:val="21"/>
    </w:rPr>
  </w:style>
  <w:style w:type="character" w:customStyle="1" w:styleId="704">
    <w:name w:val="表格文字居中 Char1"/>
    <w:link w:val="703"/>
    <w:semiHidden/>
    <w:qFormat/>
    <w:uiPriority w:val="0"/>
    <w:rPr>
      <w:rFonts w:ascii="宋体" w:hAnsi="宋体" w:eastAsia="宋体"/>
      <w:kern w:val="2"/>
      <w:sz w:val="21"/>
      <w:szCs w:val="21"/>
    </w:rPr>
  </w:style>
  <w:style w:type="paragraph" w:customStyle="1" w:styleId="705">
    <w:name w:val="样式 题注 + 首行缩进:  2 字符2"/>
    <w:basedOn w:val="23"/>
    <w:link w:val="706"/>
    <w:semiHidden/>
    <w:qFormat/>
    <w:uiPriority w:val="0"/>
    <w:pPr>
      <w:keepNext/>
      <w:widowControl w:val="0"/>
      <w:adjustRightInd w:val="0"/>
      <w:snapToGrid w:val="0"/>
      <w:spacing w:before="120" w:after="120" w:line="240" w:lineRule="auto"/>
      <w:ind w:firstLine="200" w:firstLineChars="200"/>
      <w:jc w:val="left"/>
    </w:pPr>
    <w:rPr>
      <w:rFonts w:ascii="黑体" w:hAnsi="宋体"/>
      <w:sz w:val="24"/>
      <w:lang w:val="zh-CN"/>
    </w:rPr>
  </w:style>
  <w:style w:type="character" w:customStyle="1" w:styleId="706">
    <w:name w:val="样式 题注 + 首行缩进:  2 字符2 Char"/>
    <w:link w:val="705"/>
    <w:semiHidden/>
    <w:qFormat/>
    <w:uiPriority w:val="0"/>
    <w:rPr>
      <w:rFonts w:ascii="黑体" w:hAnsi="宋体" w:eastAsia="黑体"/>
      <w:kern w:val="2"/>
      <w:sz w:val="24"/>
      <w:lang w:val="zh-CN"/>
    </w:rPr>
  </w:style>
  <w:style w:type="paragraph" w:customStyle="1" w:styleId="707">
    <w:name w:val="样式 表中居中文字! + 小四"/>
    <w:basedOn w:val="663"/>
    <w:qFormat/>
    <w:uiPriority w:val="99"/>
    <w:pPr>
      <w:ind w:firstLine="200" w:firstLineChars="200"/>
      <w:jc w:val="center"/>
    </w:pPr>
  </w:style>
  <w:style w:type="paragraph" w:customStyle="1" w:styleId="708">
    <w:name w:val="题注 + 居中"/>
    <w:basedOn w:val="23"/>
    <w:link w:val="709"/>
    <w:qFormat/>
    <w:uiPriority w:val="0"/>
    <w:pPr>
      <w:keepNext/>
      <w:widowControl w:val="0"/>
      <w:adjustRightInd w:val="0"/>
      <w:snapToGrid w:val="0"/>
      <w:spacing w:before="120" w:after="120" w:line="240" w:lineRule="auto"/>
      <w:ind w:firstLine="200" w:firstLineChars="200"/>
      <w:jc w:val="center"/>
    </w:pPr>
    <w:rPr>
      <w:rFonts w:ascii="Arial" w:hAnsi="Arial"/>
      <w:sz w:val="24"/>
      <w:lang w:val="zh-CN"/>
    </w:rPr>
  </w:style>
  <w:style w:type="character" w:customStyle="1" w:styleId="709">
    <w:name w:val="题注 + 居中 Char"/>
    <w:link w:val="708"/>
    <w:qFormat/>
    <w:uiPriority w:val="0"/>
    <w:rPr>
      <w:rFonts w:ascii="Arial" w:hAnsi="Arial" w:eastAsia="黑体"/>
      <w:kern w:val="2"/>
      <w:sz w:val="24"/>
      <w:lang w:val="zh-CN"/>
    </w:rPr>
  </w:style>
  <w:style w:type="paragraph" w:customStyle="1" w:styleId="710">
    <w:name w:val="样式 标题 1标题 1!标题 1 Char标1章第一章可研-标题 1PartH1H11H12H13H11..."/>
    <w:basedOn w:val="3"/>
    <w:qFormat/>
    <w:uiPriority w:val="99"/>
    <w:pPr>
      <w:keepNext w:val="0"/>
      <w:keepLines w:val="0"/>
      <w:pageBreakBefore/>
      <w:widowControl w:val="0"/>
      <w:tabs>
        <w:tab w:val="left" w:pos="432"/>
      </w:tabs>
      <w:adjustRightInd w:val="0"/>
      <w:snapToGrid w:val="0"/>
      <w:spacing w:before="120" w:beforeLines="50" w:after="120" w:afterLines="50" w:line="576" w:lineRule="auto"/>
      <w:ind w:left="432" w:hanging="432"/>
      <w:jc w:val="left"/>
    </w:pPr>
    <w:rPr>
      <w:rFonts w:eastAsia="黑体" w:cs="宋体"/>
      <w:b w:val="0"/>
      <w:bCs w:val="0"/>
      <w:sz w:val="28"/>
      <w:szCs w:val="20"/>
    </w:rPr>
  </w:style>
  <w:style w:type="paragraph" w:customStyle="1" w:styleId="711">
    <w:name w:val="标准表格-2"/>
    <w:basedOn w:val="1"/>
    <w:link w:val="712"/>
    <w:qFormat/>
    <w:uiPriority w:val="0"/>
    <w:pPr>
      <w:keepNext/>
      <w:widowControl w:val="0"/>
      <w:adjustRightInd w:val="0"/>
      <w:snapToGrid w:val="0"/>
      <w:spacing w:before="120" w:after="120"/>
      <w:ind w:firstLine="560" w:firstLineChars="200"/>
      <w:jc w:val="left"/>
    </w:pPr>
    <w:rPr>
      <w:rFonts w:ascii="宋体" w:hAnsi="宋体" w:eastAsia="宋体"/>
      <w:sz w:val="28"/>
      <w:szCs w:val="20"/>
    </w:rPr>
  </w:style>
  <w:style w:type="character" w:customStyle="1" w:styleId="712">
    <w:name w:val="标准表格-2 Char Char"/>
    <w:link w:val="711"/>
    <w:qFormat/>
    <w:uiPriority w:val="0"/>
    <w:rPr>
      <w:rFonts w:ascii="宋体" w:hAnsi="宋体" w:eastAsia="宋体"/>
      <w:kern w:val="2"/>
      <w:sz w:val="28"/>
    </w:rPr>
  </w:style>
  <w:style w:type="paragraph" w:customStyle="1" w:styleId="713">
    <w:name w:val="题注 + 居中!"/>
    <w:basedOn w:val="23"/>
    <w:link w:val="714"/>
    <w:qFormat/>
    <w:uiPriority w:val="0"/>
    <w:pPr>
      <w:keepNext/>
      <w:widowControl w:val="0"/>
      <w:adjustRightInd w:val="0"/>
      <w:snapToGrid w:val="0"/>
      <w:spacing w:before="120" w:after="120" w:line="240" w:lineRule="auto"/>
      <w:jc w:val="center"/>
    </w:pPr>
    <w:rPr>
      <w:rFonts w:ascii="Arial" w:hAnsi="Arial"/>
      <w:sz w:val="24"/>
      <w:lang w:val="zh-CN"/>
    </w:rPr>
  </w:style>
  <w:style w:type="character" w:customStyle="1" w:styleId="714">
    <w:name w:val="题注 + 居中! Char"/>
    <w:link w:val="713"/>
    <w:qFormat/>
    <w:uiPriority w:val="0"/>
    <w:rPr>
      <w:rFonts w:ascii="Arial" w:hAnsi="Arial" w:eastAsia="黑体"/>
      <w:kern w:val="2"/>
      <w:sz w:val="24"/>
      <w:lang w:val="zh-CN"/>
    </w:rPr>
  </w:style>
  <w:style w:type="paragraph" w:customStyle="1" w:styleId="715">
    <w:name w:val="Char1"/>
    <w:basedOn w:val="1"/>
    <w:qFormat/>
    <w:uiPriority w:val="99"/>
    <w:pPr>
      <w:widowControl w:val="0"/>
      <w:adjustRightInd w:val="0"/>
      <w:snapToGrid w:val="0"/>
      <w:spacing w:before="120" w:after="120"/>
      <w:ind w:firstLine="200" w:firstLineChars="200"/>
    </w:pPr>
    <w:rPr>
      <w:rFonts w:ascii="黑体" w:eastAsia="黑体"/>
      <w:sz w:val="32"/>
      <w:szCs w:val="32"/>
    </w:rPr>
  </w:style>
  <w:style w:type="paragraph" w:customStyle="1" w:styleId="716">
    <w:name w:val="环保表内字（五号）"/>
    <w:basedOn w:val="1"/>
    <w:link w:val="717"/>
    <w:qFormat/>
    <w:uiPriority w:val="0"/>
    <w:pPr>
      <w:widowControl w:val="0"/>
      <w:adjustRightInd w:val="0"/>
      <w:snapToGrid w:val="0"/>
      <w:spacing w:before="120" w:after="120" w:line="0" w:lineRule="atLeast"/>
    </w:pPr>
    <w:rPr>
      <w:rFonts w:eastAsia="宋体"/>
      <w:snapToGrid w:val="0"/>
      <w:kern w:val="0"/>
      <w:sz w:val="21"/>
      <w:szCs w:val="20"/>
    </w:rPr>
  </w:style>
  <w:style w:type="character" w:customStyle="1" w:styleId="717">
    <w:name w:val="环保表内字（五号） Char"/>
    <w:link w:val="716"/>
    <w:qFormat/>
    <w:uiPriority w:val="0"/>
    <w:rPr>
      <w:rFonts w:ascii="Times New Roman" w:hAnsi="Times New Roman" w:eastAsia="宋体"/>
      <w:snapToGrid w:val="0"/>
      <w:sz w:val="21"/>
    </w:rPr>
  </w:style>
  <w:style w:type="paragraph" w:customStyle="1" w:styleId="718">
    <w:name w:val="正文表头_小四号加粗居中"/>
    <w:basedOn w:val="1"/>
    <w:qFormat/>
    <w:uiPriority w:val="99"/>
    <w:pPr>
      <w:adjustRightInd w:val="0"/>
      <w:snapToGrid w:val="0"/>
      <w:spacing w:before="120" w:after="120" w:line="240" w:lineRule="auto"/>
      <w:jc w:val="center"/>
    </w:pPr>
    <w:rPr>
      <w:rFonts w:eastAsia="楷体_GB2312"/>
      <w:b/>
      <w:kern w:val="0"/>
      <w:szCs w:val="24"/>
    </w:rPr>
  </w:style>
  <w:style w:type="paragraph" w:customStyle="1" w:styleId="719">
    <w:name w:val="正文表格_小四号居中"/>
    <w:qFormat/>
    <w:uiPriority w:val="99"/>
    <w:pPr>
      <w:adjustRightInd w:val="0"/>
      <w:snapToGrid w:val="0"/>
      <w:spacing w:before="120" w:after="120" w:line="520" w:lineRule="exact"/>
      <w:ind w:firstLine="200" w:firstLineChars="200"/>
      <w:jc w:val="center"/>
    </w:pPr>
    <w:rPr>
      <w:rFonts w:ascii="Times New Roman" w:hAnsi="Times New Roman" w:eastAsia="楷体_GB2312" w:cs="Times New Roman"/>
      <w:sz w:val="24"/>
      <w:szCs w:val="24"/>
      <w:lang w:val="en-US" w:eastAsia="zh-CN" w:bidi="ar-SA"/>
    </w:rPr>
  </w:style>
  <w:style w:type="paragraph" w:customStyle="1" w:styleId="720">
    <w:name w:val="Char Char3 Char Char Char Char1"/>
    <w:basedOn w:val="1"/>
    <w:qFormat/>
    <w:uiPriority w:val="99"/>
    <w:pPr>
      <w:spacing w:before="120" w:after="160" w:line="240" w:lineRule="exact"/>
      <w:jc w:val="left"/>
    </w:pPr>
    <w:rPr>
      <w:rFonts w:ascii="Verdana" w:hAnsi="Verdana" w:eastAsia="宋体"/>
      <w:kern w:val="0"/>
      <w:sz w:val="20"/>
      <w:szCs w:val="20"/>
      <w:lang w:eastAsia="en-US"/>
    </w:rPr>
  </w:style>
  <w:style w:type="paragraph" w:customStyle="1" w:styleId="721">
    <w:name w:val="样式 表格文字左 + (中文) 宋体"/>
    <w:basedOn w:val="627"/>
    <w:qFormat/>
    <w:uiPriority w:val="99"/>
    <w:pPr>
      <w:spacing w:line="240" w:lineRule="auto"/>
      <w:ind w:firstLine="0" w:firstLineChars="0"/>
    </w:pPr>
    <w:rPr>
      <w:rFonts w:ascii="Times New Roman" w:hAnsi="Times New Roman" w:eastAsia="宋体"/>
      <w:szCs w:val="24"/>
    </w:rPr>
  </w:style>
  <w:style w:type="paragraph" w:customStyle="1" w:styleId="722">
    <w:name w:val="xl42"/>
    <w:basedOn w:val="1"/>
    <w:qFormat/>
    <w:uiPriority w:val="0"/>
    <w:pPr>
      <w:spacing w:before="100" w:after="100" w:line="240" w:lineRule="auto"/>
      <w:jc w:val="center"/>
    </w:pPr>
    <w:rPr>
      <w:rFonts w:hint="eastAsia" w:ascii="宋体" w:hAnsi="宋体" w:eastAsia="宋体"/>
      <w:kern w:val="28"/>
      <w:sz w:val="28"/>
      <w:szCs w:val="20"/>
    </w:rPr>
  </w:style>
  <w:style w:type="paragraph" w:customStyle="1" w:styleId="723">
    <w:name w:val="表文_XL5_01"/>
    <w:link w:val="724"/>
    <w:qFormat/>
    <w:uiPriority w:val="0"/>
    <w:pPr>
      <w:framePr w:hSpace="180" w:wrap="around" w:vAnchor="text" w:hAnchor="margin" w:y="235"/>
      <w:widowControl w:val="0"/>
      <w:adjustRightInd w:val="0"/>
      <w:snapToGrid w:val="0"/>
      <w:spacing w:before="120" w:after="120" w:line="520" w:lineRule="exact"/>
      <w:ind w:firstLine="200" w:firstLineChars="200"/>
      <w:jc w:val="both"/>
    </w:pPr>
    <w:rPr>
      <w:rFonts w:ascii="Garamond" w:hAnsi="Garamond" w:eastAsia="楷体_GB2312" w:cs="Times New Roman"/>
      <w:kern w:val="28"/>
      <w:sz w:val="21"/>
      <w:szCs w:val="21"/>
      <w:lang w:val="en-US" w:eastAsia="zh-CN" w:bidi="ar-SA"/>
    </w:rPr>
  </w:style>
  <w:style w:type="character" w:customStyle="1" w:styleId="724">
    <w:name w:val="表文_XL5_01 Char"/>
    <w:link w:val="723"/>
    <w:qFormat/>
    <w:uiPriority w:val="0"/>
    <w:rPr>
      <w:rFonts w:ascii="Garamond" w:hAnsi="Garamond" w:eastAsia="楷体_GB2312"/>
      <w:kern w:val="28"/>
      <w:sz w:val="21"/>
      <w:szCs w:val="21"/>
    </w:rPr>
  </w:style>
  <w:style w:type="paragraph" w:customStyle="1" w:styleId="725">
    <w:name w:val="表文_XM5_01"/>
    <w:qFormat/>
    <w:uiPriority w:val="99"/>
    <w:pPr>
      <w:widowControl w:val="0"/>
      <w:suppressAutoHyphens/>
      <w:adjustRightInd w:val="0"/>
      <w:snapToGrid w:val="0"/>
      <w:spacing w:before="120" w:after="120" w:line="520" w:lineRule="exact"/>
      <w:ind w:firstLine="200" w:firstLineChars="200"/>
      <w:jc w:val="both"/>
    </w:pPr>
    <w:rPr>
      <w:rFonts w:ascii="Garamond" w:hAnsi="Garamond" w:eastAsia="楷体_GB2312" w:cs="Times New Roman"/>
      <w:snapToGrid w:val="0"/>
      <w:sz w:val="21"/>
      <w:szCs w:val="21"/>
      <w:lang w:val="en-US" w:eastAsia="zh-CN" w:bidi="ar-SA"/>
    </w:rPr>
  </w:style>
  <w:style w:type="table" w:customStyle="1" w:styleId="726">
    <w:name w:val="Calendar 2"/>
    <w:basedOn w:val="89"/>
    <w:qFormat/>
    <w:uiPriority w:val="99"/>
    <w:rPr>
      <w:rFonts w:ascii="Calibri" w:hAnsi="Calibri" w:eastAsia="宋体"/>
      <w:sz w:val="28"/>
      <w:szCs w:val="28"/>
    </w:rPr>
    <w:tblPr>
      <w:tblBorders>
        <w:insideV w:val="single" w:color="95B3D7" w:sz="4" w:space="0"/>
      </w:tblBorders>
    </w:tblPr>
    <w:tblStylePr w:type="firstRow">
      <w:rPr>
        <w:rFonts w:ascii="Cambria" w:hAnsi="Cambria" w:eastAsia="宋体" w:cs="Times New Roman"/>
        <w:caps/>
        <w:color w:val="4F81BD"/>
        <w:spacing w:val="20"/>
        <w:sz w:val="32"/>
        <w:szCs w:val="32"/>
      </w:rPr>
      <w:tcPr>
        <w:tcBorders>
          <w:top w:val="nil"/>
          <w:left w:val="nil"/>
          <w:bottom w:val="nil"/>
          <w:right w:val="nil"/>
          <w:insideH w:val="nil"/>
          <w:insideV w:val="nil"/>
          <w:tl2br w:val="nil"/>
          <w:tr2bl w:val="nil"/>
        </w:tcBorders>
      </w:tcPr>
    </w:tblStylePr>
  </w:style>
  <w:style w:type="character" w:customStyle="1" w:styleId="727">
    <w:name w:val="spjxt"/>
    <w:qFormat/>
    <w:uiPriority w:val="0"/>
    <w:rPr>
      <w:rFonts w:eastAsia="宋体"/>
      <w:color w:val="000000"/>
      <w:kern w:val="2"/>
      <w:sz w:val="21"/>
      <w:szCs w:val="21"/>
      <w:lang w:val="en-US" w:eastAsia="zh-CN" w:bidi="ar-SA"/>
    </w:rPr>
  </w:style>
  <w:style w:type="character" w:customStyle="1" w:styleId="728">
    <w:name w:val="无间隔 字符1"/>
    <w:link w:val="363"/>
    <w:qFormat/>
    <w:uiPriority w:val="1"/>
    <w:rPr>
      <w:rFonts w:ascii="Times New Roman" w:hAnsi="Times New Roman" w:eastAsia="宋体"/>
      <w:kern w:val="2"/>
      <w:sz w:val="21"/>
      <w:szCs w:val="22"/>
    </w:rPr>
  </w:style>
  <w:style w:type="paragraph" w:customStyle="1" w:styleId="729">
    <w:name w:val="表格文字小四"/>
    <w:basedOn w:val="1"/>
    <w:next w:val="1"/>
    <w:qFormat/>
    <w:uiPriority w:val="99"/>
    <w:pPr>
      <w:widowControl w:val="0"/>
      <w:spacing w:before="120" w:after="120" w:line="240" w:lineRule="auto"/>
      <w:jc w:val="center"/>
    </w:pPr>
    <w:rPr>
      <w:rFonts w:ascii="Times" w:hAnsi="Times" w:eastAsia="宋体"/>
      <w:kern w:val="24"/>
      <w:szCs w:val="24"/>
    </w:rPr>
  </w:style>
  <w:style w:type="paragraph" w:customStyle="1" w:styleId="730">
    <w:name w:val="_Style 263"/>
    <w:qFormat/>
    <w:uiPriority w:val="99"/>
    <w:pPr>
      <w:widowControl w:val="0"/>
      <w:spacing w:before="120" w:after="120" w:line="520" w:lineRule="exact"/>
      <w:ind w:firstLine="200" w:firstLineChars="200"/>
      <w:jc w:val="both"/>
    </w:pPr>
    <w:rPr>
      <w:rFonts w:ascii="Times New Roman" w:hAnsi="Times New Roman" w:eastAsia="华文楷体" w:cs="Times New Roman"/>
      <w:kern w:val="2"/>
      <w:sz w:val="28"/>
      <w:lang w:val="en-US" w:eastAsia="zh-CN" w:bidi="ar-SA"/>
    </w:rPr>
  </w:style>
  <w:style w:type="paragraph" w:customStyle="1" w:styleId="731">
    <w:name w:val="xl3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eastAsia="宋体"/>
      <w:kern w:val="0"/>
      <w:szCs w:val="24"/>
    </w:rPr>
  </w:style>
  <w:style w:type="paragraph" w:customStyle="1" w:styleId="732">
    <w:name w:val="KL_正文_01"/>
    <w:link w:val="733"/>
    <w:qFormat/>
    <w:uiPriority w:val="0"/>
    <w:pPr>
      <w:widowControl w:val="0"/>
      <w:overflowPunct w:val="0"/>
      <w:spacing w:before="120" w:after="120" w:line="560" w:lineRule="exact"/>
      <w:ind w:firstLine="560" w:firstLineChars="200"/>
      <w:jc w:val="both"/>
      <w:textAlignment w:val="center"/>
    </w:pPr>
    <w:rPr>
      <w:rFonts w:ascii="方正宋三简体" w:hAnsi="宋体" w:eastAsia="方正宋三简体" w:cs="Arial"/>
      <w:bCs/>
      <w:kern w:val="28"/>
      <w:sz w:val="28"/>
      <w:szCs w:val="28"/>
      <w:lang w:val="en-US" w:eastAsia="zh-CN" w:bidi="en-US"/>
    </w:rPr>
  </w:style>
  <w:style w:type="character" w:customStyle="1" w:styleId="733">
    <w:name w:val="KL_正文_01 Char"/>
    <w:link w:val="732"/>
    <w:qFormat/>
    <w:uiPriority w:val="0"/>
    <w:rPr>
      <w:rFonts w:ascii="方正宋三简体" w:hAnsi="宋体" w:eastAsia="方正宋三简体" w:cs="Arial"/>
      <w:bCs/>
      <w:kern w:val="28"/>
      <w:sz w:val="28"/>
      <w:szCs w:val="28"/>
      <w:lang w:bidi="en-US"/>
    </w:rPr>
  </w:style>
  <w:style w:type="paragraph" w:customStyle="1" w:styleId="734">
    <w:name w:val="标准_KL_41"/>
    <w:link w:val="735"/>
    <w:qFormat/>
    <w:uiPriority w:val="0"/>
    <w:pPr>
      <w:widowControl w:val="0"/>
      <w:tabs>
        <w:tab w:val="right" w:leader="dot" w:pos="8788"/>
      </w:tabs>
      <w:overflowPunct w:val="0"/>
      <w:spacing w:before="120" w:beforeLines="100" w:after="120" w:afterLines="50" w:line="520" w:lineRule="exact"/>
      <w:ind w:firstLine="520" w:firstLineChars="200"/>
      <w:contextualSpacing/>
      <w:jc w:val="both"/>
      <w:textAlignment w:val="center"/>
    </w:pPr>
    <w:rPr>
      <w:rFonts w:ascii="华文楷体" w:hAnsi="华文楷体" w:eastAsia="华文楷体" w:cs="Times New Roman"/>
      <w:spacing w:val="-10"/>
      <w:kern w:val="28"/>
      <w:sz w:val="28"/>
      <w:szCs w:val="28"/>
      <w:lang w:val="en-US" w:eastAsia="zh-CN" w:bidi="ar-SA"/>
    </w:rPr>
  </w:style>
  <w:style w:type="character" w:customStyle="1" w:styleId="735">
    <w:name w:val="标准_KL_41 Char"/>
    <w:link w:val="734"/>
    <w:qFormat/>
    <w:uiPriority w:val="0"/>
    <w:rPr>
      <w:rFonts w:ascii="华文楷体" w:hAnsi="华文楷体" w:eastAsia="华文楷体"/>
      <w:spacing w:val="-10"/>
      <w:kern w:val="28"/>
      <w:sz w:val="28"/>
      <w:szCs w:val="28"/>
    </w:rPr>
  </w:style>
  <w:style w:type="paragraph" w:customStyle="1" w:styleId="736">
    <w:name w:val="正文样式"/>
    <w:basedOn w:val="1"/>
    <w:qFormat/>
    <w:uiPriority w:val="0"/>
    <w:pPr>
      <w:adjustRightInd w:val="0"/>
      <w:snapToGrid w:val="0"/>
      <w:spacing w:before="120" w:beforeLines="50" w:after="120" w:line="480" w:lineRule="exact"/>
      <w:ind w:firstLine="200" w:firstLineChars="200"/>
    </w:pPr>
    <w:rPr>
      <w:rFonts w:eastAsia="华文楷体" w:asciiTheme="minorHAnsi" w:hAnsiTheme="minorHAnsi" w:cstheme="minorBidi"/>
      <w:sz w:val="28"/>
    </w:rPr>
  </w:style>
  <w:style w:type="paragraph" w:customStyle="1" w:styleId="737">
    <w:name w:val="正文-文字"/>
    <w:basedOn w:val="1"/>
    <w:qFormat/>
    <w:uiPriority w:val="99"/>
    <w:pPr>
      <w:widowControl w:val="0"/>
      <w:tabs>
        <w:tab w:val="left" w:pos="840"/>
        <w:tab w:val="left" w:pos="2710"/>
      </w:tabs>
      <w:spacing w:before="120" w:beforeLines="50" w:after="120" w:line="480" w:lineRule="exact"/>
      <w:jc w:val="center"/>
    </w:pPr>
    <w:rPr>
      <w:rFonts w:ascii="华文楷体" w:hAnsi="华文楷体" w:eastAsia="华文楷体" w:cs="Arial"/>
      <w:sz w:val="28"/>
      <w:szCs w:val="24"/>
    </w:rPr>
  </w:style>
  <w:style w:type="paragraph" w:customStyle="1" w:styleId="738">
    <w:name w:val="样式22"/>
    <w:basedOn w:val="737"/>
    <w:qFormat/>
    <w:uiPriority w:val="99"/>
    <w:pPr>
      <w:ind w:firstLine="560"/>
    </w:pPr>
  </w:style>
  <w:style w:type="character" w:customStyle="1" w:styleId="739">
    <w:name w:val="正文1 Char"/>
    <w:link w:val="211"/>
    <w:qFormat/>
    <w:uiPriority w:val="0"/>
    <w:rPr>
      <w:rFonts w:ascii="Arial" w:hAnsi="Arial" w:eastAsia="宋体" w:cs="Arial"/>
      <w:kern w:val="2"/>
      <w:sz w:val="21"/>
      <w:szCs w:val="21"/>
    </w:rPr>
  </w:style>
  <w:style w:type="paragraph" w:customStyle="1" w:styleId="740">
    <w:name w:val="正文111"/>
    <w:basedOn w:val="1"/>
    <w:qFormat/>
    <w:uiPriority w:val="99"/>
    <w:pPr>
      <w:widowControl w:val="0"/>
      <w:spacing w:before="120" w:after="120"/>
      <w:ind w:firstLine="200" w:firstLineChars="200"/>
    </w:pPr>
    <w:rPr>
      <w:rFonts w:ascii="Arial" w:hAnsi="Arial" w:eastAsia="宋体"/>
      <w:szCs w:val="24"/>
    </w:rPr>
  </w:style>
  <w:style w:type="table" w:customStyle="1" w:styleId="741">
    <w:name w:val="无格式表格 21"/>
    <w:basedOn w:val="89"/>
    <w:qFormat/>
    <w:uiPriority w:val="42"/>
    <w:rPr>
      <w:rFonts w:asciiTheme="minorHAnsi" w:hAnsiTheme="minorHAnsi" w:eastAsiaTheme="minorEastAsia" w:cstheme="minorBidi"/>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742">
    <w:name w:val="0 正文"/>
    <w:basedOn w:val="1"/>
    <w:link w:val="743"/>
    <w:qFormat/>
    <w:uiPriority w:val="0"/>
    <w:pPr>
      <w:widowControl w:val="0"/>
      <w:adjustRightInd w:val="0"/>
      <w:spacing w:before="120" w:after="120"/>
      <w:ind w:firstLine="200" w:firstLineChars="200"/>
      <w:textAlignment w:val="baseline"/>
    </w:pPr>
    <w:rPr>
      <w:rFonts w:eastAsia="宋体"/>
      <w:kern w:val="0"/>
      <w:sz w:val="28"/>
      <w:szCs w:val="28"/>
    </w:rPr>
  </w:style>
  <w:style w:type="character" w:customStyle="1" w:styleId="743">
    <w:name w:val="0 正文 Char"/>
    <w:link w:val="742"/>
    <w:qFormat/>
    <w:uiPriority w:val="0"/>
    <w:rPr>
      <w:rFonts w:ascii="Times New Roman" w:hAnsi="Times New Roman" w:eastAsia="宋体"/>
      <w:sz w:val="28"/>
      <w:szCs w:val="28"/>
    </w:rPr>
  </w:style>
  <w:style w:type="paragraph" w:customStyle="1" w:styleId="744">
    <w:name w:val="3"/>
    <w:qFormat/>
    <w:uiPriority w:val="0"/>
    <w:rPr>
      <w:rFonts w:asciiTheme="minorHAnsi" w:hAnsiTheme="minorHAnsi" w:eastAsiaTheme="minorEastAsia" w:cstheme="minorBidi"/>
      <w:kern w:val="2"/>
      <w:sz w:val="21"/>
      <w:szCs w:val="22"/>
      <w:lang w:val="en-US" w:eastAsia="zh-CN" w:bidi="ar-SA"/>
    </w:rPr>
  </w:style>
  <w:style w:type="paragraph" w:customStyle="1" w:styleId="745">
    <w:name w:val="样式3"/>
    <w:basedOn w:val="1"/>
    <w:link w:val="1343"/>
    <w:qFormat/>
    <w:uiPriority w:val="0"/>
    <w:pPr>
      <w:widowControl w:val="0"/>
      <w:spacing w:line="520" w:lineRule="exact"/>
      <w:ind w:firstLine="200" w:firstLineChars="200"/>
    </w:pPr>
    <w:rPr>
      <w:rFonts w:eastAsia="华文楷体"/>
      <w:color w:val="000000"/>
      <w:sz w:val="28"/>
      <w:szCs w:val="20"/>
    </w:rPr>
  </w:style>
  <w:style w:type="character" w:customStyle="1" w:styleId="746">
    <w:name w:val="尾注文本 Char1"/>
    <w:semiHidden/>
    <w:uiPriority w:val="0"/>
    <w:rPr>
      <w:rFonts w:ascii="Times New Roman" w:hAnsi="Times New Roman"/>
      <w:kern w:val="24"/>
      <w:sz w:val="24"/>
      <w:szCs w:val="24"/>
    </w:rPr>
  </w:style>
  <w:style w:type="character" w:customStyle="1" w:styleId="747">
    <w:name w:val="Table Head Char Char"/>
    <w:uiPriority w:val="0"/>
    <w:rPr>
      <w:rFonts w:ascii="Arial" w:hAnsi="Arial" w:eastAsia="仿宋_GB2312"/>
      <w:b/>
      <w:kern w:val="2"/>
      <w:sz w:val="18"/>
      <w:szCs w:val="24"/>
    </w:rPr>
  </w:style>
  <w:style w:type="character" w:customStyle="1" w:styleId="748">
    <w:name w:val="表后 Char Char"/>
    <w:uiPriority w:val="0"/>
    <w:rPr>
      <w:rFonts w:eastAsia="仿宋_GB2312"/>
      <w:sz w:val="24"/>
      <w:lang w:val="en-US" w:eastAsia="zh-CN" w:bidi="ar-SA"/>
    </w:rPr>
  </w:style>
  <w:style w:type="character" w:customStyle="1" w:styleId="749">
    <w:name w:val="zhou11"/>
    <w:uiPriority w:val="0"/>
    <w:rPr>
      <w:color w:val="000000"/>
      <w:sz w:val="21"/>
      <w:szCs w:val="21"/>
    </w:rPr>
  </w:style>
  <w:style w:type="character" w:customStyle="1" w:styleId="750">
    <w:name w:val="Char Char251"/>
    <w:uiPriority w:val="0"/>
    <w:rPr>
      <w:rFonts w:ascii="Times New Roman" w:hAnsi="Times New Roman"/>
      <w:sz w:val="24"/>
    </w:rPr>
  </w:style>
  <w:style w:type="character" w:customStyle="1" w:styleId="751">
    <w:name w:val="正文 无缩进 Char Char"/>
    <w:uiPriority w:val="0"/>
    <w:rPr>
      <w:rFonts w:eastAsia="仿宋_GB2312"/>
      <w:sz w:val="24"/>
      <w:lang w:val="en-US" w:eastAsia="zh-CN" w:bidi="ar-SA"/>
    </w:rPr>
  </w:style>
  <w:style w:type="character" w:customStyle="1" w:styleId="752">
    <w:name w:val="正文 缩进 Char Char"/>
    <w:uiPriority w:val="0"/>
    <w:rPr>
      <w:rFonts w:eastAsia="仿宋_GB2312"/>
      <w:sz w:val="24"/>
      <w:lang w:val="en-US" w:eastAsia="zh-CN" w:bidi="ar-SA"/>
    </w:rPr>
  </w:style>
  <w:style w:type="character" w:customStyle="1" w:styleId="753">
    <w:name w:val="z-窗体底端 Char1"/>
    <w:semiHidden/>
    <w:qFormat/>
    <w:uiPriority w:val="99"/>
    <w:rPr>
      <w:rFonts w:ascii="Arial" w:hAnsi="Arial" w:cs="Arial"/>
      <w:snapToGrid/>
      <w:vanish/>
      <w:kern w:val="24"/>
      <w:sz w:val="16"/>
      <w:szCs w:val="16"/>
    </w:rPr>
  </w:style>
  <w:style w:type="character" w:customStyle="1" w:styleId="754">
    <w:name w:val="Char Char182"/>
    <w:uiPriority w:val="0"/>
    <w:rPr>
      <w:rFonts w:ascii="Cambria" w:hAnsi="Cambria" w:eastAsia="黑体" w:cs="Times New Roman"/>
      <w:snapToGrid w:val="0"/>
      <w:kern w:val="24"/>
      <w:sz w:val="20"/>
      <w:szCs w:val="20"/>
    </w:rPr>
  </w:style>
  <w:style w:type="character" w:customStyle="1" w:styleId="755">
    <w:name w:val="脚注文本 Char1"/>
    <w:semiHidden/>
    <w:qFormat/>
    <w:uiPriority w:val="99"/>
    <w:rPr>
      <w:rFonts w:ascii="Times New Roman" w:hAnsi="Times New Roman"/>
      <w:kern w:val="24"/>
      <w:sz w:val="18"/>
      <w:szCs w:val="18"/>
    </w:rPr>
  </w:style>
  <w:style w:type="character" w:customStyle="1" w:styleId="756">
    <w:name w:val="Char Char152"/>
    <w:uiPriority w:val="0"/>
    <w:rPr>
      <w:rFonts w:ascii="Times New Roman" w:hAnsi="Times New Roman"/>
      <w:snapToGrid w:val="0"/>
      <w:color w:val="000000"/>
      <w:sz w:val="24"/>
      <w:szCs w:val="24"/>
    </w:rPr>
  </w:style>
  <w:style w:type="character" w:customStyle="1" w:styleId="757">
    <w:name w:val="Char Char39"/>
    <w:uiPriority w:val="0"/>
    <w:rPr>
      <w:rFonts w:ascii="Arial" w:hAnsi="Arial"/>
      <w:vanish/>
      <w:kern w:val="2"/>
      <w:sz w:val="16"/>
      <w:szCs w:val="16"/>
    </w:rPr>
  </w:style>
  <w:style w:type="character" w:customStyle="1" w:styleId="758">
    <w:name w:val="s c c"/>
    <w:uiPriority w:val="0"/>
  </w:style>
  <w:style w:type="character" w:customStyle="1" w:styleId="759">
    <w:name w:val="日期 Char4"/>
    <w:uiPriority w:val="0"/>
    <w:rPr>
      <w:snapToGrid w:val="0"/>
      <w:kern w:val="24"/>
      <w:sz w:val="24"/>
      <w:szCs w:val="24"/>
    </w:rPr>
  </w:style>
  <w:style w:type="character" w:customStyle="1" w:styleId="760">
    <w:name w:val="editsection"/>
    <w:uiPriority w:val="0"/>
  </w:style>
  <w:style w:type="character" w:customStyle="1" w:styleId="761">
    <w:name w:val="Char Char101"/>
    <w:uiPriority w:val="0"/>
    <w:rPr>
      <w:rFonts w:eastAsia="宋体"/>
      <w:snapToGrid w:val="0"/>
      <w:kern w:val="24"/>
      <w:sz w:val="24"/>
      <w:szCs w:val="24"/>
      <w:lang w:val="en-US" w:eastAsia="zh-CN" w:bidi="ar-SA"/>
    </w:rPr>
  </w:style>
  <w:style w:type="character" w:customStyle="1" w:styleId="762">
    <w:name w:val="图带文本框文字 Char Char"/>
    <w:link w:val="763"/>
    <w:uiPriority w:val="0"/>
    <w:rPr>
      <w:rFonts w:eastAsia="仿宋_GB2312"/>
      <w:snapToGrid w:val="0"/>
      <w:kern w:val="21"/>
      <w:szCs w:val="21"/>
    </w:rPr>
  </w:style>
  <w:style w:type="paragraph" w:customStyle="1" w:styleId="763">
    <w:name w:val="图带文本框文字"/>
    <w:link w:val="762"/>
    <w:qFormat/>
    <w:uiPriority w:val="0"/>
    <w:pPr>
      <w:adjustRightInd w:val="0"/>
      <w:snapToGrid w:val="0"/>
      <w:spacing w:line="360" w:lineRule="auto"/>
      <w:jc w:val="center"/>
    </w:pPr>
    <w:rPr>
      <w:rFonts w:ascii="等线" w:hAnsi="等线" w:eastAsia="仿宋_GB2312" w:cs="Times New Roman"/>
      <w:snapToGrid w:val="0"/>
      <w:kern w:val="21"/>
      <w:szCs w:val="21"/>
      <w:lang w:val="en-US" w:eastAsia="zh-CN" w:bidi="ar-SA"/>
    </w:rPr>
  </w:style>
  <w:style w:type="character" w:customStyle="1" w:styleId="764">
    <w:name w:val="表头图头 字符"/>
    <w:link w:val="765"/>
    <w:uiPriority w:val="0"/>
    <w:rPr>
      <w:b/>
      <w:color w:val="000000"/>
      <w:sz w:val="24"/>
      <w:szCs w:val="24"/>
    </w:rPr>
  </w:style>
  <w:style w:type="paragraph" w:customStyle="1" w:styleId="765">
    <w:name w:val="表头图头"/>
    <w:basedOn w:val="1"/>
    <w:link w:val="764"/>
    <w:qFormat/>
    <w:uiPriority w:val="0"/>
    <w:pPr>
      <w:widowControl w:val="0"/>
      <w:spacing w:line="440" w:lineRule="exact"/>
      <w:jc w:val="center"/>
    </w:pPr>
    <w:rPr>
      <w:rFonts w:ascii="等线" w:hAnsi="等线"/>
      <w:b/>
      <w:color w:val="000000"/>
      <w:kern w:val="0"/>
      <w:szCs w:val="24"/>
    </w:rPr>
  </w:style>
  <w:style w:type="character" w:customStyle="1" w:styleId="766">
    <w:name w:val="批注主题 Char2"/>
    <w:uiPriority w:val="99"/>
    <w:rPr>
      <w:b/>
      <w:bCs/>
      <w:snapToGrid/>
      <w:kern w:val="24"/>
      <w:sz w:val="24"/>
      <w:szCs w:val="24"/>
    </w:rPr>
  </w:style>
  <w:style w:type="character" w:customStyle="1" w:styleId="767">
    <w:name w:val="正文图表标题 Char Char"/>
    <w:uiPriority w:val="0"/>
    <w:rPr>
      <w:rFonts w:eastAsia="宋体"/>
      <w:b/>
      <w:snapToGrid w:val="0"/>
      <w:kern w:val="24"/>
      <w:sz w:val="24"/>
      <w:szCs w:val="24"/>
      <w:lang w:val="en-US" w:eastAsia="zh-CN" w:bidi="ar-SA"/>
    </w:rPr>
  </w:style>
  <w:style w:type="character" w:customStyle="1" w:styleId="768">
    <w:name w:val="孚宝表 Char"/>
    <w:link w:val="769"/>
    <w:uiPriority w:val="0"/>
    <w:rPr>
      <w:b/>
      <w:bCs/>
      <w:caps/>
      <w:szCs w:val="21"/>
    </w:rPr>
  </w:style>
  <w:style w:type="paragraph" w:customStyle="1" w:styleId="769">
    <w:name w:val="孚宝表"/>
    <w:basedOn w:val="1"/>
    <w:link w:val="768"/>
    <w:qFormat/>
    <w:uiPriority w:val="0"/>
    <w:pPr>
      <w:widowControl w:val="0"/>
      <w:tabs>
        <w:tab w:val="left" w:pos="1440"/>
      </w:tabs>
      <w:ind w:left="1320"/>
      <w:jc w:val="center"/>
    </w:pPr>
    <w:rPr>
      <w:rFonts w:ascii="等线" w:hAnsi="等线"/>
      <w:b/>
      <w:bCs/>
      <w:caps/>
      <w:kern w:val="0"/>
      <w:sz w:val="20"/>
      <w:szCs w:val="21"/>
    </w:rPr>
  </w:style>
  <w:style w:type="character" w:customStyle="1" w:styleId="770">
    <w:name w:val="11p1"/>
    <w:uiPriority w:val="0"/>
    <w:rPr>
      <w:sz w:val="17"/>
      <w:szCs w:val="17"/>
    </w:rPr>
  </w:style>
  <w:style w:type="character" w:customStyle="1" w:styleId="771">
    <w:name w:val="Char Char241"/>
    <w:semiHidden/>
    <w:uiPriority w:val="0"/>
    <w:rPr>
      <w:rFonts w:ascii="Times New Roman" w:hAnsi="Times New Roman" w:eastAsia="宋体" w:cs="Times New Roman"/>
      <w:b/>
      <w:bCs/>
      <w:snapToGrid w:val="0"/>
      <w:kern w:val="24"/>
      <w:sz w:val="24"/>
      <w:szCs w:val="24"/>
    </w:rPr>
  </w:style>
  <w:style w:type="character" w:customStyle="1" w:styleId="772">
    <w:name w:val="Char Char27"/>
    <w:uiPriority w:val="0"/>
    <w:rPr>
      <w:rFonts w:ascii="Times New Roman" w:hAnsi="Times New Roman" w:eastAsia="仿宋_GB2312"/>
      <w:b/>
      <w:snapToGrid/>
      <w:kern w:val="24"/>
      <w:sz w:val="24"/>
      <w:szCs w:val="24"/>
    </w:rPr>
  </w:style>
  <w:style w:type="character" w:customStyle="1" w:styleId="773">
    <w:name w:val="表格 仿宋5号 Char"/>
    <w:link w:val="774"/>
    <w:uiPriority w:val="0"/>
    <w:rPr>
      <w:rFonts w:eastAsia="仿宋"/>
      <w:color w:val="000000"/>
      <w:szCs w:val="21"/>
    </w:rPr>
  </w:style>
  <w:style w:type="paragraph" w:customStyle="1" w:styleId="774">
    <w:name w:val="表格 仿宋5号"/>
    <w:basedOn w:val="1"/>
    <w:link w:val="773"/>
    <w:qFormat/>
    <w:uiPriority w:val="0"/>
    <w:pPr>
      <w:spacing w:line="240" w:lineRule="auto"/>
      <w:jc w:val="center"/>
    </w:pPr>
    <w:rPr>
      <w:rFonts w:ascii="等线" w:hAnsi="等线" w:eastAsia="仿宋"/>
      <w:color w:val="000000"/>
      <w:kern w:val="0"/>
      <w:sz w:val="20"/>
      <w:szCs w:val="21"/>
    </w:rPr>
  </w:style>
  <w:style w:type="character" w:customStyle="1" w:styleId="775">
    <w:name w:val="明显引用 字符2"/>
    <w:uiPriority w:val="30"/>
    <w:rPr>
      <w:rFonts w:ascii="Calibri" w:hAnsi="Calibri"/>
      <w:b/>
      <w:bCs/>
      <w:i/>
      <w:iCs/>
      <w:color w:val="4F81BD"/>
    </w:rPr>
  </w:style>
  <w:style w:type="character" w:customStyle="1" w:styleId="776">
    <w:name w:val="文本框小字 Char Char"/>
    <w:uiPriority w:val="0"/>
    <w:rPr>
      <w:rFonts w:eastAsia="宋体"/>
      <w:kern w:val="2"/>
      <w:sz w:val="18"/>
      <w:szCs w:val="18"/>
      <w:lang w:val="en-US" w:eastAsia="zh-CN" w:bidi="ar-SA"/>
    </w:rPr>
  </w:style>
  <w:style w:type="character" w:customStyle="1" w:styleId="777">
    <w:name w:val="封面1"/>
    <w:uiPriority w:val="0"/>
    <w:rPr>
      <w:rFonts w:eastAsia="隶书"/>
      <w:b/>
      <w:snapToGrid/>
      <w:sz w:val="52"/>
      <w:szCs w:val="52"/>
      <w:lang w:val="en-US" w:eastAsia="zh-CN" w:bidi="ar-SA"/>
    </w:rPr>
  </w:style>
  <w:style w:type="character" w:customStyle="1" w:styleId="778">
    <w:name w:val="Body Text 3 Char1"/>
    <w:semiHidden/>
    <w:uiPriority w:val="0"/>
    <w:rPr>
      <w:kern w:val="2"/>
      <w:sz w:val="16"/>
      <w:szCs w:val="16"/>
    </w:rPr>
  </w:style>
  <w:style w:type="character" w:customStyle="1" w:styleId="779">
    <w:name w:val="电子邮件签名 Char1"/>
    <w:semiHidden/>
    <w:uiPriority w:val="0"/>
    <w:rPr>
      <w:rFonts w:ascii="Times New Roman" w:hAnsi="Times New Roman"/>
      <w:kern w:val="24"/>
      <w:sz w:val="24"/>
      <w:szCs w:val="24"/>
    </w:rPr>
  </w:style>
  <w:style w:type="character" w:customStyle="1" w:styleId="780">
    <w:name w:val="style131"/>
    <w:uiPriority w:val="0"/>
    <w:rPr>
      <w:rFonts w:hint="default" w:ascii="Arial" w:hAnsi="Arial" w:cs="Arial"/>
      <w:sz w:val="18"/>
      <w:szCs w:val="18"/>
    </w:rPr>
  </w:style>
  <w:style w:type="character" w:customStyle="1" w:styleId="781">
    <w:name w:val="Char Char131"/>
    <w:uiPriority w:val="0"/>
    <w:rPr>
      <w:rFonts w:ascii="Calibri" w:hAnsi="Calibri" w:eastAsia="宋体" w:cs="Times New Roman"/>
      <w:szCs w:val="21"/>
    </w:rPr>
  </w:style>
  <w:style w:type="character" w:customStyle="1" w:styleId="782">
    <w:name w:val="称呼 Char5"/>
    <w:uiPriority w:val="0"/>
    <w:rPr>
      <w:kern w:val="2"/>
      <w:sz w:val="21"/>
      <w:szCs w:val="24"/>
    </w:rPr>
  </w:style>
  <w:style w:type="character" w:customStyle="1" w:styleId="783">
    <w:name w:val="Document Map Char1"/>
    <w:semiHidden/>
    <w:uiPriority w:val="0"/>
    <w:rPr>
      <w:rFonts w:ascii="Tahoma" w:hAnsi="Tahoma" w:cs="Tahoma"/>
      <w:kern w:val="2"/>
      <w:sz w:val="16"/>
      <w:szCs w:val="16"/>
    </w:rPr>
  </w:style>
  <w:style w:type="character" w:customStyle="1" w:styleId="784">
    <w:name w:val="表格内容1 Char Char1 Char Char Char"/>
    <w:uiPriority w:val="0"/>
    <w:rPr>
      <w:rFonts w:ascii="Times New Roman" w:hAnsi="Times New Roman" w:eastAsia="仿宋_GB2312"/>
      <w:kern w:val="24"/>
      <w:sz w:val="21"/>
      <w:szCs w:val="24"/>
    </w:rPr>
  </w:style>
  <w:style w:type="character" w:customStyle="1" w:styleId="785">
    <w:name w:val="宏文本 Char2"/>
    <w:uiPriority w:val="99"/>
    <w:rPr>
      <w:rFonts w:ascii="Courier New" w:hAnsi="Courier New" w:cs="Courier New"/>
      <w:snapToGrid/>
      <w:kern w:val="24"/>
      <w:sz w:val="24"/>
      <w:szCs w:val="24"/>
    </w:rPr>
  </w:style>
  <w:style w:type="character" w:customStyle="1" w:styleId="786">
    <w:name w:val="Char Char271"/>
    <w:uiPriority w:val="0"/>
    <w:rPr>
      <w:rFonts w:ascii="Times New Roman" w:hAnsi="Times New Roman"/>
      <w:b/>
      <w:sz w:val="24"/>
    </w:rPr>
  </w:style>
  <w:style w:type="character" w:customStyle="1" w:styleId="787">
    <w:name w:val="正文首行缩进 2 + Times New Roman Char"/>
    <w:link w:val="788"/>
    <w:uiPriority w:val="0"/>
    <w:rPr>
      <w:sz w:val="24"/>
      <w:szCs w:val="24"/>
    </w:rPr>
  </w:style>
  <w:style w:type="paragraph" w:customStyle="1" w:styleId="788">
    <w:name w:val="正文首行缩进 2 + Times New Roman"/>
    <w:basedOn w:val="1"/>
    <w:link w:val="787"/>
    <w:qFormat/>
    <w:uiPriority w:val="0"/>
    <w:pPr>
      <w:widowControl w:val="0"/>
      <w:tabs>
        <w:tab w:val="left" w:pos="0"/>
        <w:tab w:val="left" w:pos="870"/>
        <w:tab w:val="left" w:pos="3150"/>
      </w:tabs>
      <w:autoSpaceDE w:val="0"/>
      <w:autoSpaceDN w:val="0"/>
      <w:ind w:firstLine="480"/>
      <w:jc w:val="left"/>
    </w:pPr>
    <w:rPr>
      <w:rFonts w:ascii="等线" w:hAnsi="等线"/>
      <w:kern w:val="0"/>
      <w:szCs w:val="24"/>
    </w:rPr>
  </w:style>
  <w:style w:type="character" w:customStyle="1" w:styleId="789">
    <w:name w:val="电子邮件签名 Char2"/>
    <w:uiPriority w:val="99"/>
    <w:rPr>
      <w:snapToGrid/>
      <w:kern w:val="24"/>
      <w:sz w:val="24"/>
      <w:szCs w:val="24"/>
    </w:rPr>
  </w:style>
  <w:style w:type="character" w:customStyle="1" w:styleId="790">
    <w:name w:val="注释标题 Char2"/>
    <w:uiPriority w:val="99"/>
    <w:rPr>
      <w:rFonts w:ascii="Times New Roman" w:hAnsi="Times New Roman"/>
      <w:snapToGrid/>
      <w:kern w:val="24"/>
      <w:sz w:val="24"/>
      <w:szCs w:val="24"/>
    </w:rPr>
  </w:style>
  <w:style w:type="character" w:customStyle="1" w:styleId="791">
    <w:name w:val="Char Char45"/>
    <w:uiPriority w:val="0"/>
    <w:rPr>
      <w:rFonts w:ascii="Times New Roman" w:hAnsi="Times New Roman"/>
      <w:kern w:val="2"/>
      <w:sz w:val="21"/>
      <w:szCs w:val="24"/>
    </w:rPr>
  </w:style>
  <w:style w:type="character" w:customStyle="1" w:styleId="792">
    <w:name w:val="z-窗体底端 Char4"/>
    <w:uiPriority w:val="0"/>
    <w:rPr>
      <w:rFonts w:ascii="Arial" w:hAnsi="Arial" w:cs="Arial"/>
      <w:vanish/>
      <w:kern w:val="2"/>
      <w:sz w:val="16"/>
      <w:szCs w:val="16"/>
    </w:rPr>
  </w:style>
  <w:style w:type="character" w:customStyle="1" w:styleId="793">
    <w:name w:val="访问过的超链接1"/>
    <w:uiPriority w:val="0"/>
    <w:rPr>
      <w:color w:val="800080"/>
      <w:u w:val="single"/>
    </w:rPr>
  </w:style>
  <w:style w:type="character" w:customStyle="1" w:styleId="794">
    <w:name w:val="尾注文本 字符1"/>
    <w:uiPriority w:val="0"/>
    <w:rPr>
      <w:kern w:val="2"/>
      <w:sz w:val="21"/>
    </w:rPr>
  </w:style>
  <w:style w:type="character" w:customStyle="1" w:styleId="795">
    <w:name w:val="XFootNoteText"/>
    <w:uiPriority w:val="0"/>
    <w:rPr>
      <w:rFonts w:ascii="Book Antiqua" w:hAnsi="Book Antiqua"/>
      <w:position w:val="0"/>
      <w:sz w:val="14"/>
      <w:vertAlign w:val="baseline"/>
    </w:rPr>
  </w:style>
  <w:style w:type="character" w:customStyle="1" w:styleId="796">
    <w:name w:val="wz21"/>
    <w:uiPriority w:val="0"/>
    <w:rPr>
      <w:rFonts w:hint="eastAsia" w:ascii="宋体" w:hAnsi="宋体" w:eastAsia="宋体"/>
      <w:color w:val="000000"/>
      <w:sz w:val="18"/>
      <w:szCs w:val="18"/>
      <w:u w:val="none"/>
    </w:rPr>
  </w:style>
  <w:style w:type="character" w:customStyle="1" w:styleId="797">
    <w:name w:val="tpc_content1"/>
    <w:uiPriority w:val="0"/>
    <w:rPr>
      <w:sz w:val="16"/>
      <w:szCs w:val="16"/>
    </w:rPr>
  </w:style>
  <w:style w:type="character" w:customStyle="1" w:styleId="798">
    <w:name w:val="正文 居中 Char Char"/>
    <w:uiPriority w:val="0"/>
    <w:rPr>
      <w:rFonts w:eastAsia="仿宋_GB2312"/>
      <w:sz w:val="24"/>
      <w:lang w:val="en-US" w:eastAsia="zh-CN" w:bidi="ar-SA"/>
    </w:rPr>
  </w:style>
  <w:style w:type="character" w:customStyle="1" w:styleId="799">
    <w:name w:val="正文文本 2 字符1"/>
    <w:qFormat/>
    <w:uiPriority w:val="0"/>
    <w:rPr>
      <w:color w:val="FF0000"/>
      <w:kern w:val="2"/>
      <w:sz w:val="24"/>
    </w:rPr>
  </w:style>
  <w:style w:type="character" w:customStyle="1" w:styleId="800">
    <w:name w:val="页眉 Char2"/>
    <w:semiHidden/>
    <w:uiPriority w:val="99"/>
    <w:rPr>
      <w:rFonts w:ascii="Times New Roman" w:hAnsi="Times New Roman"/>
      <w:snapToGrid/>
      <w:kern w:val="24"/>
      <w:sz w:val="18"/>
      <w:szCs w:val="18"/>
    </w:rPr>
  </w:style>
  <w:style w:type="character" w:customStyle="1" w:styleId="801">
    <w:name w:val="表 图 Char"/>
    <w:link w:val="802"/>
    <w:uiPriority w:val="0"/>
    <w:rPr>
      <w:rFonts w:eastAsia="仿宋_GB2312"/>
      <w:b/>
      <w:sz w:val="24"/>
      <w:szCs w:val="24"/>
    </w:rPr>
  </w:style>
  <w:style w:type="paragraph" w:customStyle="1" w:styleId="802">
    <w:name w:val="表 图"/>
    <w:basedOn w:val="261"/>
    <w:link w:val="801"/>
    <w:qFormat/>
    <w:uiPriority w:val="0"/>
    <w:pPr>
      <w:widowControl w:val="0"/>
      <w:snapToGrid/>
      <w:spacing w:line="440" w:lineRule="exact"/>
    </w:pPr>
    <w:rPr>
      <w:rFonts w:ascii="等线" w:hAnsi="等线" w:eastAsia="仿宋_GB2312"/>
      <w:kern w:val="0"/>
      <w:szCs w:val="24"/>
    </w:rPr>
  </w:style>
  <w:style w:type="character" w:customStyle="1" w:styleId="803">
    <w:name w:val="Char Char72"/>
    <w:uiPriority w:val="0"/>
    <w:rPr>
      <w:rFonts w:ascii="Times New Roman" w:hAnsi="Times New Roman"/>
      <w:snapToGrid/>
      <w:kern w:val="24"/>
      <w:sz w:val="24"/>
      <w:szCs w:val="24"/>
    </w:rPr>
  </w:style>
  <w:style w:type="character" w:customStyle="1" w:styleId="804">
    <w:name w:val="Char Char43"/>
    <w:uiPriority w:val="0"/>
    <w:rPr>
      <w:rFonts w:ascii="Arial" w:hAnsi="Arial" w:cs="Arial"/>
      <w:b/>
      <w:bCs/>
      <w:kern w:val="2"/>
      <w:sz w:val="32"/>
      <w:szCs w:val="32"/>
    </w:rPr>
  </w:style>
  <w:style w:type="character" w:customStyle="1" w:styleId="805">
    <w:name w:val="Char Char28"/>
    <w:uiPriority w:val="0"/>
    <w:rPr>
      <w:rFonts w:ascii="Times New Roman" w:hAnsi="Times New Roman" w:eastAsia="仿宋_GB2312"/>
      <w:b/>
      <w:snapToGrid/>
      <w:kern w:val="24"/>
      <w:sz w:val="24"/>
      <w:szCs w:val="24"/>
    </w:rPr>
  </w:style>
  <w:style w:type="character" w:customStyle="1" w:styleId="806">
    <w:name w:val="图 无文本框文字 Char Char"/>
    <w:uiPriority w:val="0"/>
    <w:rPr>
      <w:rFonts w:eastAsia="宋体"/>
      <w:snapToGrid w:val="0"/>
      <w:kern w:val="18"/>
      <w:sz w:val="18"/>
      <w:szCs w:val="18"/>
      <w:lang w:val="en-US" w:eastAsia="zh-CN" w:bidi="ar-SA"/>
    </w:rPr>
  </w:style>
  <w:style w:type="character" w:customStyle="1" w:styleId="807">
    <w:name w:val="Char Char48"/>
    <w:uiPriority w:val="0"/>
    <w:rPr>
      <w:sz w:val="18"/>
      <w:szCs w:val="18"/>
    </w:rPr>
  </w:style>
  <w:style w:type="character" w:customStyle="1" w:styleId="808">
    <w:name w:val="Table title Char"/>
    <w:link w:val="809"/>
    <w:uiPriority w:val="0"/>
    <w:rPr>
      <w:rFonts w:ascii="Book Antiqua" w:hAnsi="Book Antiqua" w:cs="宋体"/>
      <w:b/>
      <w:sz w:val="24"/>
      <w:lang w:val="en-GB"/>
    </w:rPr>
  </w:style>
  <w:style w:type="paragraph" w:customStyle="1" w:styleId="809">
    <w:name w:val="Table title"/>
    <w:basedOn w:val="810"/>
    <w:link w:val="808"/>
    <w:qFormat/>
    <w:uiPriority w:val="0"/>
    <w:rPr>
      <w:rFonts w:eastAsia="等线"/>
      <w:b/>
      <w:kern w:val="0"/>
      <w:szCs w:val="20"/>
    </w:rPr>
  </w:style>
  <w:style w:type="paragraph" w:customStyle="1" w:styleId="810">
    <w:name w:val="Main"/>
    <w:basedOn w:val="1"/>
    <w:link w:val="1159"/>
    <w:qFormat/>
    <w:uiPriority w:val="0"/>
    <w:pPr>
      <w:overflowPunct w:val="0"/>
      <w:autoSpaceDE w:val="0"/>
      <w:autoSpaceDN w:val="0"/>
      <w:spacing w:beforeLines="50" w:afterLines="50" w:line="300" w:lineRule="auto"/>
      <w:ind w:firstLine="480"/>
      <w:jc w:val="left"/>
      <w:textAlignment w:val="baseline"/>
    </w:pPr>
    <w:rPr>
      <w:rFonts w:ascii="Book Antiqua" w:hAnsi="Book Antiqua" w:cs="宋体" w:eastAsiaTheme="minorEastAsia"/>
      <w:lang w:val="en-GB"/>
    </w:rPr>
  </w:style>
  <w:style w:type="character" w:customStyle="1" w:styleId="811">
    <w:name w:val="样式 样式 正文文本 + 首行缩进:  2 字符 + 宋体 首行缩进:  2 字符 Char Char"/>
    <w:uiPriority w:val="0"/>
    <w:rPr>
      <w:rFonts w:ascii="Times New Roman" w:hAnsi="Times New Roman" w:cs="宋体"/>
      <w:kern w:val="2"/>
      <w:sz w:val="24"/>
      <w:szCs w:val="24"/>
    </w:rPr>
  </w:style>
  <w:style w:type="character" w:customStyle="1" w:styleId="812">
    <w:name w:val="文本内容 Char"/>
    <w:link w:val="813"/>
    <w:uiPriority w:val="0"/>
    <w:rPr>
      <w:rFonts w:ascii="Arial" w:hAnsi="宋体" w:cs="Arial"/>
      <w:sz w:val="24"/>
      <w:szCs w:val="24"/>
    </w:rPr>
  </w:style>
  <w:style w:type="paragraph" w:customStyle="1" w:styleId="813">
    <w:name w:val="文本内容"/>
    <w:basedOn w:val="1"/>
    <w:link w:val="812"/>
    <w:qFormat/>
    <w:uiPriority w:val="0"/>
    <w:pPr>
      <w:widowControl w:val="0"/>
      <w:ind w:firstLine="200" w:firstLineChars="200"/>
    </w:pPr>
    <w:rPr>
      <w:rFonts w:ascii="Arial" w:hAnsi="宋体" w:cs="Arial"/>
      <w:kern w:val="0"/>
      <w:szCs w:val="24"/>
    </w:rPr>
  </w:style>
  <w:style w:type="character" w:customStyle="1" w:styleId="814">
    <w:name w:val="样式 (西文) Times New Roman (中文) 宋体 (符号) 宋体 行距: 固定值 20 磅 首行缩进:  ... Char Char"/>
    <w:uiPriority w:val="0"/>
    <w:rPr>
      <w:rFonts w:hAnsi="宋体"/>
      <w:sz w:val="24"/>
      <w:lang w:eastAsia="de-DE"/>
    </w:rPr>
  </w:style>
  <w:style w:type="character" w:customStyle="1" w:styleId="815">
    <w:name w:val="标题 9 Char1"/>
    <w:semiHidden/>
    <w:qFormat/>
    <w:uiPriority w:val="0"/>
    <w:rPr>
      <w:rFonts w:ascii="Cambria" w:hAnsi="Cambria" w:eastAsia="宋体" w:cs="Times New Roman"/>
      <w:kern w:val="24"/>
      <w:sz w:val="21"/>
      <w:szCs w:val="21"/>
    </w:rPr>
  </w:style>
  <w:style w:type="character" w:customStyle="1" w:styleId="816">
    <w:name w:val="表格内容 Char1"/>
    <w:qFormat/>
    <w:uiPriority w:val="0"/>
    <w:rPr>
      <w:rFonts w:ascii="宋体" w:hAnsi="宋体" w:eastAsia="宋体"/>
      <w:color w:val="000000"/>
      <w:kern w:val="2"/>
      <w:sz w:val="21"/>
      <w:szCs w:val="18"/>
      <w:lang w:val="en-US" w:eastAsia="zh-CN" w:bidi="ar-SA"/>
    </w:rPr>
  </w:style>
  <w:style w:type="character" w:customStyle="1" w:styleId="817">
    <w:name w:val="正文首行缩进 Char2"/>
    <w:uiPriority w:val="99"/>
  </w:style>
  <w:style w:type="character" w:customStyle="1" w:styleId="818">
    <w:name w:val="热电厂正文 Char Char Char Char Char Char"/>
    <w:uiPriority w:val="0"/>
    <w:rPr>
      <w:rFonts w:eastAsia="宋体"/>
      <w:kern w:val="2"/>
      <w:sz w:val="24"/>
      <w:lang w:val="en-US" w:eastAsia="zh-CN"/>
    </w:rPr>
  </w:style>
  <w:style w:type="character" w:customStyle="1" w:styleId="819">
    <w:name w:val="页脚 Char1"/>
    <w:qFormat/>
    <w:uiPriority w:val="0"/>
    <w:rPr>
      <w:kern w:val="24"/>
      <w:sz w:val="18"/>
      <w:szCs w:val="18"/>
    </w:rPr>
  </w:style>
  <w:style w:type="character" w:customStyle="1" w:styleId="820">
    <w:name w:val="3zw1"/>
    <w:qFormat/>
    <w:uiPriority w:val="0"/>
    <w:rPr>
      <w:color w:val="000000"/>
      <w:spacing w:val="360"/>
      <w:szCs w:val="21"/>
    </w:rPr>
  </w:style>
  <w:style w:type="character" w:customStyle="1" w:styleId="821">
    <w:name w:val="Char Char34"/>
    <w:locked/>
    <w:uiPriority w:val="0"/>
    <w:rPr>
      <w:rFonts w:eastAsia="宋体"/>
      <w:sz w:val="21"/>
      <w:szCs w:val="24"/>
      <w:lang w:val="en-US" w:eastAsia="zh-CN" w:bidi="ar-SA"/>
    </w:rPr>
  </w:style>
  <w:style w:type="character" w:customStyle="1" w:styleId="822">
    <w:name w:val="main_tdbg_760"/>
    <w:basedOn w:val="134"/>
    <w:qFormat/>
    <w:uiPriority w:val="0"/>
  </w:style>
  <w:style w:type="character" w:customStyle="1" w:styleId="823">
    <w:name w:val="缩进"/>
    <w:uiPriority w:val="0"/>
    <w:rPr>
      <w:rFonts w:eastAsia="宋体"/>
      <w:kern w:val="2"/>
      <w:sz w:val="21"/>
      <w:lang w:val="en-US" w:eastAsia="zh-CN"/>
    </w:rPr>
  </w:style>
  <w:style w:type="character" w:customStyle="1" w:styleId="824">
    <w:name w:val="style81"/>
    <w:qFormat/>
    <w:uiPriority w:val="0"/>
    <w:rPr>
      <w:sz w:val="24"/>
    </w:rPr>
  </w:style>
  <w:style w:type="character" w:customStyle="1" w:styleId="825">
    <w:name w:val="Char Char19"/>
    <w:semiHidden/>
    <w:qFormat/>
    <w:uiPriority w:val="0"/>
    <w:rPr>
      <w:rFonts w:eastAsia="宋体"/>
      <w:snapToGrid w:val="0"/>
      <w:kern w:val="24"/>
      <w:sz w:val="18"/>
      <w:szCs w:val="18"/>
      <w:lang w:val="en-US" w:eastAsia="zh-CN" w:bidi="ar-SA"/>
    </w:rPr>
  </w:style>
  <w:style w:type="character" w:customStyle="1" w:styleId="826">
    <w:name w:val="标题2 Char Char"/>
    <w:qFormat/>
    <w:uiPriority w:val="0"/>
    <w:rPr>
      <w:rFonts w:ascii="Arial" w:hAnsi="Arial" w:eastAsia="黑体"/>
      <w:b/>
      <w:bCs/>
      <w:kern w:val="2"/>
      <w:sz w:val="32"/>
      <w:szCs w:val="32"/>
      <w:lang w:val="en-US" w:eastAsia="zh-CN" w:bidi="ar-SA"/>
    </w:rPr>
  </w:style>
  <w:style w:type="character" w:customStyle="1" w:styleId="827">
    <w:name w:val="Char Char23"/>
    <w:qFormat/>
    <w:uiPriority w:val="0"/>
    <w:rPr>
      <w:b/>
      <w:bCs/>
    </w:rPr>
  </w:style>
  <w:style w:type="character" w:customStyle="1" w:styleId="828">
    <w:name w:val="注释标题 字符2"/>
    <w:qFormat/>
    <w:uiPriority w:val="0"/>
    <w:rPr>
      <w:szCs w:val="24"/>
    </w:rPr>
  </w:style>
  <w:style w:type="character" w:customStyle="1" w:styleId="829">
    <w:name w:val="题注1 Char Char"/>
    <w:uiPriority w:val="0"/>
    <w:rPr>
      <w:rFonts w:ascii="Calibri" w:hAnsi="Calibri" w:eastAsia="宋体"/>
      <w:snapToGrid w:val="0"/>
      <w:sz w:val="21"/>
      <w:lang w:val="en-US" w:eastAsia="zh-CN" w:bidi="ar-SA"/>
    </w:rPr>
  </w:style>
  <w:style w:type="character" w:customStyle="1" w:styleId="830">
    <w:name w:val="正文文本缩进 2 Char3"/>
    <w:semiHidden/>
    <w:uiPriority w:val="99"/>
    <w:rPr>
      <w:rFonts w:ascii="Times New Roman" w:hAnsi="Times New Roman" w:eastAsia="宋体" w:cs="Times New Roman"/>
      <w:snapToGrid w:val="0"/>
      <w:kern w:val="24"/>
      <w:sz w:val="24"/>
      <w:szCs w:val="24"/>
    </w:rPr>
  </w:style>
  <w:style w:type="character" w:customStyle="1" w:styleId="831">
    <w:name w:val="不明显强调1"/>
    <w:qFormat/>
    <w:uiPriority w:val="19"/>
    <w:rPr>
      <w:i/>
      <w:iCs/>
      <w:color w:val="808080"/>
    </w:rPr>
  </w:style>
  <w:style w:type="character" w:customStyle="1" w:styleId="832">
    <w:name w:val="表格内容1 Char Char Char Char"/>
    <w:link w:val="833"/>
    <w:uiPriority w:val="0"/>
    <w:rPr>
      <w:rFonts w:ascii="Arial" w:hAnsi="Arial" w:eastAsia="仿宋_GB2312"/>
      <w:kern w:val="24"/>
      <w:szCs w:val="24"/>
    </w:rPr>
  </w:style>
  <w:style w:type="paragraph" w:customStyle="1" w:styleId="833">
    <w:name w:val="表格内容1 Char Char Char"/>
    <w:basedOn w:val="1"/>
    <w:link w:val="832"/>
    <w:qFormat/>
    <w:uiPriority w:val="0"/>
    <w:pPr>
      <w:widowControl w:val="0"/>
      <w:spacing w:line="240" w:lineRule="atLeast"/>
      <w:jc w:val="center"/>
    </w:pPr>
    <w:rPr>
      <w:rFonts w:ascii="Arial" w:hAnsi="Arial" w:eastAsia="仿宋_GB2312"/>
      <w:kern w:val="24"/>
      <w:sz w:val="20"/>
      <w:szCs w:val="24"/>
    </w:rPr>
  </w:style>
  <w:style w:type="character" w:customStyle="1" w:styleId="834">
    <w:name w:val="页脚 Char3"/>
    <w:semiHidden/>
    <w:uiPriority w:val="99"/>
    <w:rPr>
      <w:rFonts w:ascii="Times New Roman" w:hAnsi="Times New Roman" w:eastAsia="宋体" w:cs="Times New Roman"/>
      <w:snapToGrid w:val="0"/>
      <w:kern w:val="24"/>
      <w:sz w:val="18"/>
      <w:szCs w:val="18"/>
    </w:rPr>
  </w:style>
  <w:style w:type="character" w:customStyle="1" w:styleId="835">
    <w:name w:val="Char Char47"/>
    <w:qFormat/>
    <w:uiPriority w:val="0"/>
    <w:rPr>
      <w:rFonts w:ascii="Times New Roman" w:hAnsi="Times New Roman"/>
      <w:snapToGrid/>
      <w:kern w:val="24"/>
      <w:sz w:val="18"/>
      <w:szCs w:val="18"/>
    </w:rPr>
  </w:style>
  <w:style w:type="character" w:customStyle="1" w:styleId="836">
    <w:name w:val="样式 标题 3标题 3 Char Char标题 3 Char1.1.1条标3条标题1.1.1二级节名h33rd...1 Char"/>
    <w:uiPriority w:val="0"/>
    <w:rPr>
      <w:rFonts w:eastAsia="宋体"/>
      <w:b/>
      <w:bCs/>
      <w:snapToGrid w:val="0"/>
      <w:sz w:val="28"/>
      <w:szCs w:val="32"/>
      <w:lang w:val="en-US" w:eastAsia="zh-CN" w:bidi="ar-SA"/>
    </w:rPr>
  </w:style>
  <w:style w:type="character" w:customStyle="1" w:styleId="837">
    <w:name w:val="样式 正文 +1"/>
    <w:uiPriority w:val="0"/>
    <w:rPr>
      <w:rFonts w:ascii="Times New Roman" w:hAnsi="Times New Roman" w:eastAsia="宋体"/>
      <w:color w:val="auto"/>
      <w:kern w:val="0"/>
      <w:sz w:val="24"/>
      <w:szCs w:val="24"/>
      <w:u w:val="none"/>
    </w:rPr>
  </w:style>
  <w:style w:type="character" w:customStyle="1" w:styleId="838">
    <w:name w:val="bds_more2"/>
    <w:basedOn w:val="134"/>
    <w:uiPriority w:val="0"/>
  </w:style>
  <w:style w:type="character" w:customStyle="1" w:styleId="839">
    <w:name w:val="明显参考1"/>
    <w:qFormat/>
    <w:uiPriority w:val="0"/>
    <w:rPr>
      <w:b/>
      <w:sz w:val="24"/>
      <w:u w:val="single"/>
    </w:rPr>
  </w:style>
  <w:style w:type="character" w:customStyle="1" w:styleId="840">
    <w:name w:val="正文二级标题 Char Char"/>
    <w:uiPriority w:val="0"/>
    <w:rPr>
      <w:rFonts w:eastAsia="宋体"/>
      <w:b/>
      <w:bCs/>
      <w:snapToGrid w:val="0"/>
      <w:kern w:val="24"/>
      <w:sz w:val="24"/>
      <w:szCs w:val="24"/>
      <w:lang w:val="en-US" w:eastAsia="zh-CN" w:bidi="ar-SA"/>
    </w:rPr>
  </w:style>
  <w:style w:type="character" w:customStyle="1" w:styleId="841">
    <w:name w:val="yxMark"/>
    <w:qFormat/>
    <w:uiPriority w:val="0"/>
    <w:rPr>
      <w:rFonts w:ascii="Courier New" w:hAnsi="Courier New" w:eastAsia="黑体"/>
      <w:b/>
      <w:vanish/>
      <w:color w:val="800000"/>
      <w:sz w:val="15"/>
      <w:vertAlign w:val="subscript"/>
    </w:rPr>
  </w:style>
  <w:style w:type="character" w:customStyle="1" w:styleId="842">
    <w:name w:val="结束语 字符3"/>
    <w:link w:val="33"/>
    <w:qFormat/>
    <w:uiPriority w:val="0"/>
    <w:rPr>
      <w:rFonts w:asciiTheme="minorHAnsi" w:hAnsiTheme="minorHAnsi" w:eastAsiaTheme="minorEastAsia" w:cstheme="minorBidi"/>
      <w:kern w:val="2"/>
      <w:sz w:val="21"/>
      <w:szCs w:val="24"/>
    </w:rPr>
  </w:style>
  <w:style w:type="character" w:customStyle="1" w:styleId="843">
    <w:name w:val="Balloon Text Char"/>
    <w:semiHidden/>
    <w:uiPriority w:val="99"/>
    <w:rPr>
      <w:rFonts w:cs="Calibri"/>
      <w:kern w:val="0"/>
      <w:sz w:val="16"/>
      <w:szCs w:val="0"/>
    </w:rPr>
  </w:style>
  <w:style w:type="character" w:customStyle="1" w:styleId="844">
    <w:name w:val="正文文本缩进 3 字符1"/>
    <w:qFormat/>
    <w:uiPriority w:val="0"/>
    <w:rPr>
      <w:kern w:val="2"/>
      <w:sz w:val="16"/>
      <w:szCs w:val="16"/>
    </w:rPr>
  </w:style>
  <w:style w:type="character" w:customStyle="1" w:styleId="845">
    <w:name w:val="Char Char192"/>
    <w:semiHidden/>
    <w:uiPriority w:val="0"/>
    <w:rPr>
      <w:rFonts w:ascii="Times New Roman" w:hAnsi="Times New Roman"/>
      <w:kern w:val="2"/>
      <w:sz w:val="21"/>
      <w:szCs w:val="24"/>
    </w:rPr>
  </w:style>
  <w:style w:type="character" w:customStyle="1" w:styleId="846">
    <w:name w:val="Char Char162"/>
    <w:uiPriority w:val="0"/>
    <w:rPr>
      <w:rFonts w:ascii="Times New Roman" w:hAnsi="Times New Roman" w:eastAsia="宋体" w:cs="Times New Roman"/>
      <w:snapToGrid w:val="0"/>
      <w:kern w:val="24"/>
      <w:sz w:val="18"/>
      <w:szCs w:val="18"/>
    </w:rPr>
  </w:style>
  <w:style w:type="character" w:customStyle="1" w:styleId="847">
    <w:name w:val="style71"/>
    <w:uiPriority w:val="0"/>
    <w:rPr>
      <w:rFonts w:hint="eastAsia" w:ascii="MingLiU" w:hAnsi="MingLiU" w:eastAsia="MingLiU"/>
    </w:rPr>
  </w:style>
  <w:style w:type="character" w:customStyle="1" w:styleId="848">
    <w:name w:val="正文文本_"/>
    <w:link w:val="849"/>
    <w:uiPriority w:val="0"/>
    <w:rPr>
      <w:rFonts w:ascii="宋体" w:hAnsi="宋体"/>
      <w:sz w:val="22"/>
      <w:shd w:val="clear" w:color="auto" w:fill="FFFFFF"/>
    </w:rPr>
  </w:style>
  <w:style w:type="paragraph" w:customStyle="1" w:styleId="849">
    <w:name w:val="正文文本2"/>
    <w:basedOn w:val="1"/>
    <w:link w:val="848"/>
    <w:qFormat/>
    <w:uiPriority w:val="0"/>
    <w:pPr>
      <w:shd w:val="clear" w:color="auto" w:fill="FFFFFF"/>
      <w:spacing w:before="240" w:line="465" w:lineRule="exact"/>
      <w:jc w:val="distribute"/>
    </w:pPr>
    <w:rPr>
      <w:rFonts w:ascii="宋体" w:hAnsi="宋体"/>
      <w:kern w:val="0"/>
      <w:sz w:val="22"/>
      <w:szCs w:val="20"/>
    </w:rPr>
  </w:style>
  <w:style w:type="character" w:customStyle="1" w:styleId="850">
    <w:name w:val="text-8"/>
    <w:uiPriority w:val="0"/>
  </w:style>
  <w:style w:type="character" w:customStyle="1" w:styleId="851">
    <w:name w:val="表头、图头助剂 Char"/>
    <w:link w:val="852"/>
    <w:uiPriority w:val="0"/>
    <w:rPr>
      <w:b/>
      <w:spacing w:val="-10"/>
      <w:sz w:val="24"/>
      <w:szCs w:val="11"/>
    </w:rPr>
  </w:style>
  <w:style w:type="paragraph" w:customStyle="1" w:styleId="852">
    <w:name w:val="表头、图头助剂"/>
    <w:basedOn w:val="1"/>
    <w:link w:val="851"/>
    <w:qFormat/>
    <w:uiPriority w:val="0"/>
    <w:pPr>
      <w:widowControl w:val="0"/>
      <w:adjustRightInd w:val="0"/>
      <w:snapToGrid w:val="0"/>
      <w:spacing w:line="240" w:lineRule="auto"/>
      <w:jc w:val="center"/>
    </w:pPr>
    <w:rPr>
      <w:rFonts w:ascii="等线" w:hAnsi="等线"/>
      <w:b/>
      <w:spacing w:val="-10"/>
      <w:kern w:val="0"/>
      <w:szCs w:val="11"/>
    </w:rPr>
  </w:style>
  <w:style w:type="character" w:customStyle="1" w:styleId="853">
    <w:name w:val="yyly1"/>
    <w:uiPriority w:val="0"/>
    <w:rPr>
      <w:color w:val="3366CC"/>
      <w:sz w:val="18"/>
    </w:rPr>
  </w:style>
  <w:style w:type="character" w:customStyle="1" w:styleId="854">
    <w:name w:val="样式 (符号) 宋体 四号 Char"/>
    <w:link w:val="855"/>
    <w:qFormat/>
    <w:uiPriority w:val="0"/>
    <w:rPr>
      <w:rFonts w:eastAsia="宋体" w:cs="宋体"/>
      <w:sz w:val="24"/>
      <w:szCs w:val="28"/>
    </w:rPr>
  </w:style>
  <w:style w:type="paragraph" w:customStyle="1" w:styleId="855">
    <w:name w:val="样式 (符号) 宋体 四号"/>
    <w:basedOn w:val="1"/>
    <w:link w:val="854"/>
    <w:qFormat/>
    <w:uiPriority w:val="0"/>
    <w:pPr>
      <w:widowControl w:val="0"/>
      <w:spacing w:line="500" w:lineRule="exact"/>
      <w:ind w:firstLine="200" w:firstLineChars="200"/>
    </w:pPr>
    <w:rPr>
      <w:rFonts w:ascii="等线" w:hAnsi="等线" w:eastAsia="宋体" w:cs="宋体"/>
      <w:kern w:val="0"/>
      <w:szCs w:val="28"/>
    </w:rPr>
  </w:style>
  <w:style w:type="character" w:customStyle="1" w:styleId="856">
    <w:name w:val="可研正文 Char"/>
    <w:link w:val="857"/>
    <w:qFormat/>
    <w:uiPriority w:val="0"/>
    <w:rPr>
      <w:rFonts w:eastAsia="宋体"/>
      <w:sz w:val="24"/>
      <w:szCs w:val="24"/>
    </w:rPr>
  </w:style>
  <w:style w:type="paragraph" w:customStyle="1" w:styleId="857">
    <w:name w:val="可研正文"/>
    <w:basedOn w:val="1"/>
    <w:link w:val="856"/>
    <w:qFormat/>
    <w:uiPriority w:val="0"/>
    <w:pPr>
      <w:widowControl w:val="0"/>
      <w:spacing w:line="500" w:lineRule="exact"/>
      <w:ind w:firstLine="200" w:firstLineChars="200"/>
    </w:pPr>
    <w:rPr>
      <w:rFonts w:ascii="等线" w:hAnsi="等线" w:eastAsia="宋体"/>
      <w:kern w:val="0"/>
      <w:szCs w:val="24"/>
    </w:rPr>
  </w:style>
  <w:style w:type="character" w:customStyle="1" w:styleId="858">
    <w:name w:val="oblog_text"/>
    <w:basedOn w:val="134"/>
    <w:qFormat/>
    <w:uiPriority w:val="0"/>
  </w:style>
  <w:style w:type="character" w:customStyle="1" w:styleId="859">
    <w:name w:val="style161"/>
    <w:qFormat/>
    <w:uiPriority w:val="0"/>
    <w:rPr>
      <w:color w:val="000000"/>
      <w:sz w:val="28"/>
      <w:szCs w:val="28"/>
    </w:rPr>
  </w:style>
  <w:style w:type="character" w:customStyle="1" w:styleId="860">
    <w:name w:val="题注1 Char Char1"/>
    <w:uiPriority w:val="0"/>
    <w:rPr>
      <w:rFonts w:eastAsia="宋体"/>
      <w:kern w:val="2"/>
      <w:sz w:val="28"/>
      <w:lang w:val="en-US" w:eastAsia="zh-CN" w:bidi="ar-SA"/>
    </w:rPr>
  </w:style>
  <w:style w:type="character" w:customStyle="1" w:styleId="861">
    <w:name w:val="引用 字符2"/>
    <w:link w:val="862"/>
    <w:uiPriority w:val="29"/>
    <w:rPr>
      <w:rFonts w:ascii="Calibri" w:hAnsi="Calibri"/>
      <w:i/>
      <w:iCs/>
      <w:color w:val="000000"/>
    </w:rPr>
  </w:style>
  <w:style w:type="paragraph" w:styleId="862">
    <w:name w:val="Quote"/>
    <w:basedOn w:val="1"/>
    <w:next w:val="1"/>
    <w:link w:val="861"/>
    <w:qFormat/>
    <w:uiPriority w:val="29"/>
    <w:pPr>
      <w:widowControl w:val="0"/>
    </w:pPr>
    <w:rPr>
      <w:rFonts w:ascii="Calibri" w:hAnsi="Calibri"/>
      <w:i/>
      <w:iCs/>
      <w:color w:val="000000"/>
      <w:kern w:val="0"/>
      <w:sz w:val="20"/>
      <w:szCs w:val="20"/>
    </w:rPr>
  </w:style>
  <w:style w:type="character" w:customStyle="1" w:styleId="863">
    <w:name w:val="引用 字符"/>
    <w:basedOn w:val="134"/>
    <w:uiPriority w:val="29"/>
    <w:rPr>
      <w:rFonts w:ascii="Times New Roman" w:hAnsi="Times New Roman"/>
      <w:i/>
      <w:iCs/>
      <w:color w:val="404040" w:themeColor="text1" w:themeTint="BF"/>
      <w:kern w:val="2"/>
      <w:sz w:val="24"/>
      <w:szCs w:val="22"/>
      <w14:textFill>
        <w14:solidFill>
          <w14:schemeClr w14:val="tx1">
            <w14:lumMod w14:val="75000"/>
            <w14:lumOff w14:val="25000"/>
          </w14:schemeClr>
        </w14:solidFill>
      </w14:textFill>
    </w:rPr>
  </w:style>
  <w:style w:type="character" w:customStyle="1" w:styleId="864">
    <w:name w:val="z-窗体底端 Char2"/>
    <w:uiPriority w:val="99"/>
    <w:rPr>
      <w:rFonts w:ascii="Arial" w:hAnsi="Arial" w:cs="Arial"/>
      <w:snapToGrid/>
      <w:vanish/>
      <w:kern w:val="24"/>
      <w:sz w:val="16"/>
      <w:szCs w:val="16"/>
    </w:rPr>
  </w:style>
  <w:style w:type="character" w:customStyle="1" w:styleId="865">
    <w:name w:val="正文文本缩进 Char3"/>
    <w:semiHidden/>
    <w:uiPriority w:val="99"/>
    <w:rPr>
      <w:rFonts w:ascii="Times New Roman" w:hAnsi="Times New Roman" w:eastAsia="宋体" w:cs="Times New Roman"/>
      <w:snapToGrid w:val="0"/>
      <w:kern w:val="24"/>
      <w:sz w:val="24"/>
      <w:szCs w:val="24"/>
    </w:rPr>
  </w:style>
  <w:style w:type="character" w:customStyle="1" w:styleId="866">
    <w:name w:val="表内 Char Char"/>
    <w:uiPriority w:val="0"/>
    <w:rPr>
      <w:rFonts w:eastAsia="仿宋_GB2312"/>
      <w:sz w:val="21"/>
      <w:szCs w:val="24"/>
      <w:lang w:val="en-US" w:eastAsia="zh-CN" w:bidi="ar-SA"/>
    </w:rPr>
  </w:style>
  <w:style w:type="character" w:customStyle="1" w:styleId="867">
    <w:name w:val="HTML 预设格式 Char3"/>
    <w:uiPriority w:val="0"/>
    <w:rPr>
      <w:rFonts w:ascii="Courier New" w:hAnsi="Courier New" w:cs="Courier New"/>
      <w:snapToGrid w:val="0"/>
      <w:kern w:val="24"/>
    </w:rPr>
  </w:style>
  <w:style w:type="character" w:customStyle="1" w:styleId="868">
    <w:name w:val="表格正文 Char Char"/>
    <w:uiPriority w:val="0"/>
    <w:rPr>
      <w:kern w:val="2"/>
      <w:sz w:val="21"/>
      <w:szCs w:val="24"/>
      <w:lang w:bidi="ar-SA"/>
    </w:rPr>
  </w:style>
  <w:style w:type="character" w:customStyle="1" w:styleId="869">
    <w:name w:val="bds_nopic"/>
    <w:basedOn w:val="134"/>
    <w:uiPriority w:val="0"/>
  </w:style>
  <w:style w:type="character" w:customStyle="1" w:styleId="870">
    <w:name w:val="Char Char281"/>
    <w:uiPriority w:val="0"/>
    <w:rPr>
      <w:rFonts w:ascii="Times New Roman" w:hAnsi="Times New Roman"/>
      <w:b/>
      <w:sz w:val="24"/>
    </w:rPr>
  </w:style>
  <w:style w:type="character" w:customStyle="1" w:styleId="871">
    <w:name w:val="正文首行缩进 2 + Times New Roman Char Char"/>
    <w:uiPriority w:val="0"/>
    <w:rPr>
      <w:sz w:val="24"/>
      <w:szCs w:val="24"/>
    </w:rPr>
  </w:style>
  <w:style w:type="character" w:customStyle="1" w:styleId="872">
    <w:name w:val="(a正文 Char"/>
    <w:uiPriority w:val="0"/>
    <w:rPr>
      <w:rFonts w:eastAsia="仿宋_GB2312"/>
      <w:color w:val="000000"/>
      <w:kern w:val="2"/>
      <w:sz w:val="24"/>
      <w:szCs w:val="24"/>
      <w:lang w:val="en-US" w:eastAsia="zh-CN" w:bidi="ar-SA"/>
    </w:rPr>
  </w:style>
  <w:style w:type="character" w:customStyle="1" w:styleId="873">
    <w:name w:val="正文001 Char Char"/>
    <w:uiPriority w:val="0"/>
    <w:rPr>
      <w:rFonts w:eastAsia="宋体"/>
      <w:kern w:val="2"/>
      <w:sz w:val="24"/>
      <w:szCs w:val="24"/>
      <w:lang w:val="en-US" w:eastAsia="zh-CN" w:bidi="ar-SA"/>
    </w:rPr>
  </w:style>
  <w:style w:type="character" w:customStyle="1" w:styleId="874">
    <w:name w:val="标题1"/>
    <w:basedOn w:val="134"/>
    <w:qFormat/>
    <w:uiPriority w:val="0"/>
  </w:style>
  <w:style w:type="character" w:customStyle="1" w:styleId="875">
    <w:name w:val="9points1"/>
    <w:qFormat/>
    <w:uiPriority w:val="0"/>
    <w:rPr>
      <w:rFonts w:hint="default"/>
      <w:color w:val="003366"/>
      <w:spacing w:val="400"/>
      <w:sz w:val="18"/>
      <w:szCs w:val="18"/>
      <w:u w:val="none"/>
    </w:rPr>
  </w:style>
  <w:style w:type="character" w:customStyle="1" w:styleId="876">
    <w:name w:val="long_text"/>
    <w:uiPriority w:val="0"/>
  </w:style>
  <w:style w:type="character" w:customStyle="1" w:styleId="877">
    <w:name w:val="正文首行缩进 Char4"/>
    <w:uiPriority w:val="0"/>
    <w:rPr>
      <w:rFonts w:ascii="Times New Roman" w:hAnsi="Times New Roman" w:eastAsia="宋体" w:cs="Times New Roman"/>
      <w:snapToGrid w:val="0"/>
      <w:kern w:val="24"/>
      <w:sz w:val="24"/>
      <w:szCs w:val="24"/>
    </w:rPr>
  </w:style>
  <w:style w:type="character" w:customStyle="1" w:styleId="878">
    <w:name w:val="正文段落 Char"/>
    <w:qFormat/>
    <w:uiPriority w:val="0"/>
    <w:rPr>
      <w:rFonts w:ascii="宋体" w:hAnsi="宋体" w:eastAsia="宋体" w:cs="宋体"/>
      <w:color w:val="000000"/>
      <w:kern w:val="2"/>
      <w:sz w:val="24"/>
      <w:szCs w:val="24"/>
      <w:lang w:val="en-US" w:eastAsia="zh-CN" w:bidi="ar-SA"/>
    </w:rPr>
  </w:style>
  <w:style w:type="character" w:customStyle="1" w:styleId="879">
    <w:name w:val="HTML 地址 Char3"/>
    <w:uiPriority w:val="0"/>
    <w:rPr>
      <w:i/>
      <w:iCs/>
      <w:snapToGrid w:val="0"/>
      <w:kern w:val="24"/>
      <w:sz w:val="24"/>
      <w:szCs w:val="24"/>
    </w:rPr>
  </w:style>
  <w:style w:type="character" w:customStyle="1" w:styleId="880">
    <w:name w:val="Char Char191"/>
    <w:uiPriority w:val="0"/>
    <w:rPr>
      <w:rFonts w:eastAsia="宋体"/>
      <w:snapToGrid w:val="0"/>
      <w:kern w:val="24"/>
      <w:sz w:val="18"/>
      <w:szCs w:val="18"/>
      <w:lang w:val="en-US" w:eastAsia="zh-CN" w:bidi="ar-SA"/>
    </w:rPr>
  </w:style>
  <w:style w:type="character" w:customStyle="1" w:styleId="881">
    <w:name w:val="结束语 Char4"/>
    <w:uiPriority w:val="0"/>
    <w:rPr>
      <w:snapToGrid w:val="0"/>
      <w:kern w:val="24"/>
      <w:sz w:val="24"/>
      <w:szCs w:val="24"/>
    </w:rPr>
  </w:style>
  <w:style w:type="character" w:customStyle="1" w:styleId="882">
    <w:name w:val="标题 Char4"/>
    <w:uiPriority w:val="10"/>
    <w:rPr>
      <w:rFonts w:ascii="Cambria" w:hAnsi="Cambria" w:eastAsia="宋体" w:cs="Times New Roman"/>
      <w:b/>
      <w:bCs/>
      <w:sz w:val="32"/>
      <w:szCs w:val="32"/>
    </w:rPr>
  </w:style>
  <w:style w:type="character" w:customStyle="1" w:styleId="883">
    <w:name w:val="WW8Num11z0"/>
    <w:uiPriority w:val="0"/>
    <w:rPr>
      <w:rFonts w:hint="eastAsia"/>
    </w:rPr>
  </w:style>
  <w:style w:type="character" w:customStyle="1" w:styleId="884">
    <w:name w:val="Char Char121"/>
    <w:uiPriority w:val="0"/>
    <w:rPr>
      <w:rFonts w:ascii="Times New Roman" w:hAnsi="Times New Roman"/>
      <w:snapToGrid/>
      <w:sz w:val="24"/>
      <w:szCs w:val="24"/>
    </w:rPr>
  </w:style>
  <w:style w:type="character" w:customStyle="1" w:styleId="885">
    <w:name w:val="文本框 Char Char"/>
    <w:uiPriority w:val="0"/>
    <w:rPr>
      <w:rFonts w:eastAsia="宋体"/>
      <w:snapToGrid w:val="0"/>
      <w:kern w:val="24"/>
      <w:sz w:val="24"/>
      <w:szCs w:val="24"/>
      <w:lang w:val="en-US" w:eastAsia="zh-CN" w:bidi="ar-SA"/>
    </w:rPr>
  </w:style>
  <w:style w:type="character" w:customStyle="1" w:styleId="886">
    <w:name w:val="p14"/>
    <w:uiPriority w:val="0"/>
  </w:style>
  <w:style w:type="character" w:customStyle="1" w:styleId="887">
    <w:name w:val="Footnote Text Char1"/>
    <w:semiHidden/>
    <w:uiPriority w:val="0"/>
    <w:rPr>
      <w:kern w:val="2"/>
      <w:sz w:val="18"/>
      <w:szCs w:val="18"/>
    </w:rPr>
  </w:style>
  <w:style w:type="character" w:customStyle="1" w:styleId="888">
    <w:name w:val="z101"/>
    <w:uiPriority w:val="0"/>
    <w:rPr>
      <w:rFonts w:eastAsia="仿宋_GB2312"/>
      <w:bCs/>
      <w:kern w:val="2"/>
      <w:sz w:val="21"/>
      <w:szCs w:val="21"/>
      <w:lang w:val="en-US" w:eastAsia="zh-CN" w:bidi="ar-SA"/>
    </w:rPr>
  </w:style>
  <w:style w:type="character" w:customStyle="1" w:styleId="889">
    <w:name w:val="慈溪表一 Char"/>
    <w:link w:val="890"/>
    <w:uiPriority w:val="0"/>
    <w:rPr>
      <w:b/>
      <w:szCs w:val="21"/>
    </w:rPr>
  </w:style>
  <w:style w:type="paragraph" w:customStyle="1" w:styleId="890">
    <w:name w:val="慈溪表一"/>
    <w:basedOn w:val="36"/>
    <w:link w:val="889"/>
    <w:qFormat/>
    <w:uiPriority w:val="0"/>
    <w:pPr>
      <w:widowControl w:val="0"/>
      <w:ind w:left="200"/>
    </w:pPr>
    <w:rPr>
      <w:rFonts w:ascii="等线" w:hAnsi="等线" w:eastAsia="等线"/>
      <w:b/>
      <w:kern w:val="0"/>
      <w:sz w:val="20"/>
      <w:szCs w:val="21"/>
    </w:rPr>
  </w:style>
  <w:style w:type="character" w:customStyle="1" w:styleId="891">
    <w:name w:val="z-窗体顶端 Char1"/>
    <w:qFormat/>
    <w:uiPriority w:val="99"/>
    <w:rPr>
      <w:rFonts w:ascii="Arial" w:hAnsi="Arial" w:cs="Arial"/>
      <w:snapToGrid/>
      <w:vanish/>
      <w:kern w:val="24"/>
      <w:sz w:val="16"/>
      <w:szCs w:val="16"/>
    </w:rPr>
  </w:style>
  <w:style w:type="character" w:customStyle="1" w:styleId="892">
    <w:name w:val="正文文字 3 Char Char2"/>
    <w:uiPriority w:val="0"/>
    <w:rPr>
      <w:kern w:val="2"/>
      <w:sz w:val="16"/>
      <w:szCs w:val="16"/>
    </w:rPr>
  </w:style>
  <w:style w:type="character" w:customStyle="1" w:styleId="893">
    <w:name w:val="style51 style58"/>
    <w:uiPriority w:val="0"/>
  </w:style>
  <w:style w:type="character" w:customStyle="1" w:styleId="894">
    <w:name w:val="表内3 Char Char"/>
    <w:uiPriority w:val="0"/>
    <w:rPr>
      <w:rFonts w:eastAsia="仿宋_GB2312" w:cs="宋体"/>
      <w:sz w:val="24"/>
      <w:szCs w:val="24"/>
      <w:lang w:val="en-US" w:eastAsia="zh-CN" w:bidi="ar-SA"/>
    </w:rPr>
  </w:style>
  <w:style w:type="character" w:customStyle="1" w:styleId="895">
    <w:name w:val="特点标题 Char Char"/>
    <w:uiPriority w:val="0"/>
    <w:rPr>
      <w:rFonts w:eastAsia="宋体"/>
      <w:spacing w:val="20"/>
      <w:kern w:val="2"/>
      <w:sz w:val="24"/>
      <w:lang w:val="en-US" w:eastAsia="zh-CN"/>
    </w:rPr>
  </w:style>
  <w:style w:type="character" w:customStyle="1" w:styleId="896">
    <w:name w:val="表中正文 Char Char Char Char Char Char Char Char Char Char Char Char Char Char Char Char Char Char Char Char Char Char Char Char Char Char Char Char Char Char Char Char Char Char Char Char Char Char Char Char Char"/>
    <w:link w:val="897"/>
    <w:uiPriority w:val="0"/>
    <w:rPr>
      <w:rFonts w:ascii="宋体" w:hAnsi="Arial" w:eastAsia="仿宋_GB2312"/>
      <w:szCs w:val="24"/>
    </w:rPr>
  </w:style>
  <w:style w:type="paragraph" w:customStyle="1" w:styleId="897">
    <w:name w:val="表中正文 Char Char Char Char Char Char Char Char Char Char Char Char Char Char Char Char Char Char Char Char Char Char Char Char Char Char Char Char Char Char Char Char Char Char Char Char Char Char Char Char"/>
    <w:basedOn w:val="1"/>
    <w:link w:val="896"/>
    <w:qFormat/>
    <w:uiPriority w:val="0"/>
    <w:pPr>
      <w:widowControl w:val="0"/>
      <w:autoSpaceDE w:val="0"/>
      <w:autoSpaceDN w:val="0"/>
      <w:spacing w:line="240" w:lineRule="auto"/>
      <w:jc w:val="center"/>
    </w:pPr>
    <w:rPr>
      <w:rFonts w:ascii="宋体" w:hAnsi="Arial" w:eastAsia="仿宋_GB2312"/>
      <w:kern w:val="0"/>
      <w:sz w:val="20"/>
      <w:szCs w:val="24"/>
    </w:rPr>
  </w:style>
  <w:style w:type="character" w:customStyle="1" w:styleId="898">
    <w:name w:val="Char Char26"/>
    <w:uiPriority w:val="0"/>
    <w:rPr>
      <w:rFonts w:ascii="Times New Roman" w:hAnsi="Times New Roman" w:eastAsia="仿宋_GB2312"/>
      <w:snapToGrid/>
      <w:kern w:val="24"/>
      <w:sz w:val="24"/>
      <w:szCs w:val="24"/>
    </w:rPr>
  </w:style>
  <w:style w:type="character" w:customStyle="1" w:styleId="899">
    <w:name w:val="文本块 字符"/>
    <w:uiPriority w:val="0"/>
    <w:rPr>
      <w:rFonts w:ascii="Times New Roman" w:hAnsi="Times New Roman"/>
      <w:snapToGrid/>
      <w:kern w:val="21"/>
      <w:sz w:val="21"/>
      <w:szCs w:val="21"/>
    </w:rPr>
  </w:style>
  <w:style w:type="character" w:customStyle="1" w:styleId="900">
    <w:name w:val="z-窗体底端 字符"/>
    <w:uiPriority w:val="0"/>
    <w:rPr>
      <w:rFonts w:ascii="Times New Roman" w:hAnsi="Times New Roman"/>
      <w:kern w:val="2"/>
      <w:sz w:val="24"/>
      <w:szCs w:val="24"/>
    </w:rPr>
  </w:style>
  <w:style w:type="character" w:customStyle="1" w:styleId="901">
    <w:name w:val="style51"/>
    <w:uiPriority w:val="0"/>
    <w:rPr>
      <w:color w:val="000000"/>
    </w:rPr>
  </w:style>
  <w:style w:type="character" w:customStyle="1" w:styleId="902">
    <w:name w:val="样式 标题 3标题 3 Char Char标题 3 Char1.1.1条标3条标题1.1.1二级节名h33rd...1 Char Char"/>
    <w:link w:val="903"/>
    <w:semiHidden/>
    <w:uiPriority w:val="0"/>
    <w:rPr>
      <w:rFonts w:cs="宋体"/>
      <w:b/>
      <w:snapToGrid w:val="0"/>
      <w:kern w:val="24"/>
      <w:sz w:val="24"/>
      <w:szCs w:val="24"/>
    </w:rPr>
  </w:style>
  <w:style w:type="paragraph" w:customStyle="1" w:styleId="903">
    <w:name w:val="样式 标题 3标题 3 Char Char标题 3 Char1.1.1条标3条标题1.1.1二级节名h33rd...1"/>
    <w:basedOn w:val="5"/>
    <w:link w:val="902"/>
    <w:semiHidden/>
    <w:qFormat/>
    <w:uiPriority w:val="0"/>
    <w:pPr>
      <w:tabs>
        <w:tab w:val="left" w:pos="1800"/>
      </w:tabs>
      <w:adjustRightInd w:val="0"/>
      <w:snapToGrid w:val="0"/>
      <w:spacing w:before="60" w:after="38" w:line="360" w:lineRule="auto"/>
      <w:ind w:left="1800" w:hanging="420"/>
      <w:jc w:val="left"/>
    </w:pPr>
    <w:rPr>
      <w:rFonts w:ascii="等线" w:hAnsi="等线" w:cs="宋体"/>
      <w:bCs w:val="0"/>
      <w:snapToGrid w:val="0"/>
      <w:kern w:val="24"/>
      <w:sz w:val="24"/>
      <w:szCs w:val="24"/>
    </w:rPr>
  </w:style>
  <w:style w:type="character" w:customStyle="1" w:styleId="904">
    <w:name w:val="已访问的超链接21"/>
    <w:semiHidden/>
    <w:uiPriority w:val="0"/>
    <w:rPr>
      <w:color w:val="800080"/>
      <w:u w:val="single"/>
    </w:rPr>
  </w:style>
  <w:style w:type="character" w:customStyle="1" w:styleId="905">
    <w:name w:val="Head 3 Char"/>
    <w:link w:val="906"/>
    <w:uiPriority w:val="0"/>
    <w:rPr>
      <w:b/>
      <w:bCs/>
      <w:sz w:val="24"/>
      <w:szCs w:val="24"/>
    </w:rPr>
  </w:style>
  <w:style w:type="paragraph" w:customStyle="1" w:styleId="906">
    <w:name w:val="Head 3"/>
    <w:link w:val="905"/>
    <w:qFormat/>
    <w:uiPriority w:val="0"/>
    <w:pPr>
      <w:spacing w:line="440" w:lineRule="exact"/>
      <w:jc w:val="both"/>
      <w:outlineLvl w:val="2"/>
    </w:pPr>
    <w:rPr>
      <w:rFonts w:ascii="等线" w:hAnsi="等线" w:eastAsia="等线" w:cs="Times New Roman"/>
      <w:b/>
      <w:bCs/>
      <w:sz w:val="24"/>
      <w:szCs w:val="24"/>
      <w:lang w:val="en-US" w:eastAsia="zh-CN" w:bidi="ar-SA"/>
    </w:rPr>
  </w:style>
  <w:style w:type="character" w:customStyle="1" w:styleId="907">
    <w:name w:val="副标题 Char2"/>
    <w:uiPriority w:val="11"/>
    <w:rPr>
      <w:rFonts w:ascii="Cambria" w:hAnsi="Cambria" w:cs="Times New Roman"/>
      <w:b/>
      <w:bCs/>
      <w:snapToGrid/>
      <w:kern w:val="28"/>
      <w:sz w:val="32"/>
      <w:szCs w:val="32"/>
    </w:rPr>
  </w:style>
  <w:style w:type="character" w:customStyle="1" w:styleId="908">
    <w:name w:val="日期 Char2"/>
    <w:uiPriority w:val="0"/>
    <w:rPr>
      <w:snapToGrid/>
      <w:kern w:val="24"/>
      <w:sz w:val="24"/>
      <w:szCs w:val="24"/>
    </w:rPr>
  </w:style>
  <w:style w:type="character" w:customStyle="1" w:styleId="909">
    <w:name w:val="引用 Char1"/>
    <w:uiPriority w:val="29"/>
    <w:rPr>
      <w:rFonts w:ascii="Times New Roman" w:hAnsi="Times New Roman"/>
      <w:i/>
      <w:iCs/>
      <w:snapToGrid/>
      <w:color w:val="000000"/>
      <w:kern w:val="24"/>
      <w:sz w:val="24"/>
      <w:szCs w:val="24"/>
    </w:rPr>
  </w:style>
  <w:style w:type="character" w:customStyle="1" w:styleId="910">
    <w:name w:val="副标题 Char1"/>
    <w:qFormat/>
    <w:uiPriority w:val="11"/>
    <w:rPr>
      <w:rFonts w:ascii="Cambria" w:hAnsi="Cambria" w:cs="Times New Roman"/>
      <w:b/>
      <w:bCs/>
      <w:kern w:val="28"/>
      <w:sz w:val="32"/>
      <w:szCs w:val="32"/>
    </w:rPr>
  </w:style>
  <w:style w:type="character" w:customStyle="1" w:styleId="911">
    <w:name w:val="toctoggle"/>
    <w:uiPriority w:val="0"/>
  </w:style>
  <w:style w:type="character" w:customStyle="1" w:styleId="912">
    <w:name w:val="style601"/>
    <w:uiPriority w:val="0"/>
    <w:rPr>
      <w:b/>
      <w:bCs/>
      <w:color w:val="003399"/>
    </w:rPr>
  </w:style>
  <w:style w:type="character" w:customStyle="1" w:styleId="913">
    <w:name w:val="脚注文本 Char2"/>
    <w:uiPriority w:val="99"/>
    <w:rPr>
      <w:snapToGrid/>
      <w:kern w:val="24"/>
      <w:sz w:val="18"/>
      <w:szCs w:val="18"/>
    </w:rPr>
  </w:style>
  <w:style w:type="character" w:customStyle="1" w:styleId="914">
    <w:name w:val="样式 表格内字体 + (中文) 仿宋 (符号) 仿宋 黑色 Char"/>
    <w:link w:val="915"/>
    <w:uiPriority w:val="0"/>
    <w:rPr>
      <w:rFonts w:eastAsia="仿宋"/>
      <w:color w:val="000000"/>
      <w:kern w:val="21"/>
      <w:szCs w:val="21"/>
    </w:rPr>
  </w:style>
  <w:style w:type="paragraph" w:customStyle="1" w:styleId="915">
    <w:name w:val="样式 表格内字体 + (中文) 仿宋 (符号) 仿宋 黑色"/>
    <w:basedOn w:val="497"/>
    <w:link w:val="914"/>
    <w:qFormat/>
    <w:uiPriority w:val="0"/>
    <w:pPr>
      <w:jc w:val="left"/>
    </w:pPr>
    <w:rPr>
      <w:rFonts w:ascii="等线" w:hAnsi="等线" w:eastAsia="仿宋"/>
      <w:snapToGrid/>
      <w:color w:val="000000"/>
      <w:sz w:val="20"/>
      <w:szCs w:val="21"/>
    </w:rPr>
  </w:style>
  <w:style w:type="character" w:customStyle="1" w:styleId="916">
    <w:name w:val="标题 Char2"/>
    <w:uiPriority w:val="10"/>
    <w:rPr>
      <w:rFonts w:ascii="Cambria" w:hAnsi="Cambria" w:cs="Times New Roman"/>
      <w:b/>
      <w:bCs/>
      <w:snapToGrid/>
      <w:kern w:val="24"/>
      <w:sz w:val="32"/>
      <w:szCs w:val="32"/>
    </w:rPr>
  </w:style>
  <w:style w:type="character" w:customStyle="1" w:styleId="917">
    <w:name w:val="孚宝表 Char Char"/>
    <w:uiPriority w:val="0"/>
    <w:rPr>
      <w:b/>
      <w:bCs/>
      <w:caps/>
      <w:kern w:val="2"/>
      <w:sz w:val="21"/>
      <w:szCs w:val="21"/>
    </w:rPr>
  </w:style>
  <w:style w:type="character" w:customStyle="1" w:styleId="918">
    <w:name w:val="脚注文本 Char3"/>
    <w:semiHidden/>
    <w:uiPriority w:val="99"/>
    <w:rPr>
      <w:rFonts w:ascii="Times New Roman" w:hAnsi="Times New Roman" w:eastAsia="宋体" w:cs="Times New Roman"/>
      <w:snapToGrid w:val="0"/>
      <w:kern w:val="24"/>
      <w:sz w:val="18"/>
      <w:szCs w:val="18"/>
    </w:rPr>
  </w:style>
  <w:style w:type="character" w:customStyle="1" w:styleId="919">
    <w:name w:val="z-窗体底端 Char3"/>
    <w:semiHidden/>
    <w:uiPriority w:val="99"/>
    <w:rPr>
      <w:rFonts w:ascii="Arial" w:hAnsi="Arial" w:eastAsia="宋体" w:cs="Arial"/>
      <w:snapToGrid w:val="0"/>
      <w:vanish/>
      <w:kern w:val="24"/>
      <w:sz w:val="16"/>
      <w:szCs w:val="16"/>
    </w:rPr>
  </w:style>
  <w:style w:type="character" w:customStyle="1" w:styleId="920">
    <w:name w:val="样式 正文文本 + 首行缩进:  2 字符 Char"/>
    <w:link w:val="921"/>
    <w:uiPriority w:val="0"/>
    <w:rPr>
      <w:rFonts w:cs="宋体"/>
      <w:sz w:val="24"/>
      <w:szCs w:val="24"/>
    </w:rPr>
  </w:style>
  <w:style w:type="paragraph" w:customStyle="1" w:styleId="921">
    <w:name w:val="样式 正文文本 + 首行缩进:  2 字符"/>
    <w:basedOn w:val="35"/>
    <w:link w:val="920"/>
    <w:qFormat/>
    <w:uiPriority w:val="0"/>
    <w:pPr>
      <w:widowControl w:val="0"/>
      <w:spacing w:before="120" w:line="300" w:lineRule="auto"/>
      <w:textAlignment w:val="baseline"/>
    </w:pPr>
    <w:rPr>
      <w:rFonts w:ascii="等线" w:hAnsi="等线" w:cs="宋体"/>
      <w:kern w:val="0"/>
    </w:rPr>
  </w:style>
  <w:style w:type="character" w:customStyle="1" w:styleId="922">
    <w:name w:val="注释标题 Char1"/>
    <w:semiHidden/>
    <w:uiPriority w:val="99"/>
    <w:rPr>
      <w:rFonts w:ascii="Times New Roman" w:hAnsi="Times New Roman"/>
      <w:snapToGrid/>
      <w:kern w:val="24"/>
      <w:sz w:val="24"/>
      <w:szCs w:val="24"/>
    </w:rPr>
  </w:style>
  <w:style w:type="character" w:customStyle="1" w:styleId="923">
    <w:name w:val="正文文本缩进 3 Char3"/>
    <w:semiHidden/>
    <w:uiPriority w:val="99"/>
    <w:rPr>
      <w:rFonts w:ascii="Times New Roman" w:hAnsi="Times New Roman" w:eastAsia="宋体" w:cs="Times New Roman"/>
      <w:snapToGrid w:val="0"/>
      <w:kern w:val="24"/>
      <w:sz w:val="16"/>
      <w:szCs w:val="16"/>
    </w:rPr>
  </w:style>
  <w:style w:type="character" w:customStyle="1" w:styleId="924">
    <w:name w:val="已访问的超链接2"/>
    <w:semiHidden/>
    <w:uiPriority w:val="0"/>
    <w:rPr>
      <w:color w:val="800080"/>
      <w:u w:val="single"/>
    </w:rPr>
  </w:style>
  <w:style w:type="character" w:customStyle="1" w:styleId="925">
    <w:name w:val="正文文本缩进 Char Char Char"/>
    <w:uiPriority w:val="0"/>
    <w:rPr>
      <w:rFonts w:ascii="宋体" w:hAnsi="宋体" w:eastAsia="宋体"/>
      <w:spacing w:val="20"/>
      <w:kern w:val="2"/>
      <w:sz w:val="24"/>
      <w:lang w:val="en-US" w:eastAsia="zh-CN" w:bidi="ar-SA"/>
    </w:rPr>
  </w:style>
  <w:style w:type="character" w:customStyle="1" w:styleId="926">
    <w:name w:val="(a正文 Char Char"/>
    <w:uiPriority w:val="0"/>
    <w:rPr>
      <w:rFonts w:eastAsia="仿宋_GB2312"/>
      <w:color w:val="000000"/>
      <w:kern w:val="2"/>
      <w:sz w:val="24"/>
      <w:szCs w:val="24"/>
      <w:lang w:val="en-US" w:eastAsia="zh-CN" w:bidi="ar-SA"/>
    </w:rPr>
  </w:style>
  <w:style w:type="character" w:customStyle="1" w:styleId="927">
    <w:name w:val="1.1.1标题3 Char"/>
    <w:uiPriority w:val="0"/>
    <w:rPr>
      <w:rFonts w:eastAsia="黑体"/>
      <w:kern w:val="2"/>
      <w:sz w:val="24"/>
      <w:szCs w:val="24"/>
      <w:lang w:val="en-US" w:eastAsia="zh-CN" w:bidi="ar-SA"/>
    </w:rPr>
  </w:style>
  <w:style w:type="character" w:customStyle="1" w:styleId="928">
    <w:name w:val="表内的表头 Char Char"/>
    <w:uiPriority w:val="0"/>
    <w:rPr>
      <w:rFonts w:eastAsia="黑体"/>
      <w:b/>
      <w:sz w:val="21"/>
      <w:lang w:val="en-US" w:eastAsia="zh-CN" w:bidi="ar-SA"/>
    </w:rPr>
  </w:style>
  <w:style w:type="character" w:customStyle="1" w:styleId="929">
    <w:name w:val="文本框大文字 Char Char"/>
    <w:uiPriority w:val="0"/>
    <w:rPr>
      <w:rFonts w:ascii="Arial" w:hAnsi="Arial" w:eastAsia="宋体"/>
      <w:snapToGrid w:val="0"/>
      <w:kern w:val="21"/>
      <w:sz w:val="21"/>
      <w:szCs w:val="24"/>
      <w:lang w:val="en-US" w:eastAsia="zh-CN" w:bidi="ar-SA"/>
    </w:rPr>
  </w:style>
  <w:style w:type="character" w:customStyle="1" w:styleId="930">
    <w:name w:val="HTML 预设格式 Char2"/>
    <w:semiHidden/>
    <w:uiPriority w:val="99"/>
    <w:rPr>
      <w:rFonts w:ascii="Courier New" w:hAnsi="Courier New" w:eastAsia="宋体" w:cs="Courier New"/>
      <w:snapToGrid w:val="0"/>
      <w:kern w:val="24"/>
      <w:sz w:val="20"/>
      <w:szCs w:val="20"/>
    </w:rPr>
  </w:style>
  <w:style w:type="character" w:customStyle="1" w:styleId="931">
    <w:name w:val="宏文本 Char3"/>
    <w:semiHidden/>
    <w:uiPriority w:val="99"/>
    <w:rPr>
      <w:rFonts w:ascii="Courier New" w:hAnsi="Courier New" w:eastAsia="宋体" w:cs="Courier New"/>
      <w:snapToGrid w:val="0"/>
      <w:kern w:val="24"/>
      <w:sz w:val="24"/>
      <w:szCs w:val="24"/>
    </w:rPr>
  </w:style>
  <w:style w:type="character" w:customStyle="1" w:styleId="932">
    <w:name w:val="Char Char310"/>
    <w:uiPriority w:val="0"/>
    <w:rPr>
      <w:rFonts w:eastAsia="宋体"/>
      <w:kern w:val="2"/>
      <w:sz w:val="18"/>
      <w:szCs w:val="18"/>
      <w:lang w:val="en-US" w:eastAsia="zh-CN" w:bidi="ar-SA"/>
    </w:rPr>
  </w:style>
  <w:style w:type="character" w:customStyle="1" w:styleId="933">
    <w:name w:val="Char Char93"/>
    <w:uiPriority w:val="0"/>
    <w:rPr>
      <w:rFonts w:eastAsia="宋体"/>
      <w:b/>
      <w:bCs/>
      <w:snapToGrid w:val="0"/>
      <w:kern w:val="24"/>
      <w:sz w:val="24"/>
      <w:szCs w:val="24"/>
      <w:lang w:val="en-US" w:eastAsia="zh-CN" w:bidi="ar-SA"/>
    </w:rPr>
  </w:style>
  <w:style w:type="character" w:customStyle="1" w:styleId="934">
    <w:name w:val="标题 2 字符1"/>
    <w:qFormat/>
    <w:uiPriority w:val="0"/>
    <w:rPr>
      <w:rFonts w:ascii="Arial" w:hAnsi="Arial" w:eastAsia="黑体"/>
      <w:b/>
      <w:bCs/>
      <w:kern w:val="2"/>
      <w:sz w:val="32"/>
      <w:szCs w:val="32"/>
    </w:rPr>
  </w:style>
  <w:style w:type="character" w:customStyle="1" w:styleId="935">
    <w:name w:val="页眉 字符1"/>
    <w:qFormat/>
    <w:uiPriority w:val="99"/>
    <w:rPr>
      <w:kern w:val="2"/>
      <w:sz w:val="18"/>
      <w:szCs w:val="18"/>
    </w:rPr>
  </w:style>
  <w:style w:type="character" w:customStyle="1" w:styleId="936">
    <w:name w:val="正文文本首行缩进 2 字符"/>
    <w:qFormat/>
    <w:uiPriority w:val="0"/>
    <w:rPr>
      <w:rFonts w:eastAsia="宋体"/>
      <w:kern w:val="2"/>
      <w:sz w:val="21"/>
      <w:szCs w:val="24"/>
      <w:lang w:val="en-US" w:eastAsia="zh-CN" w:bidi="ar-SA"/>
    </w:rPr>
  </w:style>
  <w:style w:type="character" w:customStyle="1" w:styleId="937">
    <w:name w:val="Char Char231"/>
    <w:uiPriority w:val="0"/>
    <w:rPr>
      <w:rFonts w:ascii="Cambria" w:hAnsi="Cambria" w:eastAsia="黑体"/>
      <w:snapToGrid w:val="0"/>
      <w:kern w:val="24"/>
    </w:rPr>
  </w:style>
  <w:style w:type="character" w:customStyle="1" w:styleId="938">
    <w:name w:val="标题 4 字符1"/>
    <w:qFormat/>
    <w:uiPriority w:val="0"/>
    <w:rPr>
      <w:kern w:val="2"/>
      <w:sz w:val="24"/>
      <w:szCs w:val="24"/>
    </w:rPr>
  </w:style>
  <w:style w:type="character" w:customStyle="1" w:styleId="939">
    <w:name w:val="Char Char Char Char Char Char4"/>
    <w:uiPriority w:val="0"/>
    <w:rPr>
      <w:rFonts w:ascii="黑体" w:hAnsi="Arial" w:eastAsia="黑体" w:cs="Arial"/>
      <w:kern w:val="2"/>
      <w:sz w:val="24"/>
      <w:lang w:val="en-US" w:eastAsia="zh-CN" w:bidi="ar-SA"/>
    </w:rPr>
  </w:style>
  <w:style w:type="character" w:customStyle="1" w:styleId="940">
    <w:name w:val="body text 1 Char"/>
    <w:link w:val="941"/>
    <w:qFormat/>
    <w:uiPriority w:val="0"/>
    <w:rPr>
      <w:snapToGrid w:val="0"/>
      <w:sz w:val="24"/>
      <w:szCs w:val="24"/>
    </w:rPr>
  </w:style>
  <w:style w:type="paragraph" w:customStyle="1" w:styleId="941">
    <w:name w:val="body text 1"/>
    <w:basedOn w:val="1"/>
    <w:link w:val="940"/>
    <w:qFormat/>
    <w:uiPriority w:val="0"/>
    <w:pPr>
      <w:widowControl w:val="0"/>
      <w:adjustRightInd w:val="0"/>
      <w:ind w:firstLine="475"/>
      <w:jc w:val="left"/>
      <w:textAlignment w:val="baseline"/>
    </w:pPr>
    <w:rPr>
      <w:rFonts w:ascii="等线" w:hAnsi="等线"/>
      <w:snapToGrid w:val="0"/>
      <w:kern w:val="0"/>
      <w:szCs w:val="24"/>
    </w:rPr>
  </w:style>
  <w:style w:type="character" w:customStyle="1" w:styleId="942">
    <w:name w:val="样式12 Char"/>
    <w:link w:val="943"/>
    <w:uiPriority w:val="0"/>
    <w:rPr>
      <w:rFonts w:hAnsi="宋体"/>
      <w:sz w:val="26"/>
      <w:szCs w:val="26"/>
      <w:lang w:val="zh-CN"/>
    </w:rPr>
  </w:style>
  <w:style w:type="paragraph" w:customStyle="1" w:styleId="943">
    <w:name w:val="样式12"/>
    <w:basedOn w:val="1"/>
    <w:link w:val="942"/>
    <w:qFormat/>
    <w:uiPriority w:val="0"/>
    <w:pPr>
      <w:widowControl w:val="0"/>
      <w:autoSpaceDE w:val="0"/>
      <w:autoSpaceDN w:val="0"/>
      <w:adjustRightInd w:val="0"/>
      <w:snapToGrid w:val="0"/>
      <w:spacing w:beforeLines="50" w:line="480" w:lineRule="exact"/>
      <w:jc w:val="right"/>
      <w:outlineLvl w:val="4"/>
    </w:pPr>
    <w:rPr>
      <w:rFonts w:ascii="等线" w:hAnsi="宋体"/>
      <w:kern w:val="0"/>
      <w:sz w:val="26"/>
      <w:szCs w:val="26"/>
      <w:lang w:val="zh-CN"/>
    </w:rPr>
  </w:style>
  <w:style w:type="character" w:customStyle="1" w:styleId="944">
    <w:name w:val="标题 3字符"/>
    <w:uiPriority w:val="0"/>
    <w:rPr>
      <w:b/>
      <w:sz w:val="32"/>
    </w:rPr>
  </w:style>
  <w:style w:type="character" w:customStyle="1" w:styleId="945">
    <w:name w:val="bds_more1"/>
    <w:basedOn w:val="134"/>
    <w:uiPriority w:val="0"/>
  </w:style>
  <w:style w:type="character" w:customStyle="1" w:styleId="946">
    <w:name w:val="infort1"/>
    <w:uiPriority w:val="0"/>
    <w:rPr>
      <w:b/>
      <w:bCs/>
      <w:color w:val="000000"/>
      <w:sz w:val="22"/>
      <w:szCs w:val="22"/>
    </w:rPr>
  </w:style>
  <w:style w:type="character" w:customStyle="1" w:styleId="947">
    <w:name w:val="批注主题 Char3"/>
    <w:semiHidden/>
    <w:uiPriority w:val="99"/>
    <w:rPr>
      <w:rFonts w:ascii="Times New Roman" w:hAnsi="Times New Roman" w:eastAsia="宋体" w:cs="Times New Roman"/>
      <w:b/>
      <w:bCs/>
      <w:snapToGrid w:val="0"/>
      <w:kern w:val="24"/>
      <w:sz w:val="24"/>
      <w:szCs w:val="24"/>
    </w:rPr>
  </w:style>
  <w:style w:type="character" w:customStyle="1" w:styleId="948">
    <w:name w:val="cucd-0 Char"/>
    <w:link w:val="949"/>
    <w:uiPriority w:val="0"/>
    <w:rPr>
      <w:sz w:val="24"/>
      <w:szCs w:val="24"/>
    </w:rPr>
  </w:style>
  <w:style w:type="paragraph" w:customStyle="1" w:styleId="949">
    <w:name w:val="cucd-0"/>
    <w:link w:val="948"/>
    <w:qFormat/>
    <w:uiPriority w:val="0"/>
    <w:pPr>
      <w:spacing w:line="360" w:lineRule="auto"/>
      <w:ind w:firstLine="480" w:firstLineChars="200"/>
    </w:pPr>
    <w:rPr>
      <w:rFonts w:ascii="等线" w:hAnsi="等线" w:eastAsia="等线" w:cs="Times New Roman"/>
      <w:sz w:val="24"/>
      <w:szCs w:val="24"/>
      <w:lang w:val="en-US" w:eastAsia="zh-CN" w:bidi="ar-SA"/>
    </w:rPr>
  </w:style>
  <w:style w:type="character" w:customStyle="1" w:styleId="950">
    <w:name w:val="article1"/>
    <w:uiPriority w:val="0"/>
    <w:rPr>
      <w:b/>
      <w:bCs/>
      <w:smallCaps/>
      <w:color w:val="FF0000"/>
      <w:sz w:val="43"/>
      <w:szCs w:val="43"/>
    </w:rPr>
  </w:style>
  <w:style w:type="character" w:customStyle="1" w:styleId="951">
    <w:name w:val="文档结构图 字符1"/>
    <w:qFormat/>
    <w:uiPriority w:val="99"/>
    <w:rPr>
      <w:kern w:val="2"/>
      <w:sz w:val="21"/>
      <w:szCs w:val="24"/>
      <w:shd w:val="clear" w:color="auto" w:fill="000080"/>
    </w:rPr>
  </w:style>
  <w:style w:type="character" w:customStyle="1" w:styleId="952">
    <w:name w:val="Char Char471"/>
    <w:uiPriority w:val="0"/>
    <w:rPr>
      <w:rFonts w:ascii="Times New Roman" w:hAnsi="Times New Roman"/>
      <w:snapToGrid/>
      <w:kern w:val="24"/>
      <w:sz w:val="18"/>
      <w:szCs w:val="18"/>
    </w:rPr>
  </w:style>
  <w:style w:type="character" w:customStyle="1" w:styleId="953">
    <w:name w:val="表格文本 Char"/>
    <w:link w:val="954"/>
    <w:semiHidden/>
    <w:uiPriority w:val="0"/>
    <w:rPr>
      <w:rFonts w:eastAsia="仿宋_GB2312"/>
    </w:rPr>
  </w:style>
  <w:style w:type="paragraph" w:customStyle="1" w:styleId="954">
    <w:name w:val="表格文本"/>
    <w:basedOn w:val="1"/>
    <w:next w:val="1"/>
    <w:link w:val="953"/>
    <w:semiHidden/>
    <w:qFormat/>
    <w:uiPriority w:val="0"/>
    <w:pPr>
      <w:widowControl w:val="0"/>
      <w:spacing w:line="240" w:lineRule="exact"/>
    </w:pPr>
    <w:rPr>
      <w:rFonts w:ascii="等线" w:hAnsi="等线" w:eastAsia="仿宋_GB2312"/>
      <w:kern w:val="0"/>
      <w:sz w:val="20"/>
      <w:szCs w:val="20"/>
    </w:rPr>
  </w:style>
  <w:style w:type="character" w:customStyle="1" w:styleId="955">
    <w:name w:val="Char Char82"/>
    <w:uiPriority w:val="0"/>
    <w:rPr>
      <w:rFonts w:eastAsia="宋体"/>
      <w:b/>
      <w:bCs/>
      <w:snapToGrid w:val="0"/>
      <w:sz w:val="24"/>
      <w:szCs w:val="24"/>
      <w:lang w:val="en-US" w:eastAsia="zh-CN" w:bidi="ar-SA"/>
    </w:rPr>
  </w:style>
  <w:style w:type="character" w:customStyle="1" w:styleId="956">
    <w:name w:val="标题 1 字符1"/>
    <w:qFormat/>
    <w:uiPriority w:val="0"/>
    <w:rPr>
      <w:rFonts w:eastAsia="宋体"/>
      <w:b/>
      <w:sz w:val="36"/>
      <w:lang w:val="en-US" w:eastAsia="zh-CN" w:bidi="ar-SA"/>
    </w:rPr>
  </w:style>
  <w:style w:type="character" w:customStyle="1" w:styleId="957">
    <w:name w:val="Char Char301"/>
    <w:uiPriority w:val="0"/>
    <w:rPr>
      <w:rFonts w:ascii="Times New Roman" w:hAnsi="Times New Roman" w:eastAsia="宋体" w:cs="Times New Roman"/>
      <w:kern w:val="0"/>
      <w:sz w:val="24"/>
      <w:szCs w:val="24"/>
    </w:rPr>
  </w:style>
  <w:style w:type="character" w:customStyle="1" w:styleId="958">
    <w:name w:val="标题 3 字符1"/>
    <w:qFormat/>
    <w:uiPriority w:val="0"/>
    <w:rPr>
      <w:rFonts w:eastAsia="宋体"/>
      <w:b/>
      <w:bCs/>
      <w:kern w:val="2"/>
      <w:sz w:val="24"/>
      <w:szCs w:val="32"/>
      <w:lang w:val="en-US" w:eastAsia="zh-CN" w:bidi="ar-SA"/>
    </w:rPr>
  </w:style>
  <w:style w:type="character" w:customStyle="1" w:styleId="959">
    <w:name w:val="称呼 Char4"/>
    <w:semiHidden/>
    <w:uiPriority w:val="0"/>
    <w:rPr>
      <w:rFonts w:ascii="Times New Roman" w:hAnsi="Times New Roman"/>
      <w:snapToGrid w:val="0"/>
      <w:kern w:val="24"/>
      <w:sz w:val="24"/>
      <w:szCs w:val="24"/>
    </w:rPr>
  </w:style>
  <w:style w:type="character" w:customStyle="1" w:styleId="960">
    <w:name w:val="z-窗体底端 字符1"/>
    <w:link w:val="961"/>
    <w:qFormat/>
    <w:uiPriority w:val="0"/>
    <w:rPr>
      <w:rFonts w:ascii="Arial" w:hAnsi="Arial" w:eastAsia="Arial Unicode MS"/>
      <w:vanish/>
      <w:sz w:val="16"/>
    </w:rPr>
  </w:style>
  <w:style w:type="paragraph" w:customStyle="1" w:styleId="961">
    <w:name w:val="z-窗体底端2"/>
    <w:basedOn w:val="1"/>
    <w:next w:val="1"/>
    <w:link w:val="960"/>
    <w:unhideWhenUsed/>
    <w:qFormat/>
    <w:uiPriority w:val="0"/>
    <w:pPr>
      <w:widowControl w:val="0"/>
      <w:pBdr>
        <w:top w:val="single" w:color="auto" w:sz="6" w:space="1"/>
      </w:pBdr>
      <w:adjustRightInd w:val="0"/>
      <w:snapToGrid w:val="0"/>
      <w:spacing w:line="500" w:lineRule="exact"/>
      <w:ind w:firstLine="200" w:firstLineChars="200"/>
      <w:jc w:val="center"/>
    </w:pPr>
    <w:rPr>
      <w:rFonts w:ascii="Arial" w:hAnsi="Arial" w:eastAsia="Arial Unicode MS"/>
      <w:vanish/>
      <w:kern w:val="0"/>
      <w:sz w:val="16"/>
      <w:szCs w:val="20"/>
    </w:rPr>
  </w:style>
  <w:style w:type="character" w:customStyle="1" w:styleId="962">
    <w:name w:val="Char Char221"/>
    <w:semiHidden/>
    <w:uiPriority w:val="0"/>
    <w:rPr>
      <w:rFonts w:ascii="Arial" w:hAnsi="Arial" w:cs="Arial"/>
      <w:sz w:val="24"/>
      <w:szCs w:val="24"/>
    </w:rPr>
  </w:style>
  <w:style w:type="character" w:customStyle="1" w:styleId="963">
    <w:name w:val="标题 9 字符1"/>
    <w:qFormat/>
    <w:uiPriority w:val="0"/>
    <w:rPr>
      <w:rFonts w:ascii="Arial" w:hAnsi="Arial" w:eastAsia="黑体"/>
      <w:kern w:val="2"/>
      <w:sz w:val="21"/>
      <w:szCs w:val="21"/>
    </w:rPr>
  </w:style>
  <w:style w:type="character" w:customStyle="1" w:styleId="964">
    <w:name w:val="Footer1 Char Char"/>
    <w:uiPriority w:val="0"/>
    <w:rPr>
      <w:rFonts w:ascii="Times New Roman" w:hAnsi="Times New Roman"/>
      <w:kern w:val="2"/>
      <w:sz w:val="18"/>
      <w:szCs w:val="18"/>
      <w:lang w:val="en-US" w:eastAsia="zh-CN" w:bidi="ar-SA"/>
    </w:rPr>
  </w:style>
  <w:style w:type="character" w:customStyle="1" w:styleId="965">
    <w:name w:val="批注框文本 字符1"/>
    <w:qFormat/>
    <w:uiPriority w:val="99"/>
    <w:rPr>
      <w:kern w:val="2"/>
      <w:sz w:val="18"/>
      <w:szCs w:val="18"/>
    </w:rPr>
  </w:style>
  <w:style w:type="character" w:customStyle="1" w:styleId="966">
    <w:name w:val="签名 Char3"/>
    <w:semiHidden/>
    <w:uiPriority w:val="99"/>
    <w:rPr>
      <w:rFonts w:ascii="Times New Roman" w:hAnsi="Times New Roman" w:eastAsia="宋体" w:cs="Times New Roman"/>
      <w:snapToGrid w:val="0"/>
      <w:kern w:val="24"/>
      <w:sz w:val="24"/>
      <w:szCs w:val="24"/>
    </w:rPr>
  </w:style>
  <w:style w:type="character" w:customStyle="1" w:styleId="967">
    <w:name w:val="Char Char113"/>
    <w:uiPriority w:val="0"/>
    <w:rPr>
      <w:kern w:val="2"/>
      <w:sz w:val="18"/>
      <w:szCs w:val="18"/>
      <w:lang w:val="en-US" w:eastAsia="zh-CN" w:bidi="ar-SA"/>
    </w:rPr>
  </w:style>
  <w:style w:type="character" w:customStyle="1" w:styleId="968">
    <w:name w:val="日期 Char3"/>
    <w:semiHidden/>
    <w:qFormat/>
    <w:uiPriority w:val="99"/>
    <w:rPr>
      <w:rFonts w:ascii="Times New Roman" w:hAnsi="Times New Roman" w:eastAsia="宋体" w:cs="Times New Roman"/>
      <w:snapToGrid w:val="0"/>
      <w:kern w:val="24"/>
      <w:sz w:val="24"/>
      <w:szCs w:val="24"/>
    </w:rPr>
  </w:style>
  <w:style w:type="character" w:customStyle="1" w:styleId="969">
    <w:name w:val="文档结构图 Char3"/>
    <w:semiHidden/>
    <w:uiPriority w:val="99"/>
    <w:rPr>
      <w:rFonts w:ascii="宋体" w:hAnsi="Times New Roman" w:eastAsia="宋体" w:cs="Times New Roman"/>
      <w:snapToGrid w:val="0"/>
      <w:kern w:val="24"/>
      <w:sz w:val="18"/>
      <w:szCs w:val="18"/>
    </w:rPr>
  </w:style>
  <w:style w:type="character" w:customStyle="1" w:styleId="970">
    <w:name w:val="页眉 Char3"/>
    <w:semiHidden/>
    <w:uiPriority w:val="99"/>
    <w:rPr>
      <w:rFonts w:ascii="Times New Roman" w:hAnsi="Times New Roman" w:eastAsia="宋体" w:cs="Times New Roman"/>
      <w:snapToGrid w:val="0"/>
      <w:kern w:val="24"/>
      <w:sz w:val="18"/>
      <w:szCs w:val="18"/>
    </w:rPr>
  </w:style>
  <w:style w:type="character" w:customStyle="1" w:styleId="971">
    <w:name w:val="电子邮件签名 Char3"/>
    <w:semiHidden/>
    <w:uiPriority w:val="99"/>
    <w:rPr>
      <w:rFonts w:ascii="Times New Roman" w:hAnsi="Times New Roman" w:eastAsia="宋体" w:cs="Times New Roman"/>
      <w:snapToGrid w:val="0"/>
      <w:kern w:val="24"/>
      <w:sz w:val="24"/>
      <w:szCs w:val="24"/>
    </w:rPr>
  </w:style>
  <w:style w:type="character" w:customStyle="1" w:styleId="972">
    <w:name w:val="信息标题 Char3"/>
    <w:semiHidden/>
    <w:uiPriority w:val="99"/>
    <w:rPr>
      <w:rFonts w:ascii="Cambria" w:hAnsi="Cambria" w:eastAsia="宋体" w:cs="Times New Roman"/>
      <w:snapToGrid w:val="0"/>
      <w:kern w:val="24"/>
      <w:sz w:val="24"/>
      <w:szCs w:val="24"/>
      <w:shd w:val="pct20" w:color="auto" w:fill="auto"/>
    </w:rPr>
  </w:style>
  <w:style w:type="character" w:customStyle="1" w:styleId="973">
    <w:name w:val="访问过的超链接2"/>
    <w:uiPriority w:val="99"/>
    <w:rPr>
      <w:color w:val="800080"/>
      <w:u w:val="single"/>
    </w:rPr>
  </w:style>
  <w:style w:type="character" w:customStyle="1" w:styleId="974">
    <w:name w:val="结束语 Char3"/>
    <w:semiHidden/>
    <w:uiPriority w:val="99"/>
    <w:rPr>
      <w:rFonts w:ascii="Times New Roman" w:hAnsi="Times New Roman" w:eastAsia="宋体" w:cs="Times New Roman"/>
      <w:snapToGrid w:val="0"/>
      <w:kern w:val="24"/>
      <w:sz w:val="24"/>
      <w:szCs w:val="24"/>
    </w:rPr>
  </w:style>
  <w:style w:type="character" w:customStyle="1" w:styleId="975">
    <w:name w:val="Yun.Guo"/>
    <w:semiHidden/>
    <w:uiPriority w:val="0"/>
    <w:rPr>
      <w:rFonts w:ascii="Arial" w:hAnsi="Arial" w:eastAsia="宋体" w:cs="Arial"/>
      <w:color w:val="auto"/>
      <w:sz w:val="18"/>
      <w:szCs w:val="20"/>
    </w:rPr>
  </w:style>
  <w:style w:type="character" w:customStyle="1" w:styleId="976">
    <w:name w:val="样式 正文图表标题 + (西文) Times New Roman Char"/>
    <w:link w:val="977"/>
    <w:uiPriority w:val="0"/>
    <w:rPr>
      <w:b/>
      <w:bCs/>
      <w:kern w:val="24"/>
      <w:sz w:val="24"/>
      <w:szCs w:val="24"/>
    </w:rPr>
  </w:style>
  <w:style w:type="paragraph" w:customStyle="1" w:styleId="977">
    <w:name w:val="样式 正文图表标题 + (西文) Times New Roman"/>
    <w:basedOn w:val="978"/>
    <w:link w:val="976"/>
    <w:qFormat/>
    <w:uiPriority w:val="0"/>
    <w:pPr>
      <w:adjustRightInd/>
      <w:snapToGrid/>
    </w:pPr>
    <w:rPr>
      <w:rFonts w:ascii="等线" w:hAnsi="等线" w:eastAsia="等线" w:cs="Times New Roman"/>
      <w:bCs/>
      <w:snapToGrid/>
    </w:rPr>
  </w:style>
  <w:style w:type="paragraph" w:customStyle="1" w:styleId="978">
    <w:name w:val="正文图表标题"/>
    <w:basedOn w:val="1"/>
    <w:link w:val="1469"/>
    <w:qFormat/>
    <w:uiPriority w:val="0"/>
    <w:pPr>
      <w:widowControl w:val="0"/>
      <w:adjustRightInd w:val="0"/>
      <w:snapToGrid w:val="0"/>
      <w:jc w:val="center"/>
    </w:pPr>
    <w:rPr>
      <w:rFonts w:asciiTheme="minorHAnsi" w:hAnsiTheme="minorHAnsi" w:eastAsiaTheme="minorEastAsia" w:cstheme="minorBidi"/>
      <w:b/>
      <w:snapToGrid w:val="0"/>
      <w:kern w:val="24"/>
      <w:szCs w:val="24"/>
    </w:rPr>
  </w:style>
  <w:style w:type="character" w:customStyle="1" w:styleId="979">
    <w:name w:val="慈溪表一 Char Char"/>
    <w:uiPriority w:val="0"/>
    <w:rPr>
      <w:b/>
      <w:kern w:val="2"/>
      <w:sz w:val="21"/>
      <w:szCs w:val="21"/>
    </w:rPr>
  </w:style>
  <w:style w:type="character" w:customStyle="1" w:styleId="980">
    <w:name w:val="称呼 Char3"/>
    <w:semiHidden/>
    <w:uiPriority w:val="0"/>
    <w:rPr>
      <w:rFonts w:ascii="Times New Roman" w:hAnsi="Times New Roman" w:eastAsia="宋体" w:cs="Times New Roman"/>
      <w:snapToGrid w:val="0"/>
      <w:kern w:val="24"/>
      <w:sz w:val="24"/>
      <w:szCs w:val="24"/>
    </w:rPr>
  </w:style>
  <w:style w:type="character" w:customStyle="1" w:styleId="981">
    <w:name w:val="文本框文字 Char Char"/>
    <w:uiPriority w:val="0"/>
    <w:rPr>
      <w:rFonts w:ascii="宋体" w:hAnsi="宋体"/>
      <w:snapToGrid w:val="0"/>
      <w:color w:val="339966"/>
      <w:sz w:val="21"/>
      <w:szCs w:val="24"/>
    </w:rPr>
  </w:style>
  <w:style w:type="character" w:customStyle="1" w:styleId="982">
    <w:name w:val="样式15 Char"/>
    <w:link w:val="983"/>
    <w:uiPriority w:val="0"/>
    <w:rPr>
      <w:rFonts w:ascii="宋体" w:hAnsi="宋体" w:cs="宋体"/>
      <w:snapToGrid w:val="0"/>
      <w:kern w:val="24"/>
      <w:sz w:val="24"/>
      <w:szCs w:val="24"/>
    </w:rPr>
  </w:style>
  <w:style w:type="paragraph" w:customStyle="1" w:styleId="983">
    <w:name w:val="样式15"/>
    <w:basedOn w:val="1"/>
    <w:link w:val="982"/>
    <w:qFormat/>
    <w:uiPriority w:val="0"/>
    <w:pPr>
      <w:pBdr>
        <w:top w:val="single" w:color="auto" w:sz="8" w:space="1"/>
      </w:pBdr>
      <w:adjustRightInd w:val="0"/>
      <w:snapToGrid w:val="0"/>
      <w:ind w:firstLine="360" w:firstLineChars="200"/>
    </w:pPr>
    <w:rPr>
      <w:rFonts w:ascii="宋体" w:hAnsi="宋体" w:cs="宋体"/>
      <w:snapToGrid w:val="0"/>
      <w:kern w:val="24"/>
      <w:szCs w:val="24"/>
    </w:rPr>
  </w:style>
  <w:style w:type="character" w:customStyle="1" w:styleId="984">
    <w:name w:val="正文1 Char Char"/>
    <w:uiPriority w:val="0"/>
    <w:rPr>
      <w:rFonts w:ascii="宋体" w:hAnsi="宋体"/>
      <w:kern w:val="2"/>
      <w:sz w:val="24"/>
      <w:szCs w:val="24"/>
      <w:lang w:bidi="ar-SA"/>
    </w:rPr>
  </w:style>
  <w:style w:type="character" w:customStyle="1" w:styleId="985">
    <w:name w:val="style21"/>
    <w:uiPriority w:val="0"/>
    <w:rPr>
      <w:rFonts w:hint="default" w:ascii="Arial" w:hAnsi="Arial" w:cs="Arial"/>
      <w:color w:val="000000"/>
      <w:sz w:val="18"/>
      <w:szCs w:val="18"/>
    </w:rPr>
  </w:style>
  <w:style w:type="character" w:customStyle="1" w:styleId="986">
    <w:name w:val="纯文本1 Char Char"/>
    <w:uiPriority w:val="0"/>
    <w:rPr>
      <w:rFonts w:ascii="宋体" w:hAnsi="Courier New" w:eastAsia="仿宋_GB2312"/>
      <w:kern w:val="2"/>
      <w:sz w:val="21"/>
      <w:lang w:val="en-US" w:eastAsia="zh-CN" w:bidi="ar-SA"/>
    </w:rPr>
  </w:style>
  <w:style w:type="character" w:customStyle="1" w:styleId="987">
    <w:name w:val="3 号 Char"/>
    <w:link w:val="988"/>
    <w:uiPriority w:val="0"/>
    <w:rPr>
      <w:b/>
      <w:bCs/>
      <w:sz w:val="24"/>
      <w:szCs w:val="24"/>
    </w:rPr>
  </w:style>
  <w:style w:type="paragraph" w:customStyle="1" w:styleId="988">
    <w:name w:val="3 号"/>
    <w:basedOn w:val="906"/>
    <w:link w:val="987"/>
    <w:qFormat/>
    <w:uiPriority w:val="0"/>
    <w:pPr>
      <w:spacing w:line="360" w:lineRule="auto"/>
    </w:pPr>
  </w:style>
  <w:style w:type="character" w:customStyle="1" w:styleId="989">
    <w:name w:val="Intense Quote Char1"/>
    <w:uiPriority w:val="0"/>
    <w:rPr>
      <w:b/>
      <w:bCs/>
      <w:i/>
      <w:iCs/>
      <w:color w:val="4F81BD"/>
      <w:kern w:val="2"/>
      <w:sz w:val="21"/>
      <w:szCs w:val="24"/>
    </w:rPr>
  </w:style>
  <w:style w:type="character" w:customStyle="1" w:styleId="990">
    <w:name w:val="明显引用 字符"/>
    <w:uiPriority w:val="30"/>
    <w:rPr>
      <w:rFonts w:ascii="Times New Roman" w:hAnsi="Times New Roman"/>
      <w:i/>
      <w:iCs/>
      <w:snapToGrid/>
      <w:color w:val="5B9BD5"/>
      <w:kern w:val="24"/>
      <w:sz w:val="24"/>
      <w:szCs w:val="24"/>
    </w:rPr>
  </w:style>
  <w:style w:type="character" w:customStyle="1" w:styleId="991">
    <w:name w:val="a1"/>
    <w:uiPriority w:val="0"/>
    <w:rPr>
      <w:sz w:val="13"/>
      <w:szCs w:val="13"/>
    </w:rPr>
  </w:style>
  <w:style w:type="character" w:customStyle="1" w:styleId="992">
    <w:name w:val="占位符文本1"/>
    <w:semiHidden/>
    <w:uiPriority w:val="0"/>
    <w:rPr>
      <w:color w:val="808080"/>
    </w:rPr>
  </w:style>
  <w:style w:type="character" w:customStyle="1" w:styleId="993">
    <w:name w:val="xl24 Char"/>
    <w:link w:val="385"/>
    <w:uiPriority w:val="0"/>
    <w:rPr>
      <w:rFonts w:ascii="Arial Unicode MS" w:hAnsi="Arial Unicode MS"/>
      <w:sz w:val="22"/>
      <w:szCs w:val="22"/>
    </w:rPr>
  </w:style>
  <w:style w:type="character" w:customStyle="1" w:styleId="994">
    <w:name w:val="Title2"/>
    <w:uiPriority w:val="0"/>
  </w:style>
  <w:style w:type="character" w:customStyle="1" w:styleId="995">
    <w:name w:val="bt21"/>
    <w:uiPriority w:val="0"/>
    <w:rPr>
      <w:rFonts w:hint="eastAsia" w:ascii="黑体" w:eastAsia="黑体"/>
      <w:sz w:val="24"/>
      <w:szCs w:val="24"/>
    </w:rPr>
  </w:style>
  <w:style w:type="character" w:customStyle="1" w:styleId="996">
    <w:name w:val="市局正文 Char Char"/>
    <w:link w:val="997"/>
    <w:uiPriority w:val="0"/>
    <w:rPr>
      <w:sz w:val="24"/>
      <w:szCs w:val="24"/>
    </w:rPr>
  </w:style>
  <w:style w:type="paragraph" w:customStyle="1" w:styleId="997">
    <w:name w:val="市局正文"/>
    <w:basedOn w:val="1"/>
    <w:link w:val="996"/>
    <w:qFormat/>
    <w:uiPriority w:val="0"/>
    <w:pPr>
      <w:widowControl w:val="0"/>
      <w:spacing w:beforeLines="20"/>
      <w:ind w:firstLine="480"/>
    </w:pPr>
    <w:rPr>
      <w:rFonts w:ascii="等线" w:hAnsi="等线"/>
      <w:kern w:val="0"/>
      <w:szCs w:val="24"/>
    </w:rPr>
  </w:style>
  <w:style w:type="character" w:customStyle="1" w:styleId="998">
    <w:name w:val="Char Char44"/>
    <w:uiPriority w:val="0"/>
    <w:rPr>
      <w:rFonts w:ascii="Times New Roman" w:hAnsi="Times New Roman"/>
      <w:b/>
      <w:bCs/>
      <w:snapToGrid w:val="0"/>
      <w:kern w:val="2"/>
      <w:sz w:val="21"/>
      <w:szCs w:val="24"/>
    </w:rPr>
  </w:style>
  <w:style w:type="character" w:customStyle="1" w:styleId="999">
    <w:name w:val="content"/>
    <w:uiPriority w:val="0"/>
  </w:style>
  <w:style w:type="character" w:customStyle="1" w:styleId="1000">
    <w:name w:val="标题 #1_"/>
    <w:link w:val="1001"/>
    <w:uiPriority w:val="0"/>
    <w:rPr>
      <w:rFonts w:ascii="宋体" w:hAnsi="宋体"/>
      <w:sz w:val="25"/>
      <w:szCs w:val="25"/>
      <w:shd w:val="clear" w:color="auto" w:fill="FFFFFF"/>
    </w:rPr>
  </w:style>
  <w:style w:type="paragraph" w:customStyle="1" w:styleId="1001">
    <w:name w:val="标题 #1"/>
    <w:basedOn w:val="1"/>
    <w:link w:val="1000"/>
    <w:qFormat/>
    <w:uiPriority w:val="0"/>
    <w:pPr>
      <w:shd w:val="clear" w:color="auto" w:fill="FFFFFF"/>
      <w:spacing w:before="420" w:line="465" w:lineRule="exact"/>
      <w:jc w:val="left"/>
      <w:outlineLvl w:val="0"/>
    </w:pPr>
    <w:rPr>
      <w:rFonts w:ascii="宋体" w:hAnsi="宋体"/>
      <w:kern w:val="0"/>
      <w:sz w:val="25"/>
      <w:szCs w:val="25"/>
    </w:rPr>
  </w:style>
  <w:style w:type="character" w:customStyle="1" w:styleId="1002">
    <w:name w:val="表中正文 Char Char Char Char Char Char Char Char Char Char Char Char Char Char Char Char Char Char Char Char Char Char Char Char Char Char Char Char Char Char Char Char Char Char Char Char Char Char Char Char Char Char Char"/>
    <w:link w:val="1003"/>
    <w:uiPriority w:val="0"/>
    <w:rPr>
      <w:rFonts w:ascii="宋体" w:hAnsi="Arial" w:eastAsia="仿宋_GB2312"/>
      <w:szCs w:val="24"/>
    </w:rPr>
  </w:style>
  <w:style w:type="paragraph" w:customStyle="1" w:styleId="1003">
    <w:name w:val="表中正文 Char Char Char Char Char Char Char Char Char Char Char Char Char Char Char Char Char Char Char Char Char Char Char Char Char Char Char Char Char Char Char Char Char Char Char Char Char Char Char Char Char Char"/>
    <w:basedOn w:val="1"/>
    <w:link w:val="1002"/>
    <w:qFormat/>
    <w:uiPriority w:val="0"/>
    <w:pPr>
      <w:widowControl w:val="0"/>
      <w:autoSpaceDE w:val="0"/>
      <w:autoSpaceDN w:val="0"/>
      <w:spacing w:line="240" w:lineRule="auto"/>
      <w:jc w:val="center"/>
      <w:textAlignment w:val="baseline"/>
    </w:pPr>
    <w:rPr>
      <w:rFonts w:ascii="宋体" w:hAnsi="Arial" w:eastAsia="仿宋_GB2312"/>
      <w:kern w:val="0"/>
      <w:sz w:val="20"/>
      <w:szCs w:val="24"/>
    </w:rPr>
  </w:style>
  <w:style w:type="character" w:customStyle="1" w:styleId="1004">
    <w:name w:val="正文上海 Char Char"/>
    <w:uiPriority w:val="0"/>
    <w:rPr>
      <w:rFonts w:eastAsia="仿宋_GB2312"/>
      <w:kern w:val="2"/>
      <w:sz w:val="24"/>
      <w:szCs w:val="24"/>
    </w:rPr>
  </w:style>
  <w:style w:type="character" w:customStyle="1" w:styleId="1005">
    <w:name w:val="样式 宋体 小四 黑色"/>
    <w:uiPriority w:val="0"/>
    <w:rPr>
      <w:rFonts w:ascii="宋体" w:hAnsi="宋体" w:eastAsia="宋体"/>
      <w:b/>
      <w:color w:val="000000"/>
      <w:kern w:val="2"/>
      <w:sz w:val="24"/>
      <w:szCs w:val="28"/>
      <w:lang w:val="en-US" w:eastAsia="zh-CN" w:bidi="ar-SA"/>
    </w:rPr>
  </w:style>
  <w:style w:type="character" w:customStyle="1" w:styleId="1006">
    <w:name w:val="正文001 Char"/>
    <w:uiPriority w:val="0"/>
    <w:rPr>
      <w:rFonts w:ascii="Arial" w:hAnsi="Arial" w:eastAsia="宋体" w:cs="Arial"/>
      <w:kern w:val="2"/>
      <w:sz w:val="24"/>
      <w:lang w:val="en-US" w:eastAsia="zh-CN" w:bidi="ar-SA"/>
    </w:rPr>
  </w:style>
  <w:style w:type="character" w:customStyle="1" w:styleId="1007">
    <w:name w:val="3小节 Char Char"/>
    <w:uiPriority w:val="0"/>
    <w:rPr>
      <w:rFonts w:ascii="Calibri" w:hAnsi="Calibri"/>
      <w:b/>
      <w:kern w:val="2"/>
      <w:sz w:val="24"/>
      <w:szCs w:val="24"/>
    </w:rPr>
  </w:style>
  <w:style w:type="character" w:customStyle="1" w:styleId="1008">
    <w:name w:val="标题 9 Char2"/>
    <w:uiPriority w:val="0"/>
    <w:rPr>
      <w:rFonts w:ascii="Cambria" w:hAnsi="Cambria"/>
      <w:szCs w:val="21"/>
    </w:rPr>
  </w:style>
  <w:style w:type="character" w:customStyle="1" w:styleId="1009">
    <w:name w:val="正文缩进 Char3"/>
    <w:uiPriority w:val="0"/>
    <w:rPr>
      <w:rFonts w:eastAsia="宋体"/>
      <w:kern w:val="2"/>
      <w:sz w:val="21"/>
      <w:szCs w:val="24"/>
      <w:lang w:val="en-US" w:eastAsia="zh-CN" w:bidi="ar-SA"/>
    </w:rPr>
  </w:style>
  <w:style w:type="character" w:customStyle="1" w:styleId="1010">
    <w:name w:val="HTML 预设格式 Char1"/>
    <w:uiPriority w:val="0"/>
    <w:rPr>
      <w:rFonts w:ascii="Courier New" w:hAnsi="Courier New" w:cs="Courier New"/>
      <w:snapToGrid/>
      <w:kern w:val="24"/>
    </w:rPr>
  </w:style>
  <w:style w:type="character" w:customStyle="1" w:styleId="1011">
    <w:name w:val="正文文本缩进 3 Char4"/>
    <w:qFormat/>
    <w:uiPriority w:val="0"/>
    <w:rPr>
      <w:rFonts w:eastAsia="宋体"/>
      <w:snapToGrid w:val="0"/>
      <w:color w:val="000000"/>
      <w:sz w:val="24"/>
      <w:szCs w:val="24"/>
      <w:lang w:val="en-US" w:eastAsia="zh-CN" w:bidi="ar-SA"/>
    </w:rPr>
  </w:style>
  <w:style w:type="character" w:customStyle="1" w:styleId="1012">
    <w:name w:val="Char Char141"/>
    <w:locked/>
    <w:uiPriority w:val="0"/>
    <w:rPr>
      <w:rFonts w:ascii="宋体" w:hAnsi="宋体" w:eastAsia="宋体"/>
      <w:kern w:val="2"/>
      <w:sz w:val="21"/>
      <w:szCs w:val="24"/>
      <w:lang w:val="en-US" w:eastAsia="zh-CN" w:bidi="ar-SA"/>
    </w:rPr>
  </w:style>
  <w:style w:type="character" w:customStyle="1" w:styleId="1013">
    <w:name w:val="headline-1-index"/>
    <w:uiPriority w:val="0"/>
  </w:style>
  <w:style w:type="character" w:customStyle="1" w:styleId="1014">
    <w:name w:val="EmailStyle1881"/>
    <w:semiHidden/>
    <w:uiPriority w:val="0"/>
    <w:rPr>
      <w:rFonts w:ascii="Arial" w:hAnsi="Arial" w:eastAsia="宋体" w:cs="Arial"/>
      <w:color w:val="auto"/>
      <w:sz w:val="20"/>
    </w:rPr>
  </w:style>
  <w:style w:type="character" w:customStyle="1" w:styleId="1015">
    <w:name w:val="Comment Subject Char1"/>
    <w:semiHidden/>
    <w:uiPriority w:val="0"/>
    <w:rPr>
      <w:b/>
      <w:bCs/>
      <w:kern w:val="2"/>
      <w:sz w:val="21"/>
      <w:szCs w:val="24"/>
    </w:rPr>
  </w:style>
  <w:style w:type="character" w:customStyle="1" w:styleId="1016">
    <w:name w:val="批注文字 Char4"/>
    <w:qFormat/>
    <w:uiPriority w:val="99"/>
    <w:rPr>
      <w:snapToGrid w:val="0"/>
      <w:kern w:val="24"/>
      <w:sz w:val="21"/>
      <w:szCs w:val="24"/>
    </w:rPr>
  </w:style>
  <w:style w:type="character" w:customStyle="1" w:styleId="1017">
    <w:name w:val="newbody1"/>
    <w:uiPriority w:val="0"/>
    <w:rPr>
      <w:sz w:val="21"/>
      <w:szCs w:val="21"/>
    </w:rPr>
  </w:style>
  <w:style w:type="character" w:customStyle="1" w:styleId="1018">
    <w:name w:val="标题 8 Char2"/>
    <w:uiPriority w:val="0"/>
    <w:rPr>
      <w:rFonts w:ascii="Cambria" w:hAnsi="Cambria"/>
      <w:sz w:val="24"/>
      <w:szCs w:val="24"/>
    </w:rPr>
  </w:style>
  <w:style w:type="character" w:customStyle="1" w:styleId="1019">
    <w:name w:val="正文文本 (3)_"/>
    <w:link w:val="1020"/>
    <w:uiPriority w:val="0"/>
    <w:rPr>
      <w:rFonts w:ascii="宋体" w:hAnsi="宋体"/>
      <w:sz w:val="25"/>
      <w:szCs w:val="25"/>
      <w:shd w:val="clear" w:color="auto" w:fill="FFFFFF"/>
    </w:rPr>
  </w:style>
  <w:style w:type="paragraph" w:customStyle="1" w:styleId="1020">
    <w:name w:val="正文文本 (3)"/>
    <w:basedOn w:val="1"/>
    <w:link w:val="1019"/>
    <w:qFormat/>
    <w:uiPriority w:val="0"/>
    <w:pPr>
      <w:shd w:val="clear" w:color="auto" w:fill="FFFFFF"/>
      <w:spacing w:line="465" w:lineRule="exact"/>
      <w:jc w:val="left"/>
    </w:pPr>
    <w:rPr>
      <w:rFonts w:ascii="宋体" w:hAnsi="宋体"/>
      <w:kern w:val="0"/>
      <w:sz w:val="25"/>
      <w:szCs w:val="25"/>
    </w:rPr>
  </w:style>
  <w:style w:type="character" w:customStyle="1" w:styleId="1021">
    <w:name w:val="正文文本 3 Char4"/>
    <w:uiPriority w:val="0"/>
    <w:rPr>
      <w:rFonts w:eastAsia="黑体"/>
      <w:kern w:val="2"/>
      <w:sz w:val="32"/>
      <w:szCs w:val="32"/>
      <w:lang w:val="en-US" w:eastAsia="zh-CN" w:bidi="ar-SA"/>
    </w:rPr>
  </w:style>
  <w:style w:type="character" w:customStyle="1" w:styleId="1022">
    <w:name w:val="图表标题 Char Char"/>
    <w:uiPriority w:val="0"/>
    <w:rPr>
      <w:rFonts w:ascii="黑体" w:hAnsi="Times New Roman" w:eastAsia="黑体"/>
      <w:b/>
      <w:snapToGrid/>
      <w:sz w:val="24"/>
      <w:szCs w:val="24"/>
      <w:lang w:bidi="ar-SA"/>
    </w:rPr>
  </w:style>
  <w:style w:type="character" w:customStyle="1" w:styleId="1023">
    <w:name w:val="题注 Char1"/>
    <w:uiPriority w:val="0"/>
    <w:rPr>
      <w:rFonts w:ascii="Cambria" w:hAnsi="Cambria" w:eastAsia="黑体" w:cs="Times New Roman"/>
      <w:sz w:val="20"/>
      <w:szCs w:val="20"/>
    </w:rPr>
  </w:style>
  <w:style w:type="character" w:customStyle="1" w:styleId="1024">
    <w:name w:val="样式 正文文本 +1 Char Char"/>
    <w:uiPriority w:val="0"/>
    <w:rPr>
      <w:sz w:val="24"/>
      <w:lang w:bidi="ar-SA"/>
    </w:rPr>
  </w:style>
  <w:style w:type="character" w:customStyle="1" w:styleId="1025">
    <w:name w:val="批注主题 Char4"/>
    <w:uiPriority w:val="99"/>
    <w:rPr>
      <w:rFonts w:eastAsia="宋体"/>
      <w:b/>
      <w:bCs/>
      <w:snapToGrid w:val="0"/>
      <w:kern w:val="24"/>
      <w:sz w:val="24"/>
      <w:szCs w:val="24"/>
      <w:lang w:val="en-US" w:eastAsia="zh-CN" w:bidi="ar-SA"/>
    </w:rPr>
  </w:style>
  <w:style w:type="character" w:customStyle="1" w:styleId="1026">
    <w:name w:val="无框文本框 Char Char"/>
    <w:uiPriority w:val="0"/>
    <w:rPr>
      <w:rFonts w:ascii="宋体" w:hAnsi="宋体" w:cs="宋体"/>
      <w:snapToGrid/>
      <w:color w:val="000000"/>
      <w:kern w:val="2"/>
      <w:sz w:val="21"/>
      <w:szCs w:val="24"/>
    </w:rPr>
  </w:style>
  <w:style w:type="character" w:customStyle="1" w:styleId="1027">
    <w:name w:val="可研二级 Char"/>
    <w:link w:val="1028"/>
    <w:uiPriority w:val="0"/>
    <w:rPr>
      <w:rFonts w:ascii="Arial" w:hAnsi="Arial" w:eastAsia="黑体"/>
      <w:b/>
      <w:bCs/>
      <w:sz w:val="30"/>
      <w:szCs w:val="30"/>
    </w:rPr>
  </w:style>
  <w:style w:type="paragraph" w:customStyle="1" w:styleId="1028">
    <w:name w:val="可研二级"/>
    <w:basedOn w:val="4"/>
    <w:link w:val="1027"/>
    <w:qFormat/>
    <w:uiPriority w:val="0"/>
    <w:pPr>
      <w:widowControl w:val="0"/>
      <w:tabs>
        <w:tab w:val="left" w:pos="0"/>
        <w:tab w:val="left" w:pos="718"/>
      </w:tabs>
      <w:spacing w:before="120" w:after="0" w:line="360" w:lineRule="auto"/>
      <w:ind w:left="718" w:hanging="576"/>
    </w:pPr>
    <w:rPr>
      <w:rFonts w:ascii="Arial" w:hAnsi="Arial" w:eastAsia="黑体"/>
      <w:kern w:val="0"/>
      <w:sz w:val="30"/>
      <w:szCs w:val="30"/>
    </w:rPr>
  </w:style>
  <w:style w:type="character" w:customStyle="1" w:styleId="1029">
    <w:name w:val="Char Char193"/>
    <w:semiHidden/>
    <w:uiPriority w:val="0"/>
    <w:rPr>
      <w:rFonts w:eastAsia="宋体"/>
      <w:snapToGrid w:val="0"/>
      <w:kern w:val="24"/>
      <w:sz w:val="18"/>
      <w:szCs w:val="18"/>
      <w:lang w:val="en-US" w:eastAsia="zh-CN" w:bidi="ar-SA"/>
    </w:rPr>
  </w:style>
  <w:style w:type="character" w:customStyle="1" w:styleId="1030">
    <w:name w:val="明显参考2"/>
    <w:qFormat/>
    <w:uiPriority w:val="32"/>
    <w:rPr>
      <w:b/>
      <w:bCs/>
      <w:smallCaps/>
      <w:color w:val="C0504D"/>
      <w:spacing w:val="5"/>
      <w:u w:val="single"/>
    </w:rPr>
  </w:style>
  <w:style w:type="character" w:customStyle="1" w:styleId="1031">
    <w:name w:val="z-窗体顶端 Char2"/>
    <w:semiHidden/>
    <w:uiPriority w:val="99"/>
    <w:rPr>
      <w:rFonts w:ascii="Arial" w:hAnsi="Arial" w:eastAsia="宋体" w:cs="Arial"/>
      <w:snapToGrid w:val="0"/>
      <w:vanish/>
      <w:kern w:val="24"/>
      <w:sz w:val="16"/>
      <w:szCs w:val="16"/>
    </w:rPr>
  </w:style>
  <w:style w:type="character" w:customStyle="1" w:styleId="1032">
    <w:name w:val="z-窗体顶端 字符"/>
    <w:uiPriority w:val="0"/>
    <w:rPr>
      <w:rFonts w:ascii="Arial" w:hAnsi="Arial"/>
      <w:vanish/>
      <w:kern w:val="2"/>
      <w:sz w:val="16"/>
      <w:szCs w:val="16"/>
    </w:rPr>
  </w:style>
  <w:style w:type="character" w:customStyle="1" w:styleId="1033">
    <w:name w:val="样式 (中文) 仿宋_GB2312 Char"/>
    <w:link w:val="1034"/>
    <w:uiPriority w:val="0"/>
    <w:rPr>
      <w:rFonts w:eastAsia="仿宋_GB2312"/>
      <w:sz w:val="24"/>
    </w:rPr>
  </w:style>
  <w:style w:type="paragraph" w:customStyle="1" w:styleId="1034">
    <w:name w:val="样式 (中文) 仿宋_GB2312"/>
    <w:basedOn w:val="1"/>
    <w:link w:val="1033"/>
    <w:qFormat/>
    <w:uiPriority w:val="0"/>
    <w:pPr>
      <w:widowControl w:val="0"/>
      <w:spacing w:before="120" w:line="300" w:lineRule="auto"/>
      <w:ind w:firstLine="482"/>
      <w:textAlignment w:val="baseline"/>
    </w:pPr>
    <w:rPr>
      <w:rFonts w:ascii="等线" w:hAnsi="等线" w:eastAsia="仿宋_GB2312"/>
      <w:kern w:val="0"/>
      <w:szCs w:val="20"/>
    </w:rPr>
  </w:style>
  <w:style w:type="character" w:customStyle="1" w:styleId="1035">
    <w:name w:val="主体 Char Char"/>
    <w:uiPriority w:val="0"/>
    <w:rPr>
      <w:bCs/>
      <w:kern w:val="2"/>
      <w:sz w:val="24"/>
      <w:szCs w:val="24"/>
    </w:rPr>
  </w:style>
  <w:style w:type="character" w:customStyle="1" w:styleId="1036">
    <w:name w:val="列表段落 字符"/>
    <w:link w:val="1037"/>
    <w:locked/>
    <w:uiPriority w:val="0"/>
    <w:rPr>
      <w:szCs w:val="24"/>
    </w:rPr>
  </w:style>
  <w:style w:type="paragraph" w:customStyle="1" w:styleId="1037">
    <w:name w:val="_Style 1462"/>
    <w:basedOn w:val="1"/>
    <w:next w:val="1"/>
    <w:link w:val="1036"/>
    <w:qFormat/>
    <w:uiPriority w:val="0"/>
    <w:pPr>
      <w:widowControl w:val="0"/>
      <w:spacing w:line="240" w:lineRule="auto"/>
    </w:pPr>
    <w:rPr>
      <w:rFonts w:ascii="等线" w:hAnsi="等线"/>
      <w:kern w:val="0"/>
      <w:sz w:val="20"/>
      <w:szCs w:val="24"/>
    </w:rPr>
  </w:style>
  <w:style w:type="character" w:customStyle="1" w:styleId="1038">
    <w:name w:val="新正文 Char Char"/>
    <w:link w:val="1039"/>
    <w:uiPriority w:val="0"/>
    <w:rPr>
      <w:rFonts w:ascii="宋体" w:hAnsi="宋体"/>
      <w:bCs/>
      <w:sz w:val="24"/>
      <w:szCs w:val="24"/>
    </w:rPr>
  </w:style>
  <w:style w:type="paragraph" w:customStyle="1" w:styleId="1039">
    <w:name w:val="新正文"/>
    <w:basedOn w:val="1"/>
    <w:link w:val="1038"/>
    <w:qFormat/>
    <w:uiPriority w:val="0"/>
    <w:pPr>
      <w:widowControl w:val="0"/>
      <w:spacing w:line="480" w:lineRule="exact"/>
      <w:ind w:firstLine="567"/>
    </w:pPr>
    <w:rPr>
      <w:rFonts w:ascii="宋体" w:hAnsi="宋体"/>
      <w:bCs/>
      <w:kern w:val="0"/>
      <w:szCs w:val="24"/>
    </w:rPr>
  </w:style>
  <w:style w:type="character" w:customStyle="1" w:styleId="1040">
    <w:name w:val="Char Char173"/>
    <w:semiHidden/>
    <w:uiPriority w:val="0"/>
    <w:rPr>
      <w:rFonts w:eastAsia="宋体"/>
      <w:snapToGrid w:val="0"/>
      <w:kern w:val="24"/>
      <w:sz w:val="24"/>
      <w:szCs w:val="24"/>
      <w:lang w:val="en-US" w:eastAsia="zh-CN" w:bidi="ar-SA"/>
    </w:rPr>
  </w:style>
  <w:style w:type="character" w:customStyle="1" w:styleId="1041">
    <w:name w:val="下划线"/>
    <w:uiPriority w:val="0"/>
    <w:rPr>
      <w:rFonts w:ascii="Times New Roman" w:hAnsi="Times New Roman" w:eastAsia="仿宋_GB2312"/>
      <w:b/>
      <w:sz w:val="32"/>
      <w:u w:val="single"/>
    </w:rPr>
  </w:style>
  <w:style w:type="character" w:customStyle="1" w:styleId="1042">
    <w:name w:val="Char Char103"/>
    <w:uiPriority w:val="0"/>
    <w:rPr>
      <w:rFonts w:eastAsia="宋体"/>
      <w:snapToGrid w:val="0"/>
      <w:kern w:val="24"/>
      <w:sz w:val="24"/>
      <w:szCs w:val="24"/>
      <w:lang w:val="en-US" w:eastAsia="zh-CN" w:bidi="ar-SA"/>
    </w:rPr>
  </w:style>
  <w:style w:type="character" w:customStyle="1" w:styleId="1043">
    <w:name w:val="main-11"/>
    <w:uiPriority w:val="0"/>
  </w:style>
  <w:style w:type="character" w:customStyle="1" w:styleId="1044">
    <w:name w:val="comp_content"/>
    <w:uiPriority w:val="0"/>
  </w:style>
  <w:style w:type="character" w:customStyle="1" w:styleId="1045">
    <w:name w:val="正文首行缩进 2 + Times New Roman Char2"/>
    <w:uiPriority w:val="0"/>
    <w:rPr>
      <w:rFonts w:ascii="Times New Roman" w:hAnsi="Times New Roman"/>
      <w:snapToGrid/>
      <w:sz w:val="24"/>
      <w:szCs w:val="24"/>
    </w:rPr>
  </w:style>
  <w:style w:type="character" w:customStyle="1" w:styleId="1046">
    <w:name w:val="表格样式 Char"/>
    <w:qFormat/>
    <w:uiPriority w:val="0"/>
    <w:rPr>
      <w:rFonts w:ascii="Times New Roman" w:hAnsi="Times New Roman" w:eastAsia="仿宋_GB2312" w:cs="Times New Roman"/>
      <w:szCs w:val="21"/>
    </w:rPr>
  </w:style>
  <w:style w:type="character" w:customStyle="1" w:styleId="1047">
    <w:name w:val="正文 无缩进 Char"/>
    <w:link w:val="1048"/>
    <w:uiPriority w:val="0"/>
    <w:rPr>
      <w:rFonts w:eastAsia="仿宋_GB2312"/>
      <w:sz w:val="24"/>
    </w:rPr>
  </w:style>
  <w:style w:type="paragraph" w:customStyle="1" w:styleId="1048">
    <w:name w:val="正文 无缩进"/>
    <w:basedOn w:val="1"/>
    <w:link w:val="1047"/>
    <w:qFormat/>
    <w:uiPriority w:val="0"/>
    <w:pPr>
      <w:widowControl w:val="0"/>
      <w:spacing w:line="440" w:lineRule="exact"/>
    </w:pPr>
    <w:rPr>
      <w:rFonts w:ascii="等线" w:hAnsi="等线" w:eastAsia="仿宋_GB2312"/>
      <w:kern w:val="0"/>
      <w:szCs w:val="20"/>
    </w:rPr>
  </w:style>
  <w:style w:type="character" w:customStyle="1" w:styleId="1049">
    <w:name w:val="无间隔 字符"/>
    <w:qFormat/>
    <w:uiPriority w:val="1"/>
    <w:rPr>
      <w:kern w:val="2"/>
      <w:sz w:val="21"/>
      <w:szCs w:val="22"/>
      <w:lang w:val="en-US" w:eastAsia="zh-CN" w:bidi="ar-SA"/>
    </w:rPr>
  </w:style>
  <w:style w:type="character" w:customStyle="1" w:styleId="1050">
    <w:name w:val="正文文字缩进 3 Char Char2"/>
    <w:uiPriority w:val="0"/>
    <w:rPr>
      <w:rFonts w:ascii="Times New Roman" w:hAnsi="Times New Roman"/>
      <w:kern w:val="2"/>
      <w:sz w:val="24"/>
      <w:szCs w:val="24"/>
    </w:rPr>
  </w:style>
  <w:style w:type="character" w:customStyle="1" w:styleId="1051">
    <w:name w:val="Char Char83"/>
    <w:semiHidden/>
    <w:uiPriority w:val="0"/>
    <w:rPr>
      <w:rFonts w:eastAsia="宋体"/>
      <w:snapToGrid w:val="0"/>
      <w:kern w:val="24"/>
      <w:sz w:val="18"/>
      <w:szCs w:val="18"/>
      <w:lang w:val="en-US" w:eastAsia="zh-CN" w:bidi="ar-SA"/>
    </w:rPr>
  </w:style>
  <w:style w:type="character" w:customStyle="1" w:styleId="1052">
    <w:name w:val="正文11 Char Char Char Char1"/>
    <w:uiPriority w:val="0"/>
    <w:rPr>
      <w:rFonts w:ascii="宋体" w:hAnsi="宋体" w:eastAsia="宋体"/>
      <w:snapToGrid/>
      <w:sz w:val="24"/>
      <w:szCs w:val="24"/>
      <w:lang w:val="en-US" w:eastAsia="zh-CN" w:bidi="ar-SA"/>
    </w:rPr>
  </w:style>
  <w:style w:type="character" w:customStyle="1" w:styleId="1053">
    <w:name w:val="HTML 地址 Char1"/>
    <w:qFormat/>
    <w:uiPriority w:val="99"/>
    <w:rPr>
      <w:rFonts w:ascii="Times New Roman" w:hAnsi="Times New Roman"/>
      <w:i/>
      <w:iCs/>
      <w:snapToGrid/>
      <w:kern w:val="24"/>
      <w:sz w:val="24"/>
      <w:szCs w:val="24"/>
    </w:rPr>
  </w:style>
  <w:style w:type="character" w:customStyle="1" w:styleId="1054">
    <w:name w:val="签名 字符1"/>
    <w:qFormat/>
    <w:uiPriority w:val="0"/>
    <w:rPr>
      <w:kern w:val="2"/>
      <w:sz w:val="21"/>
      <w:szCs w:val="24"/>
    </w:rPr>
  </w:style>
  <w:style w:type="character" w:customStyle="1" w:styleId="1055">
    <w:name w:val="表内容 Char"/>
    <w:link w:val="263"/>
    <w:uiPriority w:val="0"/>
    <w:rPr>
      <w:rFonts w:ascii="Times New Roman" w:hAnsi="Times New Roman" w:eastAsia="宋体"/>
      <w:kern w:val="2"/>
      <w:sz w:val="21"/>
      <w:szCs w:val="22"/>
    </w:rPr>
  </w:style>
  <w:style w:type="character" w:customStyle="1" w:styleId="1056">
    <w:name w:val="Comment Text Char1"/>
    <w:semiHidden/>
    <w:uiPriority w:val="0"/>
    <w:rPr>
      <w:kern w:val="2"/>
      <w:sz w:val="21"/>
      <w:szCs w:val="24"/>
    </w:rPr>
  </w:style>
  <w:style w:type="character" w:customStyle="1" w:styleId="1057">
    <w:name w:val="正文文本缩进 2 Char2"/>
    <w:qFormat/>
    <w:uiPriority w:val="0"/>
    <w:rPr>
      <w:rFonts w:ascii="Times New Roman" w:hAnsi="Times New Roman"/>
      <w:snapToGrid/>
      <w:kern w:val="24"/>
      <w:sz w:val="24"/>
      <w:szCs w:val="24"/>
    </w:rPr>
  </w:style>
  <w:style w:type="character" w:customStyle="1" w:styleId="1058">
    <w:name w:val="样式 (中文) 仿宋_GB2312 四号"/>
    <w:uiPriority w:val="0"/>
    <w:rPr>
      <w:rFonts w:eastAsia="仿宋_GB2312"/>
      <w:sz w:val="24"/>
    </w:rPr>
  </w:style>
  <w:style w:type="character" w:customStyle="1" w:styleId="1059">
    <w:name w:val="Char Char163"/>
    <w:uiPriority w:val="0"/>
    <w:rPr>
      <w:rFonts w:ascii="Calibri" w:hAnsi="Calibri" w:eastAsia="宋体"/>
      <w:kern w:val="2"/>
      <w:sz w:val="21"/>
      <w:szCs w:val="22"/>
      <w:lang w:val="en-US" w:eastAsia="zh-CN" w:bidi="ar-SA"/>
    </w:rPr>
  </w:style>
  <w:style w:type="character" w:customStyle="1" w:styleId="1060">
    <w:name w:val="正文文本缩进 3 Char2"/>
    <w:uiPriority w:val="0"/>
    <w:rPr>
      <w:snapToGrid/>
      <w:kern w:val="24"/>
      <w:sz w:val="16"/>
      <w:szCs w:val="16"/>
    </w:rPr>
  </w:style>
  <w:style w:type="character" w:customStyle="1" w:styleId="1061">
    <w:name w:val="慈溪附表 Char Char"/>
    <w:uiPriority w:val="0"/>
    <w:rPr>
      <w:b/>
      <w:kern w:val="2"/>
      <w:sz w:val="24"/>
      <w:szCs w:val="24"/>
    </w:rPr>
  </w:style>
  <w:style w:type="character" w:customStyle="1" w:styleId="1062">
    <w:name w:val="表格 Char1"/>
    <w:uiPriority w:val="0"/>
    <w:rPr>
      <w:sz w:val="21"/>
      <w:szCs w:val="21"/>
    </w:rPr>
  </w:style>
  <w:style w:type="character" w:customStyle="1" w:styleId="1063">
    <w:name w:val="Char Char73"/>
    <w:semiHidden/>
    <w:uiPriority w:val="0"/>
    <w:rPr>
      <w:rFonts w:eastAsia="宋体"/>
      <w:snapToGrid w:val="0"/>
      <w:kern w:val="24"/>
      <w:sz w:val="18"/>
      <w:szCs w:val="18"/>
      <w:lang w:val="en-US" w:eastAsia="zh-CN" w:bidi="ar-SA"/>
    </w:rPr>
  </w:style>
  <w:style w:type="character" w:customStyle="1" w:styleId="1064">
    <w:name w:val="明显引用 Char1"/>
    <w:uiPriority w:val="30"/>
    <w:rPr>
      <w:b/>
      <w:bCs/>
      <w:i/>
      <w:iCs/>
      <w:snapToGrid/>
      <w:color w:val="4F81BD"/>
      <w:kern w:val="24"/>
      <w:sz w:val="24"/>
      <w:szCs w:val="24"/>
    </w:rPr>
  </w:style>
  <w:style w:type="character" w:customStyle="1" w:styleId="1065">
    <w:name w:val="List Paragraph Char Char"/>
    <w:link w:val="1066"/>
    <w:uiPriority w:val="0"/>
    <w:rPr>
      <w:rFonts w:ascii="Calibri" w:hAnsi="Calibri" w:cs="Arial"/>
      <w:sz w:val="22"/>
    </w:rPr>
  </w:style>
  <w:style w:type="paragraph" w:customStyle="1" w:styleId="1066">
    <w:name w:val="List Paragraph1"/>
    <w:basedOn w:val="1"/>
    <w:link w:val="1065"/>
    <w:qFormat/>
    <w:uiPriority w:val="0"/>
    <w:pPr>
      <w:spacing w:after="200" w:line="276" w:lineRule="auto"/>
      <w:ind w:left="720"/>
      <w:contextualSpacing/>
      <w:jc w:val="left"/>
    </w:pPr>
    <w:rPr>
      <w:rFonts w:ascii="Calibri" w:hAnsi="Calibri" w:cs="Arial"/>
      <w:kern w:val="0"/>
      <w:sz w:val="22"/>
      <w:szCs w:val="20"/>
    </w:rPr>
  </w:style>
  <w:style w:type="character" w:customStyle="1" w:styleId="1067">
    <w:name w:val="Char Char123"/>
    <w:uiPriority w:val="0"/>
    <w:rPr>
      <w:kern w:val="2"/>
      <w:sz w:val="18"/>
      <w:szCs w:val="18"/>
      <w:lang w:val="en-US" w:eastAsia="zh-CN" w:bidi="ar-SA"/>
    </w:rPr>
  </w:style>
  <w:style w:type="character" w:customStyle="1" w:styleId="1068">
    <w:name w:val="Char Char33"/>
    <w:uiPriority w:val="0"/>
    <w:rPr>
      <w:rFonts w:ascii="Times New Roman" w:hAnsi="Times New Roman" w:eastAsia="黑体"/>
      <w:snapToGrid/>
      <w:kern w:val="30"/>
      <w:sz w:val="30"/>
      <w:szCs w:val="30"/>
    </w:rPr>
  </w:style>
  <w:style w:type="character" w:customStyle="1" w:styleId="1069">
    <w:name w:val="Char Char29"/>
    <w:uiPriority w:val="0"/>
    <w:rPr>
      <w:rFonts w:hint="default" w:ascii="Times New Roman" w:hAnsi="Times New Roman" w:eastAsia="仿宋_GB2312" w:cs="Times New Roman"/>
      <w:b/>
      <w:snapToGrid/>
      <w:kern w:val="24"/>
      <w:sz w:val="24"/>
      <w:szCs w:val="24"/>
    </w:rPr>
  </w:style>
  <w:style w:type="character" w:customStyle="1" w:styleId="1070">
    <w:name w:val="bfont1"/>
    <w:uiPriority w:val="0"/>
    <w:rPr>
      <w:rFonts w:hint="default" w:ascii="Arial" w:hAnsi="Arial" w:cs="Arial"/>
      <w:sz w:val="18"/>
      <w:szCs w:val="18"/>
    </w:rPr>
  </w:style>
  <w:style w:type="character" w:customStyle="1" w:styleId="1071">
    <w:name w:val="宏文本 字符1"/>
    <w:uiPriority w:val="0"/>
    <w:rPr>
      <w:rFonts w:ascii="Courier New" w:hAnsi="Courier New" w:cs="Courier New"/>
      <w:snapToGrid w:val="0"/>
      <w:kern w:val="24"/>
      <w:sz w:val="24"/>
      <w:szCs w:val="24"/>
      <w:lang w:val="en-US" w:eastAsia="zh-CN" w:bidi="ar-SA"/>
    </w:rPr>
  </w:style>
  <w:style w:type="character" w:customStyle="1" w:styleId="1072">
    <w:name w:val="表格文字哈哈 Char Char"/>
    <w:link w:val="1073"/>
    <w:locked/>
    <w:uiPriority w:val="0"/>
    <w:rPr>
      <w:rFonts w:eastAsia="仿宋"/>
      <w:sz w:val="24"/>
    </w:rPr>
  </w:style>
  <w:style w:type="paragraph" w:customStyle="1" w:styleId="1073">
    <w:name w:val="表格文字哈哈"/>
    <w:link w:val="1072"/>
    <w:qFormat/>
    <w:uiPriority w:val="0"/>
    <w:pPr>
      <w:adjustRightInd w:val="0"/>
      <w:snapToGrid w:val="0"/>
      <w:jc w:val="center"/>
    </w:pPr>
    <w:rPr>
      <w:rFonts w:ascii="等线" w:hAnsi="等线" w:eastAsia="仿宋" w:cs="Times New Roman"/>
      <w:sz w:val="24"/>
      <w:lang w:val="en-US" w:eastAsia="zh-CN" w:bidi="ar-SA"/>
    </w:rPr>
  </w:style>
  <w:style w:type="character" w:customStyle="1" w:styleId="1074">
    <w:name w:val="正文首行缩进 2 + Times New Roman Char1"/>
    <w:uiPriority w:val="0"/>
    <w:rPr>
      <w:sz w:val="24"/>
      <w:szCs w:val="24"/>
    </w:rPr>
  </w:style>
  <w:style w:type="character" w:customStyle="1" w:styleId="1075">
    <w:name w:val="信息标题 字符1"/>
    <w:qFormat/>
    <w:uiPriority w:val="0"/>
    <w:rPr>
      <w:rFonts w:ascii="Arial" w:hAnsi="Arial" w:cs="Arial"/>
      <w:kern w:val="2"/>
      <w:sz w:val="24"/>
      <w:szCs w:val="24"/>
      <w:shd w:val="pct20" w:color="auto" w:fill="auto"/>
    </w:rPr>
  </w:style>
  <w:style w:type="character" w:customStyle="1" w:styleId="1076">
    <w:name w:val="plainlinksneverexpand1"/>
    <w:uiPriority w:val="0"/>
  </w:style>
  <w:style w:type="character" w:customStyle="1" w:styleId="1077">
    <w:name w:val="标题1.1.1 Char"/>
    <w:link w:val="1078"/>
    <w:uiPriority w:val="0"/>
    <w:rPr>
      <w:rFonts w:ascii="Arial" w:hAnsi="Arial" w:cs="Arial"/>
      <w:b/>
      <w:sz w:val="24"/>
      <w:szCs w:val="24"/>
    </w:rPr>
  </w:style>
  <w:style w:type="paragraph" w:customStyle="1" w:styleId="1078">
    <w:name w:val="标题1.1.1"/>
    <w:basedOn w:val="5"/>
    <w:next w:val="1"/>
    <w:link w:val="1077"/>
    <w:qFormat/>
    <w:uiPriority w:val="0"/>
    <w:pPr>
      <w:widowControl w:val="0"/>
      <w:spacing w:before="0" w:after="0" w:line="360" w:lineRule="auto"/>
    </w:pPr>
    <w:rPr>
      <w:rFonts w:ascii="Arial" w:hAnsi="Arial" w:cs="Arial"/>
      <w:bCs w:val="0"/>
      <w:kern w:val="0"/>
      <w:sz w:val="24"/>
      <w:szCs w:val="24"/>
    </w:rPr>
  </w:style>
  <w:style w:type="character" w:customStyle="1" w:styleId="1079">
    <w:name w:val="宏文本 Char1"/>
    <w:semiHidden/>
    <w:uiPriority w:val="0"/>
    <w:rPr>
      <w:rFonts w:ascii="Courier New" w:hAnsi="Courier New" w:cs="Courier New"/>
      <w:kern w:val="24"/>
      <w:sz w:val="24"/>
      <w:szCs w:val="24"/>
    </w:rPr>
  </w:style>
  <w:style w:type="character" w:customStyle="1" w:styleId="1080">
    <w:name w:val="文本块 字符1"/>
    <w:uiPriority w:val="0"/>
    <w:rPr>
      <w:kern w:val="2"/>
      <w:sz w:val="21"/>
      <w:szCs w:val="24"/>
    </w:rPr>
  </w:style>
  <w:style w:type="character" w:customStyle="1" w:styleId="1081">
    <w:name w:val="索引 2 Char"/>
    <w:uiPriority w:val="0"/>
    <w:rPr>
      <w:rFonts w:eastAsia="宋体"/>
      <w:kern w:val="2"/>
      <w:sz w:val="24"/>
      <w:szCs w:val="24"/>
      <w:lang w:val="en-US" w:eastAsia="zh-CN" w:bidi="ar-SA"/>
    </w:rPr>
  </w:style>
  <w:style w:type="character" w:customStyle="1" w:styleId="1082">
    <w:name w:val="Char Char153"/>
    <w:uiPriority w:val="0"/>
    <w:rPr>
      <w:rFonts w:ascii="宋体" w:hAnsi="宋体" w:eastAsia="宋体"/>
      <w:snapToGrid w:val="0"/>
      <w:kern w:val="24"/>
      <w:sz w:val="24"/>
      <w:lang w:val="en-US" w:eastAsia="zh-CN" w:bidi="ar-SA"/>
    </w:rPr>
  </w:style>
  <w:style w:type="character" w:customStyle="1" w:styleId="1083">
    <w:name w:val="bjzx41"/>
    <w:uiPriority w:val="0"/>
    <w:rPr>
      <w:rFonts w:hint="default" w:ascii="ө" w:hAnsi="ө"/>
      <w:color w:val="000000"/>
      <w:sz w:val="16"/>
      <w:szCs w:val="16"/>
    </w:rPr>
  </w:style>
  <w:style w:type="character" w:customStyle="1" w:styleId="1084">
    <w:name w:val="(a正文 Char1"/>
    <w:link w:val="1085"/>
    <w:uiPriority w:val="0"/>
    <w:rPr>
      <w:rFonts w:eastAsia="仿宋_GB2312"/>
      <w:color w:val="000000"/>
      <w:sz w:val="24"/>
      <w:szCs w:val="24"/>
    </w:rPr>
  </w:style>
  <w:style w:type="paragraph" w:customStyle="1" w:styleId="1085">
    <w:name w:val="(a正文"/>
    <w:basedOn w:val="1"/>
    <w:link w:val="1084"/>
    <w:qFormat/>
    <w:uiPriority w:val="0"/>
    <w:pPr>
      <w:widowControl w:val="0"/>
      <w:spacing w:line="440" w:lineRule="exact"/>
    </w:pPr>
    <w:rPr>
      <w:rFonts w:ascii="等线" w:hAnsi="等线" w:eastAsia="仿宋_GB2312"/>
      <w:color w:val="000000"/>
      <w:kern w:val="0"/>
      <w:szCs w:val="24"/>
    </w:rPr>
  </w:style>
  <w:style w:type="character" w:customStyle="1" w:styleId="1086">
    <w:name w:val="style11"/>
    <w:uiPriority w:val="0"/>
    <w:rPr>
      <w:rFonts w:hint="default" w:ascii="Arial" w:hAnsi="Arial" w:cs="Arial"/>
      <w:color w:val="333333"/>
      <w:sz w:val="12"/>
      <w:szCs w:val="12"/>
    </w:rPr>
  </w:style>
  <w:style w:type="character" w:customStyle="1" w:styleId="1087">
    <w:name w:val="信息标题 Char1"/>
    <w:semiHidden/>
    <w:uiPriority w:val="0"/>
    <w:rPr>
      <w:rFonts w:ascii="Cambria" w:hAnsi="Cambria" w:eastAsia="宋体" w:cs="Times New Roman"/>
      <w:kern w:val="24"/>
      <w:sz w:val="24"/>
      <w:szCs w:val="24"/>
      <w:shd w:val="pct20" w:color="auto" w:fill="auto"/>
    </w:rPr>
  </w:style>
  <w:style w:type="character" w:customStyle="1" w:styleId="1088">
    <w:name w:val="表内3 Char"/>
    <w:link w:val="1089"/>
    <w:uiPriority w:val="0"/>
    <w:rPr>
      <w:rFonts w:eastAsia="仿宋_GB2312" w:cs="宋体"/>
      <w:sz w:val="24"/>
      <w:szCs w:val="24"/>
    </w:rPr>
  </w:style>
  <w:style w:type="paragraph" w:customStyle="1" w:styleId="1089">
    <w:name w:val="表内3"/>
    <w:basedOn w:val="1"/>
    <w:link w:val="1088"/>
    <w:qFormat/>
    <w:uiPriority w:val="0"/>
    <w:pPr>
      <w:widowControl w:val="0"/>
      <w:spacing w:line="440" w:lineRule="exact"/>
    </w:pPr>
    <w:rPr>
      <w:rFonts w:ascii="等线" w:hAnsi="等线" w:eastAsia="仿宋_GB2312" w:cs="宋体"/>
      <w:kern w:val="0"/>
      <w:szCs w:val="24"/>
    </w:rPr>
  </w:style>
  <w:style w:type="character" w:customStyle="1" w:styleId="1090">
    <w:name w:val="Char Char42"/>
    <w:uiPriority w:val="0"/>
    <w:rPr>
      <w:rFonts w:ascii="Times New Roman" w:hAnsi="Times New Roman"/>
      <w:kern w:val="2"/>
      <w:sz w:val="21"/>
      <w:szCs w:val="24"/>
    </w:rPr>
  </w:style>
  <w:style w:type="character" w:customStyle="1" w:styleId="1091">
    <w:name w:val="zw"/>
    <w:uiPriority w:val="0"/>
  </w:style>
  <w:style w:type="character" w:customStyle="1" w:styleId="1092">
    <w:name w:val="称呼 字符1"/>
    <w:qFormat/>
    <w:uiPriority w:val="0"/>
    <w:rPr>
      <w:kern w:val="2"/>
      <w:sz w:val="21"/>
      <w:szCs w:val="24"/>
    </w:rPr>
  </w:style>
  <w:style w:type="character" w:customStyle="1" w:styleId="1093">
    <w:name w:val="postbody1"/>
    <w:uiPriority w:val="0"/>
    <w:rPr>
      <w:sz w:val="21"/>
    </w:rPr>
  </w:style>
  <w:style w:type="character" w:customStyle="1" w:styleId="1094">
    <w:name w:val="正文文本 3 字符1"/>
    <w:qFormat/>
    <w:uiPriority w:val="0"/>
    <w:rPr>
      <w:color w:val="800080"/>
      <w:kern w:val="28"/>
      <w:sz w:val="18"/>
    </w:rPr>
  </w:style>
  <w:style w:type="character" w:customStyle="1" w:styleId="1095">
    <w:name w:val="XFootNote"/>
    <w:uiPriority w:val="0"/>
    <w:rPr>
      <w:rFonts w:ascii="Book Antiqua" w:hAnsi="Book Antiqua"/>
      <w:position w:val="6"/>
      <w:sz w:val="14"/>
      <w:vertAlign w:val="baseline"/>
    </w:rPr>
  </w:style>
  <w:style w:type="character" w:customStyle="1" w:styleId="1096">
    <w:name w:val="结束语 Char2"/>
    <w:uiPriority w:val="99"/>
    <w:rPr>
      <w:rFonts w:ascii="Times New Roman" w:hAnsi="Times New Roman"/>
      <w:snapToGrid/>
      <w:kern w:val="24"/>
      <w:sz w:val="24"/>
      <w:szCs w:val="24"/>
    </w:rPr>
  </w:style>
  <w:style w:type="character" w:customStyle="1" w:styleId="1097">
    <w:name w:val="正文首行缩进 2 Char3"/>
    <w:basedOn w:val="865"/>
    <w:semiHidden/>
    <w:uiPriority w:val="99"/>
    <w:rPr>
      <w:rFonts w:ascii="Times New Roman" w:hAnsi="Times New Roman" w:eastAsia="宋体" w:cs="Times New Roman"/>
      <w:snapToGrid w:val="0"/>
      <w:kern w:val="24"/>
      <w:sz w:val="24"/>
      <w:szCs w:val="24"/>
    </w:rPr>
  </w:style>
  <w:style w:type="character" w:customStyle="1" w:styleId="1098">
    <w:name w:val="Body Text First Indent 2 Char1"/>
    <w:semiHidden/>
    <w:uiPriority w:val="0"/>
    <w:rPr>
      <w:kern w:val="2"/>
      <w:sz w:val="21"/>
      <w:szCs w:val="24"/>
    </w:rPr>
  </w:style>
  <w:style w:type="character" w:customStyle="1" w:styleId="1099">
    <w:name w:val="明显引用 Char2"/>
    <w:uiPriority w:val="30"/>
    <w:rPr>
      <w:rFonts w:ascii="Times New Roman" w:hAnsi="Times New Roman" w:eastAsia="宋体" w:cs="Times New Roman"/>
      <w:b/>
      <w:bCs/>
      <w:i/>
      <w:iCs/>
      <w:snapToGrid w:val="0"/>
      <w:color w:val="4F81BD"/>
      <w:kern w:val="24"/>
      <w:sz w:val="24"/>
      <w:szCs w:val="24"/>
    </w:rPr>
  </w:style>
  <w:style w:type="character" w:customStyle="1" w:styleId="1100">
    <w:name w:val="3小节 Char"/>
    <w:link w:val="1101"/>
    <w:uiPriority w:val="0"/>
    <w:rPr>
      <w:b/>
      <w:sz w:val="24"/>
      <w:szCs w:val="24"/>
    </w:rPr>
  </w:style>
  <w:style w:type="paragraph" w:customStyle="1" w:styleId="1101">
    <w:name w:val="3小节"/>
    <w:basedOn w:val="1"/>
    <w:link w:val="1100"/>
    <w:qFormat/>
    <w:uiPriority w:val="0"/>
    <w:pPr>
      <w:spacing w:line="480" w:lineRule="atLeast"/>
      <w:jc w:val="left"/>
      <w:outlineLvl w:val="2"/>
    </w:pPr>
    <w:rPr>
      <w:rFonts w:ascii="等线" w:hAnsi="等线"/>
      <w:b/>
      <w:kern w:val="0"/>
      <w:szCs w:val="24"/>
    </w:rPr>
  </w:style>
  <w:style w:type="character" w:customStyle="1" w:styleId="1102">
    <w:name w:val="HTML 地址 Char2"/>
    <w:semiHidden/>
    <w:uiPriority w:val="99"/>
    <w:rPr>
      <w:rFonts w:ascii="Times New Roman" w:hAnsi="Times New Roman" w:eastAsia="宋体" w:cs="Times New Roman"/>
      <w:i/>
      <w:iCs/>
      <w:snapToGrid w:val="0"/>
      <w:kern w:val="24"/>
      <w:sz w:val="24"/>
      <w:szCs w:val="24"/>
    </w:rPr>
  </w:style>
  <w:style w:type="character" w:customStyle="1" w:styleId="1103">
    <w:name w:val="已访问的超链接211"/>
    <w:semiHidden/>
    <w:uiPriority w:val="0"/>
    <w:rPr>
      <w:color w:val="800080"/>
      <w:u w:val="single"/>
    </w:rPr>
  </w:style>
  <w:style w:type="character" w:customStyle="1" w:styleId="1104">
    <w:name w:val="正文首行缩进 Char3"/>
    <w:basedOn w:val="1105"/>
    <w:semiHidden/>
    <w:uiPriority w:val="99"/>
    <w:rPr>
      <w:rFonts w:ascii="Times New Roman" w:hAnsi="Times New Roman" w:eastAsia="宋体" w:cs="Times New Roman"/>
      <w:snapToGrid w:val="0"/>
      <w:kern w:val="24"/>
      <w:sz w:val="24"/>
      <w:szCs w:val="24"/>
    </w:rPr>
  </w:style>
  <w:style w:type="character" w:customStyle="1" w:styleId="1105">
    <w:name w:val="正文文本 Char3"/>
    <w:semiHidden/>
    <w:uiPriority w:val="99"/>
    <w:rPr>
      <w:rFonts w:ascii="Times New Roman" w:hAnsi="Times New Roman" w:eastAsia="宋体" w:cs="Times New Roman"/>
      <w:snapToGrid w:val="0"/>
      <w:kern w:val="24"/>
      <w:sz w:val="24"/>
      <w:szCs w:val="24"/>
    </w:rPr>
  </w:style>
  <w:style w:type="character" w:customStyle="1" w:styleId="1106">
    <w:name w:val="可研一级 Char"/>
    <w:link w:val="1107"/>
    <w:uiPriority w:val="0"/>
    <w:rPr>
      <w:b/>
      <w:bCs/>
      <w:kern w:val="44"/>
      <w:sz w:val="32"/>
      <w:szCs w:val="32"/>
    </w:rPr>
  </w:style>
  <w:style w:type="paragraph" w:customStyle="1" w:styleId="1107">
    <w:name w:val="可研一级"/>
    <w:basedOn w:val="3"/>
    <w:link w:val="1106"/>
    <w:qFormat/>
    <w:uiPriority w:val="0"/>
    <w:pPr>
      <w:widowControl w:val="0"/>
      <w:tabs>
        <w:tab w:val="left" w:pos="0"/>
      </w:tabs>
      <w:spacing w:before="120" w:after="0" w:line="360" w:lineRule="auto"/>
    </w:pPr>
    <w:rPr>
      <w:rFonts w:ascii="等线" w:hAnsi="等线"/>
      <w:sz w:val="32"/>
      <w:szCs w:val="32"/>
    </w:rPr>
  </w:style>
  <w:style w:type="character" w:customStyle="1" w:styleId="1108">
    <w:name w:val="正文文本 3 Char3"/>
    <w:semiHidden/>
    <w:uiPriority w:val="99"/>
    <w:rPr>
      <w:rFonts w:ascii="Times New Roman" w:hAnsi="Times New Roman" w:eastAsia="宋体" w:cs="Times New Roman"/>
      <w:snapToGrid w:val="0"/>
      <w:kern w:val="24"/>
      <w:sz w:val="16"/>
      <w:szCs w:val="16"/>
    </w:rPr>
  </w:style>
  <w:style w:type="character" w:customStyle="1" w:styleId="1109">
    <w:name w:val="正文. Char"/>
    <w:link w:val="1110"/>
    <w:uiPriority w:val="0"/>
    <w:rPr>
      <w:rFonts w:ascii="Arial" w:hAnsi="Arial"/>
      <w:color w:val="000000"/>
      <w:sz w:val="24"/>
    </w:rPr>
  </w:style>
  <w:style w:type="paragraph" w:customStyle="1" w:styleId="1110">
    <w:name w:val="正文."/>
    <w:basedOn w:val="1"/>
    <w:link w:val="1109"/>
    <w:qFormat/>
    <w:uiPriority w:val="0"/>
    <w:pPr>
      <w:widowControl w:val="0"/>
      <w:spacing w:afterLines="50"/>
      <w:ind w:firstLine="510"/>
    </w:pPr>
    <w:rPr>
      <w:rFonts w:ascii="Arial" w:hAnsi="Arial"/>
      <w:color w:val="000000"/>
      <w:kern w:val="0"/>
      <w:szCs w:val="20"/>
    </w:rPr>
  </w:style>
  <w:style w:type="character" w:customStyle="1" w:styleId="1111">
    <w:name w:val="pccs1"/>
    <w:uiPriority w:val="0"/>
    <w:rPr>
      <w:sz w:val="18"/>
      <w:szCs w:val="18"/>
    </w:rPr>
  </w:style>
  <w:style w:type="character" w:customStyle="1" w:styleId="1112">
    <w:name w:val="表粗 Char"/>
    <w:link w:val="1113"/>
    <w:uiPriority w:val="0"/>
    <w:rPr>
      <w:rFonts w:ascii="Arial" w:hAnsi="Arial"/>
      <w:b/>
      <w:bCs/>
    </w:rPr>
  </w:style>
  <w:style w:type="paragraph" w:customStyle="1" w:styleId="1113">
    <w:name w:val="表粗"/>
    <w:basedOn w:val="6"/>
    <w:link w:val="1112"/>
    <w:qFormat/>
    <w:uiPriority w:val="0"/>
    <w:pPr>
      <w:spacing w:line="240" w:lineRule="exact"/>
      <w:jc w:val="left"/>
      <w:textAlignment w:val="baseline"/>
      <w:outlineLvl w:val="7"/>
    </w:pPr>
    <w:rPr>
      <w:rFonts w:ascii="Arial" w:hAnsi="Arial" w:eastAsia="等线" w:cs="Times New Roman"/>
      <w:b/>
      <w:kern w:val="0"/>
      <w:sz w:val="20"/>
      <w:szCs w:val="20"/>
    </w:rPr>
  </w:style>
  <w:style w:type="character" w:customStyle="1" w:styleId="1114">
    <w:name w:val="报告正文-连续目录 Char Char"/>
    <w:link w:val="1115"/>
    <w:uiPriority w:val="0"/>
    <w:rPr>
      <w:rFonts w:ascii="Arial" w:hAnsi="Arial"/>
      <w:sz w:val="24"/>
      <w:szCs w:val="24"/>
    </w:rPr>
  </w:style>
  <w:style w:type="paragraph" w:customStyle="1" w:styleId="1115">
    <w:name w:val="报告正文-连续目录"/>
    <w:basedOn w:val="1"/>
    <w:link w:val="1114"/>
    <w:qFormat/>
    <w:uiPriority w:val="0"/>
    <w:pPr>
      <w:widowControl w:val="0"/>
      <w:spacing w:line="440" w:lineRule="exact"/>
    </w:pPr>
    <w:rPr>
      <w:rFonts w:ascii="Arial" w:hAnsi="Arial"/>
      <w:kern w:val="0"/>
      <w:szCs w:val="24"/>
    </w:rPr>
  </w:style>
  <w:style w:type="character" w:customStyle="1" w:styleId="1116">
    <w:name w:val="表格批注 Char Char"/>
    <w:uiPriority w:val="0"/>
    <w:rPr>
      <w:rFonts w:eastAsia="宋体"/>
      <w:snapToGrid w:val="0"/>
      <w:kern w:val="24"/>
      <w:sz w:val="18"/>
      <w:szCs w:val="24"/>
      <w:lang w:val="en-US" w:eastAsia="zh-CN" w:bidi="ar-SA"/>
    </w:rPr>
  </w:style>
  <w:style w:type="character" w:customStyle="1" w:styleId="1117">
    <w:name w:val="表格内容1 Char Char"/>
    <w:uiPriority w:val="0"/>
    <w:rPr>
      <w:rFonts w:ascii="宋体" w:hAnsi="宋体"/>
      <w:color w:val="339966"/>
      <w:szCs w:val="24"/>
    </w:rPr>
  </w:style>
  <w:style w:type="character" w:customStyle="1" w:styleId="1118">
    <w:name w:val="明显引用 字符1"/>
    <w:uiPriority w:val="0"/>
    <w:rPr>
      <w:b/>
      <w:bCs/>
      <w:i/>
      <w:iCs/>
      <w:color w:val="4F81BD"/>
      <w:kern w:val="2"/>
      <w:sz w:val="21"/>
      <w:szCs w:val="21"/>
    </w:rPr>
  </w:style>
  <w:style w:type="character" w:customStyle="1" w:styleId="1119">
    <w:name w:val="公式 Char Char"/>
    <w:uiPriority w:val="0"/>
    <w:rPr>
      <w:rFonts w:cs="宋体"/>
      <w:bCs/>
      <w:i/>
      <w:iCs/>
      <w:kern w:val="2"/>
      <w:sz w:val="24"/>
      <w:szCs w:val="24"/>
    </w:rPr>
  </w:style>
  <w:style w:type="character" w:customStyle="1" w:styleId="1120">
    <w:name w:val="Char Char40"/>
    <w:uiPriority w:val="0"/>
    <w:rPr>
      <w:rFonts w:ascii="Times New Roman" w:hAnsi="Times New Roman"/>
      <w:snapToGrid/>
      <w:kern w:val="24"/>
      <w:sz w:val="24"/>
      <w:szCs w:val="24"/>
    </w:rPr>
  </w:style>
  <w:style w:type="character" w:customStyle="1" w:styleId="1121">
    <w:name w:val="结束语 Char1"/>
    <w:semiHidden/>
    <w:uiPriority w:val="0"/>
    <w:rPr>
      <w:rFonts w:ascii="Times New Roman" w:hAnsi="Times New Roman"/>
      <w:kern w:val="24"/>
      <w:sz w:val="24"/>
      <w:szCs w:val="24"/>
    </w:rPr>
  </w:style>
  <w:style w:type="character" w:customStyle="1" w:styleId="1122">
    <w:name w:val="可研四级 Char"/>
    <w:link w:val="1123"/>
    <w:uiPriority w:val="0"/>
    <w:rPr>
      <w:rFonts w:ascii="Arial" w:hAnsi="Arial" w:eastAsia="黑体"/>
      <w:b/>
      <w:bCs/>
      <w:sz w:val="24"/>
      <w:szCs w:val="24"/>
    </w:rPr>
  </w:style>
  <w:style w:type="paragraph" w:customStyle="1" w:styleId="1123">
    <w:name w:val="可研四级"/>
    <w:basedOn w:val="6"/>
    <w:link w:val="1122"/>
    <w:qFormat/>
    <w:uiPriority w:val="0"/>
    <w:pPr>
      <w:tabs>
        <w:tab w:val="left" w:pos="1290"/>
      </w:tabs>
      <w:spacing w:line="360" w:lineRule="auto"/>
      <w:ind w:left="1290" w:hanging="864"/>
    </w:pPr>
    <w:rPr>
      <w:rFonts w:ascii="Arial" w:hAnsi="Arial" w:eastAsia="黑体" w:cs="Times New Roman"/>
      <w:b/>
      <w:kern w:val="0"/>
      <w:szCs w:val="24"/>
    </w:rPr>
  </w:style>
  <w:style w:type="character" w:customStyle="1" w:styleId="1124">
    <w:name w:val="纯文本 Char3"/>
    <w:uiPriority w:val="99"/>
    <w:rPr>
      <w:rFonts w:ascii="宋体" w:hAnsi="Courier New" w:cs="Courier New"/>
      <w:snapToGrid/>
      <w:kern w:val="24"/>
      <w:sz w:val="21"/>
      <w:szCs w:val="21"/>
    </w:rPr>
  </w:style>
  <w:style w:type="character" w:customStyle="1" w:styleId="1125">
    <w:name w:val="项目名称"/>
    <w:uiPriority w:val="0"/>
    <w:rPr>
      <w:rFonts w:eastAsia="楷体_GB2312"/>
      <w:b/>
      <w:sz w:val="36"/>
    </w:rPr>
  </w:style>
  <w:style w:type="character" w:customStyle="1" w:styleId="1126">
    <w:name w:val="style6"/>
    <w:uiPriority w:val="0"/>
  </w:style>
  <w:style w:type="character" w:customStyle="1" w:styleId="1127">
    <w:name w:val="可研三级 Char"/>
    <w:link w:val="1128"/>
    <w:uiPriority w:val="0"/>
    <w:rPr>
      <w:b/>
      <w:bCs/>
      <w:sz w:val="28"/>
      <w:szCs w:val="28"/>
    </w:rPr>
  </w:style>
  <w:style w:type="paragraph" w:customStyle="1" w:styleId="1128">
    <w:name w:val="可研三级"/>
    <w:basedOn w:val="5"/>
    <w:link w:val="1127"/>
    <w:qFormat/>
    <w:uiPriority w:val="0"/>
    <w:pPr>
      <w:widowControl w:val="0"/>
      <w:tabs>
        <w:tab w:val="left" w:pos="0"/>
        <w:tab w:val="left" w:pos="720"/>
      </w:tabs>
      <w:spacing w:before="120" w:after="0" w:line="360" w:lineRule="auto"/>
      <w:ind w:left="720" w:hanging="720"/>
    </w:pPr>
    <w:rPr>
      <w:rFonts w:ascii="等线" w:hAnsi="等线"/>
      <w:kern w:val="0"/>
      <w:sz w:val="28"/>
      <w:szCs w:val="28"/>
    </w:rPr>
  </w:style>
  <w:style w:type="character" w:customStyle="1" w:styleId="1129">
    <w:name w:val="articletitletext1"/>
    <w:uiPriority w:val="0"/>
    <w:rPr>
      <w:b/>
      <w:bCs/>
    </w:rPr>
  </w:style>
  <w:style w:type="character" w:customStyle="1" w:styleId="1130">
    <w:name w:val="表文 Char"/>
    <w:link w:val="1131"/>
    <w:uiPriority w:val="0"/>
    <w:rPr>
      <w:spacing w:val="6"/>
    </w:rPr>
  </w:style>
  <w:style w:type="paragraph" w:customStyle="1" w:styleId="1131">
    <w:name w:val="表文"/>
    <w:basedOn w:val="1"/>
    <w:link w:val="1130"/>
    <w:qFormat/>
    <w:uiPriority w:val="0"/>
    <w:pPr>
      <w:widowControl w:val="0"/>
      <w:adjustRightInd w:val="0"/>
      <w:spacing w:line="240" w:lineRule="auto"/>
      <w:jc w:val="center"/>
    </w:pPr>
    <w:rPr>
      <w:rFonts w:ascii="等线" w:hAnsi="等线"/>
      <w:spacing w:val="6"/>
      <w:kern w:val="0"/>
      <w:sz w:val="20"/>
      <w:szCs w:val="20"/>
    </w:rPr>
  </w:style>
  <w:style w:type="character" w:customStyle="1" w:styleId="1132">
    <w:name w:val="表格图片标题 Char Char"/>
    <w:uiPriority w:val="0"/>
    <w:rPr>
      <w:b/>
      <w:kern w:val="2"/>
      <w:sz w:val="21"/>
      <w:szCs w:val="24"/>
      <w:lang w:bidi="ar-SA"/>
    </w:rPr>
  </w:style>
  <w:style w:type="character" w:customStyle="1" w:styleId="1133">
    <w:name w:val="正文四级标题 Char Char"/>
    <w:uiPriority w:val="0"/>
    <w:rPr>
      <w:rFonts w:eastAsia="宋体"/>
      <w:b/>
      <w:snapToGrid w:val="0"/>
      <w:kern w:val="24"/>
      <w:sz w:val="24"/>
      <w:szCs w:val="24"/>
      <w:lang w:val="en-US" w:eastAsia="zh-CN" w:bidi="ar-SA"/>
    </w:rPr>
  </w:style>
  <w:style w:type="character" w:customStyle="1" w:styleId="1134">
    <w:name w:val="Balloon Text Char1"/>
    <w:semiHidden/>
    <w:uiPriority w:val="0"/>
    <w:rPr>
      <w:kern w:val="2"/>
      <w:sz w:val="16"/>
      <w:szCs w:val="16"/>
    </w:rPr>
  </w:style>
  <w:style w:type="character" w:customStyle="1" w:styleId="1135">
    <w:name w:val="Default Char Char"/>
    <w:link w:val="251"/>
    <w:qFormat/>
    <w:uiPriority w:val="0"/>
    <w:rPr>
      <w:rFonts w:ascii="宋体" w:hAnsi="Times New Roman" w:eastAsia="宋体" w:cs="宋体"/>
      <w:color w:val="000000"/>
      <w:sz w:val="24"/>
      <w:szCs w:val="24"/>
    </w:rPr>
  </w:style>
  <w:style w:type="character" w:customStyle="1" w:styleId="1136">
    <w:name w:val="title_tab"/>
    <w:uiPriority w:val="0"/>
  </w:style>
  <w:style w:type="character" w:customStyle="1" w:styleId="1137">
    <w:name w:val="Char Char37"/>
    <w:uiPriority w:val="0"/>
    <w:rPr>
      <w:rFonts w:ascii="宋体" w:hAnsi="宋体" w:cs="宋体"/>
      <w:sz w:val="24"/>
      <w:szCs w:val="24"/>
    </w:rPr>
  </w:style>
  <w:style w:type="character" w:customStyle="1" w:styleId="1138">
    <w:name w:val="正文 缩进 Char"/>
    <w:link w:val="1139"/>
    <w:uiPriority w:val="0"/>
    <w:rPr>
      <w:rFonts w:eastAsia="仿宋_GB2312"/>
      <w:sz w:val="24"/>
    </w:rPr>
  </w:style>
  <w:style w:type="paragraph" w:customStyle="1" w:styleId="1139">
    <w:name w:val="正文 缩进"/>
    <w:basedOn w:val="1"/>
    <w:link w:val="1138"/>
    <w:qFormat/>
    <w:uiPriority w:val="0"/>
    <w:pPr>
      <w:widowControl w:val="0"/>
      <w:spacing w:line="440" w:lineRule="exact"/>
      <w:ind w:firstLine="480"/>
    </w:pPr>
    <w:rPr>
      <w:rFonts w:ascii="等线" w:hAnsi="等线" w:eastAsia="仿宋_GB2312"/>
      <w:kern w:val="0"/>
      <w:szCs w:val="20"/>
    </w:rPr>
  </w:style>
  <w:style w:type="character" w:customStyle="1" w:styleId="1140">
    <w:name w:val="四 Char Char1"/>
    <w:uiPriority w:val="0"/>
    <w:rPr>
      <w:rFonts w:eastAsia="宋体"/>
      <w:kern w:val="2"/>
      <w:sz w:val="21"/>
      <w:lang w:val="en-US" w:eastAsia="zh-CN"/>
    </w:rPr>
  </w:style>
  <w:style w:type="character" w:customStyle="1" w:styleId="1141">
    <w:name w:val="black"/>
    <w:basedOn w:val="134"/>
    <w:qFormat/>
    <w:uiPriority w:val="0"/>
  </w:style>
  <w:style w:type="character" w:customStyle="1" w:styleId="1142">
    <w:name w:val="表内的表头 Char"/>
    <w:link w:val="1143"/>
    <w:uiPriority w:val="0"/>
    <w:rPr>
      <w:rFonts w:eastAsia="黑体"/>
      <w:b/>
    </w:rPr>
  </w:style>
  <w:style w:type="paragraph" w:customStyle="1" w:styleId="1143">
    <w:name w:val="表内的表头"/>
    <w:basedOn w:val="1"/>
    <w:link w:val="1142"/>
    <w:qFormat/>
    <w:uiPriority w:val="0"/>
    <w:pPr>
      <w:widowControl w:val="0"/>
      <w:spacing w:line="440" w:lineRule="exact"/>
      <w:jc w:val="center"/>
    </w:pPr>
    <w:rPr>
      <w:rFonts w:ascii="等线" w:hAnsi="等线" w:eastAsia="黑体"/>
      <w:b/>
      <w:kern w:val="0"/>
      <w:sz w:val="20"/>
      <w:szCs w:val="20"/>
    </w:rPr>
  </w:style>
  <w:style w:type="character" w:customStyle="1" w:styleId="1144">
    <w:name w:val="表字 Char Char"/>
    <w:qFormat/>
    <w:uiPriority w:val="0"/>
    <w:rPr>
      <w:rFonts w:ascii="宋体" w:hAnsi="宋体" w:eastAsia="宋体" w:cs="宋体"/>
      <w:kern w:val="2"/>
      <w:sz w:val="21"/>
      <w:lang w:val="en-US" w:eastAsia="zh-CN" w:bidi="ar-SA"/>
    </w:rPr>
  </w:style>
  <w:style w:type="character" w:customStyle="1" w:styleId="1145">
    <w:name w:val="Char Char16"/>
    <w:qFormat/>
    <w:uiPriority w:val="0"/>
    <w:rPr>
      <w:rFonts w:ascii="宋体" w:eastAsia="宋体"/>
      <w:sz w:val="28"/>
      <w:szCs w:val="28"/>
      <w:lang w:val="en-US" w:eastAsia="zh-CN" w:bidi="ar-SA"/>
    </w:rPr>
  </w:style>
  <w:style w:type="character" w:customStyle="1" w:styleId="1146">
    <w:name w:val="样式 标题 11.标题 1一、标题 1 Char Char Char Char1 南陵标题 1标题 1 Char标题...1 Char Char"/>
    <w:link w:val="1147"/>
    <w:uiPriority w:val="0"/>
    <w:rPr>
      <w:rFonts w:eastAsia="黑体"/>
      <w:b/>
      <w:bCs/>
      <w:sz w:val="28"/>
      <w:szCs w:val="28"/>
    </w:rPr>
  </w:style>
  <w:style w:type="paragraph" w:customStyle="1" w:styleId="1147">
    <w:name w:val="样式 标题 11.标题 1一、标题 1 Char Char Char Char1 南陵标题 1标题 1 Char标题...1"/>
    <w:basedOn w:val="3"/>
    <w:link w:val="1146"/>
    <w:qFormat/>
    <w:uiPriority w:val="0"/>
    <w:pPr>
      <w:widowControl w:val="0"/>
      <w:tabs>
        <w:tab w:val="left" w:pos="0"/>
      </w:tabs>
      <w:spacing w:before="156" w:after="156" w:line="240" w:lineRule="auto"/>
    </w:pPr>
    <w:rPr>
      <w:rFonts w:ascii="等线" w:hAnsi="等线" w:eastAsia="黑体"/>
      <w:kern w:val="0"/>
      <w:sz w:val="28"/>
      <w:szCs w:val="28"/>
    </w:rPr>
  </w:style>
  <w:style w:type="character" w:customStyle="1" w:styleId="1148">
    <w:name w:val="表格 Char Char Char Char Char Char Char Char"/>
    <w:qFormat/>
    <w:uiPriority w:val="0"/>
    <w:rPr>
      <w:rFonts w:ascii="宋体" w:eastAsia="宋体"/>
      <w:snapToGrid w:val="0"/>
      <w:spacing w:val="4"/>
      <w:w w:val="90"/>
      <w:sz w:val="24"/>
      <w:szCs w:val="24"/>
      <w:lang w:val="en-US" w:eastAsia="zh-CN" w:bidi="ar-SA"/>
    </w:rPr>
  </w:style>
  <w:style w:type="character" w:customStyle="1" w:styleId="1149">
    <w:name w:val="正文文本 3 Char2"/>
    <w:uiPriority w:val="99"/>
    <w:rPr>
      <w:snapToGrid/>
      <w:kern w:val="24"/>
      <w:sz w:val="16"/>
      <w:szCs w:val="16"/>
    </w:rPr>
  </w:style>
  <w:style w:type="character" w:customStyle="1" w:styleId="1150">
    <w:name w:val="表序号 Char"/>
    <w:link w:val="1151"/>
    <w:semiHidden/>
    <w:qFormat/>
    <w:uiPriority w:val="0"/>
    <w:rPr>
      <w:rFonts w:ascii="黑体" w:hAnsi="Arial Black" w:eastAsia="黑体"/>
      <w:b/>
      <w:bCs/>
      <w:snapToGrid w:val="0"/>
      <w:kern w:val="18"/>
      <w:sz w:val="30"/>
      <w:szCs w:val="30"/>
    </w:rPr>
  </w:style>
  <w:style w:type="paragraph" w:customStyle="1" w:styleId="1151">
    <w:name w:val="表序号"/>
    <w:basedOn w:val="3"/>
    <w:next w:val="1"/>
    <w:link w:val="1150"/>
    <w:semiHidden/>
    <w:qFormat/>
    <w:uiPriority w:val="0"/>
    <w:pPr>
      <w:widowControl w:val="0"/>
      <w:tabs>
        <w:tab w:val="left" w:pos="240"/>
        <w:tab w:val="left" w:pos="432"/>
        <w:tab w:val="left" w:pos="1134"/>
      </w:tabs>
      <w:adjustRightInd w:val="0"/>
      <w:snapToGrid w:val="0"/>
      <w:spacing w:before="0" w:beforeLines="50" w:after="0" w:line="500" w:lineRule="exact"/>
      <w:ind w:left="1134" w:hanging="1134"/>
      <w:jc w:val="center"/>
    </w:pPr>
    <w:rPr>
      <w:rFonts w:ascii="黑体" w:hAnsi="Arial Black" w:eastAsia="黑体"/>
      <w:snapToGrid w:val="0"/>
      <w:kern w:val="18"/>
      <w:sz w:val="30"/>
      <w:szCs w:val="30"/>
    </w:rPr>
  </w:style>
  <w:style w:type="character" w:customStyle="1" w:styleId="1152">
    <w:name w:val="样式 (符号) 宋体 小四"/>
    <w:uiPriority w:val="0"/>
    <w:rPr>
      <w:sz w:val="24"/>
    </w:rPr>
  </w:style>
  <w:style w:type="character" w:customStyle="1" w:styleId="1153">
    <w:name w:val="样式 正文文本缩进 2正文文本缩进 2 Char Char Char Char正文文本缩进 2 Char Char + 黑色2 Char Char"/>
    <w:uiPriority w:val="0"/>
    <w:rPr>
      <w:color w:val="000000"/>
      <w:szCs w:val="21"/>
      <w:lang w:val="zh-CN"/>
    </w:rPr>
  </w:style>
  <w:style w:type="character" w:customStyle="1" w:styleId="1154">
    <w:name w:val="批注框文本 Char2"/>
    <w:qFormat/>
    <w:uiPriority w:val="99"/>
    <w:rPr>
      <w:snapToGrid/>
      <w:kern w:val="24"/>
      <w:sz w:val="18"/>
      <w:szCs w:val="18"/>
    </w:rPr>
  </w:style>
  <w:style w:type="character" w:customStyle="1" w:styleId="1155">
    <w:name w:val="【图片】 Char"/>
    <w:link w:val="1156"/>
    <w:uiPriority w:val="0"/>
    <w:rPr>
      <w:rFonts w:ascii="宋体" w:hAnsi="宋体"/>
      <w:sz w:val="24"/>
    </w:rPr>
  </w:style>
  <w:style w:type="paragraph" w:customStyle="1" w:styleId="1156">
    <w:name w:val="【图片】"/>
    <w:next w:val="87"/>
    <w:link w:val="1155"/>
    <w:qFormat/>
    <w:uiPriority w:val="0"/>
    <w:pPr>
      <w:jc w:val="center"/>
    </w:pPr>
    <w:rPr>
      <w:rFonts w:ascii="宋体" w:hAnsi="宋体" w:eastAsia="等线" w:cs="Times New Roman"/>
      <w:sz w:val="24"/>
      <w:lang w:val="en-US" w:eastAsia="zh-CN" w:bidi="ar-SA"/>
    </w:rPr>
  </w:style>
  <w:style w:type="character" w:customStyle="1" w:styleId="1157">
    <w:name w:val="四 Char Char"/>
    <w:uiPriority w:val="0"/>
    <w:rPr>
      <w:rFonts w:hint="default" w:eastAsia="宋体"/>
      <w:kern w:val="2"/>
      <w:sz w:val="28"/>
      <w:lang w:val="en-US" w:eastAsia="zh-CN"/>
    </w:rPr>
  </w:style>
  <w:style w:type="character" w:customStyle="1" w:styleId="1158">
    <w:name w:val="尾注文本 字符3"/>
    <w:link w:val="53"/>
    <w:qFormat/>
    <w:uiPriority w:val="0"/>
    <w:rPr>
      <w:rFonts w:asciiTheme="minorHAnsi" w:hAnsiTheme="minorHAnsi" w:eastAsiaTheme="minorEastAsia" w:cstheme="minorBidi"/>
      <w:kern w:val="2"/>
      <w:sz w:val="21"/>
      <w:szCs w:val="22"/>
    </w:rPr>
  </w:style>
  <w:style w:type="character" w:customStyle="1" w:styleId="1159">
    <w:name w:val="Main Char"/>
    <w:link w:val="810"/>
    <w:uiPriority w:val="0"/>
    <w:rPr>
      <w:rFonts w:ascii="Book Antiqua" w:hAnsi="Book Antiqua" w:cs="宋体" w:eastAsiaTheme="minorEastAsia"/>
      <w:kern w:val="2"/>
      <w:sz w:val="24"/>
      <w:szCs w:val="22"/>
      <w:lang w:val="en-GB"/>
    </w:rPr>
  </w:style>
  <w:style w:type="character" w:customStyle="1" w:styleId="1160">
    <w:name w:val="签名 字符3"/>
    <w:link w:val="59"/>
    <w:qFormat/>
    <w:uiPriority w:val="0"/>
    <w:rPr>
      <w:rFonts w:asciiTheme="minorHAnsi" w:hAnsiTheme="minorHAnsi" w:eastAsiaTheme="minorEastAsia" w:cstheme="minorBidi"/>
      <w:kern w:val="2"/>
      <w:sz w:val="21"/>
      <w:szCs w:val="24"/>
    </w:rPr>
  </w:style>
  <w:style w:type="character" w:customStyle="1" w:styleId="1161">
    <w:name w:val="xl24 Char Char"/>
    <w:uiPriority w:val="0"/>
    <w:rPr>
      <w:rFonts w:eastAsia="宋体"/>
      <w:sz w:val="21"/>
      <w:szCs w:val="21"/>
      <w:lang w:val="en-US" w:eastAsia="zh-CN" w:bidi="ar-SA"/>
    </w:rPr>
  </w:style>
  <w:style w:type="character" w:customStyle="1" w:styleId="1162">
    <w:name w:val="sect 1.2 Char"/>
    <w:qFormat/>
    <w:uiPriority w:val="0"/>
    <w:rPr>
      <w:rFonts w:ascii="仿宋_GB2312" w:hAnsi="Arial" w:eastAsia="仿宋_GB2312"/>
      <w:b/>
      <w:bCs/>
      <w:kern w:val="2"/>
      <w:sz w:val="28"/>
      <w:szCs w:val="32"/>
      <w:lang w:val="en-US" w:eastAsia="zh-CN" w:bidi="ar-SA"/>
    </w:rPr>
  </w:style>
  <w:style w:type="character" w:customStyle="1" w:styleId="1163">
    <w:name w:val="正文环评 Char Char"/>
    <w:uiPriority w:val="0"/>
    <w:rPr>
      <w:rFonts w:hAnsi="Arial"/>
      <w:snapToGrid w:val="0"/>
      <w:color w:val="000000"/>
      <w:kern w:val="2"/>
      <w:sz w:val="21"/>
      <w:szCs w:val="21"/>
    </w:rPr>
  </w:style>
  <w:style w:type="character" w:customStyle="1" w:styleId="1164">
    <w:name w:val="HTML 地址 字符2"/>
    <w:link w:val="42"/>
    <w:qFormat/>
    <w:uiPriority w:val="0"/>
    <w:rPr>
      <w:rFonts w:asciiTheme="minorHAnsi" w:hAnsiTheme="minorHAnsi" w:eastAsiaTheme="minorEastAsia" w:cstheme="minorBidi"/>
      <w:i/>
      <w:iCs/>
      <w:kern w:val="2"/>
      <w:sz w:val="21"/>
      <w:szCs w:val="24"/>
    </w:rPr>
  </w:style>
  <w:style w:type="character" w:customStyle="1" w:styleId="1165">
    <w:name w:val="表后 Char"/>
    <w:link w:val="1166"/>
    <w:uiPriority w:val="0"/>
    <w:rPr>
      <w:rFonts w:eastAsia="仿宋_GB2312"/>
      <w:sz w:val="24"/>
    </w:rPr>
  </w:style>
  <w:style w:type="paragraph" w:customStyle="1" w:styleId="1166">
    <w:name w:val="表后"/>
    <w:basedOn w:val="1"/>
    <w:link w:val="1165"/>
    <w:qFormat/>
    <w:uiPriority w:val="0"/>
    <w:pPr>
      <w:widowControl w:val="0"/>
      <w:spacing w:beforeLines="50" w:line="440" w:lineRule="exact"/>
    </w:pPr>
    <w:rPr>
      <w:rFonts w:ascii="等线" w:hAnsi="等线" w:eastAsia="仿宋_GB2312"/>
      <w:kern w:val="0"/>
      <w:szCs w:val="20"/>
    </w:rPr>
  </w:style>
  <w:style w:type="character" w:customStyle="1" w:styleId="1167">
    <w:name w:val="信息标题 字符3"/>
    <w:link w:val="80"/>
    <w:qFormat/>
    <w:uiPriority w:val="0"/>
    <w:rPr>
      <w:rFonts w:ascii="Arial" w:hAnsi="Arial" w:cs="Arial" w:eastAsiaTheme="minorEastAsia"/>
      <w:kern w:val="2"/>
      <w:sz w:val="24"/>
      <w:szCs w:val="24"/>
      <w:shd w:val="pct20" w:color="auto" w:fill="auto"/>
    </w:rPr>
  </w:style>
  <w:style w:type="character" w:customStyle="1" w:styleId="1168">
    <w:name w:val="文档结构图 Char2"/>
    <w:uiPriority w:val="99"/>
    <w:rPr>
      <w:rFonts w:ascii="宋体"/>
      <w:snapToGrid/>
      <w:kern w:val="24"/>
      <w:sz w:val="18"/>
      <w:szCs w:val="18"/>
    </w:rPr>
  </w:style>
  <w:style w:type="character" w:customStyle="1" w:styleId="1169">
    <w:name w:val="页脚 字符1"/>
    <w:qFormat/>
    <w:uiPriority w:val="0"/>
    <w:rPr>
      <w:rFonts w:eastAsia="宋体"/>
      <w:kern w:val="2"/>
      <w:sz w:val="18"/>
      <w:szCs w:val="18"/>
      <w:lang w:val="en-US" w:eastAsia="zh-CN" w:bidi="ar-SA"/>
    </w:rPr>
  </w:style>
  <w:style w:type="character" w:customStyle="1" w:styleId="1170">
    <w:name w:val="Char Char112"/>
    <w:uiPriority w:val="0"/>
    <w:rPr>
      <w:rFonts w:ascii="Times New Roman" w:hAnsi="Times New Roman"/>
      <w:b/>
      <w:bCs/>
      <w:snapToGrid/>
      <w:sz w:val="24"/>
      <w:szCs w:val="24"/>
    </w:rPr>
  </w:style>
  <w:style w:type="character" w:customStyle="1" w:styleId="1171">
    <w:name w:val="infodetail"/>
    <w:semiHidden/>
    <w:uiPriority w:val="0"/>
  </w:style>
  <w:style w:type="character" w:customStyle="1" w:styleId="1172">
    <w:name w:val="bds_more"/>
    <w:uiPriority w:val="0"/>
    <w:rPr>
      <w:rFonts w:hint="eastAsia" w:ascii="宋体" w:hAnsi="宋体" w:eastAsia="宋体" w:cs="宋体"/>
    </w:rPr>
  </w:style>
  <w:style w:type="character" w:customStyle="1" w:styleId="1173">
    <w:name w:val="正文 居中 Char"/>
    <w:link w:val="1174"/>
    <w:uiPriority w:val="0"/>
    <w:rPr>
      <w:rFonts w:eastAsia="仿宋_GB2312"/>
      <w:sz w:val="24"/>
    </w:rPr>
  </w:style>
  <w:style w:type="paragraph" w:customStyle="1" w:styleId="1174">
    <w:name w:val="正文 居中"/>
    <w:basedOn w:val="1"/>
    <w:link w:val="1173"/>
    <w:qFormat/>
    <w:uiPriority w:val="0"/>
    <w:pPr>
      <w:widowControl w:val="0"/>
      <w:spacing w:line="440" w:lineRule="exact"/>
      <w:jc w:val="center"/>
    </w:pPr>
    <w:rPr>
      <w:rFonts w:ascii="等线" w:hAnsi="等线" w:eastAsia="仿宋_GB2312"/>
      <w:kern w:val="0"/>
      <w:szCs w:val="20"/>
    </w:rPr>
  </w:style>
  <w:style w:type="character" w:customStyle="1" w:styleId="1175">
    <w:name w:val="bds_nopic1"/>
    <w:basedOn w:val="134"/>
    <w:uiPriority w:val="0"/>
  </w:style>
  <w:style w:type="character" w:customStyle="1" w:styleId="1176">
    <w:name w:val="标题 4字符"/>
    <w:uiPriority w:val="0"/>
    <w:rPr>
      <w:rFonts w:ascii="黑体" w:eastAsia="黑体"/>
      <w:b/>
      <w:kern w:val="2"/>
      <w:sz w:val="32"/>
      <w:lang w:val="en-US" w:eastAsia="en-US" w:bidi="ar-SA"/>
    </w:rPr>
  </w:style>
  <w:style w:type="character" w:customStyle="1" w:styleId="1177">
    <w:name w:val="bds_nopic2"/>
    <w:basedOn w:val="134"/>
    <w:uiPriority w:val="0"/>
  </w:style>
  <w:style w:type="character" w:customStyle="1" w:styleId="1178">
    <w:name w:val="Char Char102"/>
    <w:uiPriority w:val="0"/>
    <w:rPr>
      <w:rFonts w:eastAsia="宋体"/>
      <w:snapToGrid w:val="0"/>
      <w:sz w:val="18"/>
      <w:szCs w:val="18"/>
      <w:lang w:val="en-US" w:eastAsia="zh-CN" w:bidi="ar-SA"/>
    </w:rPr>
  </w:style>
  <w:style w:type="character" w:customStyle="1" w:styleId="1179">
    <w:name w:val="short_text"/>
    <w:uiPriority w:val="0"/>
  </w:style>
  <w:style w:type="character" w:customStyle="1" w:styleId="1180">
    <w:name w:val="副标题 字符1"/>
    <w:qFormat/>
    <w:uiPriority w:val="0"/>
    <w:rPr>
      <w:rFonts w:ascii="Arial" w:hAnsi="Arial" w:cs="Arial"/>
      <w:b/>
      <w:bCs/>
      <w:kern w:val="28"/>
      <w:sz w:val="32"/>
      <w:szCs w:val="32"/>
    </w:rPr>
  </w:style>
  <w:style w:type="character" w:customStyle="1" w:styleId="1181">
    <w:name w:val="批注主题 字符1"/>
    <w:qFormat/>
    <w:uiPriority w:val="99"/>
    <w:rPr>
      <w:b/>
      <w:bCs/>
      <w:kern w:val="2"/>
      <w:sz w:val="21"/>
      <w:szCs w:val="24"/>
    </w:rPr>
  </w:style>
  <w:style w:type="character" w:customStyle="1" w:styleId="1182">
    <w:name w:val="Char Char212"/>
    <w:semiHidden/>
    <w:uiPriority w:val="0"/>
    <w:rPr>
      <w:rFonts w:ascii="Times New Roman" w:hAnsi="Times New Roman"/>
      <w:snapToGrid w:val="0"/>
      <w:kern w:val="24"/>
      <w:sz w:val="24"/>
      <w:szCs w:val="24"/>
    </w:rPr>
  </w:style>
  <w:style w:type="character" w:customStyle="1" w:styleId="1183">
    <w:name w:val="Char Char181"/>
    <w:semiHidden/>
    <w:uiPriority w:val="0"/>
    <w:rPr>
      <w:rFonts w:eastAsia="宋体"/>
      <w:snapToGrid w:val="0"/>
      <w:kern w:val="24"/>
      <w:sz w:val="24"/>
      <w:szCs w:val="24"/>
      <w:lang w:val="en-US" w:eastAsia="zh-CN" w:bidi="ar-SA"/>
    </w:rPr>
  </w:style>
  <w:style w:type="character" w:customStyle="1" w:styleId="1184">
    <w:name w:val="脚注文本 字符1"/>
    <w:qFormat/>
    <w:uiPriority w:val="0"/>
    <w:rPr>
      <w:kern w:val="2"/>
      <w:sz w:val="18"/>
    </w:rPr>
  </w:style>
  <w:style w:type="character" w:customStyle="1" w:styleId="1185">
    <w:name w:val="Char Char172"/>
    <w:uiPriority w:val="0"/>
    <w:rPr>
      <w:rFonts w:ascii="Times New Roman" w:hAnsi="Times New Roman"/>
      <w:kern w:val="24"/>
      <w:sz w:val="24"/>
      <w:szCs w:val="24"/>
    </w:rPr>
  </w:style>
  <w:style w:type="character" w:customStyle="1" w:styleId="1186">
    <w:name w:val="正文缩进 字符1"/>
    <w:qFormat/>
    <w:uiPriority w:val="0"/>
    <w:rPr>
      <w:kern w:val="2"/>
      <w:sz w:val="21"/>
    </w:rPr>
  </w:style>
  <w:style w:type="character" w:customStyle="1" w:styleId="1187">
    <w:name w:val="Char Char261"/>
    <w:uiPriority w:val="0"/>
    <w:rPr>
      <w:rFonts w:ascii="Times New Roman" w:hAnsi="Times New Roman"/>
      <w:sz w:val="24"/>
    </w:rPr>
  </w:style>
  <w:style w:type="character" w:customStyle="1" w:styleId="1188">
    <w:name w:val="日期 字符1"/>
    <w:qFormat/>
    <w:uiPriority w:val="0"/>
    <w:rPr>
      <w:rFonts w:ascii="宋体"/>
      <w:kern w:val="2"/>
      <w:sz w:val="24"/>
    </w:rPr>
  </w:style>
  <w:style w:type="character" w:customStyle="1" w:styleId="1189">
    <w:name w:val="kl_auto_internal_links_tag"/>
    <w:basedOn w:val="134"/>
    <w:uiPriority w:val="0"/>
  </w:style>
  <w:style w:type="character" w:customStyle="1" w:styleId="1190">
    <w:name w:val="正文三级标题 Char"/>
    <w:uiPriority w:val="0"/>
    <w:rPr>
      <w:b/>
      <w:bCs/>
      <w:snapToGrid w:val="0"/>
      <w:kern w:val="24"/>
      <w:sz w:val="24"/>
      <w:szCs w:val="24"/>
      <w:lang w:bidi="ar-SA"/>
    </w:rPr>
  </w:style>
  <w:style w:type="character" w:customStyle="1" w:styleId="1191">
    <w:name w:val="Char Char51"/>
    <w:semiHidden/>
    <w:locked/>
    <w:uiPriority w:val="0"/>
    <w:rPr>
      <w:rFonts w:eastAsia="宋体"/>
      <w:sz w:val="21"/>
      <w:szCs w:val="24"/>
      <w:lang w:val="en-US" w:eastAsia="zh-CN" w:bidi="ar-SA"/>
    </w:rPr>
  </w:style>
  <w:style w:type="character" w:customStyle="1" w:styleId="1192">
    <w:name w:val="批注框文本 Char3"/>
    <w:semiHidden/>
    <w:uiPriority w:val="99"/>
    <w:rPr>
      <w:rFonts w:ascii="Times New Roman" w:hAnsi="Times New Roman" w:eastAsia="宋体" w:cs="Times New Roman"/>
      <w:snapToGrid w:val="0"/>
      <w:kern w:val="24"/>
      <w:sz w:val="18"/>
      <w:szCs w:val="18"/>
    </w:rPr>
  </w:style>
  <w:style w:type="character" w:customStyle="1" w:styleId="1193">
    <w:name w:val="标题 Char3"/>
    <w:uiPriority w:val="10"/>
    <w:rPr>
      <w:rFonts w:ascii="Cambria" w:hAnsi="Cambria" w:eastAsia="宋体" w:cs="Times New Roman"/>
      <w:b/>
      <w:bCs/>
      <w:snapToGrid w:val="0"/>
      <w:kern w:val="24"/>
      <w:sz w:val="32"/>
      <w:szCs w:val="32"/>
    </w:rPr>
  </w:style>
  <w:style w:type="character" w:customStyle="1" w:styleId="1194">
    <w:name w:val="批注文字 Char3"/>
    <w:semiHidden/>
    <w:uiPriority w:val="99"/>
    <w:rPr>
      <w:rFonts w:ascii="Times New Roman" w:hAnsi="Times New Roman" w:eastAsia="宋体" w:cs="Times New Roman"/>
      <w:snapToGrid w:val="0"/>
      <w:kern w:val="24"/>
      <w:sz w:val="24"/>
      <w:szCs w:val="24"/>
    </w:rPr>
  </w:style>
  <w:style w:type="character" w:customStyle="1" w:styleId="1195">
    <w:name w:val="副标题 Char3"/>
    <w:uiPriority w:val="11"/>
    <w:rPr>
      <w:rFonts w:ascii="Cambria" w:hAnsi="Cambria" w:eastAsia="宋体" w:cs="Times New Roman"/>
      <w:b/>
      <w:bCs/>
      <w:snapToGrid w:val="0"/>
      <w:kern w:val="28"/>
      <w:sz w:val="32"/>
      <w:szCs w:val="32"/>
    </w:rPr>
  </w:style>
  <w:style w:type="character" w:customStyle="1" w:styleId="1196">
    <w:name w:val="正文文本 2 Char2"/>
    <w:semiHidden/>
    <w:uiPriority w:val="0"/>
    <w:rPr>
      <w:rFonts w:ascii="Times New Roman" w:hAnsi="Times New Roman" w:eastAsia="宋体" w:cs="Times New Roman"/>
      <w:snapToGrid w:val="0"/>
      <w:kern w:val="24"/>
      <w:sz w:val="24"/>
      <w:szCs w:val="24"/>
    </w:rPr>
  </w:style>
  <w:style w:type="character" w:customStyle="1" w:styleId="1197">
    <w:name w:val="尾注文本 Char3"/>
    <w:semiHidden/>
    <w:uiPriority w:val="99"/>
    <w:rPr>
      <w:rFonts w:ascii="Times New Roman" w:hAnsi="Times New Roman" w:eastAsia="宋体" w:cs="Times New Roman"/>
      <w:snapToGrid w:val="0"/>
      <w:kern w:val="24"/>
      <w:sz w:val="24"/>
      <w:szCs w:val="24"/>
    </w:rPr>
  </w:style>
  <w:style w:type="character" w:customStyle="1" w:styleId="1198">
    <w:name w:val="main-1"/>
    <w:uiPriority w:val="0"/>
  </w:style>
  <w:style w:type="character" w:customStyle="1" w:styleId="1199">
    <w:name w:val="扬巴正文 Char Char"/>
    <w:uiPriority w:val="0"/>
    <w:rPr>
      <w:rFonts w:ascii="Times New Roman" w:hAnsi="Times New Roman"/>
      <w:kern w:val="2"/>
      <w:sz w:val="24"/>
      <w:szCs w:val="24"/>
    </w:rPr>
  </w:style>
  <w:style w:type="character" w:customStyle="1" w:styleId="1200">
    <w:name w:val="尾注文本 Char2"/>
    <w:uiPriority w:val="99"/>
    <w:rPr>
      <w:snapToGrid/>
      <w:kern w:val="24"/>
      <w:sz w:val="24"/>
      <w:szCs w:val="24"/>
    </w:rPr>
  </w:style>
  <w:style w:type="character" w:customStyle="1" w:styleId="1201">
    <w:name w:val="正文首行缩进 2 Char2"/>
    <w:uiPriority w:val="0"/>
  </w:style>
  <w:style w:type="character" w:customStyle="1" w:styleId="1202">
    <w:name w:val="明显强调1"/>
    <w:qFormat/>
    <w:uiPriority w:val="21"/>
    <w:rPr>
      <w:b/>
      <w:bCs/>
      <w:i/>
      <w:iCs/>
      <w:color w:val="4F81BD"/>
    </w:rPr>
  </w:style>
  <w:style w:type="character" w:customStyle="1" w:styleId="1203">
    <w:name w:val="br1"/>
    <w:uiPriority w:val="0"/>
  </w:style>
  <w:style w:type="character" w:customStyle="1" w:styleId="1204">
    <w:name w:val="123 Char Char"/>
    <w:uiPriority w:val="0"/>
    <w:rPr>
      <w:rFonts w:eastAsia="仿宋_GB2312" w:cs="宋体"/>
      <w:sz w:val="24"/>
      <w:lang w:val="en-US" w:eastAsia="zh-CN" w:bidi="ar-SA"/>
    </w:rPr>
  </w:style>
  <w:style w:type="character" w:customStyle="1" w:styleId="1205">
    <w:name w:val="4 号 Char"/>
    <w:link w:val="1206"/>
    <w:uiPriority w:val="0"/>
    <w:rPr>
      <w:b/>
      <w:bCs/>
      <w:sz w:val="24"/>
      <w:szCs w:val="24"/>
    </w:rPr>
  </w:style>
  <w:style w:type="paragraph" w:customStyle="1" w:styleId="1206">
    <w:name w:val="4 号"/>
    <w:basedOn w:val="1"/>
    <w:link w:val="1205"/>
    <w:qFormat/>
    <w:uiPriority w:val="0"/>
    <w:pPr>
      <w:widowControl w:val="0"/>
      <w:autoSpaceDE w:val="0"/>
      <w:autoSpaceDN w:val="0"/>
      <w:ind w:firstLine="482"/>
    </w:pPr>
    <w:rPr>
      <w:rFonts w:ascii="等线" w:hAnsi="等线"/>
      <w:b/>
      <w:bCs/>
      <w:kern w:val="0"/>
      <w:szCs w:val="24"/>
    </w:rPr>
  </w:style>
  <w:style w:type="character" w:customStyle="1" w:styleId="1207">
    <w:name w:val="列出段落 Char1"/>
    <w:uiPriority w:val="0"/>
    <w:rPr>
      <w:snapToGrid/>
      <w:kern w:val="24"/>
      <w:sz w:val="24"/>
      <w:szCs w:val="24"/>
    </w:rPr>
  </w:style>
  <w:style w:type="character" w:customStyle="1" w:styleId="1208">
    <w:name w:val="主体 Char"/>
    <w:link w:val="1209"/>
    <w:qFormat/>
    <w:uiPriority w:val="0"/>
    <w:rPr>
      <w:bCs/>
      <w:sz w:val="24"/>
      <w:szCs w:val="24"/>
    </w:rPr>
  </w:style>
  <w:style w:type="paragraph" w:customStyle="1" w:styleId="1209">
    <w:name w:val="主体"/>
    <w:link w:val="1208"/>
    <w:qFormat/>
    <w:uiPriority w:val="0"/>
    <w:pPr>
      <w:widowControl w:val="0"/>
      <w:autoSpaceDE w:val="0"/>
      <w:autoSpaceDN w:val="0"/>
      <w:spacing w:line="360" w:lineRule="auto"/>
      <w:ind w:firstLine="480" w:firstLineChars="200"/>
      <w:jc w:val="both"/>
    </w:pPr>
    <w:rPr>
      <w:rFonts w:ascii="等线" w:hAnsi="等线" w:eastAsia="等线" w:cs="Times New Roman"/>
      <w:bCs/>
      <w:sz w:val="24"/>
      <w:szCs w:val="24"/>
      <w:lang w:val="en-US" w:eastAsia="zh-CN" w:bidi="ar-SA"/>
    </w:rPr>
  </w:style>
  <w:style w:type="character" w:customStyle="1" w:styleId="1210">
    <w:name w:val="正文-f Char"/>
    <w:link w:val="1211"/>
    <w:uiPriority w:val="0"/>
    <w:rPr>
      <w:rFonts w:ascii="Arial" w:hAnsi="Arial"/>
      <w:sz w:val="24"/>
      <w:szCs w:val="24"/>
    </w:rPr>
  </w:style>
  <w:style w:type="paragraph" w:customStyle="1" w:styleId="1211">
    <w:name w:val="正文-f"/>
    <w:basedOn w:val="1"/>
    <w:link w:val="1210"/>
    <w:qFormat/>
    <w:uiPriority w:val="0"/>
    <w:pPr>
      <w:widowControl w:val="0"/>
      <w:spacing w:beforeLines="50" w:afterLines="50" w:line="360" w:lineRule="exact"/>
    </w:pPr>
    <w:rPr>
      <w:rFonts w:ascii="Arial" w:hAnsi="Arial"/>
      <w:kern w:val="0"/>
      <w:szCs w:val="24"/>
    </w:rPr>
  </w:style>
  <w:style w:type="character" w:customStyle="1" w:styleId="1212">
    <w:name w:val="称呼 Char2"/>
    <w:uiPriority w:val="99"/>
    <w:rPr>
      <w:snapToGrid/>
      <w:kern w:val="24"/>
      <w:sz w:val="24"/>
      <w:szCs w:val="24"/>
    </w:rPr>
  </w:style>
  <w:style w:type="character" w:customStyle="1" w:styleId="1213">
    <w:name w:val="Char Char46"/>
    <w:uiPriority w:val="0"/>
    <w:rPr>
      <w:rFonts w:ascii="Times New Roman" w:hAnsi="Times New Roman"/>
      <w:snapToGrid/>
      <w:sz w:val="24"/>
      <w:szCs w:val="24"/>
    </w:rPr>
  </w:style>
  <w:style w:type="character" w:customStyle="1" w:styleId="1214">
    <w:name w:val="z-窗体顶端 字符1"/>
    <w:link w:val="1215"/>
    <w:uiPriority w:val="0"/>
    <w:rPr>
      <w:rFonts w:ascii="Arial" w:hAnsi="Arial" w:cs="Arial"/>
      <w:vanish/>
      <w:kern w:val="2"/>
      <w:sz w:val="16"/>
      <w:szCs w:val="16"/>
    </w:rPr>
  </w:style>
  <w:style w:type="paragraph" w:customStyle="1" w:styleId="1215">
    <w:name w:val="z-窗体顶端2"/>
    <w:basedOn w:val="1"/>
    <w:next w:val="1"/>
    <w:link w:val="1214"/>
    <w:unhideWhenUsed/>
    <w:qFormat/>
    <w:uiPriority w:val="0"/>
    <w:pPr>
      <w:widowControl w:val="0"/>
      <w:pBdr>
        <w:bottom w:val="single" w:color="auto" w:sz="6" w:space="1"/>
      </w:pBdr>
      <w:adjustRightInd w:val="0"/>
      <w:snapToGrid w:val="0"/>
      <w:spacing w:line="500" w:lineRule="exact"/>
      <w:ind w:firstLine="200" w:firstLineChars="200"/>
      <w:jc w:val="center"/>
    </w:pPr>
    <w:rPr>
      <w:rFonts w:ascii="Arial" w:hAnsi="Arial" w:cs="Arial"/>
      <w:vanish/>
      <w:sz w:val="16"/>
      <w:szCs w:val="16"/>
    </w:rPr>
  </w:style>
  <w:style w:type="character" w:customStyle="1" w:styleId="1216">
    <w:name w:val="样式 题注 + (符号) 宋体 Char"/>
    <w:link w:val="1217"/>
    <w:uiPriority w:val="0"/>
    <w:rPr>
      <w:rFonts w:ascii="Arial" w:hAnsi="Arial"/>
      <w:color w:val="000000"/>
      <w:szCs w:val="21"/>
    </w:rPr>
  </w:style>
  <w:style w:type="paragraph" w:customStyle="1" w:styleId="1217">
    <w:name w:val="样式 题注 + (符号) 宋体"/>
    <w:basedOn w:val="23"/>
    <w:link w:val="1216"/>
    <w:qFormat/>
    <w:uiPriority w:val="0"/>
    <w:pPr>
      <w:spacing w:before="120" w:after="120" w:line="300" w:lineRule="auto"/>
      <w:ind w:firstLine="482"/>
      <w:jc w:val="center"/>
    </w:pPr>
    <w:rPr>
      <w:rFonts w:ascii="Arial" w:hAnsi="Arial" w:eastAsia="等线"/>
      <w:color w:val="000000"/>
      <w:kern w:val="0"/>
      <w:szCs w:val="21"/>
    </w:rPr>
  </w:style>
  <w:style w:type="character" w:customStyle="1" w:styleId="1218">
    <w:name w:val="报告正文 Char Char"/>
    <w:uiPriority w:val="0"/>
    <w:rPr>
      <w:rFonts w:eastAsia="宋体"/>
      <w:snapToGrid w:val="0"/>
      <w:kern w:val="24"/>
      <w:sz w:val="24"/>
      <w:szCs w:val="21"/>
      <w:lang w:val="en-US" w:eastAsia="zh-CN" w:bidi="ar-SA"/>
    </w:rPr>
  </w:style>
  <w:style w:type="character" w:customStyle="1" w:styleId="1219">
    <w:name w:val="文本框小五 Char Char"/>
    <w:uiPriority w:val="0"/>
    <w:rPr>
      <w:rFonts w:ascii="Arial" w:hAnsi="Arial" w:eastAsia="宋体"/>
      <w:snapToGrid w:val="0"/>
      <w:kern w:val="18"/>
      <w:sz w:val="18"/>
      <w:szCs w:val="24"/>
      <w:lang w:val="en-US" w:eastAsia="zh-CN" w:bidi="ar-SA"/>
    </w:rPr>
  </w:style>
  <w:style w:type="character" w:customStyle="1" w:styleId="1220">
    <w:name w:val="签名 Char2"/>
    <w:uiPriority w:val="99"/>
    <w:rPr>
      <w:snapToGrid/>
      <w:kern w:val="24"/>
      <w:sz w:val="24"/>
      <w:szCs w:val="24"/>
    </w:rPr>
  </w:style>
  <w:style w:type="character" w:customStyle="1" w:styleId="1221">
    <w:name w:val="style2"/>
    <w:uiPriority w:val="0"/>
  </w:style>
  <w:style w:type="character" w:customStyle="1" w:styleId="1222">
    <w:name w:val="页脚 Char2"/>
    <w:semiHidden/>
    <w:uiPriority w:val="99"/>
    <w:rPr>
      <w:rFonts w:ascii="Times New Roman" w:hAnsi="Times New Roman"/>
      <w:snapToGrid/>
      <w:kern w:val="24"/>
      <w:sz w:val="18"/>
      <w:szCs w:val="18"/>
    </w:rPr>
  </w:style>
  <w:style w:type="character" w:customStyle="1" w:styleId="1223">
    <w:name w:val="webdict1"/>
    <w:uiPriority w:val="0"/>
    <w:rPr>
      <w:b/>
      <w:bCs/>
    </w:rPr>
  </w:style>
  <w:style w:type="character" w:customStyle="1" w:styleId="1224">
    <w:name w:val="不明显参考1"/>
    <w:qFormat/>
    <w:uiPriority w:val="31"/>
    <w:rPr>
      <w:smallCaps/>
      <w:color w:val="C0504D"/>
      <w:u w:val="single"/>
    </w:rPr>
  </w:style>
  <w:style w:type="character" w:customStyle="1" w:styleId="1225">
    <w:name w:val="Title1"/>
    <w:uiPriority w:val="0"/>
  </w:style>
  <w:style w:type="character" w:customStyle="1" w:styleId="1226">
    <w:name w:val="Char Char38"/>
    <w:uiPriority w:val="0"/>
    <w:rPr>
      <w:rFonts w:ascii="宋体" w:hAnsi="宋体"/>
      <w:snapToGrid/>
      <w:kern w:val="24"/>
      <w:sz w:val="21"/>
      <w:szCs w:val="24"/>
    </w:rPr>
  </w:style>
  <w:style w:type="character" w:customStyle="1" w:styleId="1227">
    <w:name w:val="正文首行缩进 2 Char1"/>
    <w:semiHidden/>
    <w:qFormat/>
    <w:uiPriority w:val="0"/>
    <w:rPr>
      <w:rFonts w:ascii="Times New Roman" w:hAnsi="Times New Roman" w:eastAsia="宋体" w:cs="Times New Roman"/>
      <w:snapToGrid w:val="0"/>
      <w:kern w:val="24"/>
      <w:sz w:val="24"/>
      <w:szCs w:val="24"/>
    </w:rPr>
  </w:style>
  <w:style w:type="character" w:customStyle="1" w:styleId="1228">
    <w:name w:val="正文文本缩进 2 Char1"/>
    <w:semiHidden/>
    <w:qFormat/>
    <w:uiPriority w:val="0"/>
    <w:rPr>
      <w:kern w:val="24"/>
      <w:sz w:val="24"/>
      <w:szCs w:val="24"/>
    </w:rPr>
  </w:style>
  <w:style w:type="character" w:customStyle="1" w:styleId="1229">
    <w:name w:val="正文文本 2 Char1"/>
    <w:qFormat/>
    <w:uiPriority w:val="0"/>
    <w:rPr>
      <w:kern w:val="24"/>
      <w:sz w:val="24"/>
      <w:szCs w:val="24"/>
    </w:rPr>
  </w:style>
  <w:style w:type="character" w:customStyle="1" w:styleId="1230">
    <w:name w:val="font112"/>
    <w:qFormat/>
    <w:uiPriority w:val="0"/>
    <w:rPr>
      <w:rFonts w:hint="eastAsia" w:ascii="宋体" w:hAnsi="宋体" w:eastAsia="宋体" w:cs="宋体"/>
      <w:color w:val="000000"/>
      <w:sz w:val="18"/>
      <w:szCs w:val="18"/>
      <w:u w:val="none"/>
      <w:vertAlign w:val="subscript"/>
    </w:rPr>
  </w:style>
  <w:style w:type="character" w:customStyle="1" w:styleId="1231">
    <w:name w:val="标题 32"/>
    <w:qFormat/>
    <w:uiPriority w:val="0"/>
    <w:rPr>
      <w:rFonts w:ascii="宋体" w:eastAsia="黑体"/>
      <w:bCs/>
      <w:snapToGrid w:val="0"/>
      <w:spacing w:val="4"/>
      <w:sz w:val="24"/>
      <w:szCs w:val="32"/>
      <w:lang w:val="en-US" w:eastAsia="zh-CN" w:bidi="ar-SA"/>
    </w:rPr>
  </w:style>
  <w:style w:type="character" w:customStyle="1" w:styleId="1232">
    <w:name w:val="Char Char41"/>
    <w:qFormat/>
    <w:uiPriority w:val="0"/>
    <w:rPr>
      <w:rFonts w:eastAsia="宋体"/>
      <w:kern w:val="2"/>
      <w:sz w:val="18"/>
      <w:szCs w:val="18"/>
      <w:lang w:val="en-US" w:eastAsia="zh-CN" w:bidi="ar-SA"/>
    </w:rPr>
  </w:style>
  <w:style w:type="character" w:customStyle="1" w:styleId="1233">
    <w:name w:val="font101"/>
    <w:qFormat/>
    <w:uiPriority w:val="0"/>
    <w:rPr>
      <w:rFonts w:hint="eastAsia" w:ascii="宋体" w:hAnsi="宋体" w:eastAsia="宋体" w:cs="宋体"/>
      <w:color w:val="000000"/>
      <w:sz w:val="18"/>
      <w:szCs w:val="18"/>
      <w:u w:val="none"/>
      <w:vertAlign w:val="subscript"/>
    </w:rPr>
  </w:style>
  <w:style w:type="character" w:customStyle="1" w:styleId="1234">
    <w:name w:val="font131"/>
    <w:qFormat/>
    <w:uiPriority w:val="0"/>
    <w:rPr>
      <w:rFonts w:hint="default" w:ascii="Times New Roman" w:hAnsi="Times New Roman" w:cs="Times New Roman"/>
      <w:color w:val="000000"/>
      <w:sz w:val="18"/>
      <w:szCs w:val="18"/>
      <w:u w:val="none"/>
    </w:rPr>
  </w:style>
  <w:style w:type="character" w:customStyle="1" w:styleId="1235">
    <w:name w:val="Char Char24"/>
    <w:uiPriority w:val="0"/>
    <w:rPr>
      <w:rFonts w:ascii="Times New Roman" w:hAnsi="Times New Roman"/>
      <w:snapToGrid/>
      <w:kern w:val="24"/>
      <w:sz w:val="24"/>
      <w:szCs w:val="24"/>
    </w:rPr>
  </w:style>
  <w:style w:type="character" w:customStyle="1" w:styleId="1236">
    <w:name w:val="批注文字 Char2"/>
    <w:qFormat/>
    <w:uiPriority w:val="99"/>
    <w:rPr>
      <w:rFonts w:eastAsia="宋体"/>
      <w:snapToGrid w:val="0"/>
      <w:kern w:val="24"/>
      <w:sz w:val="24"/>
      <w:szCs w:val="24"/>
      <w:lang w:val="en-US" w:eastAsia="zh-CN" w:bidi="ar-SA"/>
    </w:rPr>
  </w:style>
  <w:style w:type="character" w:customStyle="1" w:styleId="1237">
    <w:name w:val="信息计划书 标题样式 Char2"/>
    <w:qFormat/>
    <w:uiPriority w:val="0"/>
    <w:rPr>
      <w:rFonts w:eastAsia="宋体"/>
      <w:snapToGrid w:val="0"/>
      <w:kern w:val="24"/>
      <w:sz w:val="24"/>
      <w:szCs w:val="24"/>
      <w:lang w:val="en-US" w:eastAsia="zh-CN" w:bidi="ar-SA"/>
    </w:rPr>
  </w:style>
  <w:style w:type="character" w:customStyle="1" w:styleId="1238">
    <w:name w:val="tpc_content"/>
    <w:semiHidden/>
    <w:qFormat/>
    <w:uiPriority w:val="0"/>
    <w:rPr>
      <w:rFonts w:ascii="宋体" w:hAnsi="宋体" w:eastAsia="宋体" w:cs="宋体"/>
      <w:kern w:val="2"/>
      <w:sz w:val="24"/>
      <w:szCs w:val="24"/>
      <w:lang w:val="en-US" w:eastAsia="zh-CN" w:bidi="ar-SA"/>
    </w:rPr>
  </w:style>
  <w:style w:type="character" w:customStyle="1" w:styleId="1239">
    <w:name w:val="Char Char9"/>
    <w:qFormat/>
    <w:uiPriority w:val="0"/>
    <w:rPr>
      <w:rFonts w:eastAsia="宋体"/>
      <w:snapToGrid w:val="0"/>
      <w:sz w:val="24"/>
      <w:szCs w:val="24"/>
      <w:lang w:val="en-US" w:eastAsia="zh-CN" w:bidi="ar-SA"/>
    </w:rPr>
  </w:style>
  <w:style w:type="character" w:customStyle="1" w:styleId="1240">
    <w:name w:val="highlight"/>
    <w:semiHidden/>
    <w:qFormat/>
    <w:uiPriority w:val="0"/>
  </w:style>
  <w:style w:type="character" w:customStyle="1" w:styleId="1241">
    <w:name w:val="Table Head Char"/>
    <w:link w:val="1242"/>
    <w:semiHidden/>
    <w:qFormat/>
    <w:uiPriority w:val="0"/>
    <w:rPr>
      <w:rFonts w:ascii="Arial" w:hAnsi="Arial" w:eastAsia="仿宋_GB2312"/>
      <w:b/>
      <w:sz w:val="18"/>
      <w:szCs w:val="24"/>
    </w:rPr>
  </w:style>
  <w:style w:type="paragraph" w:customStyle="1" w:styleId="1242">
    <w:name w:val="Table Head"/>
    <w:basedOn w:val="1"/>
    <w:next w:val="1"/>
    <w:link w:val="1241"/>
    <w:semiHidden/>
    <w:qFormat/>
    <w:uiPriority w:val="0"/>
    <w:pPr>
      <w:widowControl w:val="0"/>
      <w:spacing w:before="80" w:after="80" w:line="240" w:lineRule="auto"/>
      <w:jc w:val="center"/>
    </w:pPr>
    <w:rPr>
      <w:rFonts w:ascii="Arial" w:hAnsi="Arial" w:eastAsia="仿宋_GB2312"/>
      <w:b/>
      <w:kern w:val="0"/>
      <w:sz w:val="18"/>
      <w:szCs w:val="24"/>
    </w:rPr>
  </w:style>
  <w:style w:type="character" w:customStyle="1" w:styleId="1243">
    <w:name w:val="z-窗体顶端 Char"/>
    <w:link w:val="1244"/>
    <w:qFormat/>
    <w:uiPriority w:val="0"/>
    <w:rPr>
      <w:rFonts w:ascii="Arial" w:hAnsi="Arial" w:cs="Arial"/>
      <w:vanish/>
      <w:sz w:val="16"/>
      <w:szCs w:val="16"/>
    </w:rPr>
  </w:style>
  <w:style w:type="paragraph" w:customStyle="1" w:styleId="1244">
    <w:name w:val="z-窗体顶端1"/>
    <w:basedOn w:val="1"/>
    <w:next w:val="1"/>
    <w:link w:val="1243"/>
    <w:unhideWhenUsed/>
    <w:uiPriority w:val="0"/>
    <w:pPr>
      <w:pBdr>
        <w:bottom w:val="single" w:color="auto" w:sz="6" w:space="1"/>
      </w:pBdr>
      <w:spacing w:line="240" w:lineRule="auto"/>
      <w:jc w:val="center"/>
    </w:pPr>
    <w:rPr>
      <w:rFonts w:ascii="Arial" w:hAnsi="Arial" w:cs="Arial"/>
      <w:vanish/>
      <w:kern w:val="0"/>
      <w:sz w:val="16"/>
      <w:szCs w:val="16"/>
    </w:rPr>
  </w:style>
  <w:style w:type="character" w:customStyle="1" w:styleId="1245">
    <w:name w:val="正文11 Char Char1"/>
    <w:link w:val="1246"/>
    <w:semiHidden/>
    <w:qFormat/>
    <w:uiPriority w:val="0"/>
    <w:rPr>
      <w:rFonts w:ascii="宋体" w:hAnsi="宋体"/>
      <w:snapToGrid w:val="0"/>
      <w:sz w:val="24"/>
      <w:szCs w:val="24"/>
    </w:rPr>
  </w:style>
  <w:style w:type="paragraph" w:customStyle="1" w:styleId="1246">
    <w:name w:val="正文11 Char"/>
    <w:basedOn w:val="1"/>
    <w:link w:val="1245"/>
    <w:semiHidden/>
    <w:qFormat/>
    <w:uiPriority w:val="0"/>
    <w:pPr>
      <w:widowControl w:val="0"/>
      <w:adjustRightInd w:val="0"/>
      <w:snapToGrid w:val="0"/>
      <w:ind w:left="6" w:firstLine="474" w:firstLineChars="200"/>
      <w:jc w:val="left"/>
      <w:textAlignment w:val="baseline"/>
    </w:pPr>
    <w:rPr>
      <w:rFonts w:ascii="宋体" w:hAnsi="宋体"/>
      <w:snapToGrid w:val="0"/>
      <w:kern w:val="0"/>
      <w:szCs w:val="24"/>
    </w:rPr>
  </w:style>
  <w:style w:type="character" w:customStyle="1" w:styleId="1247">
    <w:name w:val="报告正文 Char"/>
    <w:link w:val="1248"/>
    <w:qFormat/>
    <w:uiPriority w:val="0"/>
    <w:rPr>
      <w:snapToGrid w:val="0"/>
      <w:kern w:val="24"/>
      <w:sz w:val="24"/>
      <w:szCs w:val="21"/>
    </w:rPr>
  </w:style>
  <w:style w:type="paragraph" w:customStyle="1" w:styleId="1248">
    <w:name w:val="报告正文"/>
    <w:basedOn w:val="1"/>
    <w:link w:val="1247"/>
    <w:qFormat/>
    <w:uiPriority w:val="0"/>
    <w:pPr>
      <w:widowControl w:val="0"/>
      <w:adjustRightInd w:val="0"/>
      <w:snapToGrid w:val="0"/>
      <w:spacing w:beforeLines="25"/>
      <w:ind w:firstLine="482" w:firstLineChars="200"/>
      <w:textAlignment w:val="baseline"/>
    </w:pPr>
    <w:rPr>
      <w:rFonts w:ascii="等线" w:hAnsi="等线"/>
      <w:snapToGrid w:val="0"/>
      <w:kern w:val="24"/>
      <w:szCs w:val="21"/>
    </w:rPr>
  </w:style>
  <w:style w:type="character" w:customStyle="1" w:styleId="1249">
    <w:name w:val="yyl"/>
    <w:semiHidden/>
    <w:qFormat/>
    <w:uiPriority w:val="0"/>
    <w:rPr>
      <w:rFonts w:ascii="Arial" w:hAnsi="Arial" w:eastAsia="宋体" w:cs="Arial"/>
      <w:color w:val="000000"/>
      <w:sz w:val="20"/>
    </w:rPr>
  </w:style>
  <w:style w:type="character" w:customStyle="1" w:styleId="1250">
    <w:name w:val="text11"/>
    <w:semiHidden/>
    <w:qFormat/>
    <w:uiPriority w:val="0"/>
    <w:rPr>
      <w:rFonts w:hint="default" w:ascii="ˎ̥" w:hAnsi="ˎ̥" w:eastAsia="宋体" w:cs="宋体"/>
      <w:kern w:val="2"/>
      <w:sz w:val="21"/>
      <w:szCs w:val="21"/>
      <w:u w:val="none"/>
      <w:lang w:val="en-US" w:eastAsia="zh-CN" w:bidi="ar-SA"/>
    </w:rPr>
  </w:style>
  <w:style w:type="character" w:customStyle="1" w:styleId="1251">
    <w:name w:val="1文章 Char"/>
    <w:link w:val="367"/>
    <w:qFormat/>
    <w:uiPriority w:val="0"/>
    <w:rPr>
      <w:rFonts w:ascii="Times New Roman" w:hAnsi="Times New Roman" w:eastAsia="宋体"/>
      <w:spacing w:val="4"/>
      <w:kern w:val="2"/>
      <w:sz w:val="21"/>
      <w:szCs w:val="24"/>
    </w:rPr>
  </w:style>
  <w:style w:type="character" w:customStyle="1" w:styleId="1252">
    <w:name w:val="paragragh1"/>
    <w:semiHidden/>
    <w:qFormat/>
    <w:uiPriority w:val="0"/>
    <w:rPr>
      <w:color w:val="004040"/>
      <w:sz w:val="21"/>
      <w:szCs w:val="21"/>
    </w:rPr>
  </w:style>
  <w:style w:type="character" w:customStyle="1" w:styleId="1253">
    <w:name w:val="qqq1"/>
    <w:semiHidden/>
    <w:qFormat/>
    <w:uiPriority w:val="0"/>
    <w:rPr>
      <w:color w:val="527594"/>
      <w:sz w:val="18"/>
      <w:szCs w:val="18"/>
    </w:rPr>
  </w:style>
  <w:style w:type="character" w:customStyle="1" w:styleId="1254">
    <w:name w:val="正文01 Char"/>
    <w:link w:val="616"/>
    <w:qFormat/>
    <w:uiPriority w:val="0"/>
    <w:rPr>
      <w:rFonts w:ascii="Times New Roman" w:hAnsi="Times New Roman" w:eastAsia="华文楷体"/>
      <w:bCs/>
      <w:kern w:val="2"/>
      <w:sz w:val="24"/>
      <w:szCs w:val="24"/>
    </w:rPr>
  </w:style>
  <w:style w:type="character" w:customStyle="1" w:styleId="1255">
    <w:name w:val="html_txt1"/>
    <w:semiHidden/>
    <w:qFormat/>
    <w:uiPriority w:val="0"/>
    <w:rPr>
      <w:color w:val="000000"/>
    </w:rPr>
  </w:style>
  <w:style w:type="character" w:customStyle="1" w:styleId="1256">
    <w:name w:val="title6"/>
    <w:basedOn w:val="134"/>
    <w:semiHidden/>
    <w:qFormat/>
    <w:uiPriority w:val="0"/>
  </w:style>
  <w:style w:type="character" w:customStyle="1" w:styleId="1257">
    <w:name w:val="样式 正文文本 +1 Char"/>
    <w:link w:val="1258"/>
    <w:qFormat/>
    <w:uiPriority w:val="0"/>
    <w:rPr>
      <w:sz w:val="24"/>
    </w:rPr>
  </w:style>
  <w:style w:type="paragraph" w:customStyle="1" w:styleId="1258">
    <w:name w:val="样式 正文文本 +1"/>
    <w:basedOn w:val="35"/>
    <w:link w:val="1257"/>
    <w:qFormat/>
    <w:uiPriority w:val="0"/>
    <w:pPr>
      <w:widowControl w:val="0"/>
    </w:pPr>
    <w:rPr>
      <w:rFonts w:ascii="等线" w:hAnsi="等线"/>
      <w:kern w:val="0"/>
      <w:szCs w:val="20"/>
    </w:rPr>
  </w:style>
  <w:style w:type="character" w:customStyle="1" w:styleId="1259">
    <w:name w:val="表格图片标题 Char"/>
    <w:link w:val="1260"/>
    <w:qFormat/>
    <w:uiPriority w:val="0"/>
    <w:rPr>
      <w:b/>
      <w:szCs w:val="24"/>
    </w:rPr>
  </w:style>
  <w:style w:type="paragraph" w:customStyle="1" w:styleId="1260">
    <w:name w:val="表格图片标题"/>
    <w:basedOn w:val="1"/>
    <w:next w:val="1"/>
    <w:link w:val="1259"/>
    <w:qFormat/>
    <w:uiPriority w:val="0"/>
    <w:pPr>
      <w:widowControl w:val="0"/>
      <w:spacing w:line="400" w:lineRule="exact"/>
      <w:jc w:val="center"/>
    </w:pPr>
    <w:rPr>
      <w:rFonts w:ascii="等线" w:hAnsi="等线"/>
      <w:b/>
      <w:kern w:val="0"/>
      <w:sz w:val="20"/>
      <w:szCs w:val="24"/>
    </w:rPr>
  </w:style>
  <w:style w:type="character" w:customStyle="1" w:styleId="1261">
    <w:name w:val="样式 题注 Char Char Char"/>
    <w:link w:val="1262"/>
    <w:semiHidden/>
    <w:qFormat/>
    <w:uiPriority w:val="0"/>
    <w:rPr>
      <w:rFonts w:ascii="仿宋_GB2312" w:hAnsi="仿宋_GB2312" w:eastAsia="仿宋_GB2312"/>
      <w:color w:val="000000"/>
      <w:sz w:val="24"/>
      <w:szCs w:val="24"/>
    </w:rPr>
  </w:style>
  <w:style w:type="paragraph" w:customStyle="1" w:styleId="1262">
    <w:name w:val="样式 题注 Char Char"/>
    <w:basedOn w:val="1"/>
    <w:link w:val="1261"/>
    <w:semiHidden/>
    <w:qFormat/>
    <w:uiPriority w:val="0"/>
    <w:pPr>
      <w:widowControl w:val="0"/>
      <w:spacing w:line="240" w:lineRule="atLeast"/>
      <w:jc w:val="center"/>
    </w:pPr>
    <w:rPr>
      <w:rFonts w:ascii="仿宋_GB2312" w:hAnsi="仿宋_GB2312" w:eastAsia="仿宋_GB2312"/>
      <w:color w:val="000000"/>
      <w:kern w:val="0"/>
      <w:szCs w:val="24"/>
    </w:rPr>
  </w:style>
  <w:style w:type="character" w:customStyle="1" w:styleId="1263">
    <w:name w:val="我的正文1 Char"/>
    <w:link w:val="1264"/>
    <w:semiHidden/>
    <w:qFormat/>
    <w:uiPriority w:val="0"/>
    <w:rPr>
      <w:rFonts w:eastAsia="Times New Roman" w:cs="宋体"/>
    </w:rPr>
  </w:style>
  <w:style w:type="paragraph" w:customStyle="1" w:styleId="1264">
    <w:name w:val="我的正文1"/>
    <w:link w:val="1263"/>
    <w:semiHidden/>
    <w:qFormat/>
    <w:uiPriority w:val="0"/>
    <w:pPr>
      <w:spacing w:beforeLines="30" w:afterLines="30" w:line="360" w:lineRule="auto"/>
      <w:ind w:firstLine="420" w:firstLineChars="200"/>
      <w:jc w:val="both"/>
    </w:pPr>
    <w:rPr>
      <w:rFonts w:ascii="等线" w:hAnsi="等线" w:eastAsia="Times New Roman" w:cs="宋体"/>
      <w:lang w:val="en-US" w:eastAsia="zh-CN" w:bidi="ar-SA"/>
    </w:rPr>
  </w:style>
  <w:style w:type="character" w:customStyle="1" w:styleId="1265">
    <w:name w:val="样式 正文文本 + (西文) 宋体 Char"/>
    <w:link w:val="1266"/>
    <w:qFormat/>
    <w:uiPriority w:val="0"/>
    <w:rPr>
      <w:rFonts w:eastAsia="仿宋_GB2312"/>
      <w:sz w:val="24"/>
    </w:rPr>
  </w:style>
  <w:style w:type="paragraph" w:customStyle="1" w:styleId="1266">
    <w:name w:val="样式 正文文本 + (西文) 宋体"/>
    <w:basedOn w:val="35"/>
    <w:link w:val="1265"/>
    <w:qFormat/>
    <w:uiPriority w:val="0"/>
    <w:pPr>
      <w:widowControl w:val="0"/>
    </w:pPr>
    <w:rPr>
      <w:rFonts w:ascii="等线" w:hAnsi="等线" w:eastAsia="仿宋_GB2312"/>
      <w:kern w:val="0"/>
      <w:szCs w:val="20"/>
    </w:rPr>
  </w:style>
  <w:style w:type="character" w:customStyle="1" w:styleId="1267">
    <w:name w:val="正文文本缩进 3 Char1"/>
    <w:semiHidden/>
    <w:qFormat/>
    <w:uiPriority w:val="0"/>
    <w:rPr>
      <w:kern w:val="24"/>
      <w:sz w:val="16"/>
      <w:szCs w:val="16"/>
    </w:rPr>
  </w:style>
  <w:style w:type="character" w:customStyle="1" w:styleId="1268">
    <w:name w:val="（目录）二到4级标题及附表 Char"/>
    <w:link w:val="1269"/>
    <w:uiPriority w:val="0"/>
    <w:rPr>
      <w:snapToGrid w:val="0"/>
      <w:kern w:val="30"/>
      <w:sz w:val="24"/>
      <w:szCs w:val="30"/>
    </w:rPr>
  </w:style>
  <w:style w:type="paragraph" w:customStyle="1" w:styleId="1269">
    <w:name w:val="（目录）二到4级标题及附表"/>
    <w:basedOn w:val="1270"/>
    <w:link w:val="1268"/>
    <w:qFormat/>
    <w:uiPriority w:val="0"/>
    <w:rPr>
      <w:rFonts w:ascii="等线" w:hAnsi="等线" w:eastAsia="等线" w:cs="Times New Roman"/>
      <w:sz w:val="24"/>
    </w:rPr>
  </w:style>
  <w:style w:type="paragraph" w:customStyle="1" w:styleId="1270">
    <w:name w:val="前言标题"/>
    <w:link w:val="1505"/>
    <w:qFormat/>
    <w:uiPriority w:val="0"/>
    <w:pPr>
      <w:adjustRightInd w:val="0"/>
      <w:snapToGrid w:val="0"/>
      <w:spacing w:line="360" w:lineRule="auto"/>
      <w:jc w:val="center"/>
    </w:pPr>
    <w:rPr>
      <w:rFonts w:eastAsia="黑体" w:asciiTheme="minorHAnsi" w:hAnsiTheme="minorHAnsi" w:cstheme="minorBidi"/>
      <w:snapToGrid w:val="0"/>
      <w:kern w:val="30"/>
      <w:sz w:val="30"/>
      <w:szCs w:val="30"/>
      <w:lang w:val="en-US" w:eastAsia="zh-CN" w:bidi="ar-SA"/>
    </w:rPr>
  </w:style>
  <w:style w:type="character" w:customStyle="1" w:styleId="1271">
    <w:name w:val="批注主题 Char1"/>
    <w:semiHidden/>
    <w:qFormat/>
    <w:uiPriority w:val="0"/>
    <w:rPr>
      <w:b/>
      <w:bCs/>
      <w:kern w:val="24"/>
      <w:sz w:val="24"/>
      <w:szCs w:val="24"/>
    </w:rPr>
  </w:style>
  <w:style w:type="character" w:customStyle="1" w:styleId="1272">
    <w:name w:val="toctext"/>
    <w:uiPriority w:val="0"/>
  </w:style>
  <w:style w:type="character" w:customStyle="1" w:styleId="1273">
    <w:name w:val="页眉zxl Char Char"/>
    <w:semiHidden/>
    <w:qFormat/>
    <w:uiPriority w:val="0"/>
    <w:rPr>
      <w:rFonts w:eastAsia="宋体"/>
      <w:kern w:val="2"/>
      <w:sz w:val="18"/>
      <w:szCs w:val="18"/>
      <w:lang w:val="en-US" w:eastAsia="zh-CN" w:bidi="ar-SA"/>
    </w:rPr>
  </w:style>
  <w:style w:type="character" w:customStyle="1" w:styleId="1274">
    <w:name w:val="正文文本 Char2"/>
    <w:uiPriority w:val="0"/>
    <w:rPr>
      <w:rFonts w:ascii="Times New Roman" w:hAnsi="Times New Roman"/>
      <w:snapToGrid/>
      <w:kern w:val="24"/>
      <w:sz w:val="24"/>
      <w:szCs w:val="24"/>
    </w:rPr>
  </w:style>
  <w:style w:type="character" w:customStyle="1" w:styleId="1275">
    <w:name w:val="style91"/>
    <w:qFormat/>
    <w:uiPriority w:val="0"/>
    <w:rPr>
      <w:color w:val="993300"/>
    </w:rPr>
  </w:style>
  <w:style w:type="character" w:customStyle="1" w:styleId="1276">
    <w:name w:val="font201"/>
    <w:qFormat/>
    <w:uiPriority w:val="0"/>
    <w:rPr>
      <w:spacing w:val="300"/>
    </w:rPr>
  </w:style>
  <w:style w:type="character" w:customStyle="1" w:styleId="1277">
    <w:name w:val="个人答复风格"/>
    <w:semiHidden/>
    <w:qFormat/>
    <w:uiPriority w:val="0"/>
    <w:rPr>
      <w:rFonts w:ascii="Arial" w:hAnsi="Arial" w:eastAsia="宋体" w:cs="Arial"/>
      <w:color w:val="auto"/>
      <w:sz w:val="20"/>
    </w:rPr>
  </w:style>
  <w:style w:type="character" w:customStyle="1" w:styleId="1278">
    <w:name w:val="正文文字缩进 3 Char Char1"/>
    <w:qFormat/>
    <w:uiPriority w:val="0"/>
    <w:rPr>
      <w:rFonts w:ascii="Times New Roman" w:hAnsi="Times New Roman" w:eastAsia="宋体" w:cs="Times New Roman"/>
      <w:snapToGrid w:val="0"/>
      <w:color w:val="000000"/>
      <w:kern w:val="0"/>
      <w:sz w:val="24"/>
      <w:szCs w:val="24"/>
    </w:rPr>
  </w:style>
  <w:style w:type="character" w:customStyle="1" w:styleId="1279">
    <w:name w:val="Char Char25"/>
    <w:qFormat/>
    <w:uiPriority w:val="0"/>
    <w:rPr>
      <w:rFonts w:ascii="Times New Roman" w:hAnsi="Times New Roman" w:eastAsia="宋体" w:cs="Times New Roman"/>
      <w:snapToGrid w:val="0"/>
      <w:kern w:val="24"/>
      <w:sz w:val="18"/>
      <w:szCs w:val="18"/>
    </w:rPr>
  </w:style>
  <w:style w:type="character" w:customStyle="1" w:styleId="1280">
    <w:name w:val="isellp"/>
    <w:basedOn w:val="134"/>
    <w:semiHidden/>
    <w:qFormat/>
    <w:uiPriority w:val="0"/>
  </w:style>
  <w:style w:type="character" w:customStyle="1" w:styleId="1281">
    <w:name w:val="Char Char21"/>
    <w:qFormat/>
    <w:uiPriority w:val="0"/>
    <w:rPr>
      <w:rFonts w:ascii="Times New Roman" w:hAnsi="Times New Roman" w:eastAsia="宋体" w:cs="Times New Roman"/>
      <w:snapToGrid w:val="0"/>
      <w:kern w:val="24"/>
      <w:sz w:val="24"/>
      <w:szCs w:val="24"/>
    </w:rPr>
  </w:style>
  <w:style w:type="character" w:customStyle="1" w:styleId="1282">
    <w:name w:val="信息计划书 标题样式 Char"/>
    <w:qFormat/>
    <w:uiPriority w:val="0"/>
    <w:rPr>
      <w:rFonts w:ascii="Times New Roman" w:hAnsi="Times New Roman" w:eastAsia="宋体" w:cs="Times New Roman"/>
      <w:snapToGrid w:val="0"/>
      <w:kern w:val="24"/>
      <w:sz w:val="24"/>
      <w:szCs w:val="24"/>
    </w:rPr>
  </w:style>
  <w:style w:type="character" w:customStyle="1" w:styleId="1283">
    <w:name w:val="Char Char263"/>
    <w:uiPriority w:val="0"/>
    <w:rPr>
      <w:rFonts w:eastAsia="宋体"/>
      <w:snapToGrid w:val="0"/>
      <w:kern w:val="24"/>
      <w:sz w:val="24"/>
      <w:szCs w:val="24"/>
      <w:lang w:val="en-US" w:eastAsia="zh-CN" w:bidi="ar-SA"/>
    </w:rPr>
  </w:style>
  <w:style w:type="character" w:customStyle="1" w:styleId="1284">
    <w:name w:val="表格文字2 Char"/>
    <w:qFormat/>
    <w:uiPriority w:val="0"/>
    <w:rPr>
      <w:rFonts w:eastAsia="宋体"/>
      <w:sz w:val="21"/>
      <w:szCs w:val="21"/>
      <w:lang w:val="en-US" w:eastAsia="zh-CN" w:bidi="ar-SA"/>
    </w:rPr>
  </w:style>
  <w:style w:type="character" w:customStyle="1" w:styleId="1285">
    <w:name w:val="样式 样式 标题 21.1标题 21.1_Heading 2标题 2 Char1节标2节标题 1.11.1标题2h... + 红色 Char"/>
    <w:semiHidden/>
    <w:qFormat/>
    <w:uiPriority w:val="0"/>
    <w:rPr>
      <w:rFonts w:cs="宋体"/>
      <w:bCs/>
      <w:szCs w:val="28"/>
    </w:rPr>
  </w:style>
  <w:style w:type="character" w:customStyle="1" w:styleId="1286">
    <w:name w:val="样式 标题 21.1标题 21.1_Heading 2标题 2 Char1节标2节标题 1.11.1标题2h... Char"/>
    <w:semiHidden/>
    <w:qFormat/>
    <w:uiPriority w:val="0"/>
    <w:rPr>
      <w:rFonts w:cs="宋体"/>
      <w:bCs/>
    </w:rPr>
  </w:style>
  <w:style w:type="character" w:customStyle="1" w:styleId="1287">
    <w:name w:val="表格文字2 Char Char"/>
    <w:link w:val="1288"/>
    <w:qFormat/>
    <w:uiPriority w:val="0"/>
    <w:rPr>
      <w:kern w:val="24"/>
      <w:szCs w:val="21"/>
    </w:rPr>
  </w:style>
  <w:style w:type="paragraph" w:customStyle="1" w:styleId="1288">
    <w:name w:val="表格文字2"/>
    <w:basedOn w:val="1"/>
    <w:link w:val="1287"/>
    <w:qFormat/>
    <w:uiPriority w:val="0"/>
    <w:pPr>
      <w:widowControl w:val="0"/>
      <w:tabs>
        <w:tab w:val="left" w:pos="0"/>
        <w:tab w:val="left" w:pos="277"/>
        <w:tab w:val="left" w:pos="600"/>
        <w:tab w:val="left" w:pos="780"/>
        <w:tab w:val="left" w:pos="2517"/>
      </w:tabs>
      <w:adjustRightInd w:val="0"/>
      <w:snapToGrid w:val="0"/>
      <w:spacing w:line="240" w:lineRule="auto"/>
      <w:jc w:val="center"/>
    </w:pPr>
    <w:rPr>
      <w:rFonts w:ascii="等线" w:hAnsi="等线"/>
      <w:kern w:val="24"/>
      <w:sz w:val="20"/>
      <w:szCs w:val="21"/>
    </w:rPr>
  </w:style>
  <w:style w:type="character" w:customStyle="1" w:styleId="1289">
    <w:name w:val="文本框大文字 Char"/>
    <w:link w:val="1290"/>
    <w:semiHidden/>
    <w:qFormat/>
    <w:uiPriority w:val="0"/>
    <w:rPr>
      <w:rFonts w:ascii="Arial" w:hAnsi="Arial"/>
      <w:snapToGrid w:val="0"/>
      <w:kern w:val="21"/>
      <w:szCs w:val="24"/>
    </w:rPr>
  </w:style>
  <w:style w:type="paragraph" w:customStyle="1" w:styleId="1290">
    <w:name w:val="文本框大文字"/>
    <w:basedOn w:val="1"/>
    <w:link w:val="1289"/>
    <w:semiHidden/>
    <w:qFormat/>
    <w:uiPriority w:val="0"/>
    <w:pPr>
      <w:framePr w:hSpace="181" w:vSpace="181" w:wrap="notBeside" w:vAnchor="page" w:hAnchor="page" w:xAlign="center" w:yAlign="center"/>
      <w:widowControl w:val="0"/>
      <w:adjustRightInd w:val="0"/>
      <w:snapToGrid w:val="0"/>
      <w:spacing w:line="240" w:lineRule="auto"/>
      <w:ind w:firstLine="200" w:firstLineChars="200"/>
      <w:jc w:val="center"/>
      <w:textAlignment w:val="center"/>
    </w:pPr>
    <w:rPr>
      <w:rFonts w:ascii="Arial" w:hAnsi="Arial"/>
      <w:snapToGrid w:val="0"/>
      <w:kern w:val="21"/>
      <w:sz w:val="20"/>
      <w:szCs w:val="24"/>
    </w:rPr>
  </w:style>
  <w:style w:type="character" w:customStyle="1" w:styleId="1291">
    <w:name w:val="文本块 Char1"/>
    <w:qFormat/>
    <w:uiPriority w:val="0"/>
    <w:rPr>
      <w:kern w:val="2"/>
      <w:sz w:val="21"/>
      <w:szCs w:val="24"/>
    </w:rPr>
  </w:style>
  <w:style w:type="character" w:customStyle="1" w:styleId="1292">
    <w:name w:val="文本框小五 Char"/>
    <w:link w:val="1293"/>
    <w:semiHidden/>
    <w:qFormat/>
    <w:uiPriority w:val="0"/>
    <w:rPr>
      <w:rFonts w:ascii="Arial" w:hAnsi="Arial"/>
      <w:snapToGrid w:val="0"/>
      <w:kern w:val="18"/>
      <w:sz w:val="18"/>
      <w:szCs w:val="24"/>
    </w:rPr>
  </w:style>
  <w:style w:type="paragraph" w:customStyle="1" w:styleId="1293">
    <w:name w:val="文本框小五"/>
    <w:basedOn w:val="1"/>
    <w:link w:val="1292"/>
    <w:semiHidden/>
    <w:qFormat/>
    <w:uiPriority w:val="0"/>
    <w:pPr>
      <w:widowControl w:val="0"/>
      <w:adjustRightInd w:val="0"/>
      <w:snapToGrid w:val="0"/>
      <w:spacing w:line="240" w:lineRule="auto"/>
      <w:jc w:val="center"/>
      <w:textAlignment w:val="center"/>
    </w:pPr>
    <w:rPr>
      <w:rFonts w:ascii="Arial" w:hAnsi="Arial"/>
      <w:snapToGrid w:val="0"/>
      <w:kern w:val="18"/>
      <w:sz w:val="18"/>
      <w:szCs w:val="24"/>
    </w:rPr>
  </w:style>
  <w:style w:type="character" w:customStyle="1" w:styleId="1294">
    <w:name w:val="headline-content"/>
    <w:uiPriority w:val="0"/>
  </w:style>
  <w:style w:type="character" w:customStyle="1" w:styleId="1295">
    <w:name w:val="宋体4 Char"/>
    <w:link w:val="1296"/>
    <w:qFormat/>
    <w:uiPriority w:val="0"/>
    <w:rPr>
      <w:sz w:val="28"/>
      <w:szCs w:val="48"/>
    </w:rPr>
  </w:style>
  <w:style w:type="paragraph" w:customStyle="1" w:styleId="1296">
    <w:name w:val="宋体4"/>
    <w:basedOn w:val="1"/>
    <w:link w:val="1295"/>
    <w:qFormat/>
    <w:uiPriority w:val="0"/>
    <w:pPr>
      <w:widowControl w:val="0"/>
      <w:ind w:firstLine="200" w:firstLineChars="200"/>
    </w:pPr>
    <w:rPr>
      <w:rFonts w:ascii="等线" w:hAnsi="等线"/>
      <w:kern w:val="0"/>
      <w:sz w:val="28"/>
      <w:szCs w:val="48"/>
    </w:rPr>
  </w:style>
  <w:style w:type="character" w:customStyle="1" w:styleId="1297">
    <w:name w:val="样式 正文文本缩进 2正文文本缩进 2 Char Char Char Char正文文本缩进 2 Char Char + 黑色2 Char"/>
    <w:link w:val="1298"/>
    <w:qFormat/>
    <w:uiPriority w:val="0"/>
    <w:rPr>
      <w:color w:val="000000"/>
      <w:szCs w:val="21"/>
      <w:lang w:val="zh-CN"/>
    </w:rPr>
  </w:style>
  <w:style w:type="paragraph" w:customStyle="1" w:styleId="1298">
    <w:name w:val="样式 正文文本缩进 2正文文本缩进 2 Char Char Char Char正文文本缩进 2 Char Char + 黑色2"/>
    <w:basedOn w:val="1"/>
    <w:link w:val="1297"/>
    <w:qFormat/>
    <w:uiPriority w:val="0"/>
    <w:pPr>
      <w:widowControl w:val="0"/>
      <w:adjustRightInd w:val="0"/>
      <w:spacing w:line="320" w:lineRule="exact"/>
      <w:ind w:firstLine="420" w:firstLineChars="200"/>
      <w:jc w:val="center"/>
      <w:textAlignment w:val="baseline"/>
    </w:pPr>
    <w:rPr>
      <w:rFonts w:ascii="等线" w:hAnsi="等线"/>
      <w:color w:val="000000"/>
      <w:kern w:val="0"/>
      <w:sz w:val="20"/>
      <w:szCs w:val="21"/>
      <w:lang w:val="zh-CN"/>
    </w:rPr>
  </w:style>
  <w:style w:type="character" w:customStyle="1" w:styleId="1299">
    <w:name w:val="书籍标题1"/>
    <w:qFormat/>
    <w:uiPriority w:val="0"/>
    <w:rPr>
      <w:rFonts w:ascii="Cambria" w:hAnsi="Cambria" w:eastAsia="宋体"/>
      <w:b/>
      <w:i/>
      <w:sz w:val="24"/>
      <w:szCs w:val="24"/>
    </w:rPr>
  </w:style>
  <w:style w:type="character" w:customStyle="1" w:styleId="1300">
    <w:name w:val="不明显参考11"/>
    <w:qFormat/>
    <w:uiPriority w:val="0"/>
    <w:rPr>
      <w:sz w:val="24"/>
      <w:szCs w:val="24"/>
      <w:u w:val="single"/>
    </w:rPr>
  </w:style>
  <w:style w:type="character" w:customStyle="1" w:styleId="1301">
    <w:name w:val="Char Char18"/>
    <w:qFormat/>
    <w:uiPriority w:val="0"/>
    <w:rPr>
      <w:rFonts w:eastAsia="宋体"/>
      <w:snapToGrid w:val="0"/>
      <w:kern w:val="24"/>
      <w:sz w:val="24"/>
      <w:szCs w:val="24"/>
      <w:lang w:val="en-US" w:eastAsia="zh-CN" w:bidi="ar-SA"/>
    </w:rPr>
  </w:style>
  <w:style w:type="character" w:customStyle="1" w:styleId="1302">
    <w:name w:val="文字块 Char Char"/>
    <w:qFormat/>
    <w:uiPriority w:val="0"/>
    <w:rPr>
      <w:rFonts w:eastAsia="宋体"/>
      <w:snapToGrid w:val="0"/>
      <w:kern w:val="21"/>
      <w:sz w:val="21"/>
      <w:szCs w:val="24"/>
      <w:lang w:val="en-US" w:eastAsia="zh-CN" w:bidi="ar-SA"/>
    </w:rPr>
  </w:style>
  <w:style w:type="character" w:customStyle="1" w:styleId="1303">
    <w:name w:val="文本框 Char Char1"/>
    <w:uiPriority w:val="0"/>
    <w:rPr>
      <w:rFonts w:ascii="Times New Roman" w:hAnsi="Times New Roman" w:eastAsia="宋体" w:cs="Times New Roman"/>
      <w:snapToGrid w:val="0"/>
      <w:kern w:val="24"/>
      <w:sz w:val="24"/>
      <w:szCs w:val="24"/>
      <w:shd w:val="clear" w:color="auto" w:fill="000080"/>
    </w:rPr>
  </w:style>
  <w:style w:type="character" w:customStyle="1" w:styleId="1304">
    <w:name w:val="1.1.1.1 Char Char2"/>
    <w:uiPriority w:val="0"/>
    <w:rPr>
      <w:rFonts w:eastAsia="宋体"/>
      <w:b/>
      <w:snapToGrid w:val="0"/>
      <w:kern w:val="24"/>
      <w:sz w:val="24"/>
      <w:szCs w:val="24"/>
      <w:lang w:val="en-US" w:eastAsia="zh-CN" w:bidi="ar-SA"/>
    </w:rPr>
  </w:style>
  <w:style w:type="character" w:customStyle="1" w:styleId="1305">
    <w:name w:val="Char Char195"/>
    <w:semiHidden/>
    <w:uiPriority w:val="0"/>
    <w:rPr>
      <w:rFonts w:eastAsia="宋体"/>
      <w:snapToGrid w:val="0"/>
      <w:kern w:val="24"/>
      <w:sz w:val="18"/>
      <w:szCs w:val="18"/>
      <w:lang w:val="en-US" w:eastAsia="zh-CN" w:bidi="ar-SA"/>
    </w:rPr>
  </w:style>
  <w:style w:type="character" w:customStyle="1" w:styleId="1306">
    <w:name w:val="样式 样式 正文文本 + 首行缩进:  2 字符 + 宋体 首行缩进:  2 字符 Char"/>
    <w:link w:val="1307"/>
    <w:uiPriority w:val="0"/>
    <w:rPr>
      <w:sz w:val="24"/>
      <w:szCs w:val="24"/>
    </w:rPr>
  </w:style>
  <w:style w:type="paragraph" w:customStyle="1" w:styleId="1307">
    <w:name w:val="样式 样式 正文文本 + 首行缩进:  2 字符 + 宋体 首行缩进:  2 字符"/>
    <w:basedOn w:val="1"/>
    <w:link w:val="1306"/>
    <w:qFormat/>
    <w:uiPriority w:val="0"/>
    <w:pPr>
      <w:widowControl w:val="0"/>
      <w:adjustRightInd w:val="0"/>
      <w:snapToGrid w:val="0"/>
      <w:spacing w:before="120" w:line="300" w:lineRule="auto"/>
      <w:ind w:firstLine="480" w:firstLineChars="200"/>
      <w:textAlignment w:val="baseline"/>
    </w:pPr>
    <w:rPr>
      <w:rFonts w:ascii="等线" w:hAnsi="等线"/>
      <w:kern w:val="0"/>
      <w:szCs w:val="24"/>
    </w:rPr>
  </w:style>
  <w:style w:type="character" w:customStyle="1" w:styleId="1308">
    <w:name w:val="正文格式 Char Char Char"/>
    <w:link w:val="1309"/>
    <w:uiPriority w:val="0"/>
    <w:rPr>
      <w:spacing w:val="4"/>
      <w:sz w:val="24"/>
    </w:rPr>
  </w:style>
  <w:style w:type="paragraph" w:customStyle="1" w:styleId="1309">
    <w:name w:val="正文格式 Char Char"/>
    <w:basedOn w:val="1"/>
    <w:link w:val="1308"/>
    <w:qFormat/>
    <w:uiPriority w:val="0"/>
    <w:pPr>
      <w:widowControl w:val="0"/>
      <w:ind w:firstLine="544" w:firstLineChars="200"/>
    </w:pPr>
    <w:rPr>
      <w:rFonts w:ascii="等线" w:hAnsi="等线"/>
      <w:spacing w:val="4"/>
      <w:kern w:val="0"/>
      <w:szCs w:val="20"/>
    </w:rPr>
  </w:style>
  <w:style w:type="character" w:customStyle="1" w:styleId="1310">
    <w:name w:val="表格标注 Char"/>
    <w:link w:val="1311"/>
    <w:uiPriority w:val="0"/>
    <w:rPr>
      <w:rFonts w:ascii="宋体"/>
      <w:snapToGrid w:val="0"/>
      <w:szCs w:val="24"/>
    </w:rPr>
  </w:style>
  <w:style w:type="paragraph" w:customStyle="1" w:styleId="1311">
    <w:name w:val="表格标注"/>
    <w:basedOn w:val="1312"/>
    <w:link w:val="1310"/>
    <w:qFormat/>
    <w:uiPriority w:val="0"/>
    <w:rPr>
      <w:rFonts w:hAnsi="等线" w:eastAsia="等线" w:cs="Times New Roman"/>
      <w:kern w:val="0"/>
      <w:sz w:val="20"/>
    </w:rPr>
  </w:style>
  <w:style w:type="paragraph" w:customStyle="1" w:styleId="1312">
    <w:name w:val="表格内容1"/>
    <w:basedOn w:val="1"/>
    <w:link w:val="1492"/>
    <w:qFormat/>
    <w:uiPriority w:val="0"/>
    <w:pPr>
      <w:widowControl w:val="0"/>
      <w:adjustRightInd w:val="0"/>
      <w:snapToGrid w:val="0"/>
      <w:spacing w:beforeLines="20" w:afterLines="20" w:line="240" w:lineRule="exact"/>
      <w:jc w:val="center"/>
    </w:pPr>
    <w:rPr>
      <w:rFonts w:ascii="宋体" w:hAnsiTheme="minorHAnsi" w:eastAsiaTheme="minorEastAsia" w:cstheme="minorBidi"/>
      <w:snapToGrid w:val="0"/>
      <w:sz w:val="21"/>
      <w:szCs w:val="24"/>
    </w:rPr>
  </w:style>
  <w:style w:type="character" w:customStyle="1" w:styleId="1313">
    <w:name w:val="表格内字体 Char Char"/>
    <w:qFormat/>
    <w:uiPriority w:val="0"/>
    <w:rPr>
      <w:rFonts w:eastAsia="仿宋_GB2312"/>
      <w:snapToGrid w:val="0"/>
      <w:kern w:val="21"/>
      <w:sz w:val="21"/>
      <w:szCs w:val="21"/>
      <w:lang w:val="en-US" w:eastAsia="zh-CN" w:bidi="ar-SA"/>
    </w:rPr>
  </w:style>
  <w:style w:type="character" w:customStyle="1" w:styleId="1314">
    <w:name w:val="WW8Num3z1"/>
    <w:uiPriority w:val="0"/>
    <w:rPr>
      <w:rFonts w:hint="default" w:ascii="Times New Roman" w:hAnsi="Times New Roman" w:eastAsia="宋体" w:cs="Times New Roman"/>
      <w:b/>
      <w:sz w:val="24"/>
      <w:szCs w:val="24"/>
    </w:rPr>
  </w:style>
  <w:style w:type="character" w:customStyle="1" w:styleId="1315">
    <w:name w:val="Char Char111"/>
    <w:uiPriority w:val="0"/>
    <w:rPr>
      <w:rFonts w:eastAsia="宋体"/>
      <w:snapToGrid w:val="0"/>
      <w:kern w:val="24"/>
      <w:sz w:val="24"/>
      <w:szCs w:val="24"/>
      <w:lang w:val="en-US" w:eastAsia="zh-CN" w:bidi="ar-SA"/>
    </w:rPr>
  </w:style>
  <w:style w:type="character" w:customStyle="1" w:styleId="1316">
    <w:name w:val="批注引用1"/>
    <w:uiPriority w:val="0"/>
    <w:rPr>
      <w:sz w:val="21"/>
      <w:szCs w:val="21"/>
    </w:rPr>
  </w:style>
  <w:style w:type="character" w:customStyle="1" w:styleId="1317">
    <w:name w:val="WW8Num2z7"/>
    <w:uiPriority w:val="0"/>
  </w:style>
  <w:style w:type="character" w:customStyle="1" w:styleId="1318">
    <w:name w:val="页脚 Char4"/>
    <w:uiPriority w:val="99"/>
    <w:rPr>
      <w:kern w:val="2"/>
      <w:sz w:val="18"/>
      <w:szCs w:val="18"/>
      <w:lang w:val="en-US" w:eastAsia="zh-CN" w:bidi="ar-SA"/>
    </w:rPr>
  </w:style>
  <w:style w:type="character" w:customStyle="1" w:styleId="1319">
    <w:name w:val="Char Char81"/>
    <w:uiPriority w:val="0"/>
    <w:rPr>
      <w:rFonts w:eastAsia="宋体"/>
      <w:snapToGrid w:val="0"/>
      <w:kern w:val="24"/>
      <w:sz w:val="18"/>
      <w:szCs w:val="18"/>
      <w:lang w:val="en-US" w:eastAsia="zh-CN" w:bidi="ar-SA"/>
    </w:rPr>
  </w:style>
  <w:style w:type="character" w:customStyle="1" w:styleId="1320">
    <w:name w:val="批注框文本 Char4"/>
    <w:uiPriority w:val="99"/>
    <w:rPr>
      <w:rFonts w:eastAsia="宋体"/>
      <w:snapToGrid w:val="0"/>
      <w:kern w:val="24"/>
      <w:sz w:val="18"/>
      <w:szCs w:val="18"/>
      <w:lang w:val="en-US" w:eastAsia="zh-CN" w:bidi="ar-SA"/>
    </w:rPr>
  </w:style>
  <w:style w:type="character" w:customStyle="1" w:styleId="1321">
    <w:name w:val="Char Char91"/>
    <w:uiPriority w:val="0"/>
    <w:rPr>
      <w:rFonts w:eastAsia="宋体"/>
      <w:b/>
      <w:bCs/>
      <w:snapToGrid w:val="0"/>
      <w:kern w:val="24"/>
      <w:sz w:val="24"/>
      <w:szCs w:val="24"/>
      <w:lang w:val="en-US" w:eastAsia="zh-CN" w:bidi="ar-SA"/>
    </w:rPr>
  </w:style>
  <w:style w:type="character" w:customStyle="1" w:styleId="1322">
    <w:name w:val="正文文字缩进 3 Char Char"/>
    <w:uiPriority w:val="0"/>
    <w:rPr>
      <w:rFonts w:eastAsia="宋体"/>
      <w:snapToGrid w:val="0"/>
      <w:kern w:val="24"/>
      <w:sz w:val="16"/>
      <w:szCs w:val="16"/>
      <w:lang w:val="en-US" w:eastAsia="zh-CN" w:bidi="ar-SA"/>
    </w:rPr>
  </w:style>
  <w:style w:type="character" w:customStyle="1" w:styleId="1323">
    <w:name w:val="正文文本缩进 Char4"/>
    <w:uiPriority w:val="0"/>
    <w:rPr>
      <w:snapToGrid w:val="0"/>
      <w:kern w:val="24"/>
      <w:sz w:val="24"/>
      <w:szCs w:val="24"/>
    </w:rPr>
  </w:style>
  <w:style w:type="character" w:customStyle="1" w:styleId="1324">
    <w:name w:val="脚注文本 Char4"/>
    <w:uiPriority w:val="0"/>
    <w:rPr>
      <w:snapToGrid w:val="0"/>
      <w:kern w:val="24"/>
      <w:sz w:val="18"/>
      <w:szCs w:val="18"/>
    </w:rPr>
  </w:style>
  <w:style w:type="character" w:customStyle="1" w:styleId="1325">
    <w:name w:val="正文首行缩进 2 Char4"/>
    <w:uiPriority w:val="0"/>
    <w:rPr>
      <w:snapToGrid w:val="0"/>
      <w:kern w:val="24"/>
      <w:sz w:val="24"/>
      <w:szCs w:val="24"/>
    </w:rPr>
  </w:style>
  <w:style w:type="character" w:customStyle="1" w:styleId="1326">
    <w:name w:val="Char Char35"/>
    <w:uiPriority w:val="0"/>
    <w:rPr>
      <w:sz w:val="18"/>
      <w:szCs w:val="18"/>
    </w:rPr>
  </w:style>
  <w:style w:type="character" w:customStyle="1" w:styleId="1327">
    <w:name w:val="Char Char61"/>
    <w:uiPriority w:val="0"/>
    <w:rPr>
      <w:sz w:val="18"/>
    </w:rPr>
  </w:style>
  <w:style w:type="character" w:customStyle="1" w:styleId="1328">
    <w:name w:val="尾注文本 Char4"/>
    <w:uiPriority w:val="0"/>
    <w:rPr>
      <w:snapToGrid w:val="0"/>
      <w:kern w:val="24"/>
      <w:sz w:val="24"/>
      <w:szCs w:val="24"/>
    </w:rPr>
  </w:style>
  <w:style w:type="character" w:customStyle="1" w:styleId="1329">
    <w:name w:val="style31"/>
    <w:qFormat/>
    <w:uiPriority w:val="0"/>
    <w:rPr>
      <w:color w:val="666666"/>
      <w:spacing w:val="360"/>
      <w:sz w:val="24"/>
      <w:szCs w:val="24"/>
      <w:u w:val="none"/>
    </w:rPr>
  </w:style>
  <w:style w:type="character" w:customStyle="1" w:styleId="1330">
    <w:name w:val="Footer Char"/>
    <w:semiHidden/>
    <w:uiPriority w:val="99"/>
    <w:rPr>
      <w:rFonts w:cs="Calibri"/>
      <w:kern w:val="0"/>
      <w:sz w:val="18"/>
      <w:szCs w:val="18"/>
    </w:rPr>
  </w:style>
  <w:style w:type="character" w:customStyle="1" w:styleId="1331">
    <w:name w:val="列出段落 Char2"/>
    <w:locked/>
    <w:uiPriority w:val="34"/>
  </w:style>
  <w:style w:type="character" w:customStyle="1" w:styleId="1332">
    <w:name w:val="nota"/>
    <w:qFormat/>
    <w:uiPriority w:val="0"/>
    <w:rPr>
      <w:i/>
      <w:iCs/>
      <w:sz w:val="20"/>
    </w:rPr>
  </w:style>
  <w:style w:type="character" w:customStyle="1" w:styleId="1333">
    <w:name w:val="表格内容 Char"/>
    <w:link w:val="447"/>
    <w:qFormat/>
    <w:uiPriority w:val="0"/>
    <w:rPr>
      <w:rFonts w:ascii="宋体" w:hAnsi="宋体" w:eastAsia="宋体" w:cs="Tahoma"/>
      <w:color w:val="000000"/>
      <w:kern w:val="2"/>
      <w:sz w:val="21"/>
      <w:szCs w:val="18"/>
    </w:rPr>
  </w:style>
  <w:style w:type="character" w:customStyle="1" w:styleId="1334">
    <w:name w:val="Header Char"/>
    <w:semiHidden/>
    <w:uiPriority w:val="99"/>
    <w:rPr>
      <w:rFonts w:cs="Calibri"/>
      <w:kern w:val="0"/>
      <w:sz w:val="18"/>
      <w:szCs w:val="18"/>
    </w:rPr>
  </w:style>
  <w:style w:type="character" w:customStyle="1" w:styleId="1335">
    <w:name w:val="样式 正文缩进正文（首行缩进两字） Char表格标题正文（首行缩进两字） Char Char Char Char Char... Char"/>
    <w:semiHidden/>
    <w:qFormat/>
    <w:uiPriority w:val="0"/>
    <w:rPr>
      <w:rFonts w:ascii="宋体" w:hAnsi="宋体" w:eastAsia="宋体"/>
      <w:color w:val="000000"/>
      <w:spacing w:val="-2"/>
      <w:kern w:val="2"/>
      <w:sz w:val="28"/>
      <w:lang w:val="en-US" w:eastAsia="zh-CN" w:bidi="ar-SA"/>
    </w:rPr>
  </w:style>
  <w:style w:type="character" w:customStyle="1" w:styleId="1336">
    <w:name w:val="Char Char71"/>
    <w:uiPriority w:val="0"/>
    <w:rPr>
      <w:rFonts w:eastAsia="宋体"/>
      <w:snapToGrid w:val="0"/>
      <w:kern w:val="24"/>
      <w:sz w:val="18"/>
      <w:szCs w:val="18"/>
      <w:lang w:val="en-US" w:eastAsia="zh-CN" w:bidi="ar-SA"/>
    </w:rPr>
  </w:style>
  <w:style w:type="character" w:customStyle="1" w:styleId="1337">
    <w:name w:val="列表 字符1"/>
    <w:link w:val="67"/>
    <w:locked/>
    <w:uiPriority w:val="99"/>
    <w:rPr>
      <w:rFonts w:ascii="Times New Roman" w:hAnsi="Times New Roman" w:eastAsiaTheme="minorEastAsia" w:cstheme="minorBidi"/>
      <w:kern w:val="2"/>
      <w:sz w:val="24"/>
      <w:szCs w:val="21"/>
    </w:rPr>
  </w:style>
  <w:style w:type="character" w:customStyle="1" w:styleId="1338">
    <w:name w:val="atn"/>
    <w:uiPriority w:val="0"/>
  </w:style>
  <w:style w:type="character" w:customStyle="1" w:styleId="1339">
    <w:name w:val="宏文本 Char4"/>
    <w:uiPriority w:val="0"/>
    <w:rPr>
      <w:rFonts w:ascii="Courier New" w:hAnsi="Courier New" w:cs="Courier New"/>
      <w:snapToGrid w:val="0"/>
      <w:kern w:val="24"/>
      <w:sz w:val="24"/>
      <w:szCs w:val="24"/>
      <w:lang w:val="en-US" w:eastAsia="zh-CN" w:bidi="ar-SA"/>
    </w:rPr>
  </w:style>
  <w:style w:type="character" w:customStyle="1" w:styleId="1340">
    <w:name w:val="样式1 Char"/>
    <w:link w:val="327"/>
    <w:qFormat/>
    <w:uiPriority w:val="99"/>
    <w:rPr>
      <w:rFonts w:ascii="Times New Roman" w:hAnsi="Times New Roman" w:eastAsia="宋体"/>
      <w:kern w:val="2"/>
      <w:sz w:val="26"/>
      <w:szCs w:val="26"/>
    </w:rPr>
  </w:style>
  <w:style w:type="character" w:customStyle="1" w:styleId="1341">
    <w:name w:val="t_tag"/>
    <w:basedOn w:val="134"/>
    <w:qFormat/>
    <w:uiPriority w:val="0"/>
  </w:style>
  <w:style w:type="character" w:customStyle="1" w:styleId="1342">
    <w:name w:val="z-窗体顶端 Char3"/>
    <w:uiPriority w:val="0"/>
    <w:rPr>
      <w:rFonts w:ascii="Arial" w:hAnsi="Arial" w:cs="Arial"/>
      <w:vanish/>
      <w:kern w:val="2"/>
      <w:sz w:val="16"/>
      <w:szCs w:val="16"/>
    </w:rPr>
  </w:style>
  <w:style w:type="character" w:customStyle="1" w:styleId="1343">
    <w:name w:val="样式3 Char"/>
    <w:link w:val="745"/>
    <w:qFormat/>
    <w:uiPriority w:val="0"/>
    <w:rPr>
      <w:rFonts w:ascii="Times New Roman" w:hAnsi="Times New Roman" w:eastAsia="华文楷体"/>
      <w:color w:val="000000"/>
      <w:kern w:val="2"/>
      <w:sz w:val="28"/>
    </w:rPr>
  </w:style>
  <w:style w:type="character" w:customStyle="1" w:styleId="1344">
    <w:name w:val="副标题 Char4"/>
    <w:uiPriority w:val="11"/>
    <w:rPr>
      <w:rFonts w:ascii="Cambria" w:hAnsi="Cambria" w:eastAsia="宋体" w:cs="Times New Roman"/>
      <w:b/>
      <w:bCs/>
      <w:kern w:val="28"/>
      <w:sz w:val="32"/>
      <w:szCs w:val="32"/>
    </w:rPr>
  </w:style>
  <w:style w:type="character" w:customStyle="1" w:styleId="1345">
    <w:name w:val="电子邮件签名 Char4"/>
    <w:uiPriority w:val="0"/>
    <w:rPr>
      <w:snapToGrid w:val="0"/>
      <w:kern w:val="24"/>
      <w:sz w:val="24"/>
      <w:szCs w:val="24"/>
    </w:rPr>
  </w:style>
  <w:style w:type="character" w:customStyle="1" w:styleId="1346">
    <w:name w:val="普通文字 Char"/>
    <w:qFormat/>
    <w:uiPriority w:val="0"/>
    <w:rPr>
      <w:rFonts w:ascii="宋体" w:hAnsi="Courier New" w:eastAsia="宋体"/>
      <w:kern w:val="2"/>
      <w:sz w:val="21"/>
      <w:lang w:val="en-US" w:eastAsia="zh-CN"/>
    </w:rPr>
  </w:style>
  <w:style w:type="character" w:customStyle="1" w:styleId="1347">
    <w:name w:val="普通文字 Char2"/>
    <w:uiPriority w:val="0"/>
    <w:rPr>
      <w:rFonts w:ascii="宋体" w:hAnsi="Courier New" w:eastAsia="宋体"/>
      <w:kern w:val="2"/>
      <w:sz w:val="24"/>
      <w:lang w:val="en-US" w:eastAsia="zh-CN" w:bidi="ar-SA"/>
    </w:rPr>
  </w:style>
  <w:style w:type="character" w:customStyle="1" w:styleId="1348">
    <w:name w:val="信息标题 Char4"/>
    <w:uiPriority w:val="0"/>
    <w:rPr>
      <w:rFonts w:ascii="Arial" w:hAnsi="Arial" w:cs="Arial"/>
      <w:snapToGrid w:val="0"/>
      <w:kern w:val="24"/>
      <w:sz w:val="24"/>
      <w:szCs w:val="24"/>
      <w:shd w:val="pct20" w:color="auto" w:fill="auto"/>
    </w:rPr>
  </w:style>
  <w:style w:type="character" w:customStyle="1" w:styleId="1349">
    <w:name w:val="正文(首行缩进) Char"/>
    <w:link w:val="300"/>
    <w:qFormat/>
    <w:uiPriority w:val="0"/>
    <w:rPr>
      <w:rFonts w:ascii="宋体" w:hAnsi="宋体" w:eastAsia="宋体"/>
      <w:sz w:val="21"/>
    </w:rPr>
  </w:style>
  <w:style w:type="character" w:customStyle="1" w:styleId="1350">
    <w:name w:val="签名 Char4"/>
    <w:uiPriority w:val="0"/>
    <w:rPr>
      <w:snapToGrid w:val="0"/>
      <w:kern w:val="24"/>
      <w:sz w:val="24"/>
      <w:szCs w:val="24"/>
    </w:rPr>
  </w:style>
  <w:style w:type="character" w:customStyle="1" w:styleId="1351">
    <w:name w:val="表头1 Char"/>
    <w:link w:val="384"/>
    <w:qFormat/>
    <w:uiPriority w:val="0"/>
    <w:rPr>
      <w:rFonts w:ascii="Times New Roman" w:hAnsi="Times New Roman" w:eastAsia="黑体"/>
      <w:sz w:val="21"/>
      <w:szCs w:val="28"/>
    </w:rPr>
  </w:style>
  <w:style w:type="character" w:customStyle="1" w:styleId="1352">
    <w:name w:val="引用 Char"/>
    <w:link w:val="1353"/>
    <w:uiPriority w:val="29"/>
    <w:rPr>
      <w:rFonts w:ascii="Calibri" w:hAnsi="Calibri"/>
      <w:i/>
      <w:sz w:val="24"/>
      <w:szCs w:val="24"/>
    </w:rPr>
  </w:style>
  <w:style w:type="paragraph" w:customStyle="1" w:styleId="1353">
    <w:name w:val="引用1"/>
    <w:basedOn w:val="1"/>
    <w:next w:val="1"/>
    <w:link w:val="1352"/>
    <w:qFormat/>
    <w:uiPriority w:val="29"/>
    <w:pPr>
      <w:spacing w:line="240" w:lineRule="auto"/>
      <w:jc w:val="left"/>
    </w:pPr>
    <w:rPr>
      <w:rFonts w:ascii="Calibri" w:hAnsi="Calibri"/>
      <w:i/>
      <w:kern w:val="0"/>
      <w:szCs w:val="24"/>
    </w:rPr>
  </w:style>
  <w:style w:type="character" w:customStyle="1" w:styleId="1354">
    <w:name w:val="明显引用 字符3"/>
    <w:link w:val="1355"/>
    <w:uiPriority w:val="30"/>
    <w:rPr>
      <w:rFonts w:ascii="Calibri" w:hAnsi="Calibri"/>
      <w:b/>
      <w:bCs/>
      <w:i/>
      <w:iCs/>
      <w:color w:val="4F81BD"/>
    </w:rPr>
  </w:style>
  <w:style w:type="paragraph" w:styleId="1355">
    <w:name w:val="Intense Quote"/>
    <w:basedOn w:val="1"/>
    <w:next w:val="1"/>
    <w:link w:val="1354"/>
    <w:qFormat/>
    <w:uiPriority w:val="30"/>
    <w:pPr>
      <w:widowControl w:val="0"/>
      <w:pBdr>
        <w:bottom w:val="single" w:color="4F81BD" w:sz="4" w:space="4"/>
      </w:pBdr>
      <w:spacing w:before="200" w:after="280"/>
      <w:ind w:left="936" w:right="936"/>
    </w:pPr>
    <w:rPr>
      <w:rFonts w:ascii="Calibri" w:hAnsi="Calibri"/>
      <w:b/>
      <w:bCs/>
      <w:i/>
      <w:iCs/>
      <w:color w:val="4F81BD"/>
      <w:kern w:val="0"/>
      <w:sz w:val="20"/>
      <w:szCs w:val="20"/>
    </w:rPr>
  </w:style>
  <w:style w:type="character" w:customStyle="1" w:styleId="1356">
    <w:name w:val="明显引用 字符4"/>
    <w:basedOn w:val="134"/>
    <w:uiPriority w:val="99"/>
    <w:rPr>
      <w:rFonts w:ascii="Times New Roman" w:hAnsi="Times New Roman"/>
      <w:i/>
      <w:iCs/>
      <w:color w:val="4F81BD" w:themeColor="accent1"/>
      <w:kern w:val="2"/>
      <w:sz w:val="24"/>
      <w:szCs w:val="22"/>
      <w14:textFill>
        <w14:solidFill>
          <w14:schemeClr w14:val="accent1"/>
        </w14:solidFill>
      </w14:textFill>
    </w:rPr>
  </w:style>
  <w:style w:type="character" w:customStyle="1" w:styleId="1357">
    <w:name w:val="报告书正文 Char"/>
    <w:link w:val="286"/>
    <w:uiPriority w:val="0"/>
    <w:rPr>
      <w:rFonts w:ascii="Arial" w:hAnsi="Arial" w:eastAsia="宋体" w:cs="Arial"/>
      <w:bCs/>
      <w:color w:val="000000"/>
      <w:sz w:val="21"/>
      <w:szCs w:val="24"/>
      <w:u w:color="000000"/>
    </w:rPr>
  </w:style>
  <w:style w:type="character" w:customStyle="1" w:styleId="1358">
    <w:name w:val="明显引用 Char"/>
    <w:uiPriority w:val="0"/>
    <w:rPr>
      <w:b/>
      <w:bCs/>
      <w:i/>
      <w:iCs/>
      <w:color w:val="4F81BD"/>
      <w:kern w:val="2"/>
      <w:sz w:val="21"/>
      <w:szCs w:val="24"/>
    </w:rPr>
  </w:style>
  <w:style w:type="character" w:customStyle="1" w:styleId="1359">
    <w:name w:val="表字 Char"/>
    <w:link w:val="700"/>
    <w:qFormat/>
    <w:uiPriority w:val="0"/>
    <w:rPr>
      <w:rFonts w:ascii="宋体" w:hAnsi="Times New Roman" w:eastAsia="宋体"/>
      <w:kern w:val="2"/>
      <w:sz w:val="21"/>
    </w:rPr>
  </w:style>
  <w:style w:type="character" w:customStyle="1" w:styleId="1360">
    <w:name w:val="Char Char171"/>
    <w:semiHidden/>
    <w:uiPriority w:val="0"/>
    <w:rPr>
      <w:rFonts w:eastAsia="宋体"/>
      <w:snapToGrid w:val="0"/>
      <w:kern w:val="24"/>
      <w:sz w:val="24"/>
      <w:szCs w:val="24"/>
      <w:lang w:val="en-US" w:eastAsia="zh-CN" w:bidi="ar-SA"/>
    </w:rPr>
  </w:style>
  <w:style w:type="character" w:customStyle="1" w:styleId="1361">
    <w:name w:val="样式 环评正文 + 仿宋_GB2312 加粗 Char"/>
    <w:uiPriority w:val="0"/>
    <w:rPr>
      <w:rFonts w:ascii="宋体" w:hAnsi="仿宋_GB2312" w:eastAsia="宋体"/>
      <w:b/>
      <w:bCs/>
      <w:spacing w:val="10"/>
      <w:kern w:val="44"/>
      <w:sz w:val="24"/>
      <w:szCs w:val="24"/>
      <w:lang w:val="en-US" w:eastAsia="zh-CN" w:bidi="ar-SA"/>
    </w:rPr>
  </w:style>
  <w:style w:type="character" w:customStyle="1" w:styleId="1362">
    <w:name w:val="edit-number skin-blue"/>
    <w:basedOn w:val="134"/>
    <w:uiPriority w:val="0"/>
  </w:style>
  <w:style w:type="character" w:customStyle="1" w:styleId="1363">
    <w:name w:val="样式6 Char"/>
    <w:link w:val="1364"/>
    <w:uiPriority w:val="0"/>
    <w:rPr>
      <w:rFonts w:eastAsia="宋体"/>
      <w:sz w:val="22"/>
    </w:rPr>
  </w:style>
  <w:style w:type="paragraph" w:customStyle="1" w:styleId="1364">
    <w:name w:val="样式6"/>
    <w:basedOn w:val="1"/>
    <w:link w:val="1363"/>
    <w:qFormat/>
    <w:uiPriority w:val="0"/>
    <w:pPr>
      <w:widowControl w:val="0"/>
      <w:adjustRightInd w:val="0"/>
      <w:snapToGrid w:val="0"/>
      <w:spacing w:line="320" w:lineRule="exact"/>
      <w:jc w:val="center"/>
    </w:pPr>
    <w:rPr>
      <w:rFonts w:ascii="等线" w:hAnsi="等线" w:eastAsia="宋体"/>
      <w:kern w:val="0"/>
      <w:sz w:val="22"/>
      <w:szCs w:val="20"/>
    </w:rPr>
  </w:style>
  <w:style w:type="character" w:customStyle="1" w:styleId="1365">
    <w:name w:val="bold1"/>
    <w:uiPriority w:val="0"/>
    <w:rPr>
      <w:b/>
      <w:bCs/>
    </w:rPr>
  </w:style>
  <w:style w:type="character" w:customStyle="1" w:styleId="1366">
    <w:name w:val="样式 图表目录 + 黑体 五号 Char"/>
    <w:uiPriority w:val="0"/>
    <w:rPr>
      <w:rFonts w:hint="eastAsia" w:ascii="黑体" w:hAnsi="黑体" w:eastAsia="黑体"/>
      <w:kern w:val="2"/>
      <w:sz w:val="21"/>
      <w:szCs w:val="24"/>
      <w:lang w:val="en-US" w:eastAsia="zh-CN" w:bidi="ar-SA"/>
    </w:rPr>
  </w:style>
  <w:style w:type="character" w:customStyle="1" w:styleId="1367">
    <w:name w:val="ca-2"/>
    <w:basedOn w:val="134"/>
    <w:uiPriority w:val="0"/>
  </w:style>
  <w:style w:type="character" w:customStyle="1" w:styleId="1368">
    <w:name w:val="ca-3"/>
    <w:basedOn w:val="134"/>
    <w:uiPriority w:val="0"/>
  </w:style>
  <w:style w:type="character" w:customStyle="1" w:styleId="1369">
    <w:name w:val="short_text1"/>
    <w:uiPriority w:val="0"/>
    <w:rPr>
      <w:spacing w:val="324"/>
      <w:sz w:val="29"/>
      <w:szCs w:val="29"/>
    </w:rPr>
  </w:style>
  <w:style w:type="character" w:customStyle="1" w:styleId="1370">
    <w:name w:val="可研报告正文 Char"/>
    <w:link w:val="1371"/>
    <w:uiPriority w:val="0"/>
    <w:rPr>
      <w:sz w:val="24"/>
      <w:szCs w:val="24"/>
    </w:rPr>
  </w:style>
  <w:style w:type="paragraph" w:customStyle="1" w:styleId="1371">
    <w:name w:val="可研报告正文"/>
    <w:basedOn w:val="1"/>
    <w:link w:val="1370"/>
    <w:qFormat/>
    <w:uiPriority w:val="0"/>
    <w:pPr>
      <w:widowControl w:val="0"/>
      <w:tabs>
        <w:tab w:val="left" w:pos="5880"/>
      </w:tabs>
      <w:spacing w:beforeLines="50" w:line="440" w:lineRule="exact"/>
      <w:ind w:left="425" w:firstLine="482"/>
    </w:pPr>
    <w:rPr>
      <w:rFonts w:ascii="等线" w:hAnsi="等线"/>
      <w:kern w:val="0"/>
      <w:szCs w:val="24"/>
    </w:rPr>
  </w:style>
  <w:style w:type="character" w:customStyle="1" w:styleId="1372">
    <w:name w:val="样式 首行缩进:  2 字符 Char"/>
    <w:link w:val="400"/>
    <w:qFormat/>
    <w:uiPriority w:val="0"/>
    <w:rPr>
      <w:rFonts w:ascii="Times New Roman" w:hAnsi="Times New Roman" w:eastAsia="宋体" w:cs="宋体"/>
      <w:bCs/>
      <w:kern w:val="2"/>
      <w:sz w:val="21"/>
    </w:rPr>
  </w:style>
  <w:style w:type="character" w:customStyle="1" w:styleId="1373">
    <w:name w:val="apple-style-span"/>
    <w:basedOn w:val="134"/>
    <w:qFormat/>
    <w:uiPriority w:val="0"/>
  </w:style>
  <w:style w:type="character" w:customStyle="1" w:styleId="1374">
    <w:name w:val="Char Char4"/>
    <w:qFormat/>
    <w:uiPriority w:val="0"/>
    <w:rPr>
      <w:rFonts w:eastAsia="宋体"/>
      <w:kern w:val="2"/>
      <w:sz w:val="18"/>
      <w:szCs w:val="18"/>
      <w:lang w:val="en-US" w:eastAsia="zh-CN" w:bidi="ar-SA"/>
    </w:rPr>
  </w:style>
  <w:style w:type="character" w:customStyle="1" w:styleId="1375">
    <w:name w:val="样式1 Char2"/>
    <w:qFormat/>
    <w:uiPriority w:val="0"/>
    <w:rPr>
      <w:rFonts w:ascii="宋体" w:eastAsia="宋体"/>
      <w:kern w:val="2"/>
      <w:sz w:val="21"/>
      <w:lang w:val="en-US" w:eastAsia="zh-CN" w:bidi="ar-SA"/>
    </w:rPr>
  </w:style>
  <w:style w:type="character" w:customStyle="1" w:styleId="1376">
    <w:name w:val="标题 2 Char1"/>
    <w:qFormat/>
    <w:uiPriority w:val="99"/>
    <w:rPr>
      <w:rFonts w:ascii="Arial" w:hAnsi="Arial" w:eastAsia="黑体"/>
      <w:b/>
      <w:bCs/>
      <w:kern w:val="2"/>
      <w:sz w:val="32"/>
      <w:szCs w:val="32"/>
    </w:rPr>
  </w:style>
  <w:style w:type="character" w:customStyle="1" w:styleId="1377">
    <w:name w:val="hj1"/>
    <w:qFormat/>
    <w:uiPriority w:val="0"/>
    <w:rPr>
      <w:spacing w:val="400"/>
      <w:sz w:val="20"/>
      <w:szCs w:val="20"/>
    </w:rPr>
  </w:style>
  <w:style w:type="character" w:customStyle="1" w:styleId="1378">
    <w:name w:val="正文文本缩进 Char1"/>
    <w:qFormat/>
    <w:uiPriority w:val="0"/>
    <w:rPr>
      <w:kern w:val="2"/>
      <w:sz w:val="21"/>
      <w:szCs w:val="24"/>
    </w:rPr>
  </w:style>
  <w:style w:type="character" w:customStyle="1" w:styleId="1379">
    <w:name w:val="px141"/>
    <w:qFormat/>
    <w:uiPriority w:val="0"/>
    <w:rPr>
      <w:sz w:val="28"/>
    </w:rPr>
  </w:style>
  <w:style w:type="character" w:customStyle="1" w:styleId="1380">
    <w:name w:val="yqlink"/>
    <w:basedOn w:val="134"/>
    <w:qFormat/>
    <w:uiPriority w:val="0"/>
  </w:style>
  <w:style w:type="character" w:customStyle="1" w:styleId="1381">
    <w:name w:val="z-窗体底端 Char"/>
    <w:link w:val="1382"/>
    <w:qFormat/>
    <w:uiPriority w:val="0"/>
    <w:rPr>
      <w:rFonts w:ascii="Arial" w:hAnsi="Arial" w:eastAsia="Arial Unicode MS"/>
      <w:vanish/>
      <w:sz w:val="16"/>
    </w:rPr>
  </w:style>
  <w:style w:type="paragraph" w:customStyle="1" w:styleId="1382">
    <w:name w:val="z-窗体底端1"/>
    <w:basedOn w:val="1"/>
    <w:next w:val="1"/>
    <w:link w:val="1381"/>
    <w:uiPriority w:val="0"/>
    <w:pPr>
      <w:pBdr>
        <w:top w:val="single" w:color="auto" w:sz="6" w:space="1"/>
      </w:pBdr>
      <w:spacing w:line="240" w:lineRule="auto"/>
      <w:jc w:val="center"/>
    </w:pPr>
    <w:rPr>
      <w:rFonts w:ascii="Arial" w:hAnsi="Arial" w:eastAsia="Arial Unicode MS"/>
      <w:vanish/>
      <w:kern w:val="0"/>
      <w:sz w:val="16"/>
      <w:szCs w:val="20"/>
    </w:rPr>
  </w:style>
  <w:style w:type="character" w:customStyle="1" w:styleId="1383">
    <w:name w:val="仿宋体正文 Char"/>
    <w:uiPriority w:val="0"/>
    <w:rPr>
      <w:rFonts w:eastAsia="宋体"/>
      <w:kern w:val="2"/>
      <w:sz w:val="21"/>
      <w:szCs w:val="24"/>
      <w:lang w:val="en-US" w:eastAsia="zh-CN" w:bidi="ar-SA"/>
    </w:rPr>
  </w:style>
  <w:style w:type="character" w:customStyle="1" w:styleId="1384">
    <w:name w:val="unnamed21"/>
    <w:qFormat/>
    <w:uiPriority w:val="0"/>
    <w:rPr>
      <w:spacing w:val="330"/>
    </w:rPr>
  </w:style>
  <w:style w:type="character" w:customStyle="1" w:styleId="1385">
    <w:name w:val="content1"/>
    <w:uiPriority w:val="0"/>
    <w:rPr>
      <w:spacing w:val="288"/>
      <w:sz w:val="22"/>
      <w:szCs w:val="22"/>
    </w:rPr>
  </w:style>
  <w:style w:type="character" w:customStyle="1" w:styleId="1386">
    <w:name w:val="biao1"/>
    <w:uiPriority w:val="0"/>
    <w:rPr>
      <w:rFonts w:hint="default" w:ascii="_GB2312" w:hAnsi="_GB2312"/>
      <w:b/>
      <w:bCs/>
      <w:color w:val="000033"/>
      <w:sz w:val="36"/>
      <w:szCs w:val="36"/>
    </w:rPr>
  </w:style>
  <w:style w:type="character" w:customStyle="1" w:styleId="1387">
    <w:name w:val="todaynews_14pxtitlered1"/>
    <w:uiPriority w:val="0"/>
    <w:rPr>
      <w:color w:val="D56453"/>
      <w:sz w:val="21"/>
      <w:szCs w:val="21"/>
      <w:u w:val="none"/>
    </w:rPr>
  </w:style>
  <w:style w:type="character" w:customStyle="1" w:styleId="1388">
    <w:name w:val="main1"/>
    <w:basedOn w:val="134"/>
    <w:uiPriority w:val="0"/>
  </w:style>
  <w:style w:type="character" w:customStyle="1" w:styleId="1389">
    <w:name w:val="datatitle1"/>
    <w:uiPriority w:val="0"/>
    <w:rPr>
      <w:b/>
      <w:bCs/>
      <w:color w:val="10619F"/>
      <w:sz w:val="21"/>
      <w:szCs w:val="21"/>
    </w:rPr>
  </w:style>
  <w:style w:type="character" w:customStyle="1" w:styleId="1390">
    <w:name w:val="页眉 Char Char Char Char"/>
    <w:uiPriority w:val="0"/>
    <w:rPr>
      <w:rFonts w:eastAsia="宋体"/>
      <w:kern w:val="2"/>
      <w:sz w:val="18"/>
      <w:szCs w:val="18"/>
      <w:lang w:val="en-US" w:eastAsia="zh-CN" w:bidi="ar-SA"/>
    </w:rPr>
  </w:style>
  <w:style w:type="character" w:customStyle="1" w:styleId="1391">
    <w:name w:val="正文四号 Char Char"/>
    <w:qFormat/>
    <w:locked/>
    <w:uiPriority w:val="0"/>
    <w:rPr>
      <w:sz w:val="24"/>
      <w:szCs w:val="28"/>
    </w:rPr>
  </w:style>
  <w:style w:type="character" w:customStyle="1" w:styleId="1392">
    <w:name w:val="zx正文 Char"/>
    <w:link w:val="1393"/>
    <w:uiPriority w:val="0"/>
    <w:rPr>
      <w:rFonts w:hAnsi="宋体"/>
      <w:sz w:val="24"/>
      <w:szCs w:val="24"/>
    </w:rPr>
  </w:style>
  <w:style w:type="paragraph" w:customStyle="1" w:styleId="1393">
    <w:name w:val="zx正文"/>
    <w:basedOn w:val="1"/>
    <w:link w:val="1392"/>
    <w:qFormat/>
    <w:uiPriority w:val="0"/>
    <w:pPr>
      <w:widowControl w:val="0"/>
      <w:spacing w:line="500" w:lineRule="exact"/>
      <w:ind w:firstLine="480" w:firstLineChars="200"/>
      <w:jc w:val="left"/>
    </w:pPr>
    <w:rPr>
      <w:rFonts w:ascii="等线" w:hAnsi="宋体"/>
      <w:kern w:val="0"/>
      <w:szCs w:val="24"/>
    </w:rPr>
  </w:style>
  <w:style w:type="character" w:customStyle="1" w:styleId="1394">
    <w:name w:val="表格内文字 Char"/>
    <w:link w:val="542"/>
    <w:qFormat/>
    <w:uiPriority w:val="0"/>
    <w:rPr>
      <w:rFonts w:ascii="Times New Roman" w:hAnsi="Times New Roman" w:eastAsia="宋体" w:cs="宋体"/>
      <w:snapToGrid w:val="0"/>
      <w:kern w:val="24"/>
      <w:sz w:val="18"/>
    </w:rPr>
  </w:style>
  <w:style w:type="character" w:customStyle="1" w:styleId="1395">
    <w:name w:val="表头 Char Char"/>
    <w:qFormat/>
    <w:uiPriority w:val="0"/>
    <w:rPr>
      <w:rFonts w:ascii="黑体" w:eastAsia="黑体"/>
      <w:snapToGrid w:val="0"/>
      <w:spacing w:val="10"/>
      <w:kern w:val="21"/>
      <w:sz w:val="21"/>
      <w:lang w:val="en-US" w:eastAsia="zh-CN" w:bidi="ar-SA"/>
    </w:rPr>
  </w:style>
  <w:style w:type="character" w:customStyle="1" w:styleId="1396">
    <w:name w:val="css-text3"/>
    <w:basedOn w:val="134"/>
    <w:qFormat/>
    <w:uiPriority w:val="0"/>
  </w:style>
  <w:style w:type="character" w:customStyle="1" w:styleId="1397">
    <w:name w:val="正文(首行缩进) Char Char"/>
    <w:qFormat/>
    <w:uiPriority w:val="0"/>
    <w:rPr>
      <w:rFonts w:eastAsia="宋体"/>
      <w:snapToGrid w:val="0"/>
      <w:sz w:val="24"/>
      <w:szCs w:val="24"/>
      <w:lang w:val="en-US" w:eastAsia="zh-CN" w:bidi="ar-SA"/>
    </w:rPr>
  </w:style>
  <w:style w:type="character" w:customStyle="1" w:styleId="1398">
    <w:name w:val="正文111111111 Char Char"/>
    <w:link w:val="199"/>
    <w:qFormat/>
    <w:uiPriority w:val="0"/>
    <w:rPr>
      <w:rFonts w:ascii="Times New Roman" w:hAnsi="Times New Roman" w:eastAsia="宋体" w:cs="宋体"/>
      <w:kern w:val="2"/>
      <w:sz w:val="24"/>
      <w:szCs w:val="24"/>
    </w:rPr>
  </w:style>
  <w:style w:type="character" w:customStyle="1" w:styleId="1399">
    <w:name w:val="正文文本 2 字符3"/>
    <w:qFormat/>
    <w:uiPriority w:val="0"/>
    <w:rPr>
      <w:color w:val="FF0000"/>
      <w:sz w:val="24"/>
    </w:rPr>
  </w:style>
  <w:style w:type="character" w:customStyle="1" w:styleId="1400">
    <w:name w:val="large"/>
    <w:basedOn w:val="134"/>
    <w:qFormat/>
    <w:uiPriority w:val="0"/>
  </w:style>
  <w:style w:type="character" w:customStyle="1" w:styleId="1401">
    <w:name w:val="表头样式1 Char1"/>
    <w:link w:val="1402"/>
    <w:qFormat/>
    <w:uiPriority w:val="0"/>
    <w:rPr>
      <w:rFonts w:eastAsia="黑体"/>
      <w:b/>
      <w:sz w:val="24"/>
    </w:rPr>
  </w:style>
  <w:style w:type="paragraph" w:customStyle="1" w:styleId="1402">
    <w:name w:val="表头样式1"/>
    <w:basedOn w:val="1"/>
    <w:link w:val="1401"/>
    <w:qFormat/>
    <w:uiPriority w:val="0"/>
    <w:pPr>
      <w:widowControl w:val="0"/>
      <w:spacing w:after="80" w:line="480" w:lineRule="atLeast"/>
      <w:jc w:val="center"/>
    </w:pPr>
    <w:rPr>
      <w:rFonts w:ascii="等线" w:hAnsi="等线" w:eastAsia="黑体"/>
      <w:b/>
      <w:kern w:val="0"/>
      <w:szCs w:val="20"/>
    </w:rPr>
  </w:style>
  <w:style w:type="character" w:customStyle="1" w:styleId="1403">
    <w:name w:val="表头1 Char Char"/>
    <w:qFormat/>
    <w:uiPriority w:val="0"/>
    <w:rPr>
      <w:rFonts w:eastAsia="黑体"/>
      <w:sz w:val="21"/>
      <w:szCs w:val="28"/>
      <w:lang w:val="en-US" w:eastAsia="zh-CN" w:bidi="ar-SA"/>
    </w:rPr>
  </w:style>
  <w:style w:type="character" w:customStyle="1" w:styleId="1404">
    <w:name w:val="样式 表格标题新 + (西文) Times New Roman Char"/>
    <w:link w:val="1405"/>
    <w:qFormat/>
    <w:uiPriority w:val="0"/>
    <w:rPr>
      <w:rFonts w:eastAsia="黑体"/>
      <w:b/>
      <w:bCs/>
      <w:snapToGrid w:val="0"/>
      <w:spacing w:val="4"/>
      <w:sz w:val="24"/>
      <w:szCs w:val="24"/>
    </w:rPr>
  </w:style>
  <w:style w:type="paragraph" w:customStyle="1" w:styleId="1405">
    <w:name w:val="样式 表格标题新 + (西文) Times New Roman"/>
    <w:basedOn w:val="1406"/>
    <w:link w:val="1404"/>
    <w:qFormat/>
    <w:uiPriority w:val="0"/>
    <w:pPr>
      <w:tabs>
        <w:tab w:val="left" w:pos="0"/>
      </w:tabs>
      <w:spacing w:beforeLines="0"/>
      <w:ind w:firstLine="561"/>
    </w:pPr>
    <w:rPr>
      <w:rFonts w:ascii="等线" w:hAnsi="等线" w:cs="Times New Roman"/>
      <w:b/>
      <w:spacing w:val="4"/>
      <w:kern w:val="0"/>
    </w:rPr>
  </w:style>
  <w:style w:type="paragraph" w:customStyle="1" w:styleId="1406">
    <w:name w:val="表格标题新"/>
    <w:basedOn w:val="542"/>
    <w:link w:val="1407"/>
    <w:qFormat/>
    <w:uiPriority w:val="0"/>
    <w:pPr>
      <w:tabs>
        <w:tab w:val="left" w:pos="0"/>
      </w:tabs>
      <w:spacing w:beforeLines="50"/>
    </w:pPr>
    <w:rPr>
      <w:rFonts w:eastAsia="黑体" w:asciiTheme="minorHAnsi" w:hAnsiTheme="minorHAnsi" w:cstheme="minorBidi"/>
      <w:bCs/>
      <w:kern w:val="2"/>
      <w:sz w:val="24"/>
      <w:szCs w:val="24"/>
    </w:rPr>
  </w:style>
  <w:style w:type="character" w:customStyle="1" w:styleId="1407">
    <w:name w:val="表格标题新 Char"/>
    <w:link w:val="1406"/>
    <w:qFormat/>
    <w:uiPriority w:val="0"/>
    <w:rPr>
      <w:rFonts w:eastAsia="黑体" w:asciiTheme="minorHAnsi" w:hAnsiTheme="minorHAnsi" w:cstheme="minorBidi"/>
      <w:bCs/>
      <w:snapToGrid w:val="0"/>
      <w:kern w:val="2"/>
      <w:sz w:val="24"/>
      <w:szCs w:val="24"/>
    </w:rPr>
  </w:style>
  <w:style w:type="character" w:customStyle="1" w:styleId="1408">
    <w:name w:val="标题 2 Char Char Char Char"/>
    <w:qFormat/>
    <w:uiPriority w:val="0"/>
    <w:rPr>
      <w:rFonts w:ascii="Arial" w:hAnsi="Arial" w:eastAsia="黑体"/>
      <w:b/>
      <w:bCs/>
      <w:kern w:val="2"/>
      <w:sz w:val="32"/>
      <w:szCs w:val="32"/>
      <w:lang w:val="en-US" w:eastAsia="zh-CN" w:bidi="ar-SA"/>
    </w:rPr>
  </w:style>
  <w:style w:type="character" w:customStyle="1" w:styleId="1409">
    <w:name w:val="Char Char11"/>
    <w:qFormat/>
    <w:uiPriority w:val="0"/>
    <w:rPr>
      <w:rFonts w:eastAsia="宋体"/>
      <w:kern w:val="2"/>
      <w:sz w:val="18"/>
      <w:szCs w:val="18"/>
      <w:lang w:val="en-US" w:eastAsia="zh-CN" w:bidi="ar-SA"/>
    </w:rPr>
  </w:style>
  <w:style w:type="character" w:customStyle="1" w:styleId="1410">
    <w:name w:val="标题 2 Char Char2"/>
    <w:qFormat/>
    <w:uiPriority w:val="0"/>
    <w:rPr>
      <w:rFonts w:eastAsia="宋体"/>
      <w:b/>
      <w:bCs/>
      <w:color w:val="000000"/>
      <w:kern w:val="2"/>
      <w:sz w:val="30"/>
      <w:szCs w:val="30"/>
      <w:lang w:val="en-US" w:eastAsia="zh-CN" w:bidi="ar-SA"/>
    </w:rPr>
  </w:style>
  <w:style w:type="character" w:customStyle="1" w:styleId="1411">
    <w:name w:val="表格内文字 Char Char"/>
    <w:qFormat/>
    <w:uiPriority w:val="0"/>
    <w:rPr>
      <w:rFonts w:eastAsia="仿宋_GB2312"/>
      <w:bCs/>
      <w:kern w:val="2"/>
      <w:sz w:val="24"/>
      <w:szCs w:val="24"/>
      <w:lang w:val="en-US" w:eastAsia="zh-CN" w:bidi="ar-SA"/>
    </w:rPr>
  </w:style>
  <w:style w:type="character" w:customStyle="1" w:styleId="1412">
    <w:name w:val="Char Char15"/>
    <w:qFormat/>
    <w:uiPriority w:val="0"/>
    <w:rPr>
      <w:rFonts w:eastAsia="仿宋_GB2312"/>
      <w:b/>
      <w:bCs/>
      <w:snapToGrid w:val="0"/>
      <w:color w:val="000000"/>
      <w:sz w:val="28"/>
      <w:szCs w:val="28"/>
      <w:lang w:val="en-US" w:eastAsia="zh-CN" w:bidi="ar-SA"/>
    </w:rPr>
  </w:style>
  <w:style w:type="character" w:customStyle="1" w:styleId="1413">
    <w:name w:val="报告表正文 Char"/>
    <w:link w:val="1414"/>
    <w:qFormat/>
    <w:uiPriority w:val="0"/>
    <w:rPr>
      <w:sz w:val="24"/>
    </w:rPr>
  </w:style>
  <w:style w:type="paragraph" w:customStyle="1" w:styleId="1414">
    <w:name w:val="报告表正文"/>
    <w:basedOn w:val="1"/>
    <w:link w:val="1413"/>
    <w:qFormat/>
    <w:uiPriority w:val="0"/>
    <w:pPr>
      <w:widowControl w:val="0"/>
      <w:adjustRightInd w:val="0"/>
      <w:spacing w:line="312" w:lineRule="auto"/>
      <w:ind w:left="113" w:right="113" w:firstLine="482"/>
      <w:jc w:val="left"/>
      <w:textAlignment w:val="baseline"/>
    </w:pPr>
    <w:rPr>
      <w:rFonts w:ascii="等线" w:hAnsi="等线"/>
      <w:kern w:val="0"/>
      <w:szCs w:val="20"/>
    </w:rPr>
  </w:style>
  <w:style w:type="character" w:customStyle="1" w:styleId="1415">
    <w:name w:val="样式 正文文本缩进 3 + 宋体 四号 黑色1 Char"/>
    <w:qFormat/>
    <w:uiPriority w:val="0"/>
    <w:rPr>
      <w:rFonts w:ascii="宋体" w:hAnsi="宋体" w:eastAsia="宋体"/>
      <w:color w:val="000000"/>
      <w:sz w:val="24"/>
      <w:szCs w:val="16"/>
      <w:lang w:val="en-US" w:eastAsia="zh-CN" w:bidi="ar-SA"/>
    </w:rPr>
  </w:style>
  <w:style w:type="character" w:customStyle="1" w:styleId="1416">
    <w:name w:val="s1"/>
    <w:qFormat/>
    <w:uiPriority w:val="0"/>
    <w:rPr>
      <w:sz w:val="18"/>
      <w:szCs w:val="18"/>
    </w:rPr>
  </w:style>
  <w:style w:type="character" w:customStyle="1" w:styleId="1417">
    <w:name w:val="正文1-1 Char"/>
    <w:link w:val="1418"/>
    <w:qFormat/>
    <w:uiPriority w:val="0"/>
    <w:rPr>
      <w:rFonts w:ascii="宋体" w:hAnsi="宋体" w:eastAsia="仿宋_GB2312" w:cs="宋体"/>
      <w:sz w:val="28"/>
      <w:szCs w:val="24"/>
    </w:rPr>
  </w:style>
  <w:style w:type="paragraph" w:customStyle="1" w:styleId="1418">
    <w:name w:val="正文1-1"/>
    <w:basedOn w:val="1"/>
    <w:link w:val="1417"/>
    <w:qFormat/>
    <w:uiPriority w:val="0"/>
    <w:pPr>
      <w:snapToGrid w:val="0"/>
      <w:ind w:firstLine="200" w:firstLineChars="200"/>
      <w:jc w:val="left"/>
    </w:pPr>
    <w:rPr>
      <w:rFonts w:ascii="宋体" w:hAnsi="宋体" w:eastAsia="仿宋_GB2312" w:cs="宋体"/>
      <w:kern w:val="0"/>
      <w:sz w:val="28"/>
      <w:szCs w:val="24"/>
    </w:rPr>
  </w:style>
  <w:style w:type="character" w:customStyle="1" w:styleId="1419">
    <w:name w:val="样式 正文 +"/>
    <w:qFormat/>
    <w:uiPriority w:val="0"/>
    <w:rPr>
      <w:rFonts w:eastAsia="宋体"/>
      <w:kern w:val="0"/>
      <w:sz w:val="24"/>
    </w:rPr>
  </w:style>
  <w:style w:type="character" w:customStyle="1" w:styleId="1420">
    <w:name w:val="css33拷贝"/>
    <w:basedOn w:val="134"/>
    <w:qFormat/>
    <w:uiPriority w:val="0"/>
  </w:style>
  <w:style w:type="character" w:customStyle="1" w:styleId="1421">
    <w:name w:val="表格内容 Char Char"/>
    <w:qFormat/>
    <w:uiPriority w:val="0"/>
    <w:rPr>
      <w:rFonts w:hAnsi="宋体" w:eastAsia="宋体"/>
      <w:kern w:val="2"/>
      <w:sz w:val="21"/>
      <w:szCs w:val="21"/>
      <w:lang w:val="en-US" w:eastAsia="zh-CN" w:bidi="ar-SA"/>
    </w:rPr>
  </w:style>
  <w:style w:type="character" w:customStyle="1" w:styleId="1422">
    <w:name w:val="Char Char10"/>
    <w:qFormat/>
    <w:uiPriority w:val="0"/>
    <w:rPr>
      <w:rFonts w:ascii="Arial" w:hAnsi="Arial" w:eastAsia="黑体"/>
      <w:kern w:val="2"/>
      <w:sz w:val="21"/>
      <w:szCs w:val="21"/>
      <w:lang w:val="en-US" w:eastAsia="zh-CN" w:bidi="ar-SA"/>
    </w:rPr>
  </w:style>
  <w:style w:type="character" w:customStyle="1" w:styleId="1423">
    <w:name w:val="正文11111111111111111111111 Char"/>
    <w:link w:val="1424"/>
    <w:qFormat/>
    <w:uiPriority w:val="0"/>
    <w:rPr>
      <w:rFonts w:cs="宋体"/>
      <w:sz w:val="24"/>
    </w:rPr>
  </w:style>
  <w:style w:type="paragraph" w:customStyle="1" w:styleId="1424">
    <w:name w:val="正文11111111111111111111111"/>
    <w:basedOn w:val="1"/>
    <w:link w:val="1423"/>
    <w:qFormat/>
    <w:uiPriority w:val="0"/>
    <w:pPr>
      <w:widowControl w:val="0"/>
      <w:spacing w:line="480" w:lineRule="exact"/>
      <w:ind w:firstLine="480" w:firstLineChars="200"/>
    </w:pPr>
    <w:rPr>
      <w:rFonts w:ascii="等线" w:hAnsi="等线" w:cs="宋体"/>
      <w:kern w:val="0"/>
      <w:szCs w:val="20"/>
    </w:rPr>
  </w:style>
  <w:style w:type="character" w:customStyle="1" w:styleId="1425">
    <w:name w:val="样式 正文文本缩进 3 + 宋体 四号 黑色1 Char Char"/>
    <w:qFormat/>
    <w:uiPriority w:val="0"/>
    <w:rPr>
      <w:rFonts w:ascii="宋体" w:hAnsi="宋体" w:eastAsia="宋体"/>
      <w:color w:val="000000"/>
      <w:sz w:val="24"/>
      <w:szCs w:val="16"/>
      <w:lang w:val="en-US" w:eastAsia="zh-CN" w:bidi="ar-SA"/>
    </w:rPr>
  </w:style>
  <w:style w:type="character" w:customStyle="1" w:styleId="1426">
    <w:name w:val="报告表正文 Char Char"/>
    <w:qFormat/>
    <w:uiPriority w:val="0"/>
    <w:rPr>
      <w:rFonts w:eastAsia="宋体"/>
      <w:sz w:val="24"/>
      <w:lang w:val="en-US" w:eastAsia="zh-CN" w:bidi="ar-SA"/>
    </w:rPr>
  </w:style>
  <w:style w:type="character" w:customStyle="1" w:styleId="1427">
    <w:name w:val="正文格式 Char"/>
    <w:qFormat/>
    <w:uiPriority w:val="0"/>
    <w:rPr>
      <w:rFonts w:eastAsia="宋体"/>
      <w:kern w:val="2"/>
      <w:sz w:val="24"/>
      <w:szCs w:val="24"/>
      <w:lang w:val="en-US" w:eastAsia="zh-CN" w:bidi="ar-SA"/>
    </w:rPr>
  </w:style>
  <w:style w:type="character" w:customStyle="1" w:styleId="1428">
    <w:name w:val="Char Char12"/>
    <w:qFormat/>
    <w:uiPriority w:val="0"/>
    <w:rPr>
      <w:rFonts w:eastAsia="宋体"/>
      <w:kern w:val="2"/>
      <w:sz w:val="18"/>
      <w:szCs w:val="18"/>
      <w:lang w:val="en-US" w:eastAsia="zh-CN" w:bidi="ar-SA"/>
    </w:rPr>
  </w:style>
  <w:style w:type="character" w:customStyle="1" w:styleId="1429">
    <w:name w:val="表格标题新1 Char Char"/>
    <w:link w:val="1430"/>
    <w:qFormat/>
    <w:uiPriority w:val="0"/>
    <w:rPr>
      <w:rFonts w:ascii="仿宋_GB2312" w:eastAsia="黑体"/>
      <w:b/>
      <w:bCs/>
      <w:snapToGrid w:val="0"/>
      <w:spacing w:val="4"/>
      <w:sz w:val="24"/>
      <w:szCs w:val="24"/>
    </w:rPr>
  </w:style>
  <w:style w:type="paragraph" w:customStyle="1" w:styleId="1430">
    <w:name w:val="表格标题新1"/>
    <w:basedOn w:val="542"/>
    <w:link w:val="1429"/>
    <w:qFormat/>
    <w:uiPriority w:val="0"/>
    <w:pPr>
      <w:tabs>
        <w:tab w:val="left" w:pos="0"/>
      </w:tabs>
      <w:ind w:firstLine="561"/>
    </w:pPr>
    <w:rPr>
      <w:rFonts w:ascii="仿宋_GB2312" w:hAnsi="等线" w:eastAsia="黑体" w:cs="Times New Roman"/>
      <w:b/>
      <w:bCs/>
      <w:spacing w:val="4"/>
      <w:kern w:val="0"/>
      <w:sz w:val="24"/>
      <w:szCs w:val="24"/>
    </w:rPr>
  </w:style>
  <w:style w:type="character" w:customStyle="1" w:styleId="1431">
    <w:name w:val="style41"/>
    <w:qFormat/>
    <w:uiPriority w:val="0"/>
    <w:rPr>
      <w:sz w:val="21"/>
      <w:szCs w:val="21"/>
    </w:rPr>
  </w:style>
  <w:style w:type="character" w:customStyle="1" w:styleId="1432">
    <w:name w:val="Char Char20"/>
    <w:qFormat/>
    <w:uiPriority w:val="0"/>
    <w:rPr>
      <w:rFonts w:ascii="仿宋_GB2312" w:eastAsia="仿宋_GB2312"/>
      <w:kern w:val="2"/>
      <w:sz w:val="28"/>
      <w:lang w:val="en-US" w:eastAsia="zh-CN" w:bidi="ar-SA"/>
    </w:rPr>
  </w:style>
  <w:style w:type="character" w:customStyle="1" w:styleId="1433">
    <w:name w:val="javascript"/>
    <w:basedOn w:val="134"/>
    <w:qFormat/>
    <w:uiPriority w:val="0"/>
  </w:style>
  <w:style w:type="character" w:customStyle="1" w:styleId="1434">
    <w:name w:val="keyword1"/>
    <w:qFormat/>
    <w:uiPriority w:val="0"/>
    <w:rPr>
      <w:color w:val="FF0000"/>
    </w:rPr>
  </w:style>
  <w:style w:type="character" w:customStyle="1" w:styleId="1435">
    <w:name w:val="注释 Char"/>
    <w:link w:val="1436"/>
    <w:qFormat/>
    <w:uiPriority w:val="0"/>
    <w:rPr>
      <w:rFonts w:ascii="宋体"/>
      <w:spacing w:val="4"/>
    </w:rPr>
  </w:style>
  <w:style w:type="paragraph" w:customStyle="1" w:styleId="1436">
    <w:name w:val="注释"/>
    <w:basedOn w:val="1"/>
    <w:link w:val="1435"/>
    <w:qFormat/>
    <w:uiPriority w:val="0"/>
    <w:pPr>
      <w:widowControl w:val="0"/>
      <w:adjustRightInd w:val="0"/>
      <w:textAlignment w:val="baseline"/>
    </w:pPr>
    <w:rPr>
      <w:rFonts w:ascii="宋体" w:hAnsi="等线"/>
      <w:spacing w:val="4"/>
      <w:kern w:val="0"/>
      <w:sz w:val="20"/>
      <w:szCs w:val="20"/>
    </w:rPr>
  </w:style>
  <w:style w:type="character" w:customStyle="1" w:styleId="1437">
    <w:name w:val="123YJ Char2"/>
    <w:qFormat/>
    <w:uiPriority w:val="0"/>
    <w:rPr>
      <w:rFonts w:eastAsia="宋体"/>
      <w:kern w:val="2"/>
      <w:sz w:val="18"/>
      <w:szCs w:val="18"/>
      <w:lang w:val="en-US" w:eastAsia="zh-CN" w:bidi="ar-SA"/>
    </w:rPr>
  </w:style>
  <w:style w:type="character" w:customStyle="1" w:styleId="1438">
    <w:name w:val="Char Char13"/>
    <w:qFormat/>
    <w:uiPriority w:val="0"/>
    <w:rPr>
      <w:rFonts w:ascii="Arial" w:hAnsi="Arial" w:eastAsia="黑体" w:cs="Arial"/>
      <w:i/>
      <w:iCs/>
      <w:color w:val="000000"/>
      <w:kern w:val="2"/>
      <w:sz w:val="28"/>
      <w:szCs w:val="28"/>
      <w:lang w:val="en-US" w:eastAsia="zh-CN" w:bidi="ar-SA"/>
    </w:rPr>
  </w:style>
  <w:style w:type="character" w:customStyle="1" w:styleId="1439">
    <w:name w:val="px14"/>
    <w:basedOn w:val="134"/>
    <w:qFormat/>
    <w:uiPriority w:val="0"/>
  </w:style>
  <w:style w:type="character" w:customStyle="1" w:styleId="1440">
    <w:name w:val="图标准 Char"/>
    <w:link w:val="1441"/>
    <w:qFormat/>
    <w:uiPriority w:val="0"/>
    <w:rPr>
      <w:rFonts w:ascii="仿宋_GB2312" w:eastAsia="黑体"/>
      <w:b/>
      <w:bCs/>
      <w:snapToGrid w:val="0"/>
      <w:spacing w:val="4"/>
      <w:sz w:val="24"/>
      <w:szCs w:val="28"/>
    </w:rPr>
  </w:style>
  <w:style w:type="paragraph" w:customStyle="1" w:styleId="1441">
    <w:name w:val="图标准"/>
    <w:basedOn w:val="1406"/>
    <w:link w:val="1440"/>
    <w:qFormat/>
    <w:uiPriority w:val="0"/>
    <w:pPr>
      <w:spacing w:beforeLines="100" w:line="360" w:lineRule="auto"/>
      <w:ind w:firstLine="562"/>
    </w:pPr>
    <w:rPr>
      <w:rFonts w:ascii="仿宋_GB2312" w:hAnsi="等线" w:cs="Times New Roman"/>
      <w:b/>
      <w:spacing w:val="4"/>
      <w:kern w:val="0"/>
      <w:szCs w:val="28"/>
    </w:rPr>
  </w:style>
  <w:style w:type="character" w:customStyle="1" w:styleId="1442">
    <w:name w:val="标题 5 Char Char Char1"/>
    <w:qFormat/>
    <w:uiPriority w:val="9"/>
    <w:rPr>
      <w:rFonts w:eastAsia="仿宋_GB2312"/>
      <w:b/>
      <w:bCs/>
      <w:snapToGrid w:val="0"/>
      <w:color w:val="000000"/>
      <w:sz w:val="28"/>
      <w:szCs w:val="28"/>
      <w:lang w:val="en-US" w:eastAsia="zh-CN" w:bidi="ar-SA"/>
    </w:rPr>
  </w:style>
  <w:style w:type="character" w:customStyle="1" w:styleId="1443">
    <w:name w:val="样式1 Char Char"/>
    <w:qFormat/>
    <w:uiPriority w:val="0"/>
    <w:rPr>
      <w:rFonts w:eastAsia="宋体"/>
      <w:color w:val="000000"/>
      <w:kern w:val="2"/>
      <w:sz w:val="21"/>
      <w:szCs w:val="24"/>
      <w:lang w:val="en-US" w:eastAsia="zh-CN" w:bidi="ar-SA"/>
    </w:rPr>
  </w:style>
  <w:style w:type="character" w:customStyle="1" w:styleId="1444">
    <w:name w:val="btd"/>
    <w:basedOn w:val="134"/>
    <w:qFormat/>
    <w:uiPriority w:val="0"/>
  </w:style>
  <w:style w:type="character" w:customStyle="1" w:styleId="1445">
    <w:name w:val="页眉1 Char"/>
    <w:qFormat/>
    <w:uiPriority w:val="0"/>
    <w:rPr>
      <w:rFonts w:eastAsia="宋体"/>
      <w:kern w:val="2"/>
      <w:sz w:val="18"/>
      <w:szCs w:val="18"/>
      <w:lang w:val="en-US" w:eastAsia="zh-CN" w:bidi="ar-SA"/>
    </w:rPr>
  </w:style>
  <w:style w:type="character" w:customStyle="1" w:styleId="1446">
    <w:name w:val="页眉00 Char Char"/>
    <w:qFormat/>
    <w:uiPriority w:val="0"/>
    <w:rPr>
      <w:rFonts w:eastAsia="宋体"/>
      <w:kern w:val="2"/>
      <w:sz w:val="18"/>
      <w:szCs w:val="18"/>
      <w:lang w:val="en-US" w:eastAsia="zh-CN" w:bidi="ar-SA"/>
    </w:rPr>
  </w:style>
  <w:style w:type="character" w:customStyle="1" w:styleId="1447">
    <w:name w:val="正文5号 Char Char"/>
    <w:qFormat/>
    <w:uiPriority w:val="0"/>
    <w:rPr>
      <w:rFonts w:ascii="宋体" w:eastAsia="仿宋_GB2312"/>
      <w:color w:val="000000"/>
      <w:kern w:val="21"/>
      <w:sz w:val="24"/>
      <w:szCs w:val="24"/>
      <w:lang w:val="en-US" w:eastAsia="zh-CN" w:bidi="ar-SA"/>
    </w:rPr>
  </w:style>
  <w:style w:type="character" w:customStyle="1" w:styleId="1448">
    <w:name w:val="正文首行缩进 Char Char"/>
    <w:qFormat/>
    <w:uiPriority w:val="0"/>
    <w:rPr>
      <w:rFonts w:eastAsia="宋体"/>
      <w:snapToGrid w:val="0"/>
      <w:color w:val="000000"/>
      <w:kern w:val="2"/>
      <w:sz w:val="24"/>
      <w:szCs w:val="24"/>
      <w:lang w:val="en-US" w:eastAsia="zh-CN" w:bidi="ar-SA"/>
    </w:rPr>
  </w:style>
  <w:style w:type="character" w:customStyle="1" w:styleId="1449">
    <w:name w:val="表格 Char Char Char Char Char Char"/>
    <w:qFormat/>
    <w:uiPriority w:val="0"/>
    <w:rPr>
      <w:rFonts w:ascii="宋体" w:eastAsia="宋体"/>
      <w:snapToGrid w:val="0"/>
      <w:spacing w:val="4"/>
      <w:w w:val="90"/>
      <w:sz w:val="24"/>
      <w:szCs w:val="24"/>
      <w:lang w:val="en-US" w:eastAsia="zh-CN" w:bidi="ar-SA"/>
    </w:rPr>
  </w:style>
  <w:style w:type="character" w:customStyle="1" w:styleId="1450">
    <w:name w:val="Char Char14"/>
    <w:qFormat/>
    <w:uiPriority w:val="0"/>
    <w:rPr>
      <w:rFonts w:ascii="Arial" w:hAnsi="Arial" w:eastAsia="黑体"/>
      <w:kern w:val="2"/>
      <w:sz w:val="21"/>
      <w:szCs w:val="21"/>
      <w:lang w:val="en-US" w:eastAsia="zh-CN" w:bidi="ar-SA"/>
    </w:rPr>
  </w:style>
  <w:style w:type="character" w:customStyle="1" w:styleId="1451">
    <w:name w:val="bb1"/>
    <w:qFormat/>
    <w:uiPriority w:val="0"/>
    <w:rPr>
      <w:sz w:val="30"/>
      <w:szCs w:val="30"/>
    </w:rPr>
  </w:style>
  <w:style w:type="character" w:customStyle="1" w:styleId="1452">
    <w:name w:val="环评正文 Char Char"/>
    <w:qFormat/>
    <w:uiPriority w:val="0"/>
    <w:rPr>
      <w:rFonts w:eastAsia="仿宋_GB2312"/>
      <w:b/>
      <w:kern w:val="44"/>
      <w:sz w:val="24"/>
      <w:lang w:val="en-US" w:eastAsia="zh-CN" w:bidi="ar-SA"/>
    </w:rPr>
  </w:style>
  <w:style w:type="character" w:customStyle="1" w:styleId="1453">
    <w:name w:val="bb"/>
    <w:basedOn w:val="134"/>
    <w:qFormat/>
    <w:uiPriority w:val="0"/>
  </w:style>
  <w:style w:type="character" w:customStyle="1" w:styleId="1454">
    <w:name w:val="正文11111111111111111111111 Char Char"/>
    <w:qFormat/>
    <w:uiPriority w:val="0"/>
    <w:rPr>
      <w:rFonts w:eastAsia="宋体" w:cs="宋体"/>
      <w:kern w:val="2"/>
      <w:sz w:val="24"/>
      <w:lang w:val="en-US" w:eastAsia="zh-CN" w:bidi="ar-SA"/>
    </w:rPr>
  </w:style>
  <w:style w:type="character" w:customStyle="1" w:styleId="1455">
    <w:name w:val="Body Text 2 Char"/>
    <w:qFormat/>
    <w:uiPriority w:val="0"/>
    <w:rPr>
      <w:rFonts w:eastAsia="宋体"/>
      <w:spacing w:val="4"/>
      <w:kern w:val="2"/>
      <w:sz w:val="24"/>
      <w:lang w:val="en-US"/>
    </w:rPr>
  </w:style>
  <w:style w:type="character" w:customStyle="1" w:styleId="1456">
    <w:name w:val="123YJ Char Char"/>
    <w:qFormat/>
    <w:uiPriority w:val="0"/>
    <w:rPr>
      <w:rFonts w:eastAsia="宋体"/>
      <w:kern w:val="2"/>
      <w:sz w:val="18"/>
      <w:szCs w:val="18"/>
      <w:lang w:val="en-US" w:eastAsia="zh-CN" w:bidi="ar-SA"/>
    </w:rPr>
  </w:style>
  <w:style w:type="character" w:customStyle="1" w:styleId="1457">
    <w:name w:val="正文段落 Char Char"/>
    <w:qFormat/>
    <w:uiPriority w:val="0"/>
    <w:rPr>
      <w:rFonts w:hAnsi="宋体" w:eastAsia="宋体"/>
      <w:kern w:val="2"/>
      <w:sz w:val="24"/>
      <w:szCs w:val="24"/>
      <w:lang w:val="en-US" w:eastAsia="zh-CN" w:bidi="ar-SA"/>
    </w:rPr>
  </w:style>
  <w:style w:type="character" w:customStyle="1" w:styleId="1458">
    <w:name w:val="仿宋体正文 Char Char"/>
    <w:qFormat/>
    <w:uiPriority w:val="0"/>
    <w:rPr>
      <w:rFonts w:eastAsia="华文行楷"/>
      <w:kern w:val="2"/>
      <w:sz w:val="28"/>
      <w:lang w:val="en-US" w:eastAsia="zh-CN" w:bidi="ar-SA"/>
    </w:rPr>
  </w:style>
  <w:style w:type="character" w:customStyle="1" w:styleId="1459">
    <w:name w:val="txt1"/>
    <w:qFormat/>
    <w:uiPriority w:val="0"/>
    <w:rPr>
      <w:spacing w:val="60"/>
      <w:sz w:val="14"/>
      <w:szCs w:val="14"/>
    </w:rPr>
  </w:style>
  <w:style w:type="character" w:customStyle="1" w:styleId="1460">
    <w:name w:val="列表(L) Char"/>
    <w:link w:val="1461"/>
    <w:qFormat/>
    <w:uiPriority w:val="0"/>
  </w:style>
  <w:style w:type="paragraph" w:customStyle="1" w:styleId="1461">
    <w:name w:val="列表(L)"/>
    <w:basedOn w:val="67"/>
    <w:link w:val="1460"/>
    <w:qFormat/>
    <w:uiPriority w:val="0"/>
    <w:pPr>
      <w:snapToGrid w:val="0"/>
      <w:ind w:left="0" w:firstLine="0" w:firstLineChars="0"/>
      <w:contextualSpacing w:val="0"/>
    </w:pPr>
    <w:rPr>
      <w:rFonts w:ascii="等线" w:hAnsi="等线" w:eastAsia="等线" w:cs="Times New Roman"/>
      <w:kern w:val="0"/>
      <w:sz w:val="20"/>
      <w:szCs w:val="20"/>
    </w:rPr>
  </w:style>
  <w:style w:type="character" w:customStyle="1" w:styleId="1462">
    <w:name w:val="表头字体 Char"/>
    <w:link w:val="1463"/>
    <w:qFormat/>
    <w:uiPriority w:val="0"/>
    <w:rPr>
      <w:b/>
      <w:sz w:val="24"/>
      <w:szCs w:val="24"/>
    </w:rPr>
  </w:style>
  <w:style w:type="paragraph" w:customStyle="1" w:styleId="1463">
    <w:name w:val="表头字体"/>
    <w:basedOn w:val="1"/>
    <w:link w:val="1462"/>
    <w:qFormat/>
    <w:uiPriority w:val="0"/>
    <w:pPr>
      <w:widowControl w:val="0"/>
      <w:adjustRightInd w:val="0"/>
      <w:snapToGrid w:val="0"/>
      <w:spacing w:beforeLines="50" w:line="240" w:lineRule="auto"/>
      <w:jc w:val="center"/>
    </w:pPr>
    <w:rPr>
      <w:rFonts w:ascii="等线" w:hAnsi="等线"/>
      <w:b/>
      <w:kern w:val="0"/>
      <w:szCs w:val="24"/>
    </w:rPr>
  </w:style>
  <w:style w:type="character" w:customStyle="1" w:styleId="1464">
    <w:name w:val="标题33 Char"/>
    <w:link w:val="1465"/>
    <w:qFormat/>
    <w:uiPriority w:val="0"/>
    <w:rPr>
      <w:b/>
      <w:sz w:val="24"/>
      <w:szCs w:val="24"/>
    </w:rPr>
  </w:style>
  <w:style w:type="paragraph" w:customStyle="1" w:styleId="1465">
    <w:name w:val="标题33"/>
    <w:basedOn w:val="1"/>
    <w:link w:val="1464"/>
    <w:qFormat/>
    <w:uiPriority w:val="0"/>
    <w:pPr>
      <w:widowControl w:val="0"/>
      <w:jc w:val="left"/>
      <w:outlineLvl w:val="2"/>
    </w:pPr>
    <w:rPr>
      <w:rFonts w:ascii="等线" w:hAnsi="等线"/>
      <w:b/>
      <w:kern w:val="0"/>
      <w:szCs w:val="24"/>
    </w:rPr>
  </w:style>
  <w:style w:type="character" w:customStyle="1" w:styleId="1466">
    <w:name w:val="【正文】 Char"/>
    <w:link w:val="256"/>
    <w:qFormat/>
    <w:uiPriority w:val="0"/>
    <w:rPr>
      <w:rFonts w:ascii="Calibri" w:hAnsi="Calibri" w:eastAsia="宋体"/>
      <w:sz w:val="24"/>
      <w:szCs w:val="24"/>
    </w:rPr>
  </w:style>
  <w:style w:type="character" w:customStyle="1" w:styleId="1467">
    <w:name w:val="表格批注 Char"/>
    <w:link w:val="1468"/>
    <w:qFormat/>
    <w:uiPriority w:val="0"/>
    <w:rPr>
      <w:snapToGrid w:val="0"/>
      <w:kern w:val="24"/>
      <w:sz w:val="18"/>
      <w:szCs w:val="24"/>
    </w:rPr>
  </w:style>
  <w:style w:type="paragraph" w:customStyle="1" w:styleId="1468">
    <w:name w:val="表格批注"/>
    <w:link w:val="1467"/>
    <w:qFormat/>
    <w:uiPriority w:val="0"/>
    <w:pPr>
      <w:adjustRightInd w:val="0"/>
      <w:snapToGrid w:val="0"/>
    </w:pPr>
    <w:rPr>
      <w:rFonts w:ascii="等线" w:hAnsi="等线" w:eastAsia="等线" w:cs="Times New Roman"/>
      <w:snapToGrid w:val="0"/>
      <w:kern w:val="24"/>
      <w:sz w:val="18"/>
      <w:szCs w:val="24"/>
      <w:lang w:val="en-US" w:eastAsia="zh-CN" w:bidi="ar-SA"/>
    </w:rPr>
  </w:style>
  <w:style w:type="character" w:customStyle="1" w:styleId="1469">
    <w:name w:val="正文图表标题 Char"/>
    <w:link w:val="978"/>
    <w:qFormat/>
    <w:uiPriority w:val="0"/>
    <w:rPr>
      <w:rFonts w:asciiTheme="minorHAnsi" w:hAnsiTheme="minorHAnsi" w:eastAsiaTheme="minorEastAsia" w:cstheme="minorBidi"/>
      <w:b/>
      <w:snapToGrid w:val="0"/>
      <w:kern w:val="24"/>
      <w:sz w:val="24"/>
      <w:szCs w:val="24"/>
    </w:rPr>
  </w:style>
  <w:style w:type="character" w:customStyle="1" w:styleId="1470">
    <w:name w:val="HTML 预设格式 字符2"/>
    <w:qFormat/>
    <w:uiPriority w:val="0"/>
    <w:rPr>
      <w:rFonts w:ascii="黑体" w:hAnsi="Courier New" w:eastAsia="黑体" w:cs="Courier New"/>
    </w:rPr>
  </w:style>
  <w:style w:type="character" w:customStyle="1" w:styleId="1471">
    <w:name w:val="称呼 字符3"/>
    <w:link w:val="31"/>
    <w:qFormat/>
    <w:uiPriority w:val="0"/>
    <w:rPr>
      <w:rFonts w:asciiTheme="minorHAnsi" w:hAnsiTheme="minorHAnsi" w:eastAsiaTheme="minorEastAsia" w:cstheme="minorBidi"/>
      <w:kern w:val="2"/>
      <w:sz w:val="21"/>
      <w:szCs w:val="24"/>
    </w:rPr>
  </w:style>
  <w:style w:type="character" w:customStyle="1" w:styleId="1472">
    <w:name w:val="电子邮件签名 字符3"/>
    <w:link w:val="20"/>
    <w:qFormat/>
    <w:uiPriority w:val="0"/>
    <w:rPr>
      <w:rFonts w:asciiTheme="minorHAnsi" w:hAnsiTheme="minorHAnsi" w:eastAsiaTheme="minorEastAsia" w:cstheme="minorBidi"/>
      <w:kern w:val="2"/>
      <w:sz w:val="21"/>
      <w:szCs w:val="24"/>
    </w:rPr>
  </w:style>
  <w:style w:type="character" w:customStyle="1" w:styleId="1473">
    <w:name w:val="普通文字 Char Char"/>
    <w:qFormat/>
    <w:uiPriority w:val="0"/>
    <w:rPr>
      <w:rFonts w:ascii="宋体" w:hAnsi="Courier New" w:eastAsia="宋体" w:cs="Courier New"/>
      <w:kern w:val="2"/>
      <w:sz w:val="21"/>
      <w:szCs w:val="21"/>
      <w:lang w:val="en-US" w:eastAsia="zh-CN" w:bidi="ar-SA"/>
    </w:rPr>
  </w:style>
  <w:style w:type="character" w:customStyle="1" w:styleId="1474">
    <w:name w:val="Char Char17"/>
    <w:semiHidden/>
    <w:qFormat/>
    <w:uiPriority w:val="0"/>
    <w:rPr>
      <w:rFonts w:ascii="宋体" w:eastAsia="宋体"/>
      <w:sz w:val="28"/>
      <w:szCs w:val="28"/>
      <w:lang w:val="en-US" w:eastAsia="zh-CN" w:bidi="ar-SA"/>
    </w:rPr>
  </w:style>
  <w:style w:type="character" w:customStyle="1" w:styleId="1475">
    <w:name w:val="font121"/>
    <w:qFormat/>
    <w:uiPriority w:val="0"/>
    <w:rPr>
      <w:rFonts w:hint="eastAsia" w:ascii="宋体" w:hAnsi="宋体" w:eastAsia="宋体" w:cs="宋体"/>
      <w:color w:val="000000"/>
      <w:sz w:val="18"/>
      <w:szCs w:val="18"/>
      <w:u w:val="none"/>
      <w:vertAlign w:val="subscript"/>
    </w:rPr>
  </w:style>
  <w:style w:type="character" w:customStyle="1" w:styleId="1476">
    <w:name w:val="font111"/>
    <w:qFormat/>
    <w:uiPriority w:val="0"/>
    <w:rPr>
      <w:rFonts w:hint="eastAsia" w:ascii="宋体" w:hAnsi="宋体" w:eastAsia="宋体" w:cs="宋体"/>
      <w:color w:val="000000"/>
      <w:sz w:val="18"/>
      <w:szCs w:val="18"/>
      <w:u w:val="none"/>
    </w:rPr>
  </w:style>
  <w:style w:type="character" w:customStyle="1" w:styleId="1477">
    <w:name w:val="con"/>
    <w:basedOn w:val="134"/>
    <w:qFormat/>
    <w:uiPriority w:val="0"/>
  </w:style>
  <w:style w:type="character" w:customStyle="1" w:styleId="1478">
    <w:name w:val="正文四级标题 Char"/>
    <w:link w:val="1479"/>
    <w:qFormat/>
    <w:uiPriority w:val="0"/>
    <w:rPr>
      <w:b/>
      <w:snapToGrid w:val="0"/>
      <w:kern w:val="24"/>
      <w:sz w:val="24"/>
      <w:szCs w:val="24"/>
    </w:rPr>
  </w:style>
  <w:style w:type="paragraph" w:customStyle="1" w:styleId="1479">
    <w:name w:val="正文四级标题"/>
    <w:link w:val="1478"/>
    <w:qFormat/>
    <w:uiPriority w:val="0"/>
    <w:pPr>
      <w:tabs>
        <w:tab w:val="left" w:pos="864"/>
      </w:tabs>
      <w:adjustRightInd w:val="0"/>
      <w:snapToGrid w:val="0"/>
      <w:spacing w:line="360" w:lineRule="auto"/>
      <w:ind w:left="864" w:hanging="864"/>
      <w:outlineLvl w:val="3"/>
    </w:pPr>
    <w:rPr>
      <w:rFonts w:ascii="等线" w:hAnsi="等线" w:eastAsia="等线" w:cs="Times New Roman"/>
      <w:b/>
      <w:snapToGrid w:val="0"/>
      <w:kern w:val="24"/>
      <w:sz w:val="24"/>
      <w:szCs w:val="24"/>
      <w:lang w:val="en-US" w:eastAsia="zh-CN" w:bidi="ar-SA"/>
    </w:rPr>
  </w:style>
  <w:style w:type="character" w:customStyle="1" w:styleId="1480">
    <w:name w:val="正文 Char"/>
    <w:qFormat/>
    <w:uiPriority w:val="0"/>
    <w:rPr>
      <w:rFonts w:eastAsia="宋体"/>
      <w:snapToGrid w:val="0"/>
      <w:color w:val="000000"/>
      <w:kern w:val="21"/>
      <w:sz w:val="24"/>
      <w:szCs w:val="21"/>
      <w:lang w:val="en-US" w:eastAsia="zh-CN" w:bidi="ar-SA"/>
    </w:rPr>
  </w:style>
  <w:style w:type="character" w:customStyle="1" w:styleId="1481">
    <w:name w:val="正文侧重点 Char"/>
    <w:link w:val="1482"/>
    <w:qFormat/>
    <w:uiPriority w:val="0"/>
    <w:rPr>
      <w:b/>
      <w:i/>
      <w:sz w:val="24"/>
      <w:szCs w:val="24"/>
    </w:rPr>
  </w:style>
  <w:style w:type="paragraph" w:customStyle="1" w:styleId="1482">
    <w:name w:val="正文侧重点"/>
    <w:basedOn w:val="211"/>
    <w:link w:val="1481"/>
    <w:qFormat/>
    <w:uiPriority w:val="0"/>
    <w:pPr>
      <w:widowControl w:val="0"/>
      <w:ind w:firstLine="200" w:firstLineChars="200"/>
    </w:pPr>
    <w:rPr>
      <w:rFonts w:ascii="等线" w:hAnsi="等线" w:eastAsia="等线" w:cs="Times New Roman"/>
      <w:b/>
      <w:i/>
      <w:kern w:val="0"/>
      <w:sz w:val="24"/>
      <w:szCs w:val="24"/>
    </w:rPr>
  </w:style>
  <w:style w:type="character" w:customStyle="1" w:styleId="1483">
    <w:name w:val="unnamed11"/>
    <w:semiHidden/>
    <w:qFormat/>
    <w:uiPriority w:val="0"/>
    <w:rPr>
      <w:rFonts w:ascii="宋体" w:hAnsi="宋体" w:eastAsia="宋体" w:cs="宋体"/>
      <w:b/>
      <w:bCs/>
      <w:color w:val="CCCCCC"/>
      <w:spacing w:val="360"/>
      <w:kern w:val="2"/>
      <w:sz w:val="24"/>
      <w:szCs w:val="24"/>
      <w:lang w:val="en-US" w:eastAsia="zh-CN" w:bidi="ar-SA"/>
    </w:rPr>
  </w:style>
  <w:style w:type="character" w:customStyle="1" w:styleId="1484">
    <w:name w:val="样式1 Char Char Char Char Char Char"/>
    <w:link w:val="1485"/>
    <w:semiHidden/>
    <w:qFormat/>
    <w:uiPriority w:val="0"/>
    <w:rPr>
      <w:rFonts w:eastAsia="仿宋_GB2312"/>
      <w:spacing w:val="-20"/>
      <w:sz w:val="18"/>
      <w:szCs w:val="24"/>
    </w:rPr>
  </w:style>
  <w:style w:type="paragraph" w:customStyle="1" w:styleId="1485">
    <w:name w:val="样式1 Char Char Char Char Char"/>
    <w:basedOn w:val="1"/>
    <w:link w:val="1484"/>
    <w:semiHidden/>
    <w:qFormat/>
    <w:uiPriority w:val="0"/>
    <w:pPr>
      <w:widowControl w:val="0"/>
      <w:spacing w:line="240" w:lineRule="auto"/>
      <w:jc w:val="center"/>
    </w:pPr>
    <w:rPr>
      <w:rFonts w:ascii="等线" w:hAnsi="等线" w:eastAsia="仿宋_GB2312"/>
      <w:spacing w:val="-20"/>
      <w:kern w:val="0"/>
      <w:sz w:val="18"/>
      <w:szCs w:val="24"/>
    </w:rPr>
  </w:style>
  <w:style w:type="character" w:customStyle="1" w:styleId="1486">
    <w:name w:val="表格内容1 Char Char1 Char Char"/>
    <w:link w:val="1487"/>
    <w:semiHidden/>
    <w:qFormat/>
    <w:uiPriority w:val="0"/>
    <w:rPr>
      <w:rFonts w:eastAsia="仿宋_GB2312"/>
      <w:kern w:val="24"/>
      <w:szCs w:val="24"/>
    </w:rPr>
  </w:style>
  <w:style w:type="paragraph" w:customStyle="1" w:styleId="1487">
    <w:name w:val="表格内容1 Char Char1 Char"/>
    <w:basedOn w:val="1"/>
    <w:link w:val="1486"/>
    <w:semiHidden/>
    <w:qFormat/>
    <w:uiPriority w:val="0"/>
    <w:pPr>
      <w:widowControl w:val="0"/>
      <w:spacing w:line="240" w:lineRule="atLeast"/>
      <w:jc w:val="center"/>
    </w:pPr>
    <w:rPr>
      <w:rFonts w:ascii="等线" w:hAnsi="等线" w:eastAsia="仿宋_GB2312"/>
      <w:kern w:val="24"/>
      <w:sz w:val="20"/>
      <w:szCs w:val="24"/>
    </w:rPr>
  </w:style>
  <w:style w:type="character" w:customStyle="1" w:styleId="1488">
    <w:name w:val="扬巴正文 Char"/>
    <w:link w:val="1489"/>
    <w:semiHidden/>
    <w:qFormat/>
    <w:uiPriority w:val="0"/>
    <w:rPr>
      <w:sz w:val="24"/>
      <w:szCs w:val="24"/>
    </w:rPr>
  </w:style>
  <w:style w:type="paragraph" w:customStyle="1" w:styleId="1489">
    <w:name w:val="扬巴正文"/>
    <w:basedOn w:val="1"/>
    <w:link w:val="1488"/>
    <w:semiHidden/>
    <w:qFormat/>
    <w:uiPriority w:val="0"/>
    <w:pPr>
      <w:widowControl w:val="0"/>
      <w:adjustRightInd w:val="0"/>
      <w:snapToGrid w:val="0"/>
      <w:ind w:firstLine="200" w:firstLineChars="200"/>
    </w:pPr>
    <w:rPr>
      <w:rFonts w:ascii="等线" w:hAnsi="等线"/>
      <w:kern w:val="0"/>
      <w:szCs w:val="24"/>
    </w:rPr>
  </w:style>
  <w:style w:type="character" w:customStyle="1" w:styleId="1490">
    <w:name w:val="标题 2 C"/>
    <w:semiHidden/>
    <w:qFormat/>
    <w:uiPriority w:val="0"/>
    <w:rPr>
      <w:rFonts w:ascii="宋体" w:hAnsi="宋体" w:eastAsia="宋体" w:cs="宋体"/>
      <w:b/>
      <w:bCs/>
      <w:snapToGrid w:val="0"/>
      <w:kern w:val="2"/>
      <w:sz w:val="28"/>
      <w:szCs w:val="28"/>
      <w:lang w:val="en-US" w:eastAsia="zh-CN" w:bidi="ar-SA"/>
    </w:rPr>
  </w:style>
  <w:style w:type="character" w:customStyle="1" w:styleId="1491">
    <w:name w:val="bluetitle1"/>
    <w:semiHidden/>
    <w:qFormat/>
    <w:uiPriority w:val="0"/>
    <w:rPr>
      <w:rFonts w:hint="default" w:ascii="ˎ̥" w:hAnsi="ˎ̥" w:eastAsia="宋体" w:cs="宋体"/>
      <w:b/>
      <w:bCs/>
      <w:color w:val="0063A0"/>
      <w:kern w:val="2"/>
      <w:sz w:val="21"/>
      <w:szCs w:val="21"/>
      <w:u w:val="none"/>
      <w:lang w:val="en-US" w:eastAsia="zh-CN" w:bidi="ar-SA"/>
    </w:rPr>
  </w:style>
  <w:style w:type="character" w:customStyle="1" w:styleId="1492">
    <w:name w:val="表格内容1 Char"/>
    <w:link w:val="1312"/>
    <w:qFormat/>
    <w:uiPriority w:val="0"/>
    <w:rPr>
      <w:rFonts w:ascii="宋体" w:hAnsiTheme="minorHAnsi" w:eastAsiaTheme="minorEastAsia" w:cstheme="minorBidi"/>
      <w:snapToGrid w:val="0"/>
      <w:kern w:val="2"/>
      <w:sz w:val="21"/>
      <w:szCs w:val="24"/>
    </w:rPr>
  </w:style>
  <w:style w:type="character" w:customStyle="1" w:styleId="1493">
    <w:name w:val="无框文本框 Char"/>
    <w:link w:val="1494"/>
    <w:qFormat/>
    <w:uiPriority w:val="0"/>
    <w:rPr>
      <w:rFonts w:ascii="宋体"/>
      <w:snapToGrid w:val="0"/>
      <w:color w:val="000000"/>
      <w:szCs w:val="24"/>
    </w:rPr>
  </w:style>
  <w:style w:type="paragraph" w:customStyle="1" w:styleId="1494">
    <w:name w:val="无框文本框"/>
    <w:basedOn w:val="1"/>
    <w:link w:val="1493"/>
    <w:qFormat/>
    <w:uiPriority w:val="0"/>
    <w:pPr>
      <w:widowControl w:val="0"/>
      <w:adjustRightInd w:val="0"/>
      <w:snapToGrid w:val="0"/>
      <w:spacing w:line="240" w:lineRule="auto"/>
      <w:ind w:firstLine="200" w:firstLineChars="200"/>
      <w:jc w:val="center"/>
    </w:pPr>
    <w:rPr>
      <w:rFonts w:ascii="宋体" w:hAnsi="等线"/>
      <w:snapToGrid w:val="0"/>
      <w:color w:val="000000"/>
      <w:kern w:val="0"/>
      <w:sz w:val="20"/>
      <w:szCs w:val="24"/>
    </w:rPr>
  </w:style>
  <w:style w:type="character" w:customStyle="1" w:styleId="1495">
    <w:name w:val="标准正文 Char"/>
    <w:link w:val="1496"/>
    <w:qFormat/>
    <w:uiPriority w:val="0"/>
    <w:rPr>
      <w:sz w:val="24"/>
      <w:szCs w:val="24"/>
    </w:rPr>
  </w:style>
  <w:style w:type="paragraph" w:customStyle="1" w:styleId="1496">
    <w:name w:val="标准正文"/>
    <w:link w:val="1495"/>
    <w:qFormat/>
    <w:uiPriority w:val="0"/>
    <w:pPr>
      <w:spacing w:line="360" w:lineRule="auto"/>
      <w:ind w:firstLine="200" w:firstLineChars="200"/>
      <w:jc w:val="both"/>
    </w:pPr>
    <w:rPr>
      <w:rFonts w:ascii="等线" w:hAnsi="等线" w:eastAsia="等线" w:cs="Times New Roman"/>
      <w:sz w:val="24"/>
      <w:szCs w:val="24"/>
      <w:lang w:val="en-US" w:eastAsia="zh-CN" w:bidi="ar-SA"/>
    </w:rPr>
  </w:style>
  <w:style w:type="character" w:customStyle="1" w:styleId="1497">
    <w:name w:val="称呼 Char1"/>
    <w:qFormat/>
    <w:uiPriority w:val="0"/>
    <w:rPr>
      <w:rFonts w:ascii="Times New Roman" w:hAnsi="Times New Roman"/>
      <w:snapToGrid w:val="0"/>
      <w:kern w:val="24"/>
      <w:sz w:val="24"/>
      <w:szCs w:val="24"/>
    </w:rPr>
  </w:style>
  <w:style w:type="character" w:customStyle="1" w:styleId="1498">
    <w:name w:val="文档结构图 Char1"/>
    <w:qFormat/>
    <w:uiPriority w:val="0"/>
    <w:rPr>
      <w:rFonts w:ascii="宋体" w:hAnsi="Times New Roman" w:eastAsia="宋体" w:cs="Times New Roman"/>
      <w:snapToGrid/>
      <w:kern w:val="24"/>
      <w:sz w:val="18"/>
      <w:szCs w:val="18"/>
    </w:rPr>
  </w:style>
  <w:style w:type="character" w:customStyle="1" w:styleId="1499">
    <w:name w:val="style4"/>
    <w:basedOn w:val="134"/>
    <w:semiHidden/>
    <w:qFormat/>
    <w:uiPriority w:val="0"/>
  </w:style>
  <w:style w:type="character" w:customStyle="1" w:styleId="1500">
    <w:name w:val="infodetail1"/>
    <w:semiHidden/>
    <w:qFormat/>
    <w:uiPriority w:val="0"/>
    <w:rPr>
      <w:sz w:val="21"/>
      <w:szCs w:val="21"/>
    </w:rPr>
  </w:style>
  <w:style w:type="character" w:customStyle="1" w:styleId="1501">
    <w:name w:val="news_newsinfo_font"/>
    <w:basedOn w:val="134"/>
    <w:semiHidden/>
    <w:qFormat/>
    <w:uiPriority w:val="0"/>
  </w:style>
  <w:style w:type="character" w:customStyle="1" w:styleId="1502">
    <w:name w:val="style1"/>
    <w:basedOn w:val="134"/>
    <w:qFormat/>
    <w:uiPriority w:val="0"/>
  </w:style>
  <w:style w:type="character" w:customStyle="1" w:styleId="1503">
    <w:name w:val="正文环评 Char"/>
    <w:link w:val="1504"/>
    <w:semiHidden/>
    <w:qFormat/>
    <w:uiPriority w:val="0"/>
    <w:rPr>
      <w:rFonts w:ascii="Calibri" w:hAnsi="Arial"/>
      <w:snapToGrid w:val="0"/>
      <w:color w:val="000000"/>
      <w:szCs w:val="21"/>
    </w:rPr>
  </w:style>
  <w:style w:type="paragraph" w:customStyle="1" w:styleId="1504">
    <w:name w:val="正文环评"/>
    <w:basedOn w:val="1"/>
    <w:link w:val="1503"/>
    <w:semiHidden/>
    <w:qFormat/>
    <w:uiPriority w:val="0"/>
    <w:pPr>
      <w:widowControl w:val="0"/>
      <w:adjustRightInd w:val="0"/>
      <w:snapToGrid w:val="0"/>
      <w:spacing w:beforeLines="50" w:line="300" w:lineRule="auto"/>
      <w:ind w:firstLine="480" w:firstLineChars="200"/>
    </w:pPr>
    <w:rPr>
      <w:rFonts w:ascii="Calibri" w:hAnsi="Arial"/>
      <w:snapToGrid w:val="0"/>
      <w:color w:val="000000"/>
      <w:kern w:val="0"/>
      <w:sz w:val="20"/>
      <w:szCs w:val="21"/>
    </w:rPr>
  </w:style>
  <w:style w:type="character" w:customStyle="1" w:styleId="1505">
    <w:name w:val="前言标题 Char"/>
    <w:link w:val="1270"/>
    <w:qFormat/>
    <w:uiPriority w:val="0"/>
    <w:rPr>
      <w:rFonts w:eastAsia="黑体" w:asciiTheme="minorHAnsi" w:hAnsiTheme="minorHAnsi" w:cstheme="minorBidi"/>
      <w:snapToGrid w:val="0"/>
      <w:kern w:val="30"/>
      <w:sz w:val="30"/>
      <w:szCs w:val="30"/>
    </w:rPr>
  </w:style>
  <w:style w:type="character" w:customStyle="1" w:styleId="1506">
    <w:name w:val="Char Char214"/>
    <w:uiPriority w:val="0"/>
    <w:rPr>
      <w:snapToGrid/>
      <w:kern w:val="24"/>
      <w:sz w:val="24"/>
      <w:szCs w:val="24"/>
    </w:rPr>
  </w:style>
  <w:style w:type="character" w:customStyle="1" w:styleId="1507">
    <w:name w:val="表格内 Char"/>
    <w:link w:val="1508"/>
    <w:qFormat/>
    <w:uiPriority w:val="0"/>
    <w:rPr>
      <w:rFonts w:ascii="宋体" w:hAnsi="宋体"/>
      <w:sz w:val="18"/>
      <w:szCs w:val="18"/>
    </w:rPr>
  </w:style>
  <w:style w:type="paragraph" w:customStyle="1" w:styleId="1508">
    <w:name w:val="表格内"/>
    <w:basedOn w:val="1"/>
    <w:link w:val="1507"/>
    <w:qFormat/>
    <w:uiPriority w:val="0"/>
    <w:pPr>
      <w:widowControl w:val="0"/>
      <w:snapToGrid w:val="0"/>
      <w:spacing w:line="240" w:lineRule="auto"/>
      <w:jc w:val="center"/>
    </w:pPr>
    <w:rPr>
      <w:rFonts w:ascii="宋体" w:hAnsi="宋体"/>
      <w:kern w:val="0"/>
      <w:sz w:val="18"/>
      <w:szCs w:val="18"/>
    </w:rPr>
  </w:style>
  <w:style w:type="character" w:customStyle="1" w:styleId="1509">
    <w:name w:val="Char Char184"/>
    <w:uiPriority w:val="0"/>
    <w:rPr>
      <w:rFonts w:eastAsia="宋体"/>
      <w:snapToGrid w:val="0"/>
      <w:kern w:val="24"/>
      <w:sz w:val="24"/>
      <w:szCs w:val="24"/>
      <w:lang w:val="en-US" w:eastAsia="zh-CN" w:bidi="ar-SA"/>
    </w:rPr>
  </w:style>
  <w:style w:type="character" w:customStyle="1" w:styleId="1510">
    <w:name w:val="上标"/>
    <w:semiHidden/>
    <w:qFormat/>
    <w:uiPriority w:val="0"/>
    <w:rPr>
      <w:spacing w:val="0"/>
      <w:position w:val="7"/>
      <w:sz w:val="21"/>
    </w:rPr>
  </w:style>
  <w:style w:type="character" w:customStyle="1" w:styleId="1511">
    <w:name w:val="样式 首行缩进:  2 字符2 Char"/>
    <w:link w:val="1512"/>
    <w:semiHidden/>
    <w:qFormat/>
    <w:uiPriority w:val="0"/>
    <w:rPr>
      <w:sz w:val="24"/>
    </w:rPr>
  </w:style>
  <w:style w:type="paragraph" w:customStyle="1" w:styleId="1512">
    <w:name w:val="样式 首行缩进:  2 字符2"/>
    <w:basedOn w:val="1"/>
    <w:link w:val="1511"/>
    <w:semiHidden/>
    <w:qFormat/>
    <w:uiPriority w:val="0"/>
    <w:pPr>
      <w:widowControl w:val="0"/>
      <w:spacing w:line="500" w:lineRule="exact"/>
      <w:ind w:firstLine="480" w:firstLineChars="200"/>
    </w:pPr>
    <w:rPr>
      <w:rFonts w:ascii="等线" w:hAnsi="等线"/>
      <w:kern w:val="0"/>
      <w:szCs w:val="20"/>
    </w:rPr>
  </w:style>
  <w:style w:type="character" w:customStyle="1" w:styleId="1513">
    <w:name w:val="正文文本1 Char"/>
    <w:link w:val="1514"/>
    <w:qFormat/>
    <w:uiPriority w:val="0"/>
    <w:rPr>
      <w:rFonts w:ascii="宋体" w:hAnsi="宋体"/>
      <w:bCs/>
      <w:snapToGrid w:val="0"/>
      <w:sz w:val="24"/>
      <w:szCs w:val="24"/>
      <w:lang w:val="de-DE"/>
    </w:rPr>
  </w:style>
  <w:style w:type="paragraph" w:customStyle="1" w:styleId="1514">
    <w:name w:val="正文文字"/>
    <w:basedOn w:val="1"/>
    <w:link w:val="1513"/>
    <w:qFormat/>
    <w:uiPriority w:val="0"/>
    <w:pPr>
      <w:widowControl w:val="0"/>
      <w:adjustRightInd w:val="0"/>
      <w:snapToGrid w:val="0"/>
      <w:spacing w:line="312" w:lineRule="auto"/>
      <w:ind w:firstLine="480" w:firstLineChars="200"/>
    </w:pPr>
    <w:rPr>
      <w:rFonts w:ascii="宋体" w:hAnsi="宋体"/>
      <w:bCs/>
      <w:snapToGrid w:val="0"/>
      <w:kern w:val="0"/>
      <w:szCs w:val="24"/>
      <w:lang w:val="de-DE"/>
    </w:rPr>
  </w:style>
  <w:style w:type="character" w:customStyle="1" w:styleId="1515">
    <w:name w:val="link_w1"/>
    <w:semiHidden/>
    <w:qFormat/>
    <w:uiPriority w:val="0"/>
    <w:rPr>
      <w:color w:val="000000"/>
    </w:rPr>
  </w:style>
  <w:style w:type="character" w:customStyle="1" w:styleId="1516">
    <w:name w:val="样式 (符号) 宋体 首行缩进:  2 字符 Char"/>
    <w:link w:val="1517"/>
    <w:semiHidden/>
    <w:qFormat/>
    <w:uiPriority w:val="0"/>
    <w:rPr>
      <w:rFonts w:hAnsi="宋体"/>
      <w:sz w:val="24"/>
    </w:rPr>
  </w:style>
  <w:style w:type="paragraph" w:customStyle="1" w:styleId="1517">
    <w:name w:val="样式 (符号) 宋体 首行缩进:  2 字符"/>
    <w:basedOn w:val="1"/>
    <w:link w:val="1516"/>
    <w:semiHidden/>
    <w:qFormat/>
    <w:uiPriority w:val="0"/>
    <w:pPr>
      <w:widowControl w:val="0"/>
      <w:spacing w:line="500" w:lineRule="exact"/>
      <w:ind w:firstLine="480" w:firstLineChars="200"/>
    </w:pPr>
    <w:rPr>
      <w:rFonts w:ascii="等线" w:hAnsi="宋体"/>
      <w:kern w:val="0"/>
      <w:szCs w:val="20"/>
    </w:rPr>
  </w:style>
  <w:style w:type="character" w:customStyle="1" w:styleId="1518">
    <w:name w:val="question-title2"/>
    <w:basedOn w:val="134"/>
    <w:semiHidden/>
    <w:qFormat/>
    <w:uiPriority w:val="0"/>
  </w:style>
  <w:style w:type="character" w:customStyle="1" w:styleId="1519">
    <w:name w:val="Char Char Char Char Char Char Char Char Char Char Char Char Char Char Char Char"/>
    <w:semiHidden/>
    <w:uiPriority w:val="0"/>
    <w:rPr>
      <w:rFonts w:ascii="Arial" w:hAnsi="Arial" w:eastAsia="黑体" w:cs="Arial"/>
      <w:kern w:val="2"/>
      <w:lang w:val="en-US" w:eastAsia="zh-CN" w:bidi="ar-SA"/>
    </w:rPr>
  </w:style>
  <w:style w:type="character" w:customStyle="1" w:styleId="1520">
    <w:name w:val="表格的标注 Char"/>
    <w:link w:val="1521"/>
    <w:qFormat/>
    <w:uiPriority w:val="0"/>
    <w:rPr>
      <w:szCs w:val="24"/>
    </w:rPr>
  </w:style>
  <w:style w:type="paragraph" w:customStyle="1" w:styleId="1521">
    <w:name w:val="表格的标注"/>
    <w:basedOn w:val="211"/>
    <w:link w:val="1520"/>
    <w:qFormat/>
    <w:uiPriority w:val="0"/>
    <w:pPr>
      <w:widowControl w:val="0"/>
      <w:spacing w:line="240" w:lineRule="auto"/>
    </w:pPr>
    <w:rPr>
      <w:rFonts w:ascii="等线" w:hAnsi="等线" w:eastAsia="等线" w:cs="Times New Roman"/>
      <w:kern w:val="0"/>
      <w:sz w:val="20"/>
      <w:szCs w:val="24"/>
    </w:rPr>
  </w:style>
  <w:style w:type="character" w:customStyle="1" w:styleId="1522">
    <w:name w:val="List Paragraph Char"/>
    <w:link w:val="540"/>
    <w:qFormat/>
    <w:locked/>
    <w:uiPriority w:val="0"/>
    <w:rPr>
      <w:rFonts w:ascii="宋体" w:hAnsi="宋体" w:eastAsia="宋体"/>
      <w:kern w:val="2"/>
      <w:sz w:val="24"/>
      <w:szCs w:val="24"/>
    </w:rPr>
  </w:style>
  <w:style w:type="character" w:customStyle="1" w:styleId="1523">
    <w:name w:val="正文首行缩进 Char1"/>
    <w:qFormat/>
    <w:uiPriority w:val="0"/>
    <w:rPr>
      <w:rFonts w:ascii="Times New Roman" w:hAnsi="Times New Roman"/>
      <w:snapToGrid w:val="0"/>
      <w:kern w:val="2"/>
      <w:sz w:val="21"/>
      <w:szCs w:val="24"/>
    </w:rPr>
  </w:style>
  <w:style w:type="character" w:customStyle="1" w:styleId="1524">
    <w:name w:val="标题 6 Char1"/>
    <w:semiHidden/>
    <w:qFormat/>
    <w:uiPriority w:val="0"/>
    <w:rPr>
      <w:rFonts w:ascii="Cambria" w:hAnsi="Cambria" w:eastAsia="宋体" w:cs="Times New Roman"/>
      <w:b/>
      <w:bCs/>
      <w:kern w:val="24"/>
      <w:sz w:val="24"/>
      <w:szCs w:val="24"/>
    </w:rPr>
  </w:style>
  <w:style w:type="character" w:customStyle="1" w:styleId="1525">
    <w:name w:val="标题 8 Char1"/>
    <w:semiHidden/>
    <w:qFormat/>
    <w:uiPriority w:val="0"/>
    <w:rPr>
      <w:rFonts w:ascii="Cambria" w:hAnsi="Cambria" w:eastAsia="宋体" w:cs="Times New Roman"/>
      <w:kern w:val="24"/>
      <w:sz w:val="24"/>
      <w:szCs w:val="24"/>
    </w:rPr>
  </w:style>
  <w:style w:type="character" w:customStyle="1" w:styleId="1526">
    <w:name w:val="批注文字 Char1"/>
    <w:qFormat/>
    <w:uiPriority w:val="0"/>
    <w:rPr>
      <w:kern w:val="24"/>
      <w:sz w:val="24"/>
      <w:szCs w:val="24"/>
    </w:rPr>
  </w:style>
  <w:style w:type="character" w:customStyle="1" w:styleId="1527">
    <w:name w:val="批注框文本 Char1"/>
    <w:semiHidden/>
    <w:qFormat/>
    <w:uiPriority w:val="0"/>
    <w:rPr>
      <w:kern w:val="24"/>
      <w:sz w:val="18"/>
      <w:szCs w:val="18"/>
    </w:rPr>
  </w:style>
  <w:style w:type="character" w:customStyle="1" w:styleId="1528">
    <w:name w:val="日期 Char1"/>
    <w:semiHidden/>
    <w:qFormat/>
    <w:uiPriority w:val="0"/>
    <w:rPr>
      <w:kern w:val="24"/>
      <w:sz w:val="24"/>
      <w:szCs w:val="24"/>
    </w:rPr>
  </w:style>
  <w:style w:type="character" w:customStyle="1" w:styleId="1529">
    <w:name w:val="large1"/>
    <w:qFormat/>
    <w:uiPriority w:val="0"/>
    <w:rPr>
      <w:rFonts w:hint="eastAsia" w:ascii="宋体" w:hAnsi="宋体" w:eastAsia="宋体"/>
      <w:spacing w:val="336"/>
      <w:sz w:val="30"/>
      <w:szCs w:val="30"/>
    </w:rPr>
  </w:style>
  <w:style w:type="character" w:customStyle="1" w:styleId="1530">
    <w:name w:val="Char Char6"/>
    <w:semiHidden/>
    <w:qFormat/>
    <w:uiPriority w:val="0"/>
    <w:rPr>
      <w:sz w:val="18"/>
    </w:rPr>
  </w:style>
  <w:style w:type="character" w:customStyle="1" w:styleId="1531">
    <w:name w:val="articlelink"/>
    <w:basedOn w:val="134"/>
    <w:qFormat/>
    <w:uiPriority w:val="0"/>
  </w:style>
  <w:style w:type="character" w:customStyle="1" w:styleId="1532">
    <w:name w:val="p4"/>
    <w:basedOn w:val="134"/>
    <w:qFormat/>
    <w:uiPriority w:val="0"/>
  </w:style>
  <w:style w:type="character" w:customStyle="1" w:styleId="1533">
    <w:name w:val="comment-text1"/>
    <w:qFormat/>
    <w:uiPriority w:val="0"/>
    <w:rPr>
      <w:color w:val="808080"/>
      <w:sz w:val="22"/>
      <w:szCs w:val="22"/>
    </w:rPr>
  </w:style>
  <w:style w:type="character" w:customStyle="1" w:styleId="1534">
    <w:name w:val="3zw"/>
    <w:basedOn w:val="134"/>
    <w:qFormat/>
    <w:uiPriority w:val="0"/>
  </w:style>
  <w:style w:type="character" w:customStyle="1" w:styleId="1535">
    <w:name w:val="lh171"/>
    <w:qFormat/>
    <w:uiPriority w:val="0"/>
    <w:rPr>
      <w:spacing w:val="624"/>
    </w:rPr>
  </w:style>
  <w:style w:type="character" w:customStyle="1" w:styleId="1536">
    <w:name w:val="正文内容 Char Char"/>
    <w:qFormat/>
    <w:uiPriority w:val="0"/>
    <w:rPr>
      <w:rFonts w:cs="宋体"/>
      <w:sz w:val="24"/>
    </w:rPr>
  </w:style>
  <w:style w:type="character" w:customStyle="1" w:styleId="1537">
    <w:name w:val="title41"/>
    <w:qFormat/>
    <w:uiPriority w:val="0"/>
    <w:rPr>
      <w:rFonts w:hint="eastAsia" w:ascii="宋体" w:hAnsi="宋体"/>
      <w:color w:val="194F95"/>
      <w:sz w:val="23"/>
      <w:szCs w:val="23"/>
    </w:rPr>
  </w:style>
  <w:style w:type="character" w:customStyle="1" w:styleId="1538">
    <w:name w:val="title31"/>
    <w:qFormat/>
    <w:uiPriority w:val="0"/>
    <w:rPr>
      <w:rFonts w:hint="eastAsia" w:ascii="宋体" w:hAnsi="宋体"/>
      <w:color w:val="000000"/>
      <w:sz w:val="23"/>
      <w:szCs w:val="23"/>
    </w:rPr>
  </w:style>
  <w:style w:type="character" w:customStyle="1" w:styleId="1539">
    <w:name w:val="Footer1 Char Char1"/>
    <w:semiHidden/>
    <w:qFormat/>
    <w:uiPriority w:val="0"/>
    <w:rPr>
      <w:kern w:val="2"/>
      <w:sz w:val="18"/>
      <w:szCs w:val="18"/>
    </w:rPr>
  </w:style>
  <w:style w:type="character" w:customStyle="1" w:styleId="1540">
    <w:name w:val="so-ask-best"/>
    <w:qFormat/>
    <w:uiPriority w:val="0"/>
  </w:style>
  <w:style w:type="character" w:customStyle="1" w:styleId="1541">
    <w:name w:val="Char Char165"/>
    <w:qFormat/>
    <w:uiPriority w:val="0"/>
    <w:rPr>
      <w:rFonts w:eastAsia="宋体"/>
      <w:kern w:val="2"/>
      <w:sz w:val="21"/>
      <w:szCs w:val="24"/>
      <w:lang w:val="en-US" w:eastAsia="zh-CN" w:bidi="ar-SA"/>
    </w:rPr>
  </w:style>
  <w:style w:type="character" w:customStyle="1" w:styleId="1542">
    <w:name w:val="列出段落 字符"/>
    <w:link w:val="250"/>
    <w:qFormat/>
    <w:locked/>
    <w:uiPriority w:val="34"/>
    <w:rPr>
      <w:rFonts w:ascii="Times New Roman" w:hAnsi="Times New Roman"/>
      <w:kern w:val="2"/>
      <w:sz w:val="24"/>
      <w:szCs w:val="22"/>
    </w:rPr>
  </w:style>
  <w:style w:type="character" w:customStyle="1" w:styleId="1543">
    <w:name w:val="Char Char22"/>
    <w:qFormat/>
    <w:uiPriority w:val="0"/>
    <w:rPr>
      <w:rFonts w:ascii="Times New Roman" w:hAnsi="Times New Roman" w:eastAsia="宋体" w:cs="Times New Roman"/>
      <w:snapToGrid w:val="0"/>
      <w:kern w:val="24"/>
      <w:sz w:val="24"/>
      <w:szCs w:val="24"/>
    </w:rPr>
  </w:style>
  <w:style w:type="character" w:customStyle="1" w:styleId="1544">
    <w:name w:val="文本框文字 Char"/>
    <w:link w:val="1545"/>
    <w:uiPriority w:val="0"/>
    <w:rPr>
      <w:rFonts w:ascii="宋体"/>
      <w:snapToGrid w:val="0"/>
      <w:sz w:val="24"/>
      <w:szCs w:val="24"/>
    </w:rPr>
  </w:style>
  <w:style w:type="paragraph" w:customStyle="1" w:styleId="1545">
    <w:name w:val="文本框文字"/>
    <w:basedOn w:val="1"/>
    <w:link w:val="1544"/>
    <w:qFormat/>
    <w:uiPriority w:val="0"/>
    <w:pPr>
      <w:framePr w:hSpace="181" w:vSpace="181" w:wrap="around" w:vAnchor="page" w:hAnchor="page" w:xAlign="center" w:yAlign="center"/>
      <w:widowControl w:val="0"/>
      <w:adjustRightInd w:val="0"/>
      <w:snapToGrid w:val="0"/>
      <w:spacing w:beforeLines="10" w:afterLines="10"/>
      <w:ind w:firstLine="200" w:firstLineChars="200"/>
      <w:jc w:val="center"/>
      <w:textAlignment w:val="center"/>
    </w:pPr>
    <w:rPr>
      <w:rFonts w:ascii="宋体" w:hAnsi="等线"/>
      <w:snapToGrid w:val="0"/>
      <w:kern w:val="0"/>
      <w:szCs w:val="24"/>
    </w:rPr>
  </w:style>
  <w:style w:type="character" w:customStyle="1" w:styleId="1546">
    <w:name w:val="题注1 Char"/>
    <w:qFormat/>
    <w:uiPriority w:val="0"/>
    <w:rPr>
      <w:rFonts w:ascii="Calibri" w:hAnsi="Calibri" w:eastAsia="宋体" w:cs="Times New Roman"/>
      <w:snapToGrid w:val="0"/>
      <w:kern w:val="0"/>
      <w:sz w:val="20"/>
      <w:szCs w:val="20"/>
    </w:rPr>
  </w:style>
  <w:style w:type="character" w:customStyle="1" w:styleId="1547">
    <w:name w:val="正文文字 3 Char Char1"/>
    <w:qFormat/>
    <w:uiPriority w:val="0"/>
    <w:rPr>
      <w:rFonts w:ascii="宋体" w:hAnsi="宋体" w:eastAsia="宋体" w:cs="Times New Roman"/>
      <w:b/>
      <w:bCs/>
      <w:snapToGrid w:val="0"/>
      <w:color w:val="FFCC00"/>
      <w:kern w:val="0"/>
      <w:sz w:val="28"/>
      <w:szCs w:val="28"/>
    </w:rPr>
  </w:style>
  <w:style w:type="character" w:customStyle="1" w:styleId="1548">
    <w:name w:val="Comment Text Char"/>
    <w:qFormat/>
    <w:locked/>
    <w:uiPriority w:val="0"/>
    <w:rPr>
      <w:rFonts w:ascii="Times New Roman" w:hAnsi="Times New Roman" w:eastAsia="宋体" w:cs="Times New Roman"/>
      <w:sz w:val="24"/>
      <w:szCs w:val="24"/>
    </w:rPr>
  </w:style>
  <w:style w:type="character" w:customStyle="1" w:styleId="1549">
    <w:name w:val="ee1"/>
    <w:qFormat/>
    <w:uiPriority w:val="0"/>
    <w:rPr>
      <w:sz w:val="18"/>
      <w:szCs w:val="18"/>
    </w:rPr>
  </w:style>
  <w:style w:type="character" w:customStyle="1" w:styleId="1550">
    <w:name w:val="宏文本 字符3"/>
    <w:link w:val="2"/>
    <w:qFormat/>
    <w:uiPriority w:val="0"/>
    <w:rPr>
      <w:rFonts w:ascii="Courier New" w:hAnsi="Courier New" w:cs="Courier New" w:eastAsiaTheme="minorEastAsia"/>
      <w:snapToGrid w:val="0"/>
      <w:kern w:val="24"/>
      <w:sz w:val="24"/>
      <w:szCs w:val="24"/>
    </w:rPr>
  </w:style>
  <w:style w:type="character" w:customStyle="1" w:styleId="1551">
    <w:name w:val="殷泰纸业正文 Char"/>
    <w:link w:val="1552"/>
    <w:qFormat/>
    <w:uiPriority w:val="0"/>
    <w:rPr>
      <w:snapToGrid w:val="0"/>
      <w:kern w:val="24"/>
      <w:sz w:val="24"/>
      <w:szCs w:val="24"/>
    </w:rPr>
  </w:style>
  <w:style w:type="paragraph" w:customStyle="1" w:styleId="1552">
    <w:name w:val="殷泰纸业正文"/>
    <w:basedOn w:val="1"/>
    <w:link w:val="1551"/>
    <w:qFormat/>
    <w:uiPriority w:val="0"/>
    <w:pPr>
      <w:widowControl w:val="0"/>
      <w:adjustRightInd w:val="0"/>
      <w:snapToGrid w:val="0"/>
      <w:spacing w:before="10" w:line="300" w:lineRule="auto"/>
      <w:ind w:firstLine="200" w:firstLineChars="200"/>
    </w:pPr>
    <w:rPr>
      <w:rFonts w:ascii="等线" w:hAnsi="等线"/>
      <w:snapToGrid w:val="0"/>
      <w:kern w:val="24"/>
      <w:szCs w:val="24"/>
    </w:rPr>
  </w:style>
  <w:style w:type="character" w:customStyle="1" w:styleId="1553">
    <w:name w:val="样式 殷泰纸业正文 + 首行缩进:  2 字符 Char"/>
    <w:link w:val="1554"/>
    <w:qFormat/>
    <w:uiPriority w:val="0"/>
    <w:rPr>
      <w:snapToGrid w:val="0"/>
      <w:kern w:val="24"/>
      <w:sz w:val="24"/>
      <w:szCs w:val="24"/>
    </w:rPr>
  </w:style>
  <w:style w:type="paragraph" w:customStyle="1" w:styleId="1554">
    <w:name w:val="样式 殷泰纸业正文 + 首行缩进:  2 字符"/>
    <w:basedOn w:val="1552"/>
    <w:link w:val="1553"/>
    <w:qFormat/>
    <w:uiPriority w:val="0"/>
    <w:pPr>
      <w:spacing w:before="0" w:line="360" w:lineRule="auto"/>
    </w:pPr>
  </w:style>
  <w:style w:type="character" w:customStyle="1" w:styleId="1555">
    <w:name w:val="文本框小字 Char"/>
    <w:link w:val="1556"/>
    <w:qFormat/>
    <w:uiPriority w:val="0"/>
    <w:rPr>
      <w:snapToGrid w:val="0"/>
      <w:szCs w:val="21"/>
    </w:rPr>
  </w:style>
  <w:style w:type="paragraph" w:customStyle="1" w:styleId="1556">
    <w:name w:val="文本框小字"/>
    <w:basedOn w:val="1"/>
    <w:link w:val="1555"/>
    <w:qFormat/>
    <w:uiPriority w:val="0"/>
    <w:pPr>
      <w:widowControl w:val="0"/>
      <w:adjustRightInd w:val="0"/>
      <w:snapToGrid w:val="0"/>
      <w:spacing w:line="240" w:lineRule="exact"/>
      <w:textAlignment w:val="baseline"/>
    </w:pPr>
    <w:rPr>
      <w:rFonts w:ascii="等线" w:hAnsi="等线"/>
      <w:snapToGrid w:val="0"/>
      <w:kern w:val="0"/>
      <w:sz w:val="20"/>
      <w:szCs w:val="21"/>
    </w:rPr>
  </w:style>
  <w:style w:type="character" w:customStyle="1" w:styleId="1557">
    <w:name w:val="正文上海 Char"/>
    <w:link w:val="1558"/>
    <w:qFormat/>
    <w:uiPriority w:val="0"/>
    <w:rPr>
      <w:rFonts w:eastAsia="仿宋_GB2312"/>
      <w:sz w:val="24"/>
      <w:szCs w:val="24"/>
    </w:rPr>
  </w:style>
  <w:style w:type="paragraph" w:customStyle="1" w:styleId="1558">
    <w:name w:val="正文上海"/>
    <w:basedOn w:val="1"/>
    <w:link w:val="1557"/>
    <w:qFormat/>
    <w:uiPriority w:val="0"/>
    <w:pPr>
      <w:widowControl w:val="0"/>
      <w:adjustRightInd w:val="0"/>
      <w:snapToGrid w:val="0"/>
      <w:spacing w:beforeLines="50" w:line="300" w:lineRule="auto"/>
      <w:ind w:firstLine="200" w:firstLineChars="200"/>
    </w:pPr>
    <w:rPr>
      <w:rFonts w:ascii="等线" w:hAnsi="等线" w:eastAsia="仿宋_GB2312"/>
      <w:kern w:val="0"/>
      <w:szCs w:val="24"/>
    </w:rPr>
  </w:style>
  <w:style w:type="character" w:customStyle="1" w:styleId="1559">
    <w:name w:val="样式 (西文) Times New Roman (中文) 宋体 (符号) 宋体 行距: 固定值 20 磅 首行缩进:  ... Char"/>
    <w:link w:val="1560"/>
    <w:qFormat/>
    <w:uiPriority w:val="0"/>
    <w:rPr>
      <w:rFonts w:hAnsi="宋体"/>
      <w:sz w:val="24"/>
      <w:lang w:eastAsia="de-DE"/>
    </w:rPr>
  </w:style>
  <w:style w:type="paragraph" w:customStyle="1" w:styleId="1560">
    <w:name w:val="样式 (西文) Times New Roman (中文) 宋体 (符号) 宋体 行距: 固定值 20 磅 首行缩进:  ..."/>
    <w:basedOn w:val="1"/>
    <w:link w:val="1559"/>
    <w:qFormat/>
    <w:uiPriority w:val="0"/>
    <w:pPr>
      <w:spacing w:line="400" w:lineRule="exact"/>
      <w:ind w:firstLine="200" w:firstLineChars="200"/>
    </w:pPr>
    <w:rPr>
      <w:rFonts w:ascii="等线" w:hAnsi="宋体"/>
      <w:kern w:val="0"/>
      <w:szCs w:val="20"/>
      <w:lang w:eastAsia="de-DE"/>
    </w:rPr>
  </w:style>
  <w:style w:type="character" w:customStyle="1" w:styleId="1561">
    <w:name w:val="正文文字缩进 2 Char Char"/>
    <w:semiHidden/>
    <w:qFormat/>
    <w:uiPriority w:val="0"/>
    <w:rPr>
      <w:rFonts w:ascii="宋体" w:hAnsi="宋体" w:eastAsia="宋体"/>
      <w:snapToGrid w:val="0"/>
      <w:color w:val="339966"/>
      <w:sz w:val="24"/>
      <w:lang w:val="en-US" w:eastAsia="zh-CN" w:bidi="ar-SA"/>
    </w:rPr>
  </w:style>
  <w:style w:type="character" w:customStyle="1" w:styleId="1562">
    <w:name w:val="正文文字 3 Char Char"/>
    <w:semiHidden/>
    <w:qFormat/>
    <w:uiPriority w:val="0"/>
    <w:rPr>
      <w:rFonts w:eastAsia="黑体"/>
      <w:kern w:val="2"/>
      <w:sz w:val="32"/>
      <w:szCs w:val="32"/>
      <w:lang w:val="en-US" w:eastAsia="zh-CN" w:bidi="ar-SA"/>
    </w:rPr>
  </w:style>
  <w:style w:type="character" w:customStyle="1" w:styleId="1563">
    <w:name w:val="不明显强调11"/>
    <w:qFormat/>
    <w:uiPriority w:val="0"/>
    <w:rPr>
      <w:i/>
      <w:color w:val="5A5A5A"/>
    </w:rPr>
  </w:style>
  <w:style w:type="character" w:customStyle="1" w:styleId="1564">
    <w:name w:val="明显强调11"/>
    <w:qFormat/>
    <w:uiPriority w:val="0"/>
    <w:rPr>
      <w:b/>
      <w:i/>
      <w:sz w:val="24"/>
      <w:szCs w:val="24"/>
      <w:u w:val="single"/>
    </w:rPr>
  </w:style>
  <w:style w:type="character" w:customStyle="1" w:styleId="1565">
    <w:name w:val="信息计划书 标题样式 Char Char"/>
    <w:semiHidden/>
    <w:uiPriority w:val="0"/>
    <w:rPr>
      <w:rFonts w:eastAsia="宋体"/>
      <w:snapToGrid w:val="0"/>
      <w:kern w:val="24"/>
      <w:sz w:val="24"/>
      <w:szCs w:val="24"/>
      <w:lang w:val="en-US" w:eastAsia="zh-CN" w:bidi="ar-SA"/>
    </w:rPr>
  </w:style>
  <w:style w:type="character" w:customStyle="1" w:styleId="1566">
    <w:name w:val="正文一级标题 Char Char"/>
    <w:uiPriority w:val="0"/>
    <w:rPr>
      <w:rFonts w:eastAsia="黑体"/>
      <w:snapToGrid w:val="0"/>
      <w:kern w:val="30"/>
      <w:sz w:val="30"/>
      <w:szCs w:val="30"/>
      <w:lang w:val="en-US" w:eastAsia="zh-CN" w:bidi="ar-SA"/>
    </w:rPr>
  </w:style>
  <w:style w:type="character" w:customStyle="1" w:styleId="1567">
    <w:name w:val="正文三级标题 Char Char"/>
    <w:uiPriority w:val="0"/>
    <w:rPr>
      <w:rFonts w:eastAsia="宋体"/>
      <w:b/>
      <w:bCs/>
      <w:snapToGrid w:val="0"/>
      <w:kern w:val="24"/>
      <w:sz w:val="24"/>
      <w:szCs w:val="24"/>
      <w:lang w:val="en-US" w:eastAsia="zh-CN" w:bidi="ar-SA"/>
    </w:rPr>
  </w:style>
  <w:style w:type="character" w:customStyle="1" w:styleId="1568">
    <w:name w:val="无框文本框 Char1"/>
    <w:uiPriority w:val="0"/>
    <w:rPr>
      <w:rFonts w:ascii="宋体" w:hAnsi="Times New Roman" w:eastAsia="宋体" w:cs="Times New Roman"/>
      <w:spacing w:val="-10"/>
      <w:szCs w:val="24"/>
      <w:lang w:val="en-GB"/>
    </w:rPr>
  </w:style>
  <w:style w:type="character" w:customStyle="1" w:styleId="1569">
    <w:name w:val="表1 Char"/>
    <w:link w:val="1570"/>
    <w:uiPriority w:val="0"/>
    <w:rPr>
      <w:rFonts w:ascii="黑体" w:eastAsia="黑体"/>
      <w:b/>
      <w:bCs/>
      <w:sz w:val="24"/>
      <w:szCs w:val="24"/>
    </w:rPr>
  </w:style>
  <w:style w:type="paragraph" w:customStyle="1" w:styleId="1570">
    <w:name w:val="表1"/>
    <w:basedOn w:val="1"/>
    <w:next w:val="1"/>
    <w:link w:val="1569"/>
    <w:qFormat/>
    <w:uiPriority w:val="0"/>
    <w:pPr>
      <w:widowControl w:val="0"/>
      <w:ind w:left="372" w:leftChars="83" w:hanging="198" w:hangingChars="82"/>
      <w:jc w:val="center"/>
    </w:pPr>
    <w:rPr>
      <w:rFonts w:ascii="黑体" w:hAnsi="等线" w:eastAsia="黑体"/>
      <w:b/>
      <w:bCs/>
      <w:kern w:val="0"/>
      <w:szCs w:val="24"/>
    </w:rPr>
  </w:style>
  <w:style w:type="character" w:customStyle="1" w:styleId="1571">
    <w:name w:val="燕山正文 Char"/>
    <w:link w:val="1572"/>
    <w:uiPriority w:val="0"/>
    <w:rPr>
      <w:snapToGrid w:val="0"/>
      <w:color w:val="000000"/>
      <w:spacing w:val="10"/>
      <w:sz w:val="24"/>
      <w:szCs w:val="24"/>
    </w:rPr>
  </w:style>
  <w:style w:type="paragraph" w:customStyle="1" w:styleId="1572">
    <w:name w:val="燕山正文"/>
    <w:basedOn w:val="1"/>
    <w:link w:val="1571"/>
    <w:qFormat/>
    <w:uiPriority w:val="0"/>
    <w:pPr>
      <w:widowControl w:val="0"/>
      <w:tabs>
        <w:tab w:val="left" w:pos="4680"/>
      </w:tabs>
      <w:adjustRightInd w:val="0"/>
      <w:snapToGrid w:val="0"/>
      <w:spacing w:before="60" w:after="60"/>
      <w:ind w:firstLine="1200" w:firstLineChars="500"/>
      <w:jc w:val="left"/>
    </w:pPr>
    <w:rPr>
      <w:rFonts w:ascii="等线" w:hAnsi="等线"/>
      <w:snapToGrid w:val="0"/>
      <w:color w:val="000000"/>
      <w:spacing w:val="10"/>
      <w:kern w:val="0"/>
      <w:szCs w:val="24"/>
    </w:rPr>
  </w:style>
  <w:style w:type="character" w:customStyle="1" w:styleId="1573">
    <w:name w:val="样式 Arial 小四 黑色"/>
    <w:uiPriority w:val="0"/>
    <w:rPr>
      <w:rFonts w:ascii="Arial" w:hAnsi="Arial" w:eastAsia="宋体"/>
      <w:color w:val="000000"/>
      <w:kern w:val="2"/>
      <w:sz w:val="24"/>
      <w:szCs w:val="24"/>
      <w:lang w:val="en-US" w:eastAsia="zh-CN" w:bidi="ar-SA"/>
    </w:rPr>
  </w:style>
  <w:style w:type="character" w:customStyle="1" w:styleId="1574">
    <w:name w:val="正文(首行缩进) Char1"/>
    <w:uiPriority w:val="0"/>
    <w:rPr>
      <w:rFonts w:ascii="Times New Roman" w:hAnsi="Times New Roman" w:eastAsia="仿宋_GB2312" w:cs="Times New Roman"/>
      <w:snapToGrid w:val="0"/>
      <w:szCs w:val="21"/>
    </w:rPr>
  </w:style>
  <w:style w:type="character" w:customStyle="1" w:styleId="1575">
    <w:name w:val="Char Char161"/>
    <w:uiPriority w:val="0"/>
    <w:rPr>
      <w:snapToGrid w:val="0"/>
      <w:kern w:val="24"/>
      <w:sz w:val="24"/>
      <w:szCs w:val="24"/>
    </w:rPr>
  </w:style>
  <w:style w:type="character" w:customStyle="1" w:styleId="1576">
    <w:name w:val="Char Char143"/>
    <w:qFormat/>
    <w:uiPriority w:val="0"/>
    <w:rPr>
      <w:rFonts w:eastAsia="宋体"/>
      <w:snapToGrid w:val="0"/>
      <w:kern w:val="24"/>
      <w:sz w:val="18"/>
      <w:szCs w:val="18"/>
      <w:lang w:val="en-US" w:eastAsia="zh-CN" w:bidi="ar-SA"/>
    </w:rPr>
  </w:style>
  <w:style w:type="character" w:customStyle="1" w:styleId="1577">
    <w:name w:val="正文一级标题 Char1"/>
    <w:uiPriority w:val="0"/>
    <w:rPr>
      <w:rFonts w:eastAsia="黑体"/>
      <w:snapToGrid w:val="0"/>
      <w:kern w:val="30"/>
      <w:sz w:val="30"/>
      <w:szCs w:val="30"/>
      <w:lang w:val="en-US" w:eastAsia="zh-CN" w:bidi="ar-SA"/>
    </w:rPr>
  </w:style>
  <w:style w:type="character" w:customStyle="1" w:styleId="1578">
    <w:name w:val="Char Char Char Char Char Char Char Char Char Char Char Char Char Char1"/>
    <w:locked/>
    <w:uiPriority w:val="0"/>
    <w:rPr>
      <w:rFonts w:ascii="Arial" w:hAnsi="Arial" w:eastAsia="黑体" w:cs="Arial"/>
      <w:kern w:val="2"/>
      <w:lang w:bidi="ar-SA"/>
    </w:rPr>
  </w:style>
  <w:style w:type="character" w:customStyle="1" w:styleId="1579">
    <w:name w:val="WW8Num2z6"/>
    <w:uiPriority w:val="0"/>
  </w:style>
  <w:style w:type="character" w:customStyle="1" w:styleId="1580">
    <w:name w:val="标题 7 Char2"/>
    <w:uiPriority w:val="0"/>
    <w:rPr>
      <w:rFonts w:ascii="Times New Roman" w:hAnsi="Times New Roman"/>
      <w:b/>
      <w:bCs/>
      <w:sz w:val="24"/>
      <w:szCs w:val="24"/>
    </w:rPr>
  </w:style>
  <w:style w:type="character" w:customStyle="1" w:styleId="1581">
    <w:name w:val="正文文本 Char4"/>
    <w:locked/>
    <w:uiPriority w:val="0"/>
    <w:rPr>
      <w:rFonts w:eastAsia="宋体"/>
      <w:snapToGrid w:val="0"/>
      <w:kern w:val="24"/>
      <w:sz w:val="24"/>
      <w:szCs w:val="24"/>
      <w:lang w:val="en-US" w:eastAsia="zh-CN" w:bidi="ar-SA"/>
    </w:rPr>
  </w:style>
  <w:style w:type="character" w:customStyle="1" w:styleId="1582">
    <w:name w:val="报告书：五级 Char"/>
    <w:link w:val="1583"/>
    <w:uiPriority w:val="0"/>
    <w:rPr>
      <w:rFonts w:ascii="Calibri" w:hAnsi="Calibri" w:cs="宋体"/>
      <w:sz w:val="24"/>
    </w:rPr>
  </w:style>
  <w:style w:type="paragraph" w:customStyle="1" w:styleId="1583">
    <w:name w:val="报告书：五级"/>
    <w:basedOn w:val="1"/>
    <w:link w:val="1582"/>
    <w:qFormat/>
    <w:uiPriority w:val="0"/>
    <w:pPr>
      <w:widowControl w:val="0"/>
    </w:pPr>
    <w:rPr>
      <w:rFonts w:ascii="Calibri" w:hAnsi="Calibri" w:cs="宋体"/>
      <w:kern w:val="0"/>
      <w:szCs w:val="20"/>
    </w:rPr>
  </w:style>
  <w:style w:type="character" w:customStyle="1" w:styleId="1584">
    <w:name w:val="注释标题 Char4"/>
    <w:uiPriority w:val="0"/>
    <w:rPr>
      <w:snapToGrid w:val="0"/>
      <w:kern w:val="24"/>
      <w:sz w:val="24"/>
      <w:szCs w:val="24"/>
    </w:rPr>
  </w:style>
  <w:style w:type="character" w:customStyle="1" w:styleId="1585">
    <w:name w:val="Char Char110"/>
    <w:basedOn w:val="134"/>
    <w:uiPriority w:val="0"/>
  </w:style>
  <w:style w:type="character" w:customStyle="1" w:styleId="1586">
    <w:name w:val="Char Char151"/>
    <w:uiPriority w:val="0"/>
    <w:rPr>
      <w:rFonts w:hint="eastAsia" w:ascii="宋体" w:hAnsi="宋体" w:eastAsia="宋体"/>
      <w:snapToGrid w:val="0"/>
      <w:kern w:val="24"/>
      <w:sz w:val="24"/>
      <w:lang w:val="en-US" w:eastAsia="zh-CN" w:bidi="ar-SA"/>
    </w:rPr>
  </w:style>
  <w:style w:type="character" w:customStyle="1" w:styleId="1587">
    <w:name w:val="bt11"/>
    <w:uiPriority w:val="0"/>
    <w:rPr>
      <w:rFonts w:hint="eastAsia" w:ascii="黑体" w:eastAsia="黑体"/>
      <w:color w:val="000000"/>
      <w:sz w:val="28"/>
      <w:szCs w:val="28"/>
    </w:rPr>
  </w:style>
  <w:style w:type="character" w:customStyle="1" w:styleId="1588">
    <w:name w:val="tocnumber2"/>
    <w:uiPriority w:val="0"/>
  </w:style>
  <w:style w:type="character" w:customStyle="1" w:styleId="1589">
    <w:name w:val="Char Char32"/>
    <w:uiPriority w:val="0"/>
    <w:rPr>
      <w:rFonts w:hint="default" w:ascii="Times New Roman" w:hAnsi="Times New Roman" w:cs="Times New Roman"/>
      <w:b/>
      <w:bCs/>
      <w:snapToGrid/>
      <w:kern w:val="24"/>
      <w:sz w:val="24"/>
      <w:szCs w:val="24"/>
    </w:rPr>
  </w:style>
  <w:style w:type="character" w:customStyle="1" w:styleId="1590">
    <w:name w:val="慈溪附表 Char"/>
    <w:link w:val="1591"/>
    <w:uiPriority w:val="0"/>
    <w:rPr>
      <w:b/>
      <w:sz w:val="24"/>
      <w:szCs w:val="24"/>
    </w:rPr>
  </w:style>
  <w:style w:type="paragraph" w:customStyle="1" w:styleId="1591">
    <w:name w:val="慈溪附表"/>
    <w:basedOn w:val="250"/>
    <w:link w:val="1590"/>
    <w:qFormat/>
    <w:uiPriority w:val="0"/>
    <w:pPr>
      <w:widowControl w:val="0"/>
      <w:ind w:firstLine="0" w:firstLineChars="200"/>
      <w:outlineLvl w:val="0"/>
    </w:pPr>
    <w:rPr>
      <w:rFonts w:ascii="等线" w:hAnsi="等线"/>
      <w:b/>
      <w:kern w:val="0"/>
      <w:szCs w:val="24"/>
    </w:rPr>
  </w:style>
  <w:style w:type="character" w:customStyle="1" w:styleId="1592">
    <w:name w:val="nickname"/>
    <w:uiPriority w:val="0"/>
  </w:style>
  <w:style w:type="character" w:customStyle="1" w:styleId="1593">
    <w:name w:val="Placeholder Text1"/>
    <w:semiHidden/>
    <w:uiPriority w:val="0"/>
    <w:rPr>
      <w:color w:val="808080"/>
    </w:rPr>
  </w:style>
  <w:style w:type="character" w:customStyle="1" w:styleId="1594">
    <w:name w:val="签名 Char1"/>
    <w:semiHidden/>
    <w:uiPriority w:val="0"/>
    <w:rPr>
      <w:rFonts w:ascii="Times New Roman" w:hAnsi="Times New Roman"/>
      <w:kern w:val="24"/>
      <w:sz w:val="24"/>
      <w:szCs w:val="24"/>
    </w:rPr>
  </w:style>
  <w:style w:type="character" w:customStyle="1" w:styleId="1595">
    <w:name w:val="mw-headline"/>
    <w:uiPriority w:val="0"/>
  </w:style>
  <w:style w:type="character" w:customStyle="1" w:styleId="1596">
    <w:name w:val="123 Char"/>
    <w:link w:val="1597"/>
    <w:qFormat/>
    <w:uiPriority w:val="0"/>
    <w:rPr>
      <w:rFonts w:ascii="Calibri" w:hAnsi="Calibri"/>
      <w:szCs w:val="24"/>
    </w:rPr>
  </w:style>
  <w:style w:type="paragraph" w:customStyle="1" w:styleId="1597">
    <w:name w:val="123"/>
    <w:basedOn w:val="1"/>
    <w:link w:val="1596"/>
    <w:qFormat/>
    <w:uiPriority w:val="0"/>
    <w:pPr>
      <w:widowControl w:val="0"/>
      <w:tabs>
        <w:tab w:val="left" w:pos="2897"/>
      </w:tabs>
      <w:spacing w:line="240" w:lineRule="auto"/>
    </w:pPr>
    <w:rPr>
      <w:rFonts w:ascii="Calibri" w:hAnsi="Calibri"/>
      <w:kern w:val="0"/>
      <w:sz w:val="20"/>
      <w:szCs w:val="24"/>
    </w:rPr>
  </w:style>
  <w:style w:type="character" w:customStyle="1" w:styleId="1598">
    <w:name w:val="0031"/>
    <w:uiPriority w:val="0"/>
    <w:rPr>
      <w:sz w:val="21"/>
      <w:szCs w:val="21"/>
    </w:rPr>
  </w:style>
  <w:style w:type="character" w:customStyle="1" w:styleId="1599">
    <w:name w:val="样式 正文文本 + 黑色 Char Char"/>
    <w:link w:val="1600"/>
    <w:uiPriority w:val="0"/>
    <w:rPr>
      <w:kern w:val="24"/>
      <w:sz w:val="24"/>
      <w:szCs w:val="24"/>
    </w:rPr>
  </w:style>
  <w:style w:type="paragraph" w:customStyle="1" w:styleId="1600">
    <w:name w:val="样式 正文文本 + 黑色"/>
    <w:basedOn w:val="1"/>
    <w:link w:val="1599"/>
    <w:qFormat/>
    <w:uiPriority w:val="0"/>
    <w:pPr>
      <w:widowControl w:val="0"/>
      <w:spacing w:after="120"/>
    </w:pPr>
    <w:rPr>
      <w:rFonts w:ascii="等线" w:hAnsi="等线"/>
      <w:kern w:val="24"/>
      <w:szCs w:val="24"/>
    </w:rPr>
  </w:style>
  <w:style w:type="character" w:customStyle="1" w:styleId="1601">
    <w:name w:val="正文文本 (2)_"/>
    <w:link w:val="1602"/>
    <w:uiPriority w:val="0"/>
    <w:rPr>
      <w:rFonts w:ascii="宋体" w:hAnsi="宋体"/>
      <w:sz w:val="18"/>
      <w:szCs w:val="18"/>
      <w:shd w:val="clear" w:color="auto" w:fill="FFFFFF"/>
    </w:rPr>
  </w:style>
  <w:style w:type="paragraph" w:customStyle="1" w:styleId="1602">
    <w:name w:val="正文文本 (2)"/>
    <w:basedOn w:val="1"/>
    <w:link w:val="1601"/>
    <w:qFormat/>
    <w:uiPriority w:val="0"/>
    <w:pPr>
      <w:shd w:val="clear" w:color="auto" w:fill="FFFFFF"/>
      <w:spacing w:after="240" w:line="0" w:lineRule="atLeast"/>
      <w:jc w:val="left"/>
    </w:pPr>
    <w:rPr>
      <w:rFonts w:ascii="宋体" w:hAnsi="宋体"/>
      <w:kern w:val="0"/>
      <w:sz w:val="18"/>
      <w:szCs w:val="18"/>
    </w:rPr>
  </w:style>
  <w:style w:type="character" w:customStyle="1" w:styleId="1603">
    <w:name w:val="图 带文本框文字 Char Char"/>
    <w:uiPriority w:val="0"/>
    <w:rPr>
      <w:rFonts w:eastAsia="宋体"/>
      <w:snapToGrid w:val="0"/>
      <w:kern w:val="21"/>
      <w:sz w:val="21"/>
      <w:szCs w:val="21"/>
      <w:lang w:val="en-US" w:eastAsia="zh-CN" w:bidi="ar-SA"/>
    </w:rPr>
  </w:style>
  <w:style w:type="character" w:customStyle="1" w:styleId="1604">
    <w:name w:val="书籍标题2"/>
    <w:qFormat/>
    <w:uiPriority w:val="33"/>
    <w:rPr>
      <w:b/>
      <w:bCs/>
      <w:smallCaps/>
      <w:spacing w:val="5"/>
    </w:rPr>
  </w:style>
  <w:style w:type="character" w:customStyle="1" w:styleId="1605">
    <w:name w:val="样式 黑体 三号 加粗"/>
    <w:uiPriority w:val="0"/>
    <w:rPr>
      <w:rFonts w:ascii="黑体" w:hAnsi="黑体" w:eastAsia="黑体"/>
      <w:b/>
      <w:sz w:val="44"/>
    </w:rPr>
  </w:style>
  <w:style w:type="character" w:customStyle="1" w:styleId="1606">
    <w:name w:val="信息标题 Char2"/>
    <w:uiPriority w:val="99"/>
    <w:rPr>
      <w:rFonts w:ascii="Cambria" w:hAnsi="Cambria" w:eastAsia="宋体" w:cs="Times New Roman"/>
      <w:snapToGrid/>
      <w:kern w:val="24"/>
      <w:sz w:val="24"/>
      <w:szCs w:val="24"/>
      <w:shd w:val="pct20" w:color="auto" w:fill="auto"/>
    </w:rPr>
  </w:style>
  <w:style w:type="character" w:customStyle="1" w:styleId="1607">
    <w:name w:val="公式 Char"/>
    <w:link w:val="1608"/>
    <w:uiPriority w:val="0"/>
    <w:rPr>
      <w:rFonts w:eastAsia="仿宋_GB2312"/>
      <w:snapToGrid w:val="0"/>
      <w:color w:val="000000"/>
      <w:sz w:val="30"/>
      <w:szCs w:val="32"/>
    </w:rPr>
  </w:style>
  <w:style w:type="paragraph" w:customStyle="1" w:styleId="1608">
    <w:name w:val="公式"/>
    <w:basedOn w:val="1"/>
    <w:next w:val="1"/>
    <w:link w:val="1607"/>
    <w:qFormat/>
    <w:uiPriority w:val="0"/>
    <w:pPr>
      <w:widowControl w:val="0"/>
      <w:snapToGrid w:val="0"/>
      <w:spacing w:before="120" w:after="120" w:line="240" w:lineRule="auto"/>
      <w:jc w:val="center"/>
    </w:pPr>
    <w:rPr>
      <w:rFonts w:ascii="等线" w:hAnsi="等线" w:eastAsia="仿宋_GB2312"/>
      <w:snapToGrid w:val="0"/>
      <w:color w:val="000000"/>
      <w:kern w:val="0"/>
      <w:sz w:val="30"/>
      <w:szCs w:val="32"/>
    </w:rPr>
  </w:style>
  <w:style w:type="character" w:customStyle="1" w:styleId="1609">
    <w:name w:val="样式1 Char Char Char Char Char Char Char"/>
    <w:uiPriority w:val="0"/>
    <w:rPr>
      <w:rFonts w:ascii="Times New Roman" w:hAnsi="Times New Roman" w:eastAsia="仿宋_GB2312"/>
      <w:spacing w:val="-20"/>
      <w:kern w:val="2"/>
      <w:sz w:val="18"/>
      <w:szCs w:val="24"/>
    </w:rPr>
  </w:style>
  <w:style w:type="character" w:customStyle="1" w:styleId="1610">
    <w:name w:val="宋体4 Char Char"/>
    <w:uiPriority w:val="0"/>
    <w:rPr>
      <w:kern w:val="2"/>
      <w:sz w:val="28"/>
      <w:szCs w:val="48"/>
    </w:rPr>
  </w:style>
  <w:style w:type="character" w:customStyle="1" w:styleId="1611">
    <w:name w:val="plainlinksneverexpand2"/>
    <w:uiPriority w:val="0"/>
  </w:style>
  <w:style w:type="character" w:customStyle="1" w:styleId="1612">
    <w:name w:val="样式 表格内容1 + Char"/>
    <w:link w:val="1613"/>
    <w:uiPriority w:val="0"/>
    <w:rPr>
      <w:rFonts w:eastAsia="仿宋_GB2312"/>
      <w:szCs w:val="24"/>
    </w:rPr>
  </w:style>
  <w:style w:type="paragraph" w:customStyle="1" w:styleId="1613">
    <w:name w:val="样式 表格内容1 +"/>
    <w:basedOn w:val="1312"/>
    <w:link w:val="1612"/>
    <w:qFormat/>
    <w:uiPriority w:val="0"/>
    <w:pPr>
      <w:adjustRightInd/>
      <w:snapToGrid/>
      <w:spacing w:beforeLines="0" w:afterLines="0" w:line="240" w:lineRule="atLeast"/>
    </w:pPr>
    <w:rPr>
      <w:rFonts w:ascii="等线" w:hAnsi="等线" w:eastAsia="仿宋_GB2312" w:cs="Times New Roman"/>
      <w:snapToGrid/>
      <w:kern w:val="0"/>
      <w:sz w:val="20"/>
    </w:rPr>
  </w:style>
  <w:style w:type="character" w:customStyle="1" w:styleId="1614">
    <w:name w:val="hei11"/>
    <w:uiPriority w:val="0"/>
  </w:style>
  <w:style w:type="character" w:customStyle="1" w:styleId="1615">
    <w:name w:val="p21"/>
    <w:uiPriority w:val="0"/>
    <w:rPr>
      <w:color w:val="996600"/>
      <w:sz w:val="18"/>
      <w:szCs w:val="18"/>
    </w:rPr>
  </w:style>
  <w:style w:type="character" w:customStyle="1" w:styleId="1616">
    <w:name w:val="已访问的超链接3"/>
    <w:uiPriority w:val="0"/>
    <w:rPr>
      <w:color w:val="800080"/>
      <w:u w:val="single"/>
    </w:rPr>
  </w:style>
  <w:style w:type="character" w:customStyle="1" w:styleId="1617">
    <w:name w:val="1 Char Char"/>
    <w:uiPriority w:val="0"/>
    <w:rPr>
      <w:rFonts w:eastAsia="宋体"/>
      <w:kern w:val="2"/>
      <w:sz w:val="28"/>
      <w:szCs w:val="24"/>
      <w:lang w:val="en-US" w:eastAsia="zh-CN" w:bidi="ar-SA"/>
    </w:rPr>
  </w:style>
  <w:style w:type="character" w:customStyle="1" w:styleId="1618">
    <w:name w:val="正文11 Char Char Char"/>
    <w:link w:val="1619"/>
    <w:uiPriority w:val="0"/>
    <w:rPr>
      <w:rFonts w:ascii="宋体" w:hAnsi="宋体" w:eastAsia="仿宋_GB2312"/>
      <w:kern w:val="24"/>
      <w:sz w:val="24"/>
      <w:szCs w:val="24"/>
    </w:rPr>
  </w:style>
  <w:style w:type="paragraph" w:customStyle="1" w:styleId="1619">
    <w:name w:val="正文11 Char Char"/>
    <w:basedOn w:val="1"/>
    <w:link w:val="1618"/>
    <w:qFormat/>
    <w:uiPriority w:val="0"/>
    <w:pPr>
      <w:widowControl w:val="0"/>
      <w:ind w:left="6" w:firstLine="474"/>
      <w:jc w:val="left"/>
    </w:pPr>
    <w:rPr>
      <w:rFonts w:ascii="宋体" w:hAnsi="宋体" w:eastAsia="仿宋_GB2312"/>
      <w:kern w:val="24"/>
      <w:szCs w:val="24"/>
    </w:rPr>
  </w:style>
  <w:style w:type="character" w:customStyle="1" w:styleId="1620">
    <w:name w:val="Char Char30"/>
    <w:uiPriority w:val="0"/>
    <w:rPr>
      <w:rFonts w:ascii="Times New Roman" w:hAnsi="Times New Roman"/>
      <w:snapToGrid w:val="0"/>
      <w:kern w:val="24"/>
      <w:sz w:val="21"/>
      <w:szCs w:val="21"/>
    </w:rPr>
  </w:style>
  <w:style w:type="character" w:customStyle="1" w:styleId="1621">
    <w:name w:val="注释标题 Char3"/>
    <w:semiHidden/>
    <w:uiPriority w:val="99"/>
    <w:rPr>
      <w:rFonts w:ascii="Times New Roman" w:hAnsi="Times New Roman" w:eastAsia="宋体" w:cs="Times New Roman"/>
      <w:snapToGrid w:val="0"/>
      <w:kern w:val="24"/>
      <w:sz w:val="24"/>
      <w:szCs w:val="24"/>
    </w:rPr>
  </w:style>
  <w:style w:type="character" w:customStyle="1" w:styleId="1622">
    <w:name w:val="题注 字符1"/>
    <w:qFormat/>
    <w:uiPriority w:val="0"/>
    <w:rPr>
      <w:rFonts w:ascii="Arial" w:hAnsi="Arial" w:eastAsia="黑体"/>
      <w:b/>
      <w:spacing w:val="6"/>
      <w:sz w:val="21"/>
    </w:rPr>
  </w:style>
  <w:style w:type="character" w:customStyle="1" w:styleId="1623">
    <w:name w:val="标题 8 字符1"/>
    <w:qFormat/>
    <w:uiPriority w:val="0"/>
    <w:rPr>
      <w:rFonts w:ascii="Arial" w:hAnsi="Arial" w:eastAsia="黑体"/>
      <w:kern w:val="2"/>
      <w:sz w:val="24"/>
      <w:szCs w:val="24"/>
    </w:rPr>
  </w:style>
  <w:style w:type="character" w:customStyle="1" w:styleId="1624">
    <w:name w:val="Char Char341"/>
    <w:uiPriority w:val="0"/>
    <w:rPr>
      <w:snapToGrid w:val="0"/>
      <w:kern w:val="24"/>
      <w:sz w:val="21"/>
      <w:szCs w:val="24"/>
    </w:rPr>
  </w:style>
  <w:style w:type="character" w:customStyle="1" w:styleId="1625">
    <w:name w:val="Char Char201"/>
    <w:semiHidden/>
    <w:uiPriority w:val="0"/>
    <w:rPr>
      <w:rFonts w:ascii="Times New Roman" w:hAnsi="Times New Roman" w:eastAsia="宋体" w:cs="Times New Roman"/>
      <w:snapToGrid w:val="0"/>
      <w:kern w:val="24"/>
      <w:sz w:val="24"/>
      <w:szCs w:val="24"/>
    </w:rPr>
  </w:style>
  <w:style w:type="character" w:customStyle="1" w:styleId="1626">
    <w:name w:val="电子邮件签名 字符1"/>
    <w:qFormat/>
    <w:uiPriority w:val="0"/>
    <w:rPr>
      <w:kern w:val="2"/>
      <w:sz w:val="21"/>
      <w:szCs w:val="24"/>
    </w:rPr>
  </w:style>
  <w:style w:type="character" w:customStyle="1" w:styleId="1627">
    <w:name w:val="列表 字符"/>
    <w:qFormat/>
    <w:locked/>
    <w:uiPriority w:val="99"/>
    <w:rPr>
      <w:kern w:val="2"/>
      <w:sz w:val="21"/>
      <w:szCs w:val="24"/>
    </w:rPr>
  </w:style>
  <w:style w:type="character" w:customStyle="1" w:styleId="1628">
    <w:name w:val="Char Char92"/>
    <w:uiPriority w:val="0"/>
    <w:rPr>
      <w:rFonts w:eastAsia="宋体"/>
      <w:snapToGrid w:val="0"/>
      <w:sz w:val="24"/>
      <w:szCs w:val="24"/>
      <w:lang w:val="en-US" w:eastAsia="zh-CN" w:bidi="ar-SA"/>
    </w:rPr>
  </w:style>
  <w:style w:type="character" w:customStyle="1" w:styleId="1629">
    <w:name w:val="Char Char122"/>
    <w:uiPriority w:val="0"/>
    <w:rPr>
      <w:rFonts w:ascii="Times New Roman" w:hAnsi="Times New Roman"/>
      <w:snapToGrid/>
      <w:sz w:val="24"/>
      <w:szCs w:val="24"/>
    </w:rPr>
  </w:style>
  <w:style w:type="character" w:customStyle="1" w:styleId="1630">
    <w:name w:val="样式7 Char"/>
    <w:link w:val="207"/>
    <w:uiPriority w:val="0"/>
    <w:rPr>
      <w:rFonts w:ascii="宋体" w:hAnsi="宋体" w:eastAsia="宋体" w:cs="宋体"/>
      <w:kern w:val="2"/>
      <w:sz w:val="26"/>
      <w:szCs w:val="26"/>
    </w:rPr>
  </w:style>
  <w:style w:type="character" w:customStyle="1" w:styleId="1631">
    <w:name w:val="报告正文1 Char"/>
    <w:link w:val="1632"/>
    <w:uiPriority w:val="0"/>
    <w:rPr>
      <w:color w:val="000000"/>
      <w:sz w:val="24"/>
      <w:szCs w:val="24"/>
    </w:rPr>
  </w:style>
  <w:style w:type="paragraph" w:customStyle="1" w:styleId="1632">
    <w:name w:val="报告正文1"/>
    <w:basedOn w:val="88"/>
    <w:link w:val="1631"/>
    <w:qFormat/>
    <w:uiPriority w:val="0"/>
    <w:pPr>
      <w:widowControl w:val="0"/>
      <w:spacing w:after="0" w:line="360" w:lineRule="auto"/>
      <w:ind w:left="0" w:leftChars="0" w:firstLine="200" w:firstLineChars="200"/>
    </w:pPr>
    <w:rPr>
      <w:rFonts w:ascii="等线" w:hAnsi="等线" w:eastAsia="等线"/>
      <w:color w:val="000000"/>
      <w:kern w:val="0"/>
      <w:sz w:val="24"/>
    </w:rPr>
  </w:style>
  <w:style w:type="character" w:customStyle="1" w:styleId="1633">
    <w:name w:val="样式14 Char"/>
    <w:link w:val="1634"/>
    <w:uiPriority w:val="0"/>
    <w:rPr>
      <w:rFonts w:ascii="宋体" w:hAnsi="宋体" w:cs="宋体"/>
      <w:snapToGrid w:val="0"/>
      <w:kern w:val="24"/>
      <w:sz w:val="24"/>
      <w:szCs w:val="24"/>
    </w:rPr>
  </w:style>
  <w:style w:type="paragraph" w:customStyle="1" w:styleId="1634">
    <w:name w:val="样式14"/>
    <w:basedOn w:val="1"/>
    <w:link w:val="1633"/>
    <w:qFormat/>
    <w:uiPriority w:val="0"/>
    <w:pPr>
      <w:pBdr>
        <w:top w:val="thinThickSmallGap" w:color="auto" w:sz="24" w:space="1"/>
      </w:pBdr>
      <w:adjustRightInd w:val="0"/>
      <w:snapToGrid w:val="0"/>
      <w:ind w:firstLine="360" w:firstLineChars="200"/>
    </w:pPr>
    <w:rPr>
      <w:rFonts w:ascii="宋体" w:hAnsi="宋体" w:cs="宋体"/>
      <w:snapToGrid w:val="0"/>
      <w:kern w:val="24"/>
      <w:szCs w:val="24"/>
    </w:rPr>
  </w:style>
  <w:style w:type="character" w:customStyle="1" w:styleId="1635">
    <w:name w:val="列表 Char"/>
    <w:locked/>
    <w:uiPriority w:val="99"/>
    <w:rPr>
      <w:rFonts w:ascii="Times New Roman" w:hAnsi="Times New Roman"/>
      <w:snapToGrid w:val="0"/>
      <w:kern w:val="21"/>
      <w:sz w:val="21"/>
      <w:szCs w:val="27"/>
    </w:rPr>
  </w:style>
  <w:style w:type="character" w:customStyle="1" w:styleId="1636">
    <w:name w:val="标题 字符1"/>
    <w:qFormat/>
    <w:uiPriority w:val="0"/>
    <w:rPr>
      <w:rFonts w:ascii="Arial" w:hAnsi="Arial" w:cs="Arial"/>
      <w:b/>
      <w:bCs/>
      <w:kern w:val="2"/>
      <w:sz w:val="32"/>
      <w:szCs w:val="32"/>
    </w:rPr>
  </w:style>
  <w:style w:type="character" w:customStyle="1" w:styleId="1637">
    <w:name w:val="正文文本首行缩进 字符"/>
    <w:qFormat/>
    <w:uiPriority w:val="99"/>
    <w:rPr>
      <w:rFonts w:eastAsia="宋体"/>
      <w:spacing w:val="10"/>
      <w:kern w:val="24"/>
      <w:sz w:val="24"/>
      <w:szCs w:val="24"/>
      <w:lang w:val="en-US" w:eastAsia="zh-CN" w:bidi="ar-SA"/>
    </w:rPr>
  </w:style>
  <w:style w:type="character" w:customStyle="1" w:styleId="1638">
    <w:name w:val="宏文本 Char5"/>
    <w:basedOn w:val="134"/>
    <w:semiHidden/>
    <w:uiPriority w:val="99"/>
    <w:rPr>
      <w:rFonts w:ascii="Courier New" w:hAnsi="Courier New" w:eastAsia="宋体" w:cs="Courier New"/>
      <w:sz w:val="24"/>
      <w:szCs w:val="24"/>
    </w:rPr>
  </w:style>
  <w:style w:type="paragraph" w:customStyle="1" w:styleId="1639">
    <w:name w:val="正文 Char Char Char Char"/>
    <w:basedOn w:val="1"/>
    <w:next w:val="1"/>
    <w:qFormat/>
    <w:uiPriority w:val="99"/>
    <w:pPr>
      <w:widowControl w:val="0"/>
      <w:adjustRightInd w:val="0"/>
      <w:ind w:firstLine="482"/>
      <w:jc w:val="left"/>
      <w:textAlignment w:val="baseline"/>
    </w:pPr>
    <w:rPr>
      <w:rFonts w:ascii="宋体" w:eastAsia="宋体"/>
      <w:snapToGrid w:val="0"/>
      <w:kern w:val="21"/>
      <w:szCs w:val="24"/>
    </w:rPr>
  </w:style>
  <w:style w:type="paragraph" w:customStyle="1" w:styleId="1640">
    <w:name w:val="Char Char1 Char Char Char Char Char Char Char Char Char Char Char Char Char Char Char Char Char Char"/>
    <w:basedOn w:val="1"/>
    <w:qFormat/>
    <w:uiPriority w:val="99"/>
    <w:pPr>
      <w:widowControl w:val="0"/>
    </w:pPr>
    <w:rPr>
      <w:rFonts w:ascii="宋体" w:hAnsi="宋体" w:eastAsia="宋体" w:cs="宋体"/>
    </w:rPr>
  </w:style>
  <w:style w:type="paragraph" w:customStyle="1" w:styleId="1641">
    <w:name w:val="缺省文本_注释"/>
    <w:basedOn w:val="1"/>
    <w:qFormat/>
    <w:uiPriority w:val="99"/>
    <w:pPr>
      <w:widowControl w:val="0"/>
      <w:tabs>
        <w:tab w:val="left" w:pos="639"/>
        <w:tab w:val="center" w:pos="5670"/>
        <w:tab w:val="right" w:pos="7655"/>
      </w:tabs>
      <w:spacing w:before="80" w:after="120" w:line="240" w:lineRule="auto"/>
      <w:outlineLvl w:val="7"/>
    </w:pPr>
    <w:rPr>
      <w:rFonts w:eastAsia="楷体_GB2312"/>
      <w:spacing w:val="12"/>
      <w:kern w:val="28"/>
      <w:szCs w:val="20"/>
    </w:rPr>
  </w:style>
  <w:style w:type="character" w:customStyle="1" w:styleId="1642">
    <w:name w:val="尾注文本 Char5"/>
    <w:basedOn w:val="134"/>
    <w:semiHidden/>
    <w:uiPriority w:val="99"/>
    <w:rPr>
      <w:rFonts w:ascii="Times New Roman" w:hAnsi="Times New Roman"/>
      <w:sz w:val="24"/>
      <w:szCs w:val="21"/>
    </w:rPr>
  </w:style>
  <w:style w:type="paragraph" w:customStyle="1" w:styleId="1643">
    <w:name w:val="2 Char"/>
    <w:basedOn w:val="1"/>
    <w:semiHidden/>
    <w:qFormat/>
    <w:uiPriority w:val="99"/>
    <w:pPr>
      <w:widowControl w:val="0"/>
      <w:spacing w:line="240" w:lineRule="auto"/>
    </w:pPr>
    <w:rPr>
      <w:rFonts w:eastAsia="宋体"/>
      <w:sz w:val="21"/>
      <w:szCs w:val="24"/>
    </w:rPr>
  </w:style>
  <w:style w:type="paragraph" w:customStyle="1" w:styleId="1644">
    <w:name w:val="样式正文"/>
    <w:basedOn w:val="1"/>
    <w:qFormat/>
    <w:uiPriority w:val="0"/>
    <w:pPr>
      <w:widowControl w:val="0"/>
      <w:adjustRightInd w:val="0"/>
      <w:snapToGrid w:val="0"/>
      <w:ind w:firstLine="480" w:firstLineChars="200"/>
      <w:jc w:val="left"/>
      <w:textAlignment w:val="baseline"/>
    </w:pPr>
    <w:rPr>
      <w:rFonts w:eastAsia="宋体"/>
      <w:snapToGrid w:val="0"/>
      <w:kern w:val="0"/>
      <w:szCs w:val="20"/>
    </w:rPr>
  </w:style>
  <w:style w:type="paragraph" w:customStyle="1" w:styleId="1645">
    <w:name w:val="标题5"/>
    <w:basedOn w:val="22"/>
    <w:qFormat/>
    <w:uiPriority w:val="99"/>
    <w:pPr>
      <w:widowControl w:val="0"/>
      <w:tabs>
        <w:tab w:val="left" w:pos="900"/>
      </w:tabs>
      <w:ind w:left="900" w:hanging="900"/>
    </w:pPr>
    <w:rPr>
      <w:rFonts w:ascii="Times New Roman" w:hAnsi="Times New Roman" w:eastAsia="宋体"/>
      <w:b/>
      <w:spacing w:val="10"/>
      <w:kern w:val="2"/>
      <w:sz w:val="28"/>
    </w:rPr>
  </w:style>
  <w:style w:type="paragraph" w:customStyle="1" w:styleId="1646">
    <w:name w:val="wtext"/>
    <w:basedOn w:val="1"/>
    <w:qFormat/>
    <w:uiPriority w:val="99"/>
    <w:pPr>
      <w:spacing w:before="100" w:beforeAutospacing="1" w:after="100" w:afterAutospacing="1" w:line="240" w:lineRule="auto"/>
      <w:jc w:val="left"/>
    </w:pPr>
    <w:rPr>
      <w:rFonts w:ascii="宋体" w:hAnsi="宋体" w:eastAsia="宋体"/>
      <w:color w:val="000000"/>
      <w:kern w:val="0"/>
      <w:szCs w:val="24"/>
    </w:rPr>
  </w:style>
  <w:style w:type="paragraph" w:customStyle="1" w:styleId="1647">
    <w:name w:val="xl167"/>
    <w:basedOn w:val="1"/>
    <w:qFormat/>
    <w:uiPriority w:val="99"/>
    <w:pPr>
      <w:pBdr>
        <w:left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1648">
    <w:name w:val="副标题2"/>
    <w:basedOn w:val="3"/>
    <w:qFormat/>
    <w:uiPriority w:val="0"/>
    <w:pPr>
      <w:keepNext w:val="0"/>
      <w:widowControl w:val="0"/>
      <w:tabs>
        <w:tab w:val="left" w:pos="425"/>
        <w:tab w:val="left" w:pos="1440"/>
      </w:tabs>
      <w:adjustRightInd w:val="0"/>
      <w:spacing w:before="0" w:after="0" w:line="400" w:lineRule="atLeast"/>
      <w:ind w:left="425" w:hanging="425"/>
      <w:jc w:val="left"/>
      <w:textAlignment w:val="baseline"/>
      <w:outlineLvl w:val="9"/>
    </w:pPr>
    <w:rPr>
      <w:rFonts w:ascii="仿宋_GB2312" w:eastAsia="仿宋_GB2312" w:cs="仿宋_GB2312"/>
      <w:b w:val="0"/>
      <w:bCs w:val="0"/>
      <w:sz w:val="28"/>
      <w:szCs w:val="28"/>
    </w:rPr>
  </w:style>
  <w:style w:type="character" w:customStyle="1" w:styleId="1649">
    <w:name w:val="注释标题 Char5"/>
    <w:basedOn w:val="134"/>
    <w:semiHidden/>
    <w:uiPriority w:val="99"/>
    <w:rPr>
      <w:rFonts w:ascii="Times New Roman" w:hAnsi="Times New Roman"/>
      <w:sz w:val="24"/>
      <w:szCs w:val="21"/>
    </w:rPr>
  </w:style>
  <w:style w:type="paragraph" w:customStyle="1" w:styleId="1650">
    <w:name w:val="Char Char Char Char Char Char Char Char Char Char"/>
    <w:basedOn w:val="1"/>
    <w:qFormat/>
    <w:uiPriority w:val="99"/>
    <w:pPr>
      <w:tabs>
        <w:tab w:val="left" w:pos="567"/>
      </w:tabs>
      <w:spacing w:after="160"/>
      <w:jc w:val="center"/>
    </w:pPr>
    <w:rPr>
      <w:rFonts w:ascii="宋体" w:hAnsi="宋体" w:eastAsia="黑体" w:cs="宋体"/>
      <w:color w:val="414141"/>
      <w:kern w:val="0"/>
      <w:szCs w:val="36"/>
    </w:rPr>
  </w:style>
  <w:style w:type="paragraph" w:customStyle="1" w:styleId="1651">
    <w:name w:val="7"/>
    <w:basedOn w:val="1"/>
    <w:next w:val="36"/>
    <w:qFormat/>
    <w:uiPriority w:val="99"/>
    <w:pPr>
      <w:widowControl w:val="0"/>
      <w:ind w:firstLine="435"/>
    </w:pPr>
    <w:rPr>
      <w:rFonts w:eastAsia="宋体"/>
      <w:szCs w:val="24"/>
    </w:rPr>
  </w:style>
  <w:style w:type="paragraph" w:customStyle="1" w:styleId="1652">
    <w:name w:val="项目二级编号"/>
    <w:basedOn w:val="4"/>
    <w:next w:val="1"/>
    <w:qFormat/>
    <w:uiPriority w:val="0"/>
    <w:pPr>
      <w:widowControl w:val="0"/>
      <w:tabs>
        <w:tab w:val="left" w:pos="540"/>
        <w:tab w:val="left" w:pos="1800"/>
      </w:tabs>
      <w:spacing w:before="0" w:after="0" w:line="360" w:lineRule="auto"/>
      <w:ind w:left="851" w:hanging="851"/>
    </w:pPr>
    <w:rPr>
      <w:rFonts w:ascii="Times New Roman" w:hAnsi="Times New Roman" w:eastAsia="宋体"/>
      <w:b w:val="0"/>
      <w:color w:val="000000"/>
      <w:sz w:val="24"/>
      <w:szCs w:val="24"/>
    </w:rPr>
  </w:style>
  <w:style w:type="paragraph" w:customStyle="1" w:styleId="1653">
    <w:name w:val="修订3"/>
    <w:semiHidden/>
    <w:qFormat/>
    <w:uiPriority w:val="0"/>
    <w:pPr>
      <w:spacing w:line="360" w:lineRule="auto"/>
      <w:jc w:val="both"/>
    </w:pPr>
    <w:rPr>
      <w:rFonts w:ascii="Calibri" w:hAnsi="Calibri" w:eastAsia="宋体" w:cs="Times New Roman"/>
      <w:snapToGrid w:val="0"/>
      <w:kern w:val="24"/>
      <w:sz w:val="24"/>
      <w:szCs w:val="24"/>
      <w:lang w:val="en-US" w:eastAsia="zh-CN" w:bidi="ar-SA"/>
    </w:rPr>
  </w:style>
  <w:style w:type="paragraph" w:customStyle="1" w:styleId="1654">
    <w:name w:val="样式 标题 1 + (西文) Arial (中文) 黑体 三号 段后: 2 磅"/>
    <w:basedOn w:val="1"/>
    <w:qFormat/>
    <w:uiPriority w:val="0"/>
    <w:pPr>
      <w:widowControl w:val="0"/>
      <w:tabs>
        <w:tab w:val="left" w:pos="0"/>
        <w:tab w:val="left" w:pos="940"/>
      </w:tabs>
      <w:adjustRightInd w:val="0"/>
      <w:spacing w:line="312" w:lineRule="atLeast"/>
      <w:textAlignment w:val="baseline"/>
    </w:pPr>
    <w:rPr>
      <w:rFonts w:eastAsia="宋体"/>
      <w:kern w:val="0"/>
      <w:szCs w:val="20"/>
    </w:rPr>
  </w:style>
  <w:style w:type="paragraph" w:customStyle="1" w:styleId="1655">
    <w:name w:val="xl30"/>
    <w:basedOn w:val="1"/>
    <w:qFormat/>
    <w:uiPriority w:val="0"/>
    <w:pPr>
      <w:pBdr>
        <w:top w:val="single" w:color="auto" w:sz="4"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1656">
    <w:name w:val="表格 Char Char"/>
    <w:basedOn w:val="1"/>
    <w:semiHidden/>
    <w:qFormat/>
    <w:uiPriority w:val="99"/>
    <w:pPr>
      <w:widowControl w:val="0"/>
      <w:adjustRightInd w:val="0"/>
      <w:snapToGrid w:val="0"/>
      <w:spacing w:line="240" w:lineRule="auto"/>
      <w:jc w:val="center"/>
    </w:pPr>
    <w:rPr>
      <w:rFonts w:ascii="宋体" w:eastAsia="宋体"/>
      <w:snapToGrid w:val="0"/>
      <w:spacing w:val="4"/>
      <w:w w:val="90"/>
      <w:kern w:val="0"/>
      <w:szCs w:val="24"/>
    </w:rPr>
  </w:style>
  <w:style w:type="character" w:customStyle="1" w:styleId="1657">
    <w:name w:val="HTML 地址 Char4"/>
    <w:basedOn w:val="134"/>
    <w:semiHidden/>
    <w:uiPriority w:val="99"/>
    <w:rPr>
      <w:rFonts w:ascii="Times New Roman" w:hAnsi="Times New Roman"/>
      <w:i/>
      <w:iCs/>
      <w:sz w:val="24"/>
      <w:szCs w:val="21"/>
    </w:rPr>
  </w:style>
  <w:style w:type="paragraph" w:customStyle="1" w:styleId="1658">
    <w:name w:val="表中文字 + 居中"/>
    <w:basedOn w:val="292"/>
    <w:qFormat/>
    <w:uiPriority w:val="99"/>
    <w:pPr>
      <w:widowControl w:val="0"/>
      <w:spacing w:line="240" w:lineRule="auto"/>
      <w:jc w:val="center"/>
    </w:pPr>
    <w:rPr>
      <w:rFonts w:ascii="Times New Roman" w:hAnsi="Times New Roman" w:cs="宋体"/>
      <w:b w:val="0"/>
      <w:snapToGrid w:val="0"/>
      <w:szCs w:val="21"/>
    </w:rPr>
  </w:style>
  <w:style w:type="paragraph" w:customStyle="1" w:styleId="1659">
    <w:name w:val="my1"/>
    <w:basedOn w:val="60"/>
    <w:semiHidden/>
    <w:qFormat/>
    <w:uiPriority w:val="0"/>
    <w:pPr>
      <w:widowControl w:val="0"/>
      <w:tabs>
        <w:tab w:val="left" w:pos="360"/>
        <w:tab w:val="right" w:leader="dot" w:pos="8891"/>
        <w:tab w:val="right" w:leader="dot" w:pos="9061"/>
      </w:tabs>
      <w:spacing w:after="120" w:line="300" w:lineRule="auto"/>
      <w:jc w:val="left"/>
    </w:pPr>
    <w:rPr>
      <w:rFonts w:ascii="仿宋_GB2312" w:hAnsi="华文细黑" w:eastAsia="仿宋_GB2312"/>
      <w:b/>
      <w:i/>
      <w:caps/>
      <w:snapToGrid w:val="0"/>
      <w:szCs w:val="28"/>
    </w:rPr>
  </w:style>
  <w:style w:type="paragraph" w:customStyle="1" w:styleId="1660">
    <w:name w:val="中文表内容"/>
    <w:basedOn w:val="1"/>
    <w:next w:val="1"/>
    <w:qFormat/>
    <w:uiPriority w:val="99"/>
    <w:pPr>
      <w:widowControl w:val="0"/>
      <w:overflowPunct w:val="0"/>
      <w:spacing w:line="200" w:lineRule="atLeast"/>
      <w:ind w:left="284"/>
      <w:textAlignment w:val="baseline"/>
    </w:pPr>
    <w:rPr>
      <w:rFonts w:eastAsia="仿宋_GB2312"/>
      <w:kern w:val="0"/>
      <w:sz w:val="28"/>
      <w:szCs w:val="20"/>
    </w:rPr>
  </w:style>
  <w:style w:type="character" w:customStyle="1" w:styleId="1661">
    <w:name w:val="签名 Char5"/>
    <w:basedOn w:val="134"/>
    <w:semiHidden/>
    <w:uiPriority w:val="99"/>
    <w:rPr>
      <w:rFonts w:ascii="Times New Roman" w:hAnsi="Times New Roman"/>
      <w:sz w:val="24"/>
      <w:szCs w:val="21"/>
    </w:rPr>
  </w:style>
  <w:style w:type="paragraph" w:customStyle="1" w:styleId="1662">
    <w:name w:val="xl182"/>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宋体" w:cs="宋体"/>
      <w:kern w:val="0"/>
    </w:rPr>
  </w:style>
  <w:style w:type="character" w:customStyle="1" w:styleId="1663">
    <w:name w:val="称呼 Char6"/>
    <w:basedOn w:val="134"/>
    <w:semiHidden/>
    <w:uiPriority w:val="99"/>
    <w:rPr>
      <w:rFonts w:ascii="Times New Roman" w:hAnsi="Times New Roman"/>
      <w:sz w:val="24"/>
      <w:szCs w:val="21"/>
    </w:rPr>
  </w:style>
  <w:style w:type="paragraph" w:customStyle="1" w:styleId="1664">
    <w:name w:val="11"/>
    <w:basedOn w:val="1"/>
    <w:next w:val="71"/>
    <w:qFormat/>
    <w:uiPriority w:val="99"/>
    <w:pPr>
      <w:tabs>
        <w:tab w:val="left" w:pos="426"/>
      </w:tabs>
      <w:spacing w:line="240" w:lineRule="auto"/>
      <w:ind w:left="284" w:leftChars="142" w:firstLine="1019" w:firstLineChars="364"/>
    </w:pPr>
    <w:rPr>
      <w:rFonts w:ascii="宋体" w:eastAsia="宋体"/>
      <w:kern w:val="0"/>
      <w:sz w:val="28"/>
      <w:szCs w:val="20"/>
    </w:rPr>
  </w:style>
  <w:style w:type="paragraph" w:customStyle="1" w:styleId="1665">
    <w:name w:val="文本框"/>
    <w:basedOn w:val="1"/>
    <w:qFormat/>
    <w:uiPriority w:val="99"/>
    <w:pPr>
      <w:widowControl w:val="0"/>
      <w:adjustRightInd w:val="0"/>
      <w:snapToGrid w:val="0"/>
      <w:spacing w:after="6" w:line="240" w:lineRule="auto"/>
      <w:jc w:val="center"/>
    </w:pPr>
    <w:rPr>
      <w:rFonts w:eastAsia="仿宋_GB2312"/>
      <w:sz w:val="21"/>
      <w:szCs w:val="24"/>
    </w:rPr>
  </w:style>
  <w:style w:type="character" w:customStyle="1" w:styleId="1666">
    <w:name w:val="结束语 Char5"/>
    <w:basedOn w:val="134"/>
    <w:semiHidden/>
    <w:uiPriority w:val="99"/>
    <w:rPr>
      <w:rFonts w:ascii="Times New Roman" w:hAnsi="Times New Roman"/>
      <w:sz w:val="24"/>
      <w:szCs w:val="21"/>
    </w:rPr>
  </w:style>
  <w:style w:type="character" w:customStyle="1" w:styleId="1667">
    <w:name w:val="正文文本 2 Char4"/>
    <w:basedOn w:val="134"/>
    <w:semiHidden/>
    <w:uiPriority w:val="99"/>
    <w:rPr>
      <w:rFonts w:ascii="Times New Roman" w:hAnsi="Times New Roman"/>
      <w:sz w:val="24"/>
      <w:szCs w:val="21"/>
    </w:rPr>
  </w:style>
  <w:style w:type="character" w:customStyle="1" w:styleId="1668">
    <w:name w:val="电子邮件签名 Char5"/>
    <w:basedOn w:val="134"/>
    <w:semiHidden/>
    <w:uiPriority w:val="99"/>
    <w:rPr>
      <w:rFonts w:ascii="Times New Roman" w:hAnsi="Times New Roman"/>
      <w:sz w:val="24"/>
      <w:szCs w:val="21"/>
    </w:rPr>
  </w:style>
  <w:style w:type="paragraph" w:customStyle="1" w:styleId="1669">
    <w:name w:val="Report Normal"/>
    <w:basedOn w:val="46"/>
    <w:qFormat/>
    <w:uiPriority w:val="0"/>
    <w:pPr>
      <w:spacing w:before="100" w:beforeAutospacing="1" w:after="100" w:afterAutospacing="1"/>
      <w:jc w:val="left"/>
    </w:pPr>
    <w:rPr>
      <w:rFonts w:hAnsi="宋体" w:cs="Times New Roman"/>
      <w:kern w:val="0"/>
      <w:sz w:val="24"/>
      <w:szCs w:val="24"/>
    </w:rPr>
  </w:style>
  <w:style w:type="paragraph" w:customStyle="1" w:styleId="1670">
    <w:name w:val="xl188"/>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rPr>
  </w:style>
  <w:style w:type="paragraph" w:customStyle="1" w:styleId="1671">
    <w:name w:val="样式8"/>
    <w:basedOn w:val="1"/>
    <w:qFormat/>
    <w:uiPriority w:val="0"/>
    <w:pPr>
      <w:widowControl w:val="0"/>
      <w:adjustRightInd w:val="0"/>
      <w:snapToGrid w:val="0"/>
      <w:spacing w:beforeLines="50"/>
      <w:ind w:firstLine="500" w:firstLineChars="500"/>
    </w:pPr>
    <w:rPr>
      <w:rFonts w:eastAsia="宋体"/>
      <w:sz w:val="26"/>
      <w:szCs w:val="26"/>
    </w:rPr>
  </w:style>
  <w:style w:type="paragraph" w:customStyle="1" w:styleId="1672">
    <w:name w:val="gb1"/>
    <w:basedOn w:val="1"/>
    <w:qFormat/>
    <w:uiPriority w:val="0"/>
    <w:pPr>
      <w:framePr w:hSpace="181" w:vSpace="181" w:wrap="around" w:vAnchor="text" w:hAnchor="text" w:y="1"/>
      <w:tabs>
        <w:tab w:val="left" w:pos="227"/>
      </w:tabs>
      <w:overflowPunct w:val="0"/>
      <w:autoSpaceDE w:val="0"/>
      <w:autoSpaceDN w:val="0"/>
      <w:adjustRightInd w:val="0"/>
      <w:spacing w:before="120" w:after="120" w:line="240" w:lineRule="auto"/>
      <w:textAlignment w:val="baseline"/>
    </w:pPr>
    <w:rPr>
      <w:rFonts w:ascii="Arial" w:hAnsi="Arial" w:eastAsia="仿宋体"/>
      <w:kern w:val="0"/>
      <w:sz w:val="21"/>
      <w:szCs w:val="20"/>
    </w:rPr>
  </w:style>
  <w:style w:type="paragraph" w:customStyle="1" w:styleId="1673">
    <w:name w:val="项目一级编号"/>
    <w:basedOn w:val="3"/>
    <w:next w:val="1"/>
    <w:qFormat/>
    <w:uiPriority w:val="0"/>
    <w:pPr>
      <w:widowControl w:val="0"/>
      <w:tabs>
        <w:tab w:val="left" w:pos="851"/>
        <w:tab w:val="left" w:pos="960"/>
      </w:tabs>
      <w:spacing w:before="0" w:after="0" w:line="360" w:lineRule="auto"/>
      <w:ind w:left="960" w:hanging="420"/>
    </w:pPr>
    <w:rPr>
      <w:rFonts w:eastAsia="宋体"/>
      <w:bCs w:val="0"/>
      <w:sz w:val="28"/>
      <w:szCs w:val="28"/>
    </w:rPr>
  </w:style>
  <w:style w:type="paragraph" w:customStyle="1" w:styleId="1674">
    <w:name w:val="Char11"/>
    <w:basedOn w:val="1"/>
    <w:qFormat/>
    <w:uiPriority w:val="0"/>
    <w:pPr>
      <w:widowControl w:val="0"/>
      <w:ind w:firstLine="200" w:firstLineChars="200"/>
    </w:pPr>
    <w:rPr>
      <w:rFonts w:ascii="宋体" w:hAnsi="宋体" w:eastAsia="宋体" w:cs="宋体"/>
      <w:szCs w:val="24"/>
    </w:rPr>
  </w:style>
  <w:style w:type="character" w:customStyle="1" w:styleId="1675">
    <w:name w:val="信息标题 Char5"/>
    <w:basedOn w:val="134"/>
    <w:semiHidden/>
    <w:uiPriority w:val="99"/>
    <w:rPr>
      <w:rFonts w:asciiTheme="majorHAnsi" w:hAnsiTheme="majorHAnsi" w:eastAsiaTheme="majorEastAsia" w:cstheme="majorBidi"/>
      <w:sz w:val="24"/>
      <w:szCs w:val="24"/>
      <w:shd w:val="pct20" w:color="auto" w:fill="auto"/>
    </w:rPr>
  </w:style>
  <w:style w:type="paragraph" w:customStyle="1" w:styleId="1676">
    <w:name w:val="环正文"/>
    <w:basedOn w:val="1"/>
    <w:qFormat/>
    <w:uiPriority w:val="0"/>
    <w:pPr>
      <w:suppressAutoHyphens/>
      <w:adjustRightInd w:val="0"/>
      <w:ind w:left="23" w:leftChars="11" w:firstLine="694" w:firstLineChars="248"/>
      <w:textAlignment w:val="baseline"/>
    </w:pPr>
    <w:rPr>
      <w:rFonts w:ascii="宋体" w:hAnsi="宋体" w:eastAsia="宋体"/>
      <w:sz w:val="28"/>
      <w:szCs w:val="28"/>
      <w:lang w:val="en-GB"/>
    </w:rPr>
  </w:style>
  <w:style w:type="paragraph" w:customStyle="1" w:styleId="1677">
    <w:name w:val="修订21"/>
    <w:semiHidden/>
    <w:qFormat/>
    <w:uiPriority w:val="0"/>
    <w:rPr>
      <w:rFonts w:ascii="Times New Roman" w:hAnsi="Times New Roman" w:eastAsia="宋体" w:cs="Times New Roman"/>
      <w:snapToGrid w:val="0"/>
      <w:kern w:val="24"/>
      <w:sz w:val="24"/>
      <w:szCs w:val="24"/>
      <w:lang w:val="en-US" w:eastAsia="zh-CN" w:bidi="ar-SA"/>
    </w:rPr>
  </w:style>
  <w:style w:type="paragraph" w:customStyle="1" w:styleId="1678">
    <w:name w:val="Normal Indent10"/>
    <w:basedOn w:val="1"/>
    <w:semiHidden/>
    <w:qFormat/>
    <w:uiPriority w:val="0"/>
    <w:pPr>
      <w:widowControl w:val="0"/>
      <w:spacing w:line="240" w:lineRule="auto"/>
      <w:ind w:firstLine="420" w:firstLineChars="200"/>
    </w:pPr>
    <w:rPr>
      <w:rFonts w:hint="eastAsia" w:eastAsia="宋体"/>
      <w:sz w:val="21"/>
      <w:szCs w:val="24"/>
    </w:rPr>
  </w:style>
  <w:style w:type="character" w:customStyle="1" w:styleId="1679">
    <w:name w:val="HTML 预设格式 Char4"/>
    <w:basedOn w:val="134"/>
    <w:semiHidden/>
    <w:uiPriority w:val="99"/>
    <w:rPr>
      <w:rFonts w:ascii="Courier New" w:hAnsi="Courier New" w:cs="Courier New"/>
      <w:sz w:val="20"/>
      <w:szCs w:val="20"/>
    </w:rPr>
  </w:style>
  <w:style w:type="paragraph" w:customStyle="1" w:styleId="1680">
    <w:name w:val="样式 文章正文 + 首行缩进:  2 字符"/>
    <w:basedOn w:val="1"/>
    <w:semiHidden/>
    <w:qFormat/>
    <w:uiPriority w:val="0"/>
    <w:pPr>
      <w:widowControl w:val="0"/>
      <w:spacing w:line="520" w:lineRule="exact"/>
      <w:ind w:firstLine="480" w:firstLineChars="200"/>
      <w:jc w:val="left"/>
    </w:pPr>
    <w:rPr>
      <w:rFonts w:ascii="宋体" w:hAnsi="宋体" w:eastAsia="宋体" w:cs="宋体"/>
      <w:szCs w:val="20"/>
    </w:rPr>
  </w:style>
  <w:style w:type="paragraph" w:customStyle="1" w:styleId="1681">
    <w:name w:val="Char Char6 Char Char1"/>
    <w:basedOn w:val="1"/>
    <w:semiHidden/>
    <w:qFormat/>
    <w:uiPriority w:val="99"/>
    <w:pPr>
      <w:widowControl w:val="0"/>
      <w:spacing w:line="240" w:lineRule="auto"/>
    </w:pPr>
    <w:rPr>
      <w:rFonts w:ascii="宋体" w:hAnsi="宋体" w:eastAsia="宋体" w:cs="宋体"/>
    </w:rPr>
  </w:style>
  <w:style w:type="paragraph" w:customStyle="1" w:styleId="1682">
    <w:name w:val="正文样式1"/>
    <w:basedOn w:val="1"/>
    <w:qFormat/>
    <w:uiPriority w:val="99"/>
    <w:pPr>
      <w:widowControl w:val="0"/>
      <w:ind w:firstLine="482"/>
      <w:jc w:val="left"/>
      <w:textAlignment w:val="baseline"/>
    </w:pPr>
    <w:rPr>
      <w:rFonts w:eastAsia="宋体"/>
      <w:kern w:val="0"/>
      <w:szCs w:val="21"/>
    </w:rPr>
  </w:style>
  <w:style w:type="paragraph" w:customStyle="1" w:styleId="1683">
    <w:name w:val="样式 段前: 1.9 磅 段后: 1.9 磅"/>
    <w:basedOn w:val="1"/>
    <w:semiHidden/>
    <w:qFormat/>
    <w:uiPriority w:val="0"/>
    <w:pPr>
      <w:widowControl w:val="0"/>
      <w:adjustRightInd w:val="0"/>
      <w:snapToGrid w:val="0"/>
      <w:ind w:firstLine="200" w:firstLineChars="200"/>
    </w:pPr>
    <w:rPr>
      <w:rFonts w:eastAsia="宋体" w:cs="宋体"/>
      <w:snapToGrid w:val="0"/>
      <w:kern w:val="24"/>
      <w:szCs w:val="24"/>
    </w:rPr>
  </w:style>
  <w:style w:type="paragraph" w:customStyle="1" w:styleId="1684">
    <w:name w:val="xl36"/>
    <w:basedOn w:val="1"/>
    <w:qFormat/>
    <w:uiPriority w:val="0"/>
    <w:pPr>
      <w:pBdr>
        <w:top w:val="single" w:color="auto" w:sz="4" w:space="0"/>
        <w:bottom w:val="single" w:color="auto" w:sz="4" w:space="0"/>
        <w:right w:val="single" w:color="auto" w:sz="4" w:space="0"/>
      </w:pBdr>
      <w:spacing w:before="100" w:after="100" w:line="240" w:lineRule="auto"/>
      <w:jc w:val="center"/>
      <w:textAlignment w:val="center"/>
    </w:pPr>
    <w:rPr>
      <w:rFonts w:ascii="宋体" w:hAnsi="宋体" w:eastAsia="宋体"/>
      <w:kern w:val="0"/>
      <w:szCs w:val="24"/>
    </w:rPr>
  </w:style>
  <w:style w:type="paragraph" w:customStyle="1" w:styleId="1685">
    <w:name w:val="编号（1）"/>
    <w:basedOn w:val="1"/>
    <w:qFormat/>
    <w:uiPriority w:val="99"/>
    <w:pPr>
      <w:widowControl w:val="0"/>
    </w:pPr>
    <w:rPr>
      <w:rFonts w:eastAsia="宋体"/>
    </w:rPr>
  </w:style>
  <w:style w:type="paragraph" w:customStyle="1" w:styleId="1686">
    <w:name w:val="reader-word-layer reader-word-s1-16"/>
    <w:basedOn w:val="1"/>
    <w:qFormat/>
    <w:uiPriority w:val="0"/>
    <w:pPr>
      <w:spacing w:before="100" w:beforeAutospacing="1" w:after="100" w:afterAutospacing="1" w:line="240" w:lineRule="auto"/>
      <w:jc w:val="left"/>
    </w:pPr>
    <w:rPr>
      <w:rFonts w:ascii="宋体" w:hAnsi="宋体" w:eastAsia="宋体" w:cs="宋体"/>
      <w:kern w:val="0"/>
      <w:szCs w:val="24"/>
    </w:rPr>
  </w:style>
  <w:style w:type="paragraph" w:customStyle="1" w:styleId="1687">
    <w:name w:val="Char Char Char Char Char Char Char Char Char Char Char Char1 Char Char Char Char Char Char Char Char Char Char Char Char Char Char Char Char Char Char Char"/>
    <w:basedOn w:val="1"/>
    <w:semiHidden/>
    <w:qFormat/>
    <w:uiPriority w:val="99"/>
    <w:pPr>
      <w:widowControl w:val="0"/>
      <w:ind w:firstLine="200" w:firstLineChars="200"/>
    </w:pPr>
    <w:rPr>
      <w:rFonts w:ascii="宋体" w:hAnsi="宋体" w:eastAsia="宋体" w:cs="宋体"/>
      <w:szCs w:val="26"/>
    </w:rPr>
  </w:style>
  <w:style w:type="paragraph" w:customStyle="1" w:styleId="1688">
    <w:name w:val="xl35"/>
    <w:basedOn w:val="1"/>
    <w:qFormat/>
    <w:uiPriority w:val="0"/>
    <w:pPr>
      <w:pBdr>
        <w:top w:val="single" w:color="auto" w:sz="4" w:space="0"/>
        <w:bottom w:val="single" w:color="auto" w:sz="4" w:space="0"/>
      </w:pBdr>
      <w:spacing w:before="100" w:after="100" w:line="240" w:lineRule="auto"/>
      <w:jc w:val="center"/>
      <w:textAlignment w:val="center"/>
    </w:pPr>
    <w:rPr>
      <w:rFonts w:ascii="宋体" w:hAnsi="宋体" w:eastAsia="宋体"/>
      <w:kern w:val="0"/>
      <w:szCs w:val="24"/>
    </w:rPr>
  </w:style>
  <w:style w:type="paragraph" w:customStyle="1" w:styleId="1689">
    <w:name w:val="公式 Centered"/>
    <w:basedOn w:val="1209"/>
    <w:qFormat/>
    <w:uiPriority w:val="99"/>
    <w:pPr>
      <w:ind w:firstLine="0" w:firstLineChars="0"/>
      <w:jc w:val="center"/>
    </w:pPr>
    <w:rPr>
      <w:rFonts w:cs="宋体"/>
      <w:bCs w:val="0"/>
      <w:szCs w:val="20"/>
    </w:rPr>
  </w:style>
  <w:style w:type="paragraph" w:customStyle="1" w:styleId="1690">
    <w:name w:val="21"/>
    <w:next w:val="1"/>
    <w:unhideWhenUsed/>
    <w:qFormat/>
    <w:uiPriority w:val="99"/>
    <w:pPr>
      <w:widowControl w:val="0"/>
      <w:adjustRightInd w:val="0"/>
      <w:snapToGrid w:val="0"/>
      <w:spacing w:line="360" w:lineRule="auto"/>
      <w:ind w:firstLine="200" w:firstLineChars="200"/>
      <w:jc w:val="both"/>
    </w:pPr>
    <w:rPr>
      <w:rFonts w:ascii="Calibri" w:hAnsi="Calibri" w:eastAsia="宋体" w:cs="Times New Roman"/>
      <w:snapToGrid w:val="0"/>
      <w:kern w:val="24"/>
      <w:sz w:val="24"/>
      <w:szCs w:val="24"/>
      <w:lang w:val="en-US" w:eastAsia="zh-CN" w:bidi="ar-SA"/>
    </w:rPr>
  </w:style>
  <w:style w:type="paragraph" w:customStyle="1" w:styleId="1691">
    <w:name w:val="主体无缩进"/>
    <w:basedOn w:val="1209"/>
    <w:qFormat/>
    <w:uiPriority w:val="99"/>
    <w:pPr>
      <w:ind w:firstLine="0" w:firstLineChars="0"/>
    </w:pPr>
    <w:rPr>
      <w:rFonts w:cs="宋体"/>
      <w:bCs w:val="0"/>
      <w:szCs w:val="20"/>
    </w:rPr>
  </w:style>
  <w:style w:type="paragraph" w:customStyle="1" w:styleId="1692">
    <w:name w:val="xl45"/>
    <w:basedOn w:val="1"/>
    <w:qFormat/>
    <w:uiPriority w:val="0"/>
    <w:pPr>
      <w:pBdr>
        <w:top w:val="single" w:color="auto" w:sz="4" w:space="0"/>
        <w:bottom w:val="single" w:color="auto" w:sz="4" w:space="0"/>
        <w:right w:val="single" w:color="auto" w:sz="4" w:space="0"/>
      </w:pBdr>
      <w:spacing w:before="100" w:after="100" w:line="240" w:lineRule="auto"/>
      <w:jc w:val="center"/>
      <w:textAlignment w:val="center"/>
    </w:pPr>
    <w:rPr>
      <w:rFonts w:ascii="宋体" w:hAnsi="宋体" w:eastAsia="宋体"/>
      <w:kern w:val="0"/>
      <w:szCs w:val="24"/>
    </w:rPr>
  </w:style>
  <w:style w:type="paragraph" w:customStyle="1" w:styleId="1693">
    <w:name w:val="前言"/>
    <w:basedOn w:val="1"/>
    <w:next w:val="1"/>
    <w:qFormat/>
    <w:uiPriority w:val="0"/>
    <w:pPr>
      <w:widowControl w:val="0"/>
      <w:adjustRightInd w:val="0"/>
      <w:snapToGrid w:val="0"/>
      <w:jc w:val="left"/>
      <w:textAlignment w:val="baseline"/>
    </w:pPr>
    <w:rPr>
      <w:rFonts w:eastAsia="黑体"/>
      <w:b/>
      <w:snapToGrid w:val="0"/>
      <w:kern w:val="24"/>
      <w:sz w:val="30"/>
      <w:szCs w:val="24"/>
    </w:rPr>
  </w:style>
  <w:style w:type="paragraph" w:customStyle="1" w:styleId="1694">
    <w:name w:val="样式 样式 环评正文 + (西文) 仿宋_GB2312 (中文) 宋体 10.5 磅 首行缩进:  2 字符 + 首行缩进:  ..."/>
    <w:basedOn w:val="1"/>
    <w:qFormat/>
    <w:uiPriority w:val="99"/>
    <w:pPr>
      <w:widowControl w:val="0"/>
      <w:spacing w:line="400" w:lineRule="exact"/>
      <w:ind w:firstLine="200"/>
    </w:pPr>
    <w:rPr>
      <w:rFonts w:ascii="仿宋_GB2312" w:hAnsi="仿宋_GB2312" w:eastAsia="宋体"/>
      <w:szCs w:val="20"/>
    </w:rPr>
  </w:style>
  <w:style w:type="paragraph" w:customStyle="1" w:styleId="1695">
    <w:name w:val="xl143"/>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1696">
    <w:name w:val="14"/>
    <w:basedOn w:val="1"/>
    <w:next w:val="52"/>
    <w:qFormat/>
    <w:uiPriority w:val="99"/>
    <w:pPr>
      <w:spacing w:beforeLines="50"/>
      <w:ind w:firstLine="480"/>
      <w:jc w:val="left"/>
    </w:pPr>
    <w:rPr>
      <w:rFonts w:ascii="Romantic" w:hAnsi="Romantic" w:eastAsia="宋体"/>
      <w:szCs w:val="20"/>
    </w:rPr>
  </w:style>
  <w:style w:type="paragraph" w:customStyle="1" w:styleId="1697">
    <w:name w:val="xl44"/>
    <w:basedOn w:val="1"/>
    <w:qFormat/>
    <w:uiPriority w:val="0"/>
    <w:pPr>
      <w:pBdr>
        <w:top w:val="single" w:color="auto" w:sz="4" w:space="0"/>
        <w:bottom w:val="single" w:color="auto" w:sz="4" w:space="0"/>
      </w:pBdr>
      <w:spacing w:before="100" w:after="100" w:line="240" w:lineRule="auto"/>
      <w:jc w:val="center"/>
      <w:textAlignment w:val="center"/>
    </w:pPr>
    <w:rPr>
      <w:rFonts w:ascii="宋体" w:hAnsi="宋体" w:eastAsia="宋体"/>
      <w:kern w:val="0"/>
      <w:szCs w:val="24"/>
    </w:rPr>
  </w:style>
  <w:style w:type="paragraph" w:customStyle="1" w:styleId="1698">
    <w:name w:val="竹本油脂正文"/>
    <w:basedOn w:val="1"/>
    <w:qFormat/>
    <w:uiPriority w:val="99"/>
    <w:pPr>
      <w:widowControl w:val="0"/>
      <w:adjustRightInd w:val="0"/>
      <w:snapToGrid w:val="0"/>
      <w:ind w:firstLine="480" w:firstLineChars="200"/>
    </w:pPr>
    <w:rPr>
      <w:rFonts w:eastAsia="宋体" w:cs="宋体"/>
      <w:snapToGrid w:val="0"/>
      <w:kern w:val="24"/>
      <w:szCs w:val="20"/>
    </w:rPr>
  </w:style>
  <w:style w:type="paragraph" w:customStyle="1" w:styleId="1699">
    <w:name w:val="Char Char Char1 Char"/>
    <w:basedOn w:val="1"/>
    <w:qFormat/>
    <w:uiPriority w:val="0"/>
    <w:pPr>
      <w:widowControl w:val="0"/>
      <w:spacing w:before="120" w:after="60" w:line="264" w:lineRule="auto"/>
    </w:pPr>
    <w:rPr>
      <w:rFonts w:eastAsia="仿宋_GB2312"/>
      <w:szCs w:val="24"/>
    </w:rPr>
  </w:style>
  <w:style w:type="paragraph" w:customStyle="1" w:styleId="1700">
    <w:name w:val="tb"/>
    <w:basedOn w:val="4"/>
    <w:qFormat/>
    <w:uiPriority w:val="99"/>
    <w:pPr>
      <w:keepNext w:val="0"/>
      <w:keepLines w:val="0"/>
      <w:widowControl w:val="0"/>
      <w:tabs>
        <w:tab w:val="left" w:pos="360"/>
        <w:tab w:val="left" w:pos="576"/>
      </w:tabs>
      <w:wordWrap w:val="0"/>
      <w:overflowPunct w:val="0"/>
      <w:autoSpaceDE w:val="0"/>
      <w:autoSpaceDN w:val="0"/>
      <w:spacing w:before="100" w:beforeLines="50" w:beforeAutospacing="1" w:after="156" w:line="400" w:lineRule="exact"/>
      <w:ind w:left="576" w:hanging="576"/>
    </w:pPr>
    <w:rPr>
      <w:rFonts w:ascii="Times New Roman" w:hAnsi="Arial" w:eastAsia="黑体"/>
      <w:b w:val="0"/>
      <w:bCs w:val="0"/>
      <w:color w:val="000000"/>
      <w:kern w:val="44"/>
      <w:sz w:val="24"/>
      <w:szCs w:val="28"/>
    </w:rPr>
  </w:style>
  <w:style w:type="paragraph" w:customStyle="1" w:styleId="1701">
    <w:name w:val="热电厂正文 Char Char Char Char"/>
    <w:basedOn w:val="1"/>
    <w:qFormat/>
    <w:uiPriority w:val="99"/>
    <w:pPr>
      <w:widowControl w:val="0"/>
      <w:spacing w:line="440" w:lineRule="exact"/>
      <w:ind w:firstLine="480"/>
    </w:pPr>
    <w:rPr>
      <w:rFonts w:eastAsia="宋体"/>
      <w:szCs w:val="20"/>
    </w:rPr>
  </w:style>
  <w:style w:type="paragraph" w:customStyle="1" w:styleId="1702">
    <w:name w:val="Body Text Indent1"/>
    <w:basedOn w:val="1"/>
    <w:qFormat/>
    <w:uiPriority w:val="99"/>
    <w:pPr>
      <w:widowControl w:val="0"/>
      <w:spacing w:after="120"/>
      <w:ind w:left="420" w:leftChars="200"/>
    </w:pPr>
    <w:rPr>
      <w:rFonts w:eastAsia="宋体"/>
    </w:rPr>
  </w:style>
  <w:style w:type="paragraph" w:customStyle="1" w:styleId="1703">
    <w:name w:val="样式 宋体 黑色 居中 行距: 固定值 18 磅"/>
    <w:basedOn w:val="1"/>
    <w:qFormat/>
    <w:uiPriority w:val="0"/>
    <w:pPr>
      <w:widowControl w:val="0"/>
      <w:spacing w:line="400" w:lineRule="exact"/>
      <w:jc w:val="center"/>
    </w:pPr>
    <w:rPr>
      <w:rFonts w:ascii="Arial" w:hAnsi="Arial" w:eastAsia="宋体" w:cs="宋体"/>
      <w:kern w:val="0"/>
      <w:sz w:val="21"/>
      <w:szCs w:val="21"/>
    </w:rPr>
  </w:style>
  <w:style w:type="paragraph" w:customStyle="1" w:styleId="1704">
    <w:name w:val="0图表标题格式"/>
    <w:basedOn w:val="978"/>
    <w:qFormat/>
    <w:uiPriority w:val="99"/>
    <w:pPr>
      <w:adjustRightInd/>
      <w:snapToGrid/>
      <w:spacing w:line="240" w:lineRule="auto"/>
      <w:ind w:firstLine="482" w:firstLineChars="200"/>
    </w:pPr>
    <w:rPr>
      <w:snapToGrid/>
    </w:rPr>
  </w:style>
  <w:style w:type="paragraph" w:customStyle="1" w:styleId="1705">
    <w:name w:val="样式 正文文本缩进 + 四号 黑色 行距: 固定值 28 磅"/>
    <w:basedOn w:val="36"/>
    <w:qFormat/>
    <w:uiPriority w:val="99"/>
    <w:pPr>
      <w:widowControl w:val="0"/>
      <w:spacing w:after="0" w:line="560" w:lineRule="exact"/>
      <w:ind w:left="0" w:leftChars="0" w:firstLine="3080" w:firstLineChars="1100"/>
    </w:pPr>
    <w:rPr>
      <w:color w:val="000000"/>
      <w:kern w:val="0"/>
      <w:sz w:val="24"/>
    </w:rPr>
  </w:style>
  <w:style w:type="paragraph" w:customStyle="1" w:styleId="1706">
    <w:name w:val="T表格"/>
    <w:qFormat/>
    <w:uiPriority w:val="0"/>
    <w:pPr>
      <w:jc w:val="center"/>
    </w:pPr>
    <w:rPr>
      <w:rFonts w:ascii="Times New Roman" w:hAnsi="Times New Roman" w:eastAsia="宋体" w:cs="Times New Roman"/>
      <w:sz w:val="21"/>
      <w:lang w:val="en-US" w:eastAsia="zh-CN" w:bidi="ar-SA"/>
    </w:rPr>
  </w:style>
  <w:style w:type="paragraph" w:customStyle="1" w:styleId="1707">
    <w:name w:val="xl39"/>
    <w:basedOn w:val="1"/>
    <w:qFormat/>
    <w:uiPriority w:val="0"/>
    <w:pPr>
      <w:pBdr>
        <w:top w:val="single" w:color="auto" w:sz="4" w:space="0"/>
        <w:bottom w:val="single" w:color="auto" w:sz="4" w:space="0"/>
        <w:right w:val="single" w:color="auto" w:sz="4" w:space="0"/>
      </w:pBdr>
      <w:spacing w:before="100" w:after="100" w:line="240" w:lineRule="auto"/>
      <w:jc w:val="center"/>
      <w:textAlignment w:val="center"/>
    </w:pPr>
    <w:rPr>
      <w:rFonts w:eastAsia="宋体"/>
      <w:kern w:val="0"/>
      <w:sz w:val="28"/>
      <w:szCs w:val="28"/>
    </w:rPr>
  </w:style>
  <w:style w:type="paragraph" w:customStyle="1" w:styleId="1708">
    <w:name w:val="样式 标题 1 + 小四"/>
    <w:basedOn w:val="3"/>
    <w:semiHidden/>
    <w:qFormat/>
    <w:uiPriority w:val="99"/>
    <w:pPr>
      <w:widowControl w:val="0"/>
      <w:tabs>
        <w:tab w:val="left" w:pos="0"/>
        <w:tab w:val="left" w:pos="432"/>
      </w:tabs>
      <w:ind w:left="900" w:hanging="420"/>
    </w:pPr>
    <w:rPr>
      <w:rFonts w:ascii="黑体" w:hAnsi="黑体" w:eastAsia="宋体"/>
      <w:sz w:val="24"/>
      <w:szCs w:val="24"/>
    </w:rPr>
  </w:style>
  <w:style w:type="paragraph" w:customStyle="1" w:styleId="1709">
    <w:name w:val="Char Char Char Char Char Char Char Char Char Char Char Char Char Char Char Char Char"/>
    <w:basedOn w:val="1"/>
    <w:qFormat/>
    <w:uiPriority w:val="99"/>
    <w:pPr>
      <w:widowControl w:val="0"/>
      <w:spacing w:line="240" w:lineRule="auto"/>
    </w:pPr>
    <w:rPr>
      <w:rFonts w:eastAsia="宋体"/>
      <w:sz w:val="21"/>
      <w:szCs w:val="24"/>
    </w:rPr>
  </w:style>
  <w:style w:type="paragraph" w:customStyle="1" w:styleId="1710">
    <w:name w:val="表格环评"/>
    <w:basedOn w:val="1"/>
    <w:semiHidden/>
    <w:qFormat/>
    <w:uiPriority w:val="99"/>
    <w:pPr>
      <w:widowControl w:val="0"/>
      <w:spacing w:beforeLines="50"/>
      <w:jc w:val="center"/>
    </w:pPr>
    <w:rPr>
      <w:rFonts w:ascii="黑体" w:hAnsi="宋体" w:eastAsia="黑体"/>
      <w:color w:val="000000"/>
    </w:rPr>
  </w:style>
  <w:style w:type="paragraph" w:customStyle="1" w:styleId="1711">
    <w:name w:val="Table Title Char1 Char"/>
    <w:basedOn w:val="1"/>
    <w:semiHidden/>
    <w:qFormat/>
    <w:uiPriority w:val="0"/>
    <w:pPr>
      <w:snapToGrid w:val="0"/>
      <w:spacing w:beforeLines="50" w:afterLines="50" w:line="400" w:lineRule="exact"/>
      <w:jc w:val="center"/>
    </w:pPr>
    <w:rPr>
      <w:rFonts w:ascii="Calibri" w:hAnsi="Calibri" w:eastAsia="宋体"/>
      <w:snapToGrid w:val="0"/>
      <w:sz w:val="21"/>
      <w:szCs w:val="21"/>
      <w:lang w:eastAsia="en-US"/>
    </w:rPr>
  </w:style>
  <w:style w:type="paragraph" w:customStyle="1" w:styleId="1712">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713">
    <w:name w:val="zw1"/>
    <w:basedOn w:val="1"/>
    <w:qFormat/>
    <w:uiPriority w:val="99"/>
    <w:pPr>
      <w:spacing w:line="240" w:lineRule="auto"/>
      <w:ind w:firstLine="480"/>
      <w:jc w:val="left"/>
    </w:pPr>
    <w:rPr>
      <w:rFonts w:ascii="Calibri" w:hAnsi="Calibri" w:eastAsia="仿宋_GB2312"/>
    </w:rPr>
  </w:style>
  <w:style w:type="paragraph" w:customStyle="1" w:styleId="1714">
    <w:name w:val="标题11"/>
    <w:basedOn w:val="1"/>
    <w:next w:val="1"/>
    <w:qFormat/>
    <w:uiPriority w:val="0"/>
    <w:pPr>
      <w:widowControl w:val="0"/>
      <w:spacing w:before="120" w:after="120"/>
    </w:pPr>
    <w:rPr>
      <w:rFonts w:eastAsia="仿宋_GB2312"/>
      <w:b/>
      <w:sz w:val="32"/>
      <w:szCs w:val="20"/>
    </w:rPr>
  </w:style>
  <w:style w:type="paragraph" w:customStyle="1" w:styleId="1715">
    <w:name w:val="Revision6"/>
    <w:semiHidden/>
    <w:qFormat/>
    <w:uiPriority w:val="0"/>
    <w:rPr>
      <w:rFonts w:ascii="Times New Roman" w:hAnsi="Times New Roman" w:eastAsia="宋体" w:cs="Times New Roman"/>
      <w:snapToGrid w:val="0"/>
      <w:kern w:val="24"/>
      <w:sz w:val="24"/>
      <w:szCs w:val="24"/>
      <w:lang w:val="en-US" w:eastAsia="zh-CN" w:bidi="ar-SA"/>
    </w:rPr>
  </w:style>
  <w:style w:type="paragraph" w:customStyle="1" w:styleId="1716">
    <w:name w:val="正文-1"/>
    <w:basedOn w:val="1"/>
    <w:qFormat/>
    <w:uiPriority w:val="0"/>
    <w:pPr>
      <w:widowControl w:val="0"/>
      <w:adjustRightInd w:val="0"/>
      <w:spacing w:line="440" w:lineRule="exact"/>
      <w:ind w:firstLine="200" w:firstLineChars="200"/>
    </w:pPr>
    <w:rPr>
      <w:rFonts w:ascii="Calibri" w:hAnsi="Calibri" w:eastAsia="宋体"/>
      <w:snapToGrid w:val="0"/>
      <w:sz w:val="21"/>
      <w:szCs w:val="20"/>
    </w:rPr>
  </w:style>
  <w:style w:type="paragraph" w:customStyle="1" w:styleId="1717">
    <w:name w:val="样式 标题 1一、1.标题 1标题 1 Char标1章节标题-*+章标题 1文章标题h11st level...1"/>
    <w:basedOn w:val="3"/>
    <w:semiHidden/>
    <w:qFormat/>
    <w:uiPriority w:val="0"/>
    <w:pPr>
      <w:keepNext w:val="0"/>
      <w:keepLines w:val="0"/>
      <w:pageBreakBefore/>
      <w:tabs>
        <w:tab w:val="left" w:pos="57"/>
      </w:tabs>
      <w:adjustRightInd w:val="0"/>
      <w:snapToGrid w:val="0"/>
      <w:spacing w:before="240" w:after="0" w:afterLines="50" w:line="312" w:lineRule="auto"/>
      <w:ind w:left="900" w:hanging="420"/>
      <w:jc w:val="left"/>
      <w:textAlignment w:val="baseline"/>
    </w:pPr>
    <w:rPr>
      <w:rFonts w:eastAsia="黑体" w:cs="宋体"/>
      <w:b w:val="0"/>
      <w:snapToGrid w:val="0"/>
      <w:kern w:val="0"/>
      <w:sz w:val="36"/>
      <w:szCs w:val="30"/>
    </w:rPr>
  </w:style>
  <w:style w:type="paragraph" w:customStyle="1" w:styleId="1718">
    <w:name w:val="xl129"/>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Cs w:val="24"/>
    </w:rPr>
  </w:style>
  <w:style w:type="paragraph" w:customStyle="1" w:styleId="1719">
    <w:name w:val="Char Char Char Char Char Char Char Char2 Char Char Char Char Char Char Char Char Char Char Char Char Char Char Char"/>
    <w:basedOn w:val="1"/>
    <w:next w:val="1"/>
    <w:qFormat/>
    <w:uiPriority w:val="99"/>
    <w:pPr>
      <w:widowControl w:val="0"/>
      <w:spacing w:line="336" w:lineRule="auto"/>
    </w:pPr>
    <w:rPr>
      <w:rFonts w:eastAsia="宋体"/>
      <w:spacing w:val="4"/>
      <w:szCs w:val="20"/>
    </w:rPr>
  </w:style>
  <w:style w:type="paragraph" w:customStyle="1" w:styleId="1720">
    <w:name w:val="xl11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Cs w:val="24"/>
    </w:rPr>
  </w:style>
  <w:style w:type="paragraph" w:customStyle="1" w:styleId="1721">
    <w:name w:val="样式 标题 1 + 段前: 0 磅 段后: 0 磅"/>
    <w:basedOn w:val="3"/>
    <w:qFormat/>
    <w:uiPriority w:val="99"/>
    <w:pPr>
      <w:widowControl w:val="0"/>
      <w:tabs>
        <w:tab w:val="left" w:pos="240"/>
        <w:tab w:val="left" w:pos="432"/>
      </w:tabs>
      <w:adjustRightInd w:val="0"/>
      <w:snapToGrid w:val="0"/>
      <w:spacing w:before="0" w:beforeLines="50" w:after="0" w:line="500" w:lineRule="exact"/>
      <w:ind w:left="432" w:firstLine="168" w:firstLineChars="168"/>
      <w:jc w:val="left"/>
      <w:textAlignment w:val="baseline"/>
    </w:pPr>
    <w:rPr>
      <w:rFonts w:ascii="Arial" w:hAnsi="Arial" w:eastAsia="黑体"/>
      <w:spacing w:val="4"/>
      <w:sz w:val="32"/>
      <w:szCs w:val="32"/>
    </w:rPr>
  </w:style>
  <w:style w:type="paragraph" w:customStyle="1" w:styleId="1722">
    <w:name w:val="xl145"/>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1723">
    <w:name w:val="正文一"/>
    <w:basedOn w:val="1724"/>
    <w:qFormat/>
    <w:uiPriority w:val="99"/>
    <w:pPr>
      <w:jc w:val="both"/>
    </w:pPr>
    <w:rPr>
      <w:rFonts w:ascii="宋体" w:eastAsia="宋体" w:cs="宋体"/>
      <w:spacing w:val="6"/>
      <w:sz w:val="24"/>
      <w:szCs w:val="24"/>
    </w:rPr>
  </w:style>
  <w:style w:type="paragraph" w:customStyle="1" w:styleId="1724">
    <w:name w:val="标题居中"/>
    <w:qFormat/>
    <w:uiPriority w:val="99"/>
    <w:pPr>
      <w:adjustRightInd w:val="0"/>
      <w:snapToGrid w:val="0"/>
      <w:spacing w:line="480" w:lineRule="atLeast"/>
      <w:jc w:val="center"/>
    </w:pPr>
    <w:rPr>
      <w:rFonts w:ascii="黑体" w:hAnsi="Times New Roman" w:eastAsia="黑体" w:cs="黑体"/>
      <w:sz w:val="32"/>
      <w:szCs w:val="32"/>
      <w:lang w:val="en-US" w:eastAsia="zh-CN" w:bidi="ar-SA"/>
    </w:rPr>
  </w:style>
  <w:style w:type="paragraph" w:customStyle="1" w:styleId="1725">
    <w:name w:val="MTDisplayEquation"/>
    <w:basedOn w:val="1"/>
    <w:next w:val="1"/>
    <w:semiHidden/>
    <w:qFormat/>
    <w:uiPriority w:val="0"/>
    <w:pPr>
      <w:widowControl w:val="0"/>
      <w:tabs>
        <w:tab w:val="center" w:pos="4160"/>
        <w:tab w:val="right" w:pos="8300"/>
      </w:tabs>
      <w:spacing w:line="460" w:lineRule="exact"/>
      <w:ind w:firstLine="480" w:firstLineChars="200"/>
    </w:pPr>
    <w:rPr>
      <w:rFonts w:ascii="Calibri" w:hAnsi="宋体" w:eastAsia="宋体"/>
      <w:snapToGrid w:val="0"/>
      <w:sz w:val="21"/>
      <w:szCs w:val="21"/>
    </w:rPr>
  </w:style>
  <w:style w:type="paragraph" w:customStyle="1" w:styleId="1726">
    <w:name w:val="CoverDate"/>
    <w:basedOn w:val="1"/>
    <w:qFormat/>
    <w:uiPriority w:val="99"/>
    <w:pPr>
      <w:overflowPunct w:val="0"/>
      <w:autoSpaceDE w:val="0"/>
      <w:autoSpaceDN w:val="0"/>
      <w:spacing w:before="1200" w:line="264" w:lineRule="auto"/>
      <w:jc w:val="left"/>
      <w:textAlignment w:val="baseline"/>
    </w:pPr>
    <w:rPr>
      <w:rFonts w:ascii="Book Antiqua" w:hAnsi="Book Antiqua" w:eastAsia="宋体"/>
      <w:kern w:val="0"/>
      <w:sz w:val="22"/>
      <w:szCs w:val="20"/>
      <w:lang w:val="en-GB"/>
    </w:rPr>
  </w:style>
  <w:style w:type="paragraph" w:customStyle="1" w:styleId="1727">
    <w:name w:val="标题E"/>
    <w:basedOn w:val="1"/>
    <w:qFormat/>
    <w:uiPriority w:val="0"/>
    <w:pPr>
      <w:widowControl w:val="0"/>
      <w:spacing w:line="240" w:lineRule="auto"/>
    </w:pPr>
    <w:rPr>
      <w:rFonts w:eastAsia="宋体"/>
      <w:sz w:val="21"/>
      <w:szCs w:val="24"/>
    </w:rPr>
  </w:style>
  <w:style w:type="paragraph" w:customStyle="1" w:styleId="1728">
    <w:name w:val="CM123"/>
    <w:basedOn w:val="251"/>
    <w:next w:val="251"/>
    <w:semiHidden/>
    <w:qFormat/>
    <w:uiPriority w:val="99"/>
    <w:pPr>
      <w:spacing w:line="240" w:lineRule="auto"/>
      <w:jc w:val="left"/>
    </w:pPr>
    <w:rPr>
      <w:rFonts w:ascii="黑体" w:eastAsia="黑体" w:cs="Times New Roman"/>
      <w:color w:val="auto"/>
      <w:sz w:val="20"/>
    </w:rPr>
  </w:style>
  <w:style w:type="paragraph" w:customStyle="1" w:styleId="1729">
    <w:name w:val="基准页脚样式"/>
    <w:basedOn w:val="35"/>
    <w:qFormat/>
    <w:uiPriority w:val="99"/>
    <w:pPr>
      <w:spacing w:line="320" w:lineRule="exact"/>
    </w:pPr>
    <w:rPr>
      <w:rFonts w:ascii="宋体" w:hAnsi="Arial"/>
      <w:spacing w:val="-20"/>
      <w:kern w:val="0"/>
      <w:szCs w:val="20"/>
    </w:rPr>
  </w:style>
  <w:style w:type="paragraph" w:customStyle="1" w:styleId="1730">
    <w:name w:val="Char Char1 Char"/>
    <w:basedOn w:val="1"/>
    <w:qFormat/>
    <w:uiPriority w:val="99"/>
    <w:pPr>
      <w:widowControl w:val="0"/>
      <w:spacing w:line="240" w:lineRule="auto"/>
    </w:pPr>
    <w:rPr>
      <w:rFonts w:eastAsia="宋体"/>
      <w:sz w:val="21"/>
      <w:szCs w:val="24"/>
    </w:rPr>
  </w:style>
  <w:style w:type="paragraph" w:customStyle="1" w:styleId="1731">
    <w:name w:val="CM164"/>
    <w:basedOn w:val="251"/>
    <w:next w:val="251"/>
    <w:semiHidden/>
    <w:qFormat/>
    <w:uiPriority w:val="99"/>
    <w:pPr>
      <w:spacing w:after="313" w:line="240" w:lineRule="auto"/>
      <w:jc w:val="left"/>
    </w:pPr>
    <w:rPr>
      <w:rFonts w:ascii="黑体" w:eastAsia="黑体" w:cs="Times New Roman"/>
      <w:color w:val="auto"/>
      <w:sz w:val="20"/>
    </w:rPr>
  </w:style>
  <w:style w:type="paragraph" w:customStyle="1" w:styleId="1732">
    <w:name w:val="缺省文本_宋体"/>
    <w:basedOn w:val="1"/>
    <w:qFormat/>
    <w:uiPriority w:val="99"/>
    <w:pPr>
      <w:widowControl w:val="0"/>
      <w:tabs>
        <w:tab w:val="left" w:pos="525"/>
        <w:tab w:val="center" w:pos="5670"/>
        <w:tab w:val="right" w:pos="7655"/>
      </w:tabs>
      <w:spacing w:before="80" w:after="120"/>
      <w:outlineLvl w:val="7"/>
    </w:pPr>
    <w:rPr>
      <w:rFonts w:eastAsia="宋体"/>
      <w:spacing w:val="16"/>
      <w:kern w:val="28"/>
      <w:szCs w:val="20"/>
    </w:rPr>
  </w:style>
  <w:style w:type="paragraph" w:customStyle="1" w:styleId="1733">
    <w:name w:val="xl56"/>
    <w:basedOn w:val="1"/>
    <w:qFormat/>
    <w:uiPriority w:val="0"/>
    <w:pPr>
      <w:pBdr>
        <w:top w:val="single" w:color="auto" w:sz="8" w:space="0"/>
        <w:left w:val="single" w:color="auto" w:sz="4"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1734">
    <w:name w:val="彩色列表 - 强调文字颜色 11"/>
    <w:basedOn w:val="1"/>
    <w:qFormat/>
    <w:uiPriority w:val="34"/>
    <w:pPr>
      <w:widowControl w:val="0"/>
      <w:adjustRightInd w:val="0"/>
      <w:snapToGrid w:val="0"/>
      <w:ind w:firstLine="420" w:firstLineChars="200"/>
    </w:pPr>
    <w:rPr>
      <w:rFonts w:eastAsia="宋体"/>
      <w:snapToGrid w:val="0"/>
      <w:kern w:val="24"/>
      <w:szCs w:val="24"/>
    </w:rPr>
  </w:style>
  <w:style w:type="paragraph" w:customStyle="1" w:styleId="1735">
    <w:name w:val="xl62"/>
    <w:basedOn w:val="1"/>
    <w:qFormat/>
    <w:uiPriority w:val="0"/>
    <w:pPr>
      <w:pBdr>
        <w:top w:val="single" w:color="auto" w:sz="8" w:space="0"/>
        <w:left w:val="single" w:color="auto" w:sz="4" w:space="0"/>
      </w:pBdr>
      <w:spacing w:before="100" w:after="100" w:line="240" w:lineRule="auto"/>
      <w:jc w:val="center"/>
      <w:textAlignment w:val="top"/>
    </w:pPr>
    <w:rPr>
      <w:rFonts w:eastAsia="宋体"/>
      <w:kern w:val="0"/>
      <w:szCs w:val="24"/>
    </w:rPr>
  </w:style>
  <w:style w:type="paragraph" w:customStyle="1" w:styleId="1736">
    <w:name w:val="CM153"/>
    <w:basedOn w:val="251"/>
    <w:next w:val="251"/>
    <w:semiHidden/>
    <w:qFormat/>
    <w:uiPriority w:val="99"/>
    <w:pPr>
      <w:spacing w:after="200" w:line="240" w:lineRule="auto"/>
      <w:jc w:val="left"/>
    </w:pPr>
    <w:rPr>
      <w:rFonts w:ascii="黑体" w:eastAsia="黑体" w:cs="Times New Roman"/>
      <w:color w:val="auto"/>
      <w:sz w:val="20"/>
    </w:rPr>
  </w:style>
  <w:style w:type="paragraph" w:customStyle="1" w:styleId="1737">
    <w:name w:val="目 录"/>
    <w:basedOn w:val="60"/>
    <w:qFormat/>
    <w:uiPriority w:val="99"/>
    <w:pPr>
      <w:widowControl w:val="0"/>
      <w:tabs>
        <w:tab w:val="right" w:leader="dot" w:pos="8891"/>
      </w:tabs>
      <w:jc w:val="center"/>
    </w:pPr>
    <w:rPr>
      <w:rFonts w:eastAsia="黑体" w:cs="宋体"/>
      <w:bCs/>
      <w:sz w:val="30"/>
      <w:szCs w:val="24"/>
    </w:rPr>
  </w:style>
  <w:style w:type="paragraph" w:customStyle="1" w:styleId="1738">
    <w:name w:val="CM4"/>
    <w:basedOn w:val="251"/>
    <w:next w:val="251"/>
    <w:semiHidden/>
    <w:qFormat/>
    <w:uiPriority w:val="99"/>
    <w:pPr>
      <w:spacing w:line="500" w:lineRule="atLeast"/>
      <w:jc w:val="left"/>
    </w:pPr>
    <w:rPr>
      <w:rFonts w:cs="Times New Roman"/>
      <w:color w:val="auto"/>
      <w:sz w:val="20"/>
    </w:rPr>
  </w:style>
  <w:style w:type="paragraph" w:customStyle="1" w:styleId="1739">
    <w:name w:val="特殊标题３"/>
    <w:basedOn w:val="1"/>
    <w:qFormat/>
    <w:uiPriority w:val="99"/>
    <w:pPr>
      <w:widowControl w:val="0"/>
      <w:overflowPunct w:val="0"/>
      <w:autoSpaceDE w:val="0"/>
      <w:autoSpaceDN w:val="0"/>
      <w:textAlignment w:val="baseline"/>
    </w:pPr>
    <w:rPr>
      <w:rFonts w:eastAsia="仿宋_GB2312"/>
      <w:kern w:val="0"/>
      <w:sz w:val="28"/>
      <w:szCs w:val="20"/>
    </w:rPr>
  </w:style>
  <w:style w:type="paragraph" w:customStyle="1" w:styleId="1740">
    <w:name w:val="font22"/>
    <w:basedOn w:val="1"/>
    <w:qFormat/>
    <w:uiPriority w:val="99"/>
    <w:pPr>
      <w:spacing w:before="100" w:beforeAutospacing="1" w:after="100" w:afterAutospacing="1" w:line="240" w:lineRule="auto"/>
      <w:jc w:val="left"/>
    </w:pPr>
    <w:rPr>
      <w:rFonts w:ascii="仿宋_GB2312" w:hAnsi="宋体" w:eastAsia="仿宋_GB2312" w:cs="宋体"/>
      <w:kern w:val="0"/>
      <w:sz w:val="16"/>
      <w:szCs w:val="16"/>
    </w:rPr>
  </w:style>
  <w:style w:type="character" w:customStyle="1" w:styleId="1741">
    <w:name w:val="引用 Char3"/>
    <w:basedOn w:val="134"/>
    <w:uiPriority w:val="29"/>
    <w:rPr>
      <w:rFonts w:ascii="Times New Roman" w:hAnsi="Times New Roman"/>
      <w:i/>
      <w:iCs/>
      <w:color w:val="000000" w:themeColor="text1"/>
      <w:sz w:val="24"/>
      <w:szCs w:val="21"/>
      <w14:textFill>
        <w14:solidFill>
          <w14:schemeClr w14:val="tx1"/>
        </w14:solidFill>
      </w14:textFill>
    </w:rPr>
  </w:style>
  <w:style w:type="paragraph" w:customStyle="1" w:styleId="1742">
    <w:name w:val="助剂三级标题"/>
    <w:basedOn w:val="5"/>
    <w:semiHidden/>
    <w:qFormat/>
    <w:uiPriority w:val="99"/>
    <w:pPr>
      <w:widowControl w:val="0"/>
      <w:adjustRightInd w:val="0"/>
      <w:snapToGrid w:val="0"/>
      <w:spacing w:before="0" w:after="0" w:line="360" w:lineRule="auto"/>
    </w:pPr>
    <w:rPr>
      <w:rFonts w:eastAsia="宋体"/>
      <w:sz w:val="24"/>
      <w:szCs w:val="24"/>
    </w:rPr>
  </w:style>
  <w:style w:type="paragraph" w:customStyle="1" w:styleId="1743">
    <w:name w:val="xl32"/>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ascii="宋体" w:hAnsi="宋体" w:eastAsia="宋体"/>
      <w:kern w:val="0"/>
      <w:szCs w:val="24"/>
    </w:rPr>
  </w:style>
  <w:style w:type="paragraph" w:customStyle="1" w:styleId="1744">
    <w:name w:val="CM12"/>
    <w:basedOn w:val="251"/>
    <w:next w:val="251"/>
    <w:qFormat/>
    <w:uiPriority w:val="99"/>
    <w:pPr>
      <w:spacing w:after="125"/>
    </w:pPr>
    <w:rPr>
      <w:rFonts w:ascii="Sim Sun" w:hAnsi="Calibri" w:eastAsia="Sim Sun" w:cs="Times New Roman"/>
      <w:color w:val="auto"/>
      <w:kern w:val="2"/>
    </w:rPr>
  </w:style>
  <w:style w:type="paragraph" w:customStyle="1" w:styleId="1745">
    <w:name w:val="Char Char Char Char Char Char Char Char2 Char Char Char Char Char Char Char"/>
    <w:basedOn w:val="1"/>
    <w:next w:val="1"/>
    <w:qFormat/>
    <w:uiPriority w:val="99"/>
    <w:pPr>
      <w:widowControl w:val="0"/>
      <w:spacing w:line="336" w:lineRule="auto"/>
    </w:pPr>
    <w:rPr>
      <w:rFonts w:ascii="宋体" w:hAnsi="宋体" w:eastAsia="汉鼎简书宋"/>
      <w:spacing w:val="4"/>
      <w:szCs w:val="20"/>
    </w:rPr>
  </w:style>
  <w:style w:type="paragraph" w:customStyle="1" w:styleId="1746">
    <w:name w:val="xl63"/>
    <w:basedOn w:val="1"/>
    <w:qFormat/>
    <w:uiPriority w:val="0"/>
    <w:pPr>
      <w:pBdr>
        <w:top w:val="single" w:color="auto" w:sz="8" w:space="0"/>
      </w:pBdr>
      <w:spacing w:before="100" w:after="100" w:line="240" w:lineRule="auto"/>
      <w:jc w:val="center"/>
      <w:textAlignment w:val="top"/>
    </w:pPr>
    <w:rPr>
      <w:rFonts w:eastAsia="宋体"/>
      <w:kern w:val="0"/>
      <w:szCs w:val="24"/>
    </w:rPr>
  </w:style>
  <w:style w:type="paragraph" w:customStyle="1" w:styleId="1747">
    <w:name w:val="报告"/>
    <w:basedOn w:val="1"/>
    <w:qFormat/>
    <w:uiPriority w:val="99"/>
    <w:pPr>
      <w:widowControl w:val="0"/>
      <w:overflowPunct w:val="0"/>
      <w:autoSpaceDE w:val="0"/>
      <w:autoSpaceDN w:val="0"/>
      <w:adjustRightInd w:val="0"/>
      <w:spacing w:beforeLines="20" w:afterLines="20" w:line="440" w:lineRule="atLeast"/>
      <w:ind w:right="-100" w:rightChars="-100" w:firstLine="200" w:firstLineChars="200"/>
    </w:pPr>
    <w:rPr>
      <w:rFonts w:eastAsia="宋体"/>
      <w:kern w:val="0"/>
      <w:szCs w:val="20"/>
    </w:rPr>
  </w:style>
  <w:style w:type="paragraph" w:customStyle="1" w:styleId="1748">
    <w:name w:val="奉贤表头"/>
    <w:basedOn w:val="1"/>
    <w:qFormat/>
    <w:uiPriority w:val="99"/>
    <w:pPr>
      <w:widowControl w:val="0"/>
      <w:tabs>
        <w:tab w:val="left" w:pos="5460"/>
        <w:tab w:val="center" w:pos="7199"/>
      </w:tabs>
      <w:autoSpaceDE w:val="0"/>
      <w:autoSpaceDN w:val="0"/>
      <w:spacing w:line="240" w:lineRule="auto"/>
      <w:jc w:val="center"/>
    </w:pPr>
    <w:rPr>
      <w:rFonts w:ascii="宋体" w:hAnsi="宋体" w:eastAsia="宋体"/>
      <w:b/>
      <w:kern w:val="0"/>
    </w:rPr>
  </w:style>
  <w:style w:type="paragraph" w:customStyle="1" w:styleId="1749">
    <w:name w:val="xl168"/>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1750">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1751">
    <w:name w:val="Main1.0"/>
    <w:basedOn w:val="1"/>
    <w:qFormat/>
    <w:uiPriority w:val="99"/>
    <w:pPr>
      <w:tabs>
        <w:tab w:val="left" w:pos="540"/>
      </w:tabs>
      <w:spacing w:after="120" w:line="360" w:lineRule="exact"/>
      <w:ind w:left="567"/>
      <w:jc w:val="left"/>
    </w:pPr>
    <w:rPr>
      <w:rFonts w:ascii="Arial" w:hAnsi="Arial" w:eastAsia="宋体"/>
      <w:bCs/>
      <w:color w:val="000000"/>
      <w:kern w:val="0"/>
      <w:sz w:val="22"/>
      <w:szCs w:val="20"/>
      <w:lang w:val="en-GB"/>
    </w:rPr>
  </w:style>
  <w:style w:type="paragraph" w:customStyle="1" w:styleId="1752">
    <w:name w:val="Char4 Char Char Char1"/>
    <w:basedOn w:val="1"/>
    <w:semiHidden/>
    <w:qFormat/>
    <w:uiPriority w:val="99"/>
    <w:pPr>
      <w:widowControl w:val="0"/>
      <w:adjustRightInd w:val="0"/>
      <w:snapToGrid w:val="0"/>
      <w:ind w:firstLine="200" w:firstLineChars="200"/>
    </w:pPr>
    <w:rPr>
      <w:rFonts w:ascii="宋体" w:hAnsi="宋体" w:eastAsia="宋体" w:cs="宋体"/>
      <w:szCs w:val="26"/>
    </w:rPr>
  </w:style>
  <w:style w:type="paragraph" w:customStyle="1" w:styleId="1753">
    <w:name w:val="样式 四号 行距: 固定值 28 磅"/>
    <w:basedOn w:val="1"/>
    <w:qFormat/>
    <w:uiPriority w:val="99"/>
    <w:pPr>
      <w:widowControl w:val="0"/>
      <w:spacing w:line="400" w:lineRule="exact"/>
      <w:jc w:val="center"/>
    </w:pPr>
    <w:rPr>
      <w:rFonts w:eastAsia="宋体"/>
      <w:color w:val="000000"/>
      <w:sz w:val="21"/>
      <w:szCs w:val="24"/>
    </w:rPr>
  </w:style>
  <w:style w:type="paragraph" w:customStyle="1" w:styleId="1754">
    <w:name w:val="Char Char Char Char Char Char Char Char Char Char Char1 Char Char Char Char Char Char Char2"/>
    <w:basedOn w:val="1"/>
    <w:qFormat/>
    <w:uiPriority w:val="99"/>
    <w:pPr>
      <w:widowControl w:val="0"/>
      <w:spacing w:line="240" w:lineRule="auto"/>
    </w:pPr>
    <w:rPr>
      <w:rFonts w:eastAsia="宋体"/>
      <w:sz w:val="21"/>
      <w:szCs w:val="24"/>
    </w:rPr>
  </w:style>
  <w:style w:type="paragraph" w:customStyle="1" w:styleId="1755">
    <w:name w:val="CM200"/>
    <w:basedOn w:val="1"/>
    <w:next w:val="1"/>
    <w:qFormat/>
    <w:uiPriority w:val="99"/>
    <w:pPr>
      <w:widowControl w:val="0"/>
      <w:autoSpaceDE w:val="0"/>
      <w:autoSpaceDN w:val="0"/>
      <w:spacing w:after="900" w:line="240" w:lineRule="auto"/>
      <w:jc w:val="left"/>
    </w:pPr>
    <w:rPr>
      <w:rFonts w:ascii="黑体" w:eastAsia="黑体"/>
      <w:kern w:val="0"/>
    </w:rPr>
  </w:style>
  <w:style w:type="paragraph" w:customStyle="1" w:styleId="1756">
    <w:name w:val="xl185"/>
    <w:basedOn w:val="1"/>
    <w:qFormat/>
    <w:uiPriority w:val="99"/>
    <w:pPr>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jc w:val="center"/>
    </w:pPr>
    <w:rPr>
      <w:rFonts w:ascii="宋体" w:hAnsi="宋体" w:eastAsia="宋体" w:cs="宋体"/>
      <w:kern w:val="0"/>
    </w:rPr>
  </w:style>
  <w:style w:type="paragraph" w:customStyle="1" w:styleId="1757">
    <w:name w:val="CM8"/>
    <w:basedOn w:val="251"/>
    <w:next w:val="251"/>
    <w:qFormat/>
    <w:uiPriority w:val="99"/>
    <w:pPr>
      <w:spacing w:line="438" w:lineRule="atLeast"/>
    </w:pPr>
    <w:rPr>
      <w:rFonts w:ascii="Times New Roman" w:hAnsi="Calibri" w:cs="Times New Roman"/>
      <w:color w:val="auto"/>
      <w:kern w:val="2"/>
    </w:rPr>
  </w:style>
  <w:style w:type="paragraph" w:customStyle="1" w:styleId="1758">
    <w:name w:val="f14"/>
    <w:basedOn w:val="1"/>
    <w:qFormat/>
    <w:uiPriority w:val="99"/>
    <w:pPr>
      <w:wordWrap w:val="0"/>
      <w:spacing w:before="100" w:beforeAutospacing="1" w:after="100" w:afterAutospacing="1" w:line="240" w:lineRule="auto"/>
      <w:jc w:val="left"/>
    </w:pPr>
    <w:rPr>
      <w:rFonts w:ascii="宋体" w:hAnsi="宋体" w:eastAsia="宋体" w:cs="宋体"/>
      <w:color w:val="333333"/>
      <w:kern w:val="0"/>
      <w:sz w:val="21"/>
      <w:szCs w:val="21"/>
    </w:rPr>
  </w:style>
  <w:style w:type="paragraph" w:customStyle="1" w:styleId="1759">
    <w:name w:val="Char Char Char Char Char Char Char1"/>
    <w:basedOn w:val="1"/>
    <w:qFormat/>
    <w:uiPriority w:val="99"/>
    <w:pPr>
      <w:widowControl w:val="0"/>
    </w:pPr>
    <w:rPr>
      <w:rFonts w:eastAsia="仿宋_GB2312"/>
      <w:sz w:val="28"/>
      <w:szCs w:val="20"/>
    </w:rPr>
  </w:style>
  <w:style w:type="paragraph" w:customStyle="1" w:styleId="1760">
    <w:name w:val="Char Char Char Char Char Char Char Char Char Char Char Char Char Char Char Char Char Char Char Char Char Char Char"/>
    <w:basedOn w:val="1"/>
    <w:qFormat/>
    <w:uiPriority w:val="99"/>
    <w:pPr>
      <w:widowControl w:val="0"/>
      <w:spacing w:line="240" w:lineRule="auto"/>
    </w:pPr>
    <w:rPr>
      <w:rFonts w:eastAsia="宋体"/>
      <w:sz w:val="21"/>
      <w:szCs w:val="24"/>
    </w:rPr>
  </w:style>
  <w:style w:type="paragraph" w:customStyle="1" w:styleId="1761">
    <w:name w:val="xl109"/>
    <w:basedOn w:val="1"/>
    <w:qFormat/>
    <w:uiPriority w:val="0"/>
    <w:pPr>
      <w:pBdr>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1762">
    <w:name w:val="助剂正文"/>
    <w:basedOn w:val="1"/>
    <w:semiHidden/>
    <w:qFormat/>
    <w:uiPriority w:val="99"/>
    <w:pPr>
      <w:widowControl w:val="0"/>
    </w:pPr>
    <w:rPr>
      <w:rFonts w:eastAsia="宋体"/>
    </w:rPr>
  </w:style>
  <w:style w:type="paragraph" w:customStyle="1" w:styleId="1763">
    <w:name w:val="标题D"/>
    <w:basedOn w:val="1"/>
    <w:qFormat/>
    <w:uiPriority w:val="0"/>
    <w:pPr>
      <w:widowControl w:val="0"/>
      <w:spacing w:line="240" w:lineRule="auto"/>
    </w:pPr>
    <w:rPr>
      <w:rFonts w:eastAsia="宋体"/>
      <w:sz w:val="21"/>
      <w:szCs w:val="24"/>
    </w:rPr>
  </w:style>
  <w:style w:type="paragraph" w:customStyle="1" w:styleId="1764">
    <w:name w:val="基准页眉样式"/>
    <w:basedOn w:val="35"/>
    <w:qFormat/>
    <w:uiPriority w:val="99"/>
    <w:pPr>
      <w:widowControl w:val="0"/>
      <w:snapToGrid w:val="0"/>
      <w:spacing w:line="300" w:lineRule="exact"/>
    </w:pPr>
    <w:rPr>
      <w:rFonts w:ascii="宋体" w:hAnsi="Arial"/>
      <w:szCs w:val="20"/>
    </w:rPr>
  </w:style>
  <w:style w:type="paragraph" w:customStyle="1" w:styleId="1765">
    <w:name w:val="样式1 + 四号 居中"/>
    <w:basedOn w:val="1"/>
    <w:qFormat/>
    <w:uiPriority w:val="99"/>
    <w:pPr>
      <w:widowControl w:val="0"/>
      <w:spacing w:line="336" w:lineRule="auto"/>
      <w:jc w:val="center"/>
    </w:pPr>
    <w:rPr>
      <w:rFonts w:eastAsia="宋体"/>
      <w:sz w:val="28"/>
      <w:szCs w:val="20"/>
    </w:rPr>
  </w:style>
  <w:style w:type="paragraph" w:customStyle="1" w:styleId="1766">
    <w:name w:val="修订2"/>
    <w:semiHidden/>
    <w:qFormat/>
    <w:uiPriority w:val="0"/>
    <w:rPr>
      <w:rFonts w:ascii="Arial" w:hAnsi="Arial" w:eastAsia="仿宋_GB2312" w:cs="Times New Roman"/>
      <w:kern w:val="2"/>
      <w:sz w:val="24"/>
      <w:szCs w:val="24"/>
      <w:lang w:val="en-US" w:eastAsia="zh-CN" w:bidi="ar-SA"/>
    </w:rPr>
  </w:style>
  <w:style w:type="paragraph" w:customStyle="1" w:styleId="1767">
    <w:name w:val="CM3"/>
    <w:basedOn w:val="1"/>
    <w:next w:val="1"/>
    <w:qFormat/>
    <w:uiPriority w:val="99"/>
    <w:pPr>
      <w:widowControl w:val="0"/>
      <w:autoSpaceDE w:val="0"/>
      <w:autoSpaceDN w:val="0"/>
      <w:spacing w:line="408" w:lineRule="atLeast"/>
      <w:ind w:firstLine="454"/>
      <w:jc w:val="left"/>
    </w:pPr>
    <w:rPr>
      <w:rFonts w:ascii="黑体" w:eastAsia="黑体"/>
      <w:kern w:val="0"/>
    </w:rPr>
  </w:style>
  <w:style w:type="paragraph" w:customStyle="1" w:styleId="1768">
    <w:name w:val="正式"/>
    <w:basedOn w:val="1"/>
    <w:qFormat/>
    <w:uiPriority w:val="99"/>
    <w:pPr>
      <w:widowControl w:val="0"/>
      <w:spacing w:beforeLines="50" w:afterLines="50" w:line="280" w:lineRule="exact"/>
      <w:jc w:val="left"/>
    </w:pPr>
    <w:rPr>
      <w:rFonts w:hAnsi="宋体" w:eastAsia="宋体"/>
      <w:kern w:val="0"/>
      <w:szCs w:val="21"/>
    </w:rPr>
  </w:style>
  <w:style w:type="paragraph" w:customStyle="1" w:styleId="1769">
    <w:name w:val="题目二号"/>
    <w:basedOn w:val="1770"/>
    <w:qFormat/>
    <w:uiPriority w:val="99"/>
    <w:rPr>
      <w:sz w:val="36"/>
    </w:rPr>
  </w:style>
  <w:style w:type="paragraph" w:customStyle="1" w:styleId="1770">
    <w:name w:val="题目"/>
    <w:basedOn w:val="1"/>
    <w:qFormat/>
    <w:uiPriority w:val="99"/>
    <w:pPr>
      <w:widowControl w:val="0"/>
      <w:spacing w:line="240" w:lineRule="auto"/>
      <w:jc w:val="center"/>
    </w:pPr>
    <w:rPr>
      <w:rFonts w:eastAsia="隶书"/>
      <w:b/>
      <w:bCs/>
      <w:spacing w:val="-20"/>
      <w:w w:val="90"/>
      <w:sz w:val="72"/>
      <w:szCs w:val="20"/>
    </w:rPr>
  </w:style>
  <w:style w:type="paragraph" w:customStyle="1" w:styleId="1771">
    <w:name w:val="降低"/>
    <w:basedOn w:val="1"/>
    <w:qFormat/>
    <w:uiPriority w:val="99"/>
    <w:pPr>
      <w:widowControl w:val="0"/>
      <w:jc w:val="left"/>
    </w:pPr>
    <w:rPr>
      <w:rFonts w:eastAsia="宋体"/>
      <w:spacing w:val="20"/>
    </w:rPr>
  </w:style>
  <w:style w:type="paragraph" w:customStyle="1" w:styleId="1772">
    <w:name w:val="样式10"/>
    <w:basedOn w:val="1773"/>
    <w:qFormat/>
    <w:uiPriority w:val="99"/>
    <w:pPr>
      <w:adjustRightInd w:val="0"/>
      <w:spacing w:line="240" w:lineRule="auto"/>
      <w:textAlignment w:val="baseline"/>
    </w:pPr>
    <w:rPr>
      <w:rFonts w:ascii="仿宋_GB2312" w:hAnsi="宋体" w:eastAsia="仿宋_GB2312"/>
      <w:color w:val="FF0000"/>
      <w:szCs w:val="21"/>
    </w:rPr>
  </w:style>
  <w:style w:type="paragraph" w:customStyle="1" w:styleId="1773">
    <w:name w:val="图表文字"/>
    <w:basedOn w:val="1"/>
    <w:qFormat/>
    <w:uiPriority w:val="99"/>
    <w:pPr>
      <w:widowControl w:val="0"/>
      <w:spacing w:line="300" w:lineRule="exact"/>
      <w:jc w:val="center"/>
    </w:pPr>
    <w:rPr>
      <w:rFonts w:eastAsia="宋体"/>
      <w:bCs/>
      <w:sz w:val="21"/>
      <w:szCs w:val="20"/>
    </w:rPr>
  </w:style>
  <w:style w:type="paragraph" w:customStyle="1" w:styleId="1774">
    <w:name w:val="正文格式正确"/>
    <w:basedOn w:val="1"/>
    <w:qFormat/>
    <w:uiPriority w:val="99"/>
    <w:pPr>
      <w:widowControl w:val="0"/>
      <w:ind w:firstLine="200" w:firstLineChars="200"/>
    </w:pPr>
    <w:rPr>
      <w:rFonts w:eastAsia="宋体"/>
      <w:snapToGrid w:val="0"/>
      <w:szCs w:val="24"/>
    </w:rPr>
  </w:style>
  <w:style w:type="paragraph" w:customStyle="1" w:styleId="1775">
    <w:name w:val="CM37"/>
    <w:basedOn w:val="251"/>
    <w:next w:val="251"/>
    <w:qFormat/>
    <w:uiPriority w:val="99"/>
    <w:pPr>
      <w:spacing w:line="438" w:lineRule="atLeast"/>
    </w:pPr>
    <w:rPr>
      <w:rFonts w:ascii="Times New Roman" w:hAnsi="Calibri" w:cs="Times New Roman"/>
      <w:color w:val="auto"/>
      <w:kern w:val="2"/>
    </w:rPr>
  </w:style>
  <w:style w:type="paragraph" w:customStyle="1" w:styleId="1776">
    <w:name w:val="xl60"/>
    <w:basedOn w:val="1"/>
    <w:qFormat/>
    <w:uiPriority w:val="0"/>
    <w:pPr>
      <w:pBdr>
        <w:left w:val="single" w:color="auto" w:sz="8" w:space="0"/>
        <w:right w:val="single" w:color="auto" w:sz="4" w:space="0"/>
      </w:pBdr>
      <w:spacing w:before="100" w:after="100" w:line="240" w:lineRule="auto"/>
      <w:jc w:val="center"/>
      <w:textAlignment w:val="top"/>
    </w:pPr>
    <w:rPr>
      <w:rFonts w:eastAsia="宋体"/>
      <w:kern w:val="0"/>
      <w:szCs w:val="24"/>
    </w:rPr>
  </w:style>
  <w:style w:type="paragraph" w:customStyle="1" w:styleId="1777">
    <w:name w:val="Char4 Char Char Char"/>
    <w:basedOn w:val="1"/>
    <w:semiHidden/>
    <w:qFormat/>
    <w:uiPriority w:val="99"/>
    <w:pPr>
      <w:widowControl w:val="0"/>
      <w:adjustRightInd w:val="0"/>
      <w:snapToGrid w:val="0"/>
      <w:ind w:firstLine="200" w:firstLineChars="200"/>
    </w:pPr>
    <w:rPr>
      <w:rFonts w:ascii="宋体" w:hAnsi="宋体" w:eastAsia="宋体" w:cs="宋体"/>
      <w:szCs w:val="26"/>
    </w:rPr>
  </w:style>
  <w:style w:type="paragraph" w:customStyle="1" w:styleId="1778">
    <w:name w:val="列出段落21"/>
    <w:basedOn w:val="1"/>
    <w:qFormat/>
    <w:uiPriority w:val="99"/>
    <w:pPr>
      <w:widowControl w:val="0"/>
      <w:ind w:firstLine="420"/>
    </w:pPr>
    <w:rPr>
      <w:rFonts w:eastAsia="宋体"/>
      <w:kern w:val="0"/>
      <w:szCs w:val="20"/>
    </w:rPr>
  </w:style>
  <w:style w:type="paragraph" w:customStyle="1" w:styleId="1779">
    <w:name w:val="xl146"/>
    <w:basedOn w:val="1"/>
    <w:qFormat/>
    <w:uiPriority w:val="99"/>
    <w:pPr>
      <w:pBdr>
        <w:top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Cs w:val="24"/>
    </w:rPr>
  </w:style>
  <w:style w:type="paragraph" w:customStyle="1" w:styleId="1780">
    <w:name w:val="文档结构图1"/>
    <w:basedOn w:val="1"/>
    <w:qFormat/>
    <w:uiPriority w:val="99"/>
    <w:pPr>
      <w:widowControl w:val="0"/>
      <w:shd w:val="clear" w:color="auto" w:fill="000080"/>
      <w:autoSpaceDE w:val="0"/>
      <w:autoSpaceDN w:val="0"/>
      <w:adjustRightInd w:val="0"/>
      <w:spacing w:line="312" w:lineRule="atLeast"/>
      <w:textAlignment w:val="baseline"/>
    </w:pPr>
    <w:rPr>
      <w:rFonts w:eastAsia="宋体"/>
      <w:kern w:val="21"/>
      <w:sz w:val="21"/>
      <w:szCs w:val="20"/>
    </w:rPr>
  </w:style>
  <w:style w:type="paragraph" w:customStyle="1" w:styleId="1781">
    <w:name w:val="样式 样式 目录 2 + 左侧:  2 字符 + 左侧:  1 字符"/>
    <w:basedOn w:val="1"/>
    <w:qFormat/>
    <w:uiPriority w:val="99"/>
    <w:pPr>
      <w:widowControl w:val="0"/>
      <w:spacing w:line="240" w:lineRule="auto"/>
      <w:ind w:left="100" w:leftChars="100" w:right="100" w:rightChars="100"/>
    </w:pPr>
    <w:rPr>
      <w:rFonts w:eastAsia="宋体" w:cs="宋体"/>
      <w:color w:val="000000"/>
      <w:sz w:val="21"/>
      <w:szCs w:val="20"/>
    </w:rPr>
  </w:style>
  <w:style w:type="paragraph" w:customStyle="1" w:styleId="1782">
    <w:name w:val="报告书表格"/>
    <w:basedOn w:val="1"/>
    <w:qFormat/>
    <w:uiPriority w:val="99"/>
    <w:pPr>
      <w:widowControl w:val="0"/>
      <w:adjustRightInd w:val="0"/>
      <w:spacing w:before="60" w:after="60" w:line="240" w:lineRule="atLeast"/>
      <w:jc w:val="center"/>
      <w:textAlignment w:val="baseline"/>
    </w:pPr>
    <w:rPr>
      <w:rFonts w:eastAsia="宋体"/>
      <w:kern w:val="0"/>
      <w:sz w:val="21"/>
      <w:szCs w:val="20"/>
    </w:rPr>
  </w:style>
  <w:style w:type="paragraph" w:customStyle="1" w:styleId="1783">
    <w:name w:val="样式 标题3 + Times New Roman 黑色"/>
    <w:basedOn w:val="1"/>
    <w:qFormat/>
    <w:uiPriority w:val="99"/>
    <w:pPr>
      <w:keepNext/>
      <w:keepLines/>
      <w:spacing w:before="80"/>
      <w:jc w:val="left"/>
      <w:outlineLvl w:val="2"/>
    </w:pPr>
    <w:rPr>
      <w:rFonts w:eastAsia="黑体"/>
      <w:color w:val="000000"/>
      <w:szCs w:val="20"/>
      <w:lang w:val="zh-CN"/>
    </w:rPr>
  </w:style>
  <w:style w:type="paragraph" w:customStyle="1" w:styleId="1784">
    <w:name w:val="报告表"/>
    <w:basedOn w:val="1"/>
    <w:qFormat/>
    <w:uiPriority w:val="99"/>
    <w:pPr>
      <w:widowControl w:val="0"/>
      <w:spacing w:line="240" w:lineRule="auto"/>
      <w:jc w:val="center"/>
    </w:pPr>
    <w:rPr>
      <w:rFonts w:eastAsia="黑体"/>
      <w:b/>
      <w:sz w:val="72"/>
      <w:szCs w:val="20"/>
    </w:rPr>
  </w:style>
  <w:style w:type="paragraph" w:customStyle="1" w:styleId="1785">
    <w:name w:val="Textkörper normal Char Char Char"/>
    <w:basedOn w:val="1"/>
    <w:qFormat/>
    <w:uiPriority w:val="99"/>
    <w:pPr>
      <w:spacing w:before="60" w:after="60"/>
      <w:ind w:left="539"/>
      <w:jc w:val="left"/>
    </w:pPr>
    <w:rPr>
      <w:rFonts w:ascii="Arial" w:hAnsi="Arial" w:eastAsia="宋体" w:cs="Arial"/>
      <w:snapToGrid w:val="0"/>
      <w:kern w:val="0"/>
      <w:szCs w:val="24"/>
      <w:lang w:val="de-DE" w:eastAsia="de-DE"/>
    </w:rPr>
  </w:style>
  <w:style w:type="paragraph" w:customStyle="1" w:styleId="1786">
    <w:name w:val="2 Char Char Char"/>
    <w:basedOn w:val="1"/>
    <w:qFormat/>
    <w:uiPriority w:val="99"/>
    <w:pPr>
      <w:widowControl w:val="0"/>
      <w:spacing w:line="240" w:lineRule="auto"/>
    </w:pPr>
    <w:rPr>
      <w:rFonts w:eastAsia="宋体"/>
      <w:sz w:val="21"/>
      <w:szCs w:val="24"/>
    </w:rPr>
  </w:style>
  <w:style w:type="paragraph" w:customStyle="1" w:styleId="1787">
    <w:name w:val="xl64"/>
    <w:basedOn w:val="1"/>
    <w:qFormat/>
    <w:uiPriority w:val="0"/>
    <w:pPr>
      <w:pBdr>
        <w:top w:val="single" w:color="auto" w:sz="8" w:space="0"/>
        <w:right w:val="single" w:color="auto" w:sz="4" w:space="0"/>
      </w:pBdr>
      <w:spacing w:before="100" w:after="100" w:line="240" w:lineRule="auto"/>
      <w:jc w:val="center"/>
      <w:textAlignment w:val="top"/>
    </w:pPr>
    <w:rPr>
      <w:rFonts w:eastAsia="宋体"/>
      <w:kern w:val="0"/>
      <w:szCs w:val="24"/>
    </w:rPr>
  </w:style>
  <w:style w:type="paragraph" w:customStyle="1" w:styleId="1788">
    <w:name w:val="章节号"/>
    <w:basedOn w:val="1"/>
    <w:next w:val="1789"/>
    <w:qFormat/>
    <w:uiPriority w:val="99"/>
    <w:pPr>
      <w:widowControl w:val="0"/>
      <w:spacing w:before="770" w:after="440" w:line="240" w:lineRule="auto"/>
      <w:ind w:firstLine="482"/>
    </w:pPr>
    <w:rPr>
      <w:rFonts w:eastAsia="宋体"/>
      <w:spacing w:val="-30"/>
      <w:kern w:val="0"/>
      <w:sz w:val="60"/>
      <w:szCs w:val="20"/>
    </w:rPr>
  </w:style>
  <w:style w:type="paragraph" w:customStyle="1" w:styleId="1789">
    <w:name w:val="章节题目"/>
    <w:basedOn w:val="1"/>
    <w:next w:val="1"/>
    <w:qFormat/>
    <w:uiPriority w:val="99"/>
    <w:pPr>
      <w:keepNext/>
      <w:keepLines/>
      <w:widowControl w:val="0"/>
      <w:spacing w:before="720" w:after="400" w:line="540" w:lineRule="atLeast"/>
      <w:ind w:right="2160" w:firstLine="482"/>
    </w:pPr>
    <w:rPr>
      <w:rFonts w:eastAsia="宋体"/>
      <w:spacing w:val="-40"/>
      <w:kern w:val="28"/>
      <w:sz w:val="60"/>
      <w:szCs w:val="20"/>
    </w:rPr>
  </w:style>
  <w:style w:type="paragraph" w:customStyle="1" w:styleId="1790">
    <w:name w:val="xl130"/>
    <w:basedOn w:val="1"/>
    <w:qFormat/>
    <w:uiPriority w:val="99"/>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791">
    <w:name w:val="标题正4"/>
    <w:basedOn w:val="1"/>
    <w:qFormat/>
    <w:uiPriority w:val="99"/>
    <w:pPr>
      <w:widowControl w:val="0"/>
      <w:spacing w:line="240" w:lineRule="auto"/>
      <w:jc w:val="center"/>
    </w:pPr>
    <w:rPr>
      <w:rFonts w:ascii="仿宋_GB2312" w:eastAsia="仿宋_GB2312"/>
      <w:color w:val="000000"/>
      <w:sz w:val="21"/>
    </w:rPr>
  </w:style>
  <w:style w:type="paragraph" w:customStyle="1" w:styleId="1792">
    <w:name w:val="1 Char Char1 Char Char Char"/>
    <w:basedOn w:val="1"/>
    <w:qFormat/>
    <w:uiPriority w:val="99"/>
    <w:pPr>
      <w:widowControl w:val="0"/>
      <w:spacing w:line="240" w:lineRule="auto"/>
    </w:pPr>
    <w:rPr>
      <w:rFonts w:eastAsia="宋体"/>
      <w:sz w:val="21"/>
      <w:szCs w:val="21"/>
    </w:rPr>
  </w:style>
  <w:style w:type="paragraph" w:customStyle="1" w:styleId="1793">
    <w:name w:val="Body Text 21"/>
    <w:basedOn w:val="1"/>
    <w:qFormat/>
    <w:uiPriority w:val="0"/>
    <w:pPr>
      <w:widowControl w:val="0"/>
      <w:autoSpaceDE w:val="0"/>
      <w:autoSpaceDN w:val="0"/>
      <w:adjustRightInd w:val="0"/>
      <w:spacing w:line="480" w:lineRule="exact"/>
      <w:ind w:firstLine="540" w:firstLineChars="200"/>
      <w:jc w:val="left"/>
      <w:textAlignment w:val="baseline"/>
    </w:pPr>
    <w:rPr>
      <w:rFonts w:ascii="宋体" w:hAnsi="Tms Rmn" w:eastAsia="仿宋_GB2312"/>
      <w:spacing w:val="4"/>
      <w:kern w:val="0"/>
      <w:szCs w:val="20"/>
    </w:rPr>
  </w:style>
  <w:style w:type="paragraph" w:customStyle="1" w:styleId="1794">
    <w:name w:val="xl23"/>
    <w:basedOn w:val="1"/>
    <w:qFormat/>
    <w:uiPriority w:val="0"/>
    <w:pPr>
      <w:pBdr>
        <w:left w:val="single" w:color="auto" w:sz="8"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1795">
    <w:name w:val="xl177"/>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line="240" w:lineRule="auto"/>
      <w:jc w:val="center"/>
    </w:pPr>
    <w:rPr>
      <w:rFonts w:ascii="宋体" w:hAnsi="宋体" w:eastAsia="宋体" w:cs="宋体"/>
      <w:kern w:val="0"/>
    </w:rPr>
  </w:style>
  <w:style w:type="paragraph" w:customStyle="1" w:styleId="1796">
    <w:name w:val="环保局规定标题 1"/>
    <w:basedOn w:val="1797"/>
    <w:semiHidden/>
    <w:qFormat/>
    <w:uiPriority w:val="0"/>
    <w:pPr>
      <w:tabs>
        <w:tab w:val="left" w:pos="900"/>
      </w:tabs>
      <w:jc w:val="both"/>
    </w:pPr>
  </w:style>
  <w:style w:type="paragraph" w:customStyle="1" w:styleId="1797">
    <w:name w:val="样式 标题 1一、1.标题 1标题 1 Char标1章节标题-*+章标题 1文章标题h11st level...2"/>
    <w:basedOn w:val="3"/>
    <w:semiHidden/>
    <w:qFormat/>
    <w:uiPriority w:val="0"/>
    <w:pPr>
      <w:keepNext w:val="0"/>
      <w:keepLines w:val="0"/>
      <w:pageBreakBefore/>
      <w:tabs>
        <w:tab w:val="left" w:pos="900"/>
      </w:tabs>
      <w:adjustRightInd w:val="0"/>
      <w:snapToGrid w:val="0"/>
      <w:spacing w:before="0" w:after="0" w:line="360" w:lineRule="auto"/>
      <w:ind w:left="900" w:hanging="360"/>
      <w:jc w:val="left"/>
      <w:textAlignment w:val="baseline"/>
    </w:pPr>
    <w:rPr>
      <w:rFonts w:eastAsia="黑体" w:cs="宋体"/>
      <w:bCs w:val="0"/>
      <w:snapToGrid w:val="0"/>
      <w:kern w:val="28"/>
      <w:sz w:val="30"/>
      <w:szCs w:val="30"/>
    </w:rPr>
  </w:style>
  <w:style w:type="paragraph" w:customStyle="1" w:styleId="1798">
    <w:name w:val="标-7"/>
    <w:basedOn w:val="1"/>
    <w:qFormat/>
    <w:uiPriority w:val="0"/>
    <w:pPr>
      <w:widowControl w:val="0"/>
      <w:tabs>
        <w:tab w:val="left" w:pos="420"/>
      </w:tabs>
      <w:spacing w:before="120" w:line="240" w:lineRule="auto"/>
      <w:ind w:left="1701" w:hanging="425"/>
    </w:pPr>
    <w:rPr>
      <w:rFonts w:eastAsia="宋体"/>
      <w:szCs w:val="20"/>
    </w:rPr>
  </w:style>
  <w:style w:type="paragraph" w:customStyle="1" w:styleId="1799">
    <w:name w:val="样式 标题 1"/>
    <w:basedOn w:val="3"/>
    <w:qFormat/>
    <w:uiPriority w:val="99"/>
    <w:pPr>
      <w:keepLines w:val="0"/>
      <w:widowControl w:val="0"/>
      <w:tabs>
        <w:tab w:val="left" w:pos="240"/>
        <w:tab w:val="left" w:pos="432"/>
      </w:tabs>
      <w:spacing w:before="0" w:beforeLines="50" w:after="0" w:line="300" w:lineRule="auto"/>
      <w:jc w:val="center"/>
    </w:pPr>
    <w:rPr>
      <w:rFonts w:ascii="黑体" w:eastAsia="黑体" w:cs="宋体"/>
      <w:kern w:val="2"/>
      <w:sz w:val="36"/>
      <w:szCs w:val="32"/>
    </w:rPr>
  </w:style>
  <w:style w:type="paragraph" w:customStyle="1" w:styleId="1800">
    <w:name w:val="样1"/>
    <w:basedOn w:val="1"/>
    <w:qFormat/>
    <w:uiPriority w:val="99"/>
    <w:pPr>
      <w:widowControl w:val="0"/>
      <w:autoSpaceDE w:val="0"/>
      <w:autoSpaceDN w:val="0"/>
      <w:ind w:right="232"/>
      <w:jc w:val="center"/>
      <w:textAlignment w:val="bottom"/>
    </w:pPr>
    <w:rPr>
      <w:rFonts w:eastAsia="宋体"/>
      <w:kern w:val="0"/>
      <w:szCs w:val="20"/>
    </w:rPr>
  </w:style>
  <w:style w:type="paragraph" w:customStyle="1" w:styleId="1801">
    <w:name w:val="ST20_2"/>
    <w:basedOn w:val="1"/>
    <w:semiHidden/>
    <w:qFormat/>
    <w:uiPriority w:val="99"/>
    <w:pPr>
      <w:widowControl w:val="0"/>
      <w:autoSpaceDE w:val="0"/>
      <w:autoSpaceDN w:val="0"/>
      <w:adjustRightInd w:val="0"/>
      <w:spacing w:line="360" w:lineRule="atLeast"/>
      <w:ind w:firstLine="576" w:firstLineChars="200"/>
      <w:jc w:val="left"/>
      <w:textAlignment w:val="baseline"/>
    </w:pPr>
    <w:rPr>
      <w:rFonts w:ascii="宋体" w:hAnsi="Tms Rmn" w:eastAsia="仿宋_GB2312"/>
      <w:spacing w:val="4"/>
      <w:kern w:val="0"/>
      <w:sz w:val="28"/>
      <w:szCs w:val="20"/>
    </w:rPr>
  </w:style>
  <w:style w:type="paragraph" w:customStyle="1" w:styleId="1802">
    <w:name w:val="表前文字"/>
    <w:basedOn w:val="1"/>
    <w:qFormat/>
    <w:uiPriority w:val="99"/>
    <w:pPr>
      <w:widowControl w:val="0"/>
      <w:spacing w:line="240" w:lineRule="auto"/>
      <w:ind w:firstLine="523"/>
    </w:pPr>
    <w:rPr>
      <w:rFonts w:eastAsia="宋体"/>
    </w:rPr>
  </w:style>
  <w:style w:type="paragraph" w:customStyle="1" w:styleId="1803">
    <w:name w:val="Char Char Char Char Char1"/>
    <w:basedOn w:val="1"/>
    <w:qFormat/>
    <w:uiPriority w:val="99"/>
    <w:pPr>
      <w:widowControl w:val="0"/>
      <w:spacing w:line="240" w:lineRule="auto"/>
    </w:pPr>
    <w:rPr>
      <w:rFonts w:eastAsia="宋体"/>
      <w:sz w:val="21"/>
      <w:szCs w:val="24"/>
    </w:rPr>
  </w:style>
  <w:style w:type="paragraph" w:customStyle="1" w:styleId="1804">
    <w:name w:val="xl161"/>
    <w:basedOn w:val="1"/>
    <w:qFormat/>
    <w:uiPriority w:val="99"/>
    <w:pPr>
      <w:pBdr>
        <w:left w:val="single" w:color="auto" w:sz="4" w:space="0"/>
        <w:bottom w:val="single" w:color="auto" w:sz="4" w:space="0"/>
        <w:right w:val="single" w:color="auto" w:sz="4" w:space="0"/>
      </w:pBdr>
      <w:shd w:val="clear" w:color="000000" w:fill="8DB4E2"/>
      <w:spacing w:before="100" w:beforeAutospacing="1" w:after="100" w:afterAutospacing="1" w:line="240" w:lineRule="auto"/>
      <w:jc w:val="center"/>
    </w:pPr>
    <w:rPr>
      <w:rFonts w:ascii="宋体" w:hAnsi="宋体" w:eastAsia="宋体" w:cs="宋体"/>
      <w:kern w:val="0"/>
    </w:rPr>
  </w:style>
  <w:style w:type="paragraph" w:customStyle="1" w:styleId="1805">
    <w:name w:val="Char Char Char Char Char Char1 Char Char Char Char Char"/>
    <w:basedOn w:val="1"/>
    <w:qFormat/>
    <w:uiPriority w:val="99"/>
    <w:pPr>
      <w:widowControl w:val="0"/>
      <w:tabs>
        <w:tab w:val="left" w:pos="360"/>
      </w:tabs>
    </w:pPr>
    <w:rPr>
      <w:rFonts w:ascii="Arial Unicode MS" w:hAnsi="Arial Unicode MS" w:eastAsia="宋体" w:cs="宋体"/>
      <w:color w:val="000000"/>
      <w:spacing w:val="-2"/>
      <w:kern w:val="10"/>
      <w:szCs w:val="20"/>
    </w:rPr>
  </w:style>
  <w:style w:type="paragraph" w:customStyle="1" w:styleId="1806">
    <w:name w:val="xl189"/>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rPr>
  </w:style>
  <w:style w:type="paragraph" w:customStyle="1" w:styleId="1807">
    <w:name w:val="样式5"/>
    <w:basedOn w:val="1"/>
    <w:qFormat/>
    <w:uiPriority w:val="0"/>
    <w:pPr>
      <w:widowControl w:val="0"/>
      <w:adjustRightInd w:val="0"/>
      <w:snapToGrid w:val="0"/>
      <w:spacing w:beforeLines="50" w:line="480" w:lineRule="exact"/>
      <w:jc w:val="center"/>
      <w:outlineLvl w:val="4"/>
    </w:pPr>
    <w:rPr>
      <w:rFonts w:eastAsia="宋体"/>
      <w:bCs/>
      <w:sz w:val="26"/>
      <w:szCs w:val="26"/>
    </w:rPr>
  </w:style>
  <w:style w:type="paragraph" w:customStyle="1" w:styleId="1808">
    <w:name w:val="简单回函地址"/>
    <w:basedOn w:val="1"/>
    <w:qFormat/>
    <w:uiPriority w:val="0"/>
    <w:pPr>
      <w:widowControl w:val="0"/>
      <w:spacing w:line="240" w:lineRule="auto"/>
    </w:pPr>
    <w:rPr>
      <w:rFonts w:eastAsia="宋体"/>
      <w:sz w:val="21"/>
      <w:szCs w:val="20"/>
    </w:rPr>
  </w:style>
  <w:style w:type="paragraph" w:customStyle="1" w:styleId="1809">
    <w:name w:val="in table"/>
    <w:basedOn w:val="1"/>
    <w:qFormat/>
    <w:uiPriority w:val="99"/>
    <w:pPr>
      <w:overflowPunct w:val="0"/>
      <w:autoSpaceDE w:val="0"/>
      <w:autoSpaceDN w:val="0"/>
      <w:spacing w:line="300" w:lineRule="auto"/>
      <w:jc w:val="center"/>
      <w:textAlignment w:val="baseline"/>
    </w:pPr>
    <w:rPr>
      <w:rFonts w:ascii="Book Antiqua" w:hAnsi="Book Antiqua" w:eastAsia="宋体" w:cs="宋体"/>
      <w:kern w:val="0"/>
      <w:sz w:val="21"/>
      <w:szCs w:val="20"/>
      <w:lang w:val="en-GB"/>
    </w:rPr>
  </w:style>
  <w:style w:type="paragraph" w:customStyle="1" w:styleId="1810">
    <w:name w:val="副标题3"/>
    <w:basedOn w:val="1"/>
    <w:qFormat/>
    <w:uiPriority w:val="0"/>
    <w:pPr>
      <w:keepLines/>
      <w:widowControl w:val="0"/>
      <w:tabs>
        <w:tab w:val="left" w:pos="672"/>
        <w:tab w:val="left" w:pos="720"/>
      </w:tabs>
      <w:adjustRightInd w:val="0"/>
      <w:snapToGrid w:val="0"/>
      <w:spacing w:line="400" w:lineRule="atLeast"/>
      <w:ind w:left="672" w:hanging="348"/>
      <w:outlineLvl w:val="3"/>
    </w:pPr>
    <w:rPr>
      <w:rFonts w:ascii="宋体" w:eastAsia="宋体"/>
      <w:snapToGrid w:val="0"/>
      <w:kern w:val="0"/>
      <w:szCs w:val="24"/>
    </w:rPr>
  </w:style>
  <w:style w:type="paragraph" w:customStyle="1" w:styleId="1811">
    <w:name w:val="样式 居中"/>
    <w:basedOn w:val="1"/>
    <w:qFormat/>
    <w:uiPriority w:val="99"/>
    <w:pPr>
      <w:widowControl w:val="0"/>
      <w:spacing w:line="240" w:lineRule="auto"/>
      <w:jc w:val="center"/>
    </w:pPr>
    <w:rPr>
      <w:rFonts w:eastAsia="宋体" w:cs="宋体"/>
      <w:sz w:val="21"/>
      <w:szCs w:val="20"/>
    </w:rPr>
  </w:style>
  <w:style w:type="paragraph" w:customStyle="1" w:styleId="1812">
    <w:name w:val="样式 标题 2 + 行距: 多倍行距 1.73 字行"/>
    <w:basedOn w:val="4"/>
    <w:qFormat/>
    <w:uiPriority w:val="99"/>
    <w:pPr>
      <w:widowControl w:val="0"/>
      <w:tabs>
        <w:tab w:val="left" w:pos="360"/>
      </w:tabs>
      <w:adjustRightInd w:val="0"/>
      <w:spacing w:before="0" w:beforeLines="50" w:after="156" w:line="560" w:lineRule="exact"/>
    </w:pPr>
    <w:rPr>
      <w:rFonts w:ascii="Times New Roman" w:hAnsi="Arial" w:eastAsia="黑体"/>
      <w:bCs w:val="0"/>
      <w:kern w:val="44"/>
      <w:szCs w:val="28"/>
    </w:rPr>
  </w:style>
  <w:style w:type="paragraph" w:customStyle="1" w:styleId="1813">
    <w:name w:val="表标题"/>
    <w:basedOn w:val="87"/>
    <w:qFormat/>
    <w:uiPriority w:val="99"/>
    <w:pPr>
      <w:widowControl w:val="0"/>
      <w:topLinePunct/>
      <w:adjustRightInd w:val="0"/>
      <w:snapToGrid w:val="0"/>
      <w:spacing w:before="60" w:beforeAutospacing="0" w:after="60"/>
      <w:ind w:firstLine="0" w:firstLineChars="0"/>
    </w:pPr>
    <w:rPr>
      <w:rFonts w:ascii="Times New Roman" w:hAnsi="Times New Roman" w:eastAsia="仿宋_GB2312" w:cs="Times New Roman"/>
      <w:b/>
      <w:bCs w:val="0"/>
      <w:color w:val="000000"/>
      <w:sz w:val="30"/>
      <w:szCs w:val="32"/>
    </w:rPr>
  </w:style>
  <w:style w:type="paragraph" w:customStyle="1" w:styleId="1814">
    <w:name w:val="a)"/>
    <w:basedOn w:val="1"/>
    <w:qFormat/>
    <w:uiPriority w:val="99"/>
    <w:pPr>
      <w:widowControl w:val="0"/>
      <w:tabs>
        <w:tab w:val="left" w:pos="425"/>
      </w:tabs>
      <w:spacing w:after="120" w:line="240" w:lineRule="auto"/>
      <w:ind w:left="425" w:hanging="425"/>
    </w:pPr>
    <w:rPr>
      <w:rFonts w:ascii="楷体_GB2312" w:eastAsia="楷体_GB2312"/>
      <w:sz w:val="27"/>
    </w:rPr>
  </w:style>
  <w:style w:type="paragraph" w:customStyle="1" w:styleId="1815">
    <w:name w:val="竹本油脂（目录）前言及附表等"/>
    <w:basedOn w:val="1816"/>
    <w:qFormat/>
    <w:uiPriority w:val="99"/>
    <w:rPr>
      <w:rFonts w:eastAsia="宋体"/>
      <w:b/>
      <w:kern w:val="24"/>
      <w:sz w:val="24"/>
      <w:szCs w:val="24"/>
    </w:rPr>
  </w:style>
  <w:style w:type="paragraph" w:customStyle="1" w:styleId="1816">
    <w:name w:val="竹本油脂前言标题"/>
    <w:qFormat/>
    <w:uiPriority w:val="99"/>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paragraph" w:customStyle="1" w:styleId="1817">
    <w:name w:val="样式 标题 3 + 四号 段前: 0 磅 段后: 0 磅 行距: 1.5 倍行距"/>
    <w:basedOn w:val="5"/>
    <w:semiHidden/>
    <w:qFormat/>
    <w:uiPriority w:val="0"/>
    <w:pPr>
      <w:widowControl w:val="0"/>
      <w:tabs>
        <w:tab w:val="left" w:pos="720"/>
        <w:tab w:val="left" w:pos="1260"/>
      </w:tabs>
      <w:spacing w:before="0" w:after="0" w:line="360" w:lineRule="auto"/>
      <w:ind w:left="720" w:hanging="720"/>
      <w:jc w:val="left"/>
    </w:pPr>
    <w:rPr>
      <w:rFonts w:eastAsia="宋体" w:cs="宋体"/>
      <w:sz w:val="24"/>
      <w:szCs w:val="20"/>
    </w:rPr>
  </w:style>
  <w:style w:type="paragraph" w:customStyle="1" w:styleId="1818">
    <w:name w:val="奇页页眉样式"/>
    <w:basedOn w:val="1"/>
    <w:qFormat/>
    <w:uiPriority w:val="0"/>
    <w:pPr>
      <w:keepLines/>
      <w:tabs>
        <w:tab w:val="center" w:pos="-18551"/>
        <w:tab w:val="right" w:pos="4320"/>
      </w:tabs>
      <w:spacing w:after="480" w:line="240" w:lineRule="atLeast"/>
      <w:jc w:val="center"/>
    </w:pPr>
    <w:rPr>
      <w:rFonts w:ascii="Garamond" w:hAnsi="Garamond" w:eastAsia="宋体"/>
      <w:smallCaps/>
      <w:spacing w:val="15"/>
      <w:kern w:val="0"/>
      <w:sz w:val="21"/>
      <w:szCs w:val="20"/>
    </w:rPr>
  </w:style>
  <w:style w:type="paragraph" w:customStyle="1" w:styleId="1819">
    <w:name w:val="Char1 Char Char Char"/>
    <w:basedOn w:val="1"/>
    <w:qFormat/>
    <w:uiPriority w:val="0"/>
    <w:pPr>
      <w:widowControl w:val="0"/>
      <w:spacing w:line="240" w:lineRule="auto"/>
    </w:pPr>
    <w:rPr>
      <w:rFonts w:ascii="Tahoma" w:hAnsi="Tahoma" w:eastAsia="宋体"/>
      <w:sz w:val="30"/>
      <w:szCs w:val="30"/>
    </w:rPr>
  </w:style>
  <w:style w:type="paragraph" w:customStyle="1" w:styleId="1820">
    <w:name w:val="环保局表头"/>
    <w:basedOn w:val="1"/>
    <w:semiHidden/>
    <w:qFormat/>
    <w:uiPriority w:val="0"/>
    <w:pPr>
      <w:widowControl w:val="0"/>
      <w:adjustRightInd w:val="0"/>
      <w:snapToGrid w:val="0"/>
      <w:ind w:firstLine="200" w:firstLineChars="200"/>
      <w:jc w:val="center"/>
    </w:pPr>
    <w:rPr>
      <w:rFonts w:eastAsia="宋体" w:cs="宋体"/>
      <w:b/>
      <w:bCs/>
      <w:snapToGrid w:val="0"/>
      <w:kern w:val="24"/>
      <w:szCs w:val="24"/>
    </w:rPr>
  </w:style>
  <w:style w:type="paragraph" w:customStyle="1" w:styleId="1821">
    <w:name w:val="标题 3 + Arial 小四 非加粗 段前: 0 磅 段后: 6 磅 行距: 固定值 22 磅"/>
    <w:basedOn w:val="5"/>
    <w:next w:val="1"/>
    <w:qFormat/>
    <w:uiPriority w:val="99"/>
    <w:pPr>
      <w:widowControl w:val="0"/>
      <w:spacing w:before="0" w:after="120" w:line="440" w:lineRule="exact"/>
    </w:pPr>
    <w:rPr>
      <w:rFonts w:ascii="Arial" w:hAnsi="Arial" w:eastAsia="宋体"/>
      <w:b w:val="0"/>
      <w:bCs w:val="0"/>
      <w:sz w:val="24"/>
      <w:szCs w:val="20"/>
    </w:rPr>
  </w:style>
  <w:style w:type="paragraph" w:customStyle="1" w:styleId="1822">
    <w:name w:val="9"/>
    <w:basedOn w:val="1"/>
    <w:next w:val="36"/>
    <w:qFormat/>
    <w:uiPriority w:val="99"/>
    <w:pPr>
      <w:widowControl w:val="0"/>
      <w:ind w:firstLine="570"/>
    </w:pPr>
    <w:rPr>
      <w:rFonts w:eastAsia="宋体"/>
      <w:color w:val="000000"/>
      <w:szCs w:val="24"/>
    </w:rPr>
  </w:style>
  <w:style w:type="paragraph" w:customStyle="1" w:styleId="1823">
    <w:name w:val="Char Char Char Char Char2 Char Char Char Char"/>
    <w:basedOn w:val="1"/>
    <w:semiHidden/>
    <w:qFormat/>
    <w:uiPriority w:val="99"/>
    <w:pPr>
      <w:widowControl w:val="0"/>
    </w:pPr>
    <w:rPr>
      <w:rFonts w:ascii="宋体" w:hAnsi="宋体" w:eastAsia="宋体" w:cs="宋体"/>
      <w:szCs w:val="26"/>
    </w:rPr>
  </w:style>
  <w:style w:type="paragraph" w:customStyle="1" w:styleId="1824">
    <w:name w:val="环保正文9"/>
    <w:basedOn w:val="1"/>
    <w:semiHidden/>
    <w:qFormat/>
    <w:uiPriority w:val="0"/>
    <w:pPr>
      <w:widowControl w:val="0"/>
      <w:adjustRightInd w:val="0"/>
      <w:snapToGrid w:val="0"/>
      <w:ind w:firstLine="424" w:firstLineChars="200"/>
    </w:pPr>
    <w:rPr>
      <w:rFonts w:hAnsi="宋体" w:eastAsia="宋体" w:cs="宋体"/>
      <w:snapToGrid w:val="0"/>
      <w:kern w:val="24"/>
      <w:szCs w:val="24"/>
    </w:rPr>
  </w:style>
  <w:style w:type="paragraph" w:customStyle="1" w:styleId="1825">
    <w:name w:val="duanluo"/>
    <w:basedOn w:val="1"/>
    <w:qFormat/>
    <w:uiPriority w:val="99"/>
    <w:pPr>
      <w:spacing w:before="100" w:beforeAutospacing="1" w:after="100" w:afterAutospacing="1" w:line="240" w:lineRule="auto"/>
      <w:jc w:val="left"/>
    </w:pPr>
    <w:rPr>
      <w:rFonts w:ascii="Arial Unicode MS" w:hAnsi="Arial Unicode MS" w:eastAsia="宋体"/>
      <w:kern w:val="0"/>
    </w:rPr>
  </w:style>
  <w:style w:type="paragraph" w:customStyle="1" w:styleId="1826">
    <w:name w:val="a6"/>
    <w:basedOn w:val="1827"/>
    <w:qFormat/>
    <w:uiPriority w:val="99"/>
    <w:pPr>
      <w:tabs>
        <w:tab w:val="left" w:pos="4410"/>
      </w:tabs>
    </w:pPr>
  </w:style>
  <w:style w:type="paragraph" w:customStyle="1" w:styleId="1827">
    <w:name w:val="aaa"/>
    <w:basedOn w:val="1"/>
    <w:qFormat/>
    <w:uiPriority w:val="99"/>
    <w:pPr>
      <w:widowControl w:val="0"/>
      <w:tabs>
        <w:tab w:val="left" w:pos="4410"/>
      </w:tabs>
      <w:ind w:firstLine="480"/>
      <w:jc w:val="center"/>
      <w:textAlignment w:val="baseline"/>
    </w:pPr>
    <w:rPr>
      <w:rFonts w:eastAsia="宋体"/>
      <w:kern w:val="0"/>
    </w:rPr>
  </w:style>
  <w:style w:type="paragraph" w:customStyle="1" w:styleId="1828">
    <w:name w:val="Char Char Char Char Char Char3"/>
    <w:basedOn w:val="1"/>
    <w:next w:val="1"/>
    <w:qFormat/>
    <w:uiPriority w:val="99"/>
    <w:pPr>
      <w:widowControl w:val="0"/>
      <w:spacing w:line="240" w:lineRule="auto"/>
    </w:pPr>
    <w:rPr>
      <w:rFonts w:eastAsia="宋体"/>
      <w:b/>
      <w:bCs/>
    </w:rPr>
  </w:style>
  <w:style w:type="paragraph" w:customStyle="1" w:styleId="1829">
    <w:name w:val="样式 首行缩进:  2 字符 字距调整小五"/>
    <w:basedOn w:val="1"/>
    <w:semiHidden/>
    <w:qFormat/>
    <w:uiPriority w:val="99"/>
    <w:pPr>
      <w:widowControl w:val="0"/>
      <w:adjustRightInd w:val="0"/>
      <w:snapToGrid w:val="0"/>
      <w:ind w:firstLine="512" w:firstLineChars="200"/>
    </w:pPr>
    <w:rPr>
      <w:rFonts w:ascii="楷体_GB2312" w:eastAsia="楷体_GB2312"/>
      <w:snapToGrid w:val="0"/>
      <w:spacing w:val="8"/>
      <w:kern w:val="18"/>
      <w:szCs w:val="24"/>
    </w:rPr>
  </w:style>
  <w:style w:type="paragraph" w:customStyle="1" w:styleId="1830">
    <w:name w:val="正文缩进3"/>
    <w:basedOn w:val="1"/>
    <w:semiHidden/>
    <w:qFormat/>
    <w:uiPriority w:val="0"/>
    <w:pPr>
      <w:widowControl w:val="0"/>
      <w:spacing w:line="240" w:lineRule="auto"/>
      <w:ind w:firstLine="420" w:firstLineChars="200"/>
    </w:pPr>
    <w:rPr>
      <w:rFonts w:hint="eastAsia" w:eastAsia="宋体"/>
      <w:sz w:val="21"/>
      <w:szCs w:val="24"/>
    </w:rPr>
  </w:style>
  <w:style w:type="paragraph" w:customStyle="1" w:styleId="1831">
    <w:name w:val="样式 左  0.69 字符"/>
    <w:basedOn w:val="1"/>
    <w:semiHidden/>
    <w:qFormat/>
    <w:uiPriority w:val="0"/>
    <w:pPr>
      <w:widowControl w:val="0"/>
      <w:spacing w:line="240" w:lineRule="auto"/>
      <w:ind w:left="145" w:leftChars="69" w:firstLine="420" w:firstLineChars="200"/>
    </w:pPr>
    <w:rPr>
      <w:rFonts w:eastAsia="宋体" w:cs="宋体"/>
      <w:szCs w:val="24"/>
    </w:rPr>
  </w:style>
  <w:style w:type="paragraph" w:customStyle="1" w:styleId="1832">
    <w:name w:val="助剂三级标题3"/>
    <w:basedOn w:val="5"/>
    <w:qFormat/>
    <w:uiPriority w:val="99"/>
    <w:pPr>
      <w:widowControl w:val="0"/>
      <w:tabs>
        <w:tab w:val="left" w:pos="0"/>
        <w:tab w:val="left" w:pos="720"/>
      </w:tabs>
      <w:spacing w:before="0" w:after="0" w:line="360" w:lineRule="auto"/>
      <w:ind w:firstLine="200" w:firstLineChars="200"/>
    </w:pPr>
    <w:rPr>
      <w:rFonts w:eastAsia="宋体"/>
      <w:kern w:val="0"/>
      <w:sz w:val="24"/>
    </w:rPr>
  </w:style>
  <w:style w:type="paragraph" w:customStyle="1" w:styleId="1833">
    <w:name w:val="样2"/>
    <w:basedOn w:val="1"/>
    <w:next w:val="1"/>
    <w:qFormat/>
    <w:uiPriority w:val="0"/>
    <w:pPr>
      <w:widowControl w:val="0"/>
      <w:adjustRightInd w:val="0"/>
      <w:snapToGrid w:val="0"/>
      <w:spacing w:line="240" w:lineRule="auto"/>
      <w:ind w:firstLine="200" w:firstLineChars="200"/>
      <w:jc w:val="center"/>
    </w:pPr>
    <w:rPr>
      <w:rFonts w:eastAsia="宋体"/>
      <w:kern w:val="24"/>
      <w:sz w:val="21"/>
      <w:szCs w:val="24"/>
    </w:rPr>
  </w:style>
  <w:style w:type="paragraph" w:customStyle="1" w:styleId="1834">
    <w:name w:val="环保局表格"/>
    <w:basedOn w:val="1"/>
    <w:semiHidden/>
    <w:qFormat/>
    <w:uiPriority w:val="0"/>
    <w:pPr>
      <w:widowControl w:val="0"/>
      <w:adjustRightInd w:val="0"/>
      <w:snapToGrid w:val="0"/>
      <w:spacing w:line="240" w:lineRule="auto"/>
      <w:ind w:firstLine="200" w:firstLineChars="200"/>
      <w:jc w:val="center"/>
    </w:pPr>
    <w:rPr>
      <w:rFonts w:eastAsia="宋体"/>
      <w:snapToGrid w:val="0"/>
      <w:kern w:val="24"/>
      <w:sz w:val="21"/>
      <w:szCs w:val="24"/>
    </w:rPr>
  </w:style>
  <w:style w:type="paragraph" w:customStyle="1" w:styleId="1835">
    <w:name w:val="正文缩1"/>
    <w:basedOn w:val="1"/>
    <w:qFormat/>
    <w:uiPriority w:val="99"/>
    <w:pPr>
      <w:widowControl w:val="0"/>
      <w:adjustRightInd w:val="0"/>
      <w:spacing w:line="480" w:lineRule="atLeast"/>
      <w:ind w:firstLine="567"/>
      <w:textAlignment w:val="baseline"/>
    </w:pPr>
    <w:rPr>
      <w:rFonts w:ascii="宋体" w:eastAsia="宋体"/>
      <w:spacing w:val="6"/>
      <w:kern w:val="0"/>
      <w:sz w:val="28"/>
      <w:szCs w:val="20"/>
    </w:rPr>
  </w:style>
  <w:style w:type="paragraph" w:customStyle="1" w:styleId="1836">
    <w:name w:val="新正文样式"/>
    <w:basedOn w:val="1"/>
    <w:qFormat/>
    <w:uiPriority w:val="99"/>
    <w:pPr>
      <w:widowControl w:val="0"/>
      <w:tabs>
        <w:tab w:val="left" w:pos="567"/>
      </w:tabs>
      <w:ind w:firstLine="567"/>
    </w:pPr>
    <w:rPr>
      <w:rFonts w:eastAsia="宋体"/>
      <w:spacing w:val="20"/>
      <w:szCs w:val="20"/>
    </w:rPr>
  </w:style>
  <w:style w:type="paragraph" w:customStyle="1" w:styleId="1837">
    <w:name w:val="环保局文本框"/>
    <w:basedOn w:val="1"/>
    <w:semiHidden/>
    <w:qFormat/>
    <w:uiPriority w:val="0"/>
    <w:pPr>
      <w:widowControl w:val="0"/>
      <w:adjustRightInd w:val="0"/>
      <w:snapToGrid w:val="0"/>
      <w:spacing w:before="120"/>
      <w:ind w:firstLine="482" w:firstLineChars="200"/>
    </w:pPr>
    <w:rPr>
      <w:rFonts w:ascii="黑体" w:eastAsia="黑体"/>
      <w:b/>
      <w:snapToGrid w:val="0"/>
      <w:kern w:val="24"/>
      <w:szCs w:val="24"/>
    </w:rPr>
  </w:style>
  <w:style w:type="paragraph" w:customStyle="1" w:styleId="1838">
    <w:name w:val="表题1"/>
    <w:basedOn w:val="1"/>
    <w:qFormat/>
    <w:uiPriority w:val="0"/>
    <w:pPr>
      <w:widowControl w:val="0"/>
      <w:adjustRightInd w:val="0"/>
      <w:snapToGrid w:val="0"/>
      <w:ind w:firstLine="200" w:firstLineChars="200"/>
      <w:jc w:val="center"/>
    </w:pPr>
    <w:rPr>
      <w:rFonts w:eastAsia="宋体"/>
      <w:snapToGrid w:val="0"/>
      <w:kern w:val="24"/>
      <w:szCs w:val="24"/>
    </w:rPr>
  </w:style>
  <w:style w:type="paragraph" w:customStyle="1" w:styleId="1839">
    <w:name w:val="xl61"/>
    <w:basedOn w:val="1"/>
    <w:qFormat/>
    <w:uiPriority w:val="0"/>
    <w:pPr>
      <w:pBdr>
        <w:left w:val="single" w:color="auto" w:sz="8" w:space="0"/>
        <w:bottom w:val="single" w:color="auto" w:sz="8" w:space="0"/>
        <w:right w:val="single" w:color="auto" w:sz="4" w:space="0"/>
      </w:pBdr>
      <w:spacing w:before="100" w:after="100" w:line="240" w:lineRule="auto"/>
      <w:jc w:val="center"/>
      <w:textAlignment w:val="top"/>
    </w:pPr>
    <w:rPr>
      <w:rFonts w:eastAsia="宋体"/>
      <w:kern w:val="0"/>
      <w:szCs w:val="24"/>
    </w:rPr>
  </w:style>
  <w:style w:type="paragraph" w:customStyle="1" w:styleId="1840">
    <w:name w:val="样式 蓝色 段前: 2 磅 行距: 多倍行距 1.25 字行1"/>
    <w:basedOn w:val="1"/>
    <w:qFormat/>
    <w:uiPriority w:val="0"/>
    <w:pPr>
      <w:widowControl w:val="0"/>
      <w:adjustRightInd w:val="0"/>
      <w:snapToGrid w:val="0"/>
      <w:spacing w:before="40"/>
      <w:ind w:firstLine="482" w:firstLineChars="200"/>
    </w:pPr>
    <w:rPr>
      <w:rFonts w:eastAsia="宋体" w:cs="宋体"/>
      <w:color w:val="0000FF"/>
      <w:szCs w:val="24"/>
    </w:rPr>
  </w:style>
  <w:style w:type="paragraph" w:customStyle="1" w:styleId="1841">
    <w:name w:val="样式 标题 21.1标题 21.1_Heading 2标题 2 Char1节标2节标题 1.11.1标题2h..."/>
    <w:basedOn w:val="4"/>
    <w:semiHidden/>
    <w:qFormat/>
    <w:uiPriority w:val="0"/>
    <w:pPr>
      <w:widowControl w:val="0"/>
      <w:tabs>
        <w:tab w:val="left" w:pos="1380"/>
      </w:tabs>
      <w:spacing w:before="0" w:after="0" w:line="360" w:lineRule="auto"/>
      <w:ind w:left="1380" w:hanging="420"/>
      <w:jc w:val="left"/>
    </w:pPr>
    <w:rPr>
      <w:rFonts w:ascii="Times New Roman" w:hAnsi="Times New Roman" w:eastAsia="宋体" w:cs="宋体"/>
      <w:bCs w:val="0"/>
      <w:snapToGrid w:val="0"/>
      <w:color w:val="000000"/>
      <w:kern w:val="24"/>
      <w:sz w:val="24"/>
      <w:szCs w:val="24"/>
    </w:rPr>
  </w:style>
  <w:style w:type="paragraph" w:customStyle="1" w:styleId="1842">
    <w:name w:val="样式 标题 1一、1.标题 1标题 1 Char标1章节标题-*+章标题 1文章标题h11st level..."/>
    <w:basedOn w:val="3"/>
    <w:qFormat/>
    <w:uiPriority w:val="0"/>
    <w:pPr>
      <w:keepNext w:val="0"/>
      <w:keepLines w:val="0"/>
      <w:pageBreakBefore/>
      <w:tabs>
        <w:tab w:val="left" w:pos="900"/>
      </w:tabs>
      <w:adjustRightInd w:val="0"/>
      <w:snapToGrid w:val="0"/>
      <w:spacing w:before="0" w:after="0" w:line="360" w:lineRule="auto"/>
      <w:ind w:left="900" w:hanging="360"/>
      <w:jc w:val="left"/>
      <w:textAlignment w:val="baseline"/>
    </w:pPr>
    <w:rPr>
      <w:rFonts w:eastAsia="黑体"/>
      <w:b w:val="0"/>
      <w:snapToGrid w:val="0"/>
      <w:kern w:val="0"/>
      <w:sz w:val="32"/>
      <w:szCs w:val="30"/>
    </w:rPr>
  </w:style>
  <w:style w:type="paragraph" w:customStyle="1" w:styleId="1843">
    <w:name w:val="CM10"/>
    <w:basedOn w:val="251"/>
    <w:next w:val="251"/>
    <w:qFormat/>
    <w:uiPriority w:val="99"/>
    <w:pPr>
      <w:spacing w:line="313" w:lineRule="atLeast"/>
    </w:pPr>
    <w:rPr>
      <w:rFonts w:ascii="Sim Sun" w:hAnsi="Calibri" w:eastAsia="Sim Sun" w:cs="Times New Roman"/>
      <w:color w:val="auto"/>
      <w:kern w:val="2"/>
    </w:rPr>
  </w:style>
  <w:style w:type="paragraph" w:customStyle="1" w:styleId="1844">
    <w:name w:val="副标题4"/>
    <w:basedOn w:val="1810"/>
    <w:qFormat/>
    <w:uiPriority w:val="0"/>
    <w:pPr>
      <w:tabs>
        <w:tab w:val="left" w:pos="1275"/>
        <w:tab w:val="left" w:pos="1575"/>
        <w:tab w:val="left" w:pos="2100"/>
        <w:tab w:val="clear" w:pos="672"/>
      </w:tabs>
      <w:ind w:left="1275" w:hanging="705"/>
      <w:outlineLvl w:val="4"/>
    </w:pPr>
  </w:style>
  <w:style w:type="paragraph" w:customStyle="1" w:styleId="1845">
    <w:name w:val="样式 标题 1-*+章标题 11.标题 1h11st levelSection Headl1b1H1Head..."/>
    <w:basedOn w:val="3"/>
    <w:qFormat/>
    <w:uiPriority w:val="0"/>
    <w:pPr>
      <w:pageBreakBefore/>
      <w:tabs>
        <w:tab w:val="left" w:pos="360"/>
        <w:tab w:val="left" w:pos="902"/>
      </w:tabs>
      <w:snapToGrid w:val="0"/>
      <w:spacing w:before="0" w:after="0" w:line="360" w:lineRule="auto"/>
      <w:ind w:left="578" w:hanging="578"/>
      <w:jc w:val="left"/>
    </w:pPr>
    <w:rPr>
      <w:rFonts w:eastAsia="黑体"/>
      <w:bCs w:val="0"/>
      <w:sz w:val="36"/>
      <w:szCs w:val="30"/>
    </w:rPr>
  </w:style>
  <w:style w:type="paragraph" w:customStyle="1" w:styleId="1846">
    <w:name w:val="样式 居中 行距: 固定值 25 磅"/>
    <w:basedOn w:val="1"/>
    <w:qFormat/>
    <w:uiPriority w:val="99"/>
    <w:pPr>
      <w:widowControl w:val="0"/>
      <w:spacing w:line="480" w:lineRule="auto"/>
      <w:jc w:val="center"/>
    </w:pPr>
    <w:rPr>
      <w:rFonts w:eastAsia="宋体" w:cs="宋体"/>
      <w:sz w:val="21"/>
      <w:szCs w:val="20"/>
    </w:rPr>
  </w:style>
  <w:style w:type="paragraph" w:customStyle="1" w:styleId="1847">
    <w:name w:val="文字表格"/>
    <w:basedOn w:val="22"/>
    <w:qFormat/>
    <w:uiPriority w:val="99"/>
    <w:pPr>
      <w:widowControl w:val="0"/>
      <w:autoSpaceDE w:val="0"/>
      <w:autoSpaceDN w:val="0"/>
      <w:adjustRightInd w:val="0"/>
      <w:snapToGrid w:val="0"/>
      <w:spacing w:line="360" w:lineRule="atLeast"/>
      <w:ind w:firstLine="0"/>
      <w:jc w:val="center"/>
    </w:pPr>
    <w:rPr>
      <w:rFonts w:ascii="Times New Roman" w:hAnsi="Times New Roman" w:eastAsia="宋体" w:cs="宋体"/>
      <w:snapToGrid w:val="0"/>
      <w:color w:val="000000"/>
      <w:sz w:val="21"/>
      <w:szCs w:val="21"/>
      <w:lang w:val="zh-CN"/>
    </w:rPr>
  </w:style>
  <w:style w:type="paragraph" w:customStyle="1" w:styleId="1848">
    <w:name w:val="目录样式"/>
    <w:basedOn w:val="75"/>
    <w:semiHidden/>
    <w:qFormat/>
    <w:uiPriority w:val="0"/>
    <w:pPr>
      <w:widowControl w:val="0"/>
      <w:tabs>
        <w:tab w:val="left" w:pos="530"/>
        <w:tab w:val="left" w:pos="630"/>
        <w:tab w:val="right" w:leader="dot" w:pos="8302"/>
      </w:tabs>
      <w:adjustRightInd w:val="0"/>
      <w:snapToGrid w:val="0"/>
      <w:spacing w:before="38" w:after="38" w:line="240" w:lineRule="auto"/>
      <w:ind w:left="106" w:leftChars="0" w:firstLine="200" w:firstLineChars="200"/>
    </w:pPr>
    <w:rPr>
      <w:rFonts w:eastAsia="黑体"/>
      <w:kern w:val="24"/>
      <w:szCs w:val="28"/>
    </w:rPr>
  </w:style>
  <w:style w:type="paragraph" w:customStyle="1" w:styleId="1849">
    <w:name w:val="612表头"/>
    <w:basedOn w:val="1"/>
    <w:qFormat/>
    <w:uiPriority w:val="99"/>
    <w:pPr>
      <w:tabs>
        <w:tab w:val="left" w:pos="4320"/>
        <w:tab w:val="left" w:pos="4980"/>
        <w:tab w:val="center" w:pos="6980"/>
      </w:tabs>
      <w:spacing w:before="120" w:line="360" w:lineRule="exact"/>
      <w:jc w:val="center"/>
    </w:pPr>
    <w:rPr>
      <w:rFonts w:ascii="Arial" w:hAnsi="Arial" w:eastAsia="宋体" w:cs="宋体"/>
      <w:b/>
      <w:color w:val="000000"/>
      <w:kern w:val="0"/>
    </w:rPr>
  </w:style>
  <w:style w:type="paragraph" w:customStyle="1" w:styleId="1850">
    <w:name w:val="CM6"/>
    <w:basedOn w:val="1"/>
    <w:next w:val="1"/>
    <w:qFormat/>
    <w:uiPriority w:val="99"/>
    <w:pPr>
      <w:widowControl w:val="0"/>
      <w:autoSpaceDE w:val="0"/>
      <w:autoSpaceDN w:val="0"/>
      <w:spacing w:line="466" w:lineRule="atLeast"/>
      <w:jc w:val="left"/>
    </w:pPr>
    <w:rPr>
      <w:rFonts w:ascii="黑体" w:eastAsia="黑体" w:cs="黑体"/>
      <w:kern w:val="0"/>
      <w:sz w:val="20"/>
      <w:szCs w:val="20"/>
    </w:rPr>
  </w:style>
  <w:style w:type="paragraph" w:customStyle="1" w:styleId="1851">
    <w:name w:val="Char Char Char Char Char Char Char Char Char Char Char1 Char Char Char Char"/>
    <w:basedOn w:val="1"/>
    <w:qFormat/>
    <w:uiPriority w:val="99"/>
    <w:pPr>
      <w:widowControl w:val="0"/>
      <w:spacing w:line="240" w:lineRule="auto"/>
    </w:pPr>
    <w:rPr>
      <w:rFonts w:eastAsia="宋体"/>
      <w:sz w:val="21"/>
      <w:szCs w:val="24"/>
    </w:rPr>
  </w:style>
  <w:style w:type="paragraph" w:customStyle="1" w:styleId="1852">
    <w:name w:val="样¦¡1"/>
    <w:basedOn w:val="1"/>
    <w:qFormat/>
    <w:uiPriority w:val="0"/>
    <w:pPr>
      <w:widowControl w:val="0"/>
      <w:adjustRightInd w:val="0"/>
      <w:ind w:firstLine="200" w:firstLineChars="200"/>
      <w:textAlignment w:val="baseline"/>
    </w:pPr>
    <w:rPr>
      <w:rFonts w:ascii="宋体" w:hAnsi="Courier New" w:eastAsia="宋体"/>
      <w:kern w:val="0"/>
      <w:sz w:val="28"/>
      <w:szCs w:val="20"/>
    </w:rPr>
  </w:style>
  <w:style w:type="paragraph" w:customStyle="1" w:styleId="1853">
    <w:name w:val="Text"/>
    <w:basedOn w:val="1"/>
    <w:qFormat/>
    <w:uiPriority w:val="99"/>
    <w:pPr>
      <w:spacing w:line="240" w:lineRule="auto"/>
      <w:ind w:left="1296"/>
      <w:jc w:val="left"/>
    </w:pPr>
    <w:rPr>
      <w:rFonts w:eastAsia="Times New Roman"/>
      <w:kern w:val="0"/>
      <w:szCs w:val="20"/>
      <w:lang w:eastAsia="en-US"/>
    </w:rPr>
  </w:style>
  <w:style w:type="paragraph" w:customStyle="1" w:styleId="1854">
    <w:name w:val="xl59"/>
    <w:basedOn w:val="1"/>
    <w:qFormat/>
    <w:uiPriority w:val="0"/>
    <w:pPr>
      <w:pBdr>
        <w:top w:val="single" w:color="auto" w:sz="8" w:space="0"/>
        <w:left w:val="single" w:color="auto" w:sz="8" w:space="0"/>
        <w:right w:val="single" w:color="auto" w:sz="4" w:space="0"/>
      </w:pBdr>
      <w:spacing w:before="100" w:after="100" w:line="240" w:lineRule="auto"/>
      <w:jc w:val="center"/>
      <w:textAlignment w:val="top"/>
    </w:pPr>
    <w:rPr>
      <w:rFonts w:eastAsia="宋体"/>
      <w:kern w:val="0"/>
      <w:szCs w:val="24"/>
    </w:rPr>
  </w:style>
  <w:style w:type="paragraph" w:customStyle="1" w:styleId="1855">
    <w:name w:val="缩格正文"/>
    <w:basedOn w:val="1"/>
    <w:qFormat/>
    <w:uiPriority w:val="99"/>
    <w:pPr>
      <w:widowControl w:val="0"/>
      <w:spacing w:before="120" w:line="240" w:lineRule="auto"/>
      <w:ind w:firstLine="600"/>
    </w:pPr>
    <w:rPr>
      <w:rFonts w:eastAsia="昆仑楷体"/>
      <w:kern w:val="0"/>
      <w:szCs w:val="20"/>
    </w:rPr>
  </w:style>
  <w:style w:type="paragraph" w:customStyle="1" w:styleId="1856">
    <w:name w:val="样式 标题 2节标题 1.1节H2（一）Underrubrik1prop2Heading 2 HiddenHea..."/>
    <w:basedOn w:val="4"/>
    <w:qFormat/>
    <w:uiPriority w:val="0"/>
    <w:pPr>
      <w:widowControl w:val="0"/>
      <w:spacing w:before="0" w:after="0" w:line="360" w:lineRule="auto"/>
      <w:jc w:val="left"/>
    </w:pPr>
    <w:rPr>
      <w:rFonts w:ascii="Times New Roman" w:hAnsi="Times New Roman" w:eastAsia="宋体" w:cs="宋体"/>
      <w:snapToGrid w:val="0"/>
      <w:color w:val="000000"/>
      <w:kern w:val="24"/>
      <w:sz w:val="30"/>
      <w:szCs w:val="30"/>
    </w:rPr>
  </w:style>
  <w:style w:type="paragraph" w:customStyle="1" w:styleId="1857">
    <w:name w:val="正文缩进1"/>
    <w:basedOn w:val="1"/>
    <w:qFormat/>
    <w:uiPriority w:val="99"/>
    <w:pPr>
      <w:widowControl w:val="0"/>
      <w:adjustRightInd w:val="0"/>
      <w:snapToGrid w:val="0"/>
      <w:ind w:firstLine="200" w:firstLineChars="200"/>
      <w:jc w:val="left"/>
    </w:pPr>
    <w:rPr>
      <w:rFonts w:ascii="宋体" w:eastAsia="宋体"/>
      <w:snapToGrid w:val="0"/>
      <w:color w:val="000000"/>
      <w:spacing w:val="20"/>
      <w:kern w:val="0"/>
      <w:szCs w:val="20"/>
    </w:rPr>
  </w:style>
  <w:style w:type="paragraph" w:customStyle="1" w:styleId="1858">
    <w:name w:val="c"/>
    <w:qFormat/>
    <w:uiPriority w:val="99"/>
    <w:pPr>
      <w:widowControl w:val="0"/>
      <w:autoSpaceDE w:val="0"/>
      <w:autoSpaceDN w:val="0"/>
      <w:adjustRightInd w:val="0"/>
      <w:spacing w:line="360" w:lineRule="auto"/>
      <w:jc w:val="both"/>
    </w:pPr>
    <w:rPr>
      <w:rFonts w:ascii="Arial" w:hAnsi="Arial" w:eastAsia="宋体" w:cs="Times New Roman"/>
      <w:kern w:val="2"/>
      <w:sz w:val="24"/>
      <w:szCs w:val="24"/>
      <w:lang w:val="en-US" w:eastAsia="zh-CN" w:bidi="ar-SA"/>
    </w:rPr>
  </w:style>
  <w:style w:type="paragraph" w:customStyle="1" w:styleId="1859">
    <w:name w:val="Normal Indent9"/>
    <w:basedOn w:val="1"/>
    <w:semiHidden/>
    <w:qFormat/>
    <w:uiPriority w:val="0"/>
    <w:pPr>
      <w:widowControl w:val="0"/>
      <w:spacing w:line="240" w:lineRule="auto"/>
      <w:ind w:firstLine="420" w:firstLineChars="200"/>
    </w:pPr>
    <w:rPr>
      <w:rFonts w:hint="eastAsia" w:eastAsia="宋体"/>
      <w:sz w:val="21"/>
      <w:szCs w:val="24"/>
    </w:rPr>
  </w:style>
  <w:style w:type="paragraph" w:customStyle="1" w:styleId="1860">
    <w:name w:val="5"/>
    <w:basedOn w:val="1"/>
    <w:next w:val="36"/>
    <w:qFormat/>
    <w:uiPriority w:val="99"/>
    <w:pPr>
      <w:widowControl w:val="0"/>
      <w:spacing w:line="240" w:lineRule="auto"/>
      <w:ind w:firstLine="540"/>
    </w:pPr>
    <w:rPr>
      <w:rFonts w:eastAsia="华文行楷"/>
      <w:sz w:val="28"/>
      <w:szCs w:val="20"/>
    </w:rPr>
  </w:style>
  <w:style w:type="character" w:customStyle="1" w:styleId="1861">
    <w:name w:val="明显引用 Char4"/>
    <w:basedOn w:val="134"/>
    <w:uiPriority w:val="30"/>
    <w:rPr>
      <w:rFonts w:ascii="Times New Roman" w:hAnsi="Times New Roman"/>
      <w:b/>
      <w:bCs/>
      <w:i/>
      <w:iCs/>
      <w:color w:val="4F81BD" w:themeColor="accent1"/>
      <w:sz w:val="24"/>
      <w:szCs w:val="21"/>
      <w14:textFill>
        <w14:solidFill>
          <w14:schemeClr w14:val="accent1"/>
        </w14:solidFill>
      </w14:textFill>
    </w:rPr>
  </w:style>
  <w:style w:type="paragraph" w:customStyle="1" w:styleId="1862">
    <w:name w:val="xl29"/>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1863">
    <w:name w:val="reader-word-layer"/>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1864">
    <w:name w:val="标题B"/>
    <w:basedOn w:val="1"/>
    <w:qFormat/>
    <w:uiPriority w:val="0"/>
    <w:pPr>
      <w:widowControl w:val="0"/>
      <w:spacing w:line="240" w:lineRule="auto"/>
    </w:pPr>
    <w:rPr>
      <w:rFonts w:eastAsia="宋体"/>
      <w:sz w:val="21"/>
      <w:szCs w:val="24"/>
    </w:rPr>
  </w:style>
  <w:style w:type="paragraph" w:customStyle="1" w:styleId="1865">
    <w:name w:val="标-4"/>
    <w:basedOn w:val="1"/>
    <w:qFormat/>
    <w:uiPriority w:val="0"/>
    <w:pPr>
      <w:widowControl w:val="0"/>
      <w:spacing w:before="120" w:line="240" w:lineRule="auto"/>
      <w:ind w:left="851" w:hanging="851"/>
    </w:pPr>
    <w:rPr>
      <w:rFonts w:eastAsia="宋体"/>
      <w:szCs w:val="20"/>
    </w:rPr>
  </w:style>
  <w:style w:type="paragraph" w:customStyle="1" w:styleId="1866">
    <w:name w:val="依据列表"/>
    <w:basedOn w:val="1"/>
    <w:qFormat/>
    <w:uiPriority w:val="0"/>
    <w:pPr>
      <w:widowControl w:val="0"/>
      <w:tabs>
        <w:tab w:val="left" w:pos="0"/>
      </w:tabs>
      <w:adjustRightInd w:val="0"/>
      <w:snapToGrid w:val="0"/>
      <w:spacing w:line="300" w:lineRule="auto"/>
      <w:ind w:firstLine="200" w:firstLineChars="200"/>
      <w:textAlignment w:val="baseline"/>
    </w:pPr>
    <w:rPr>
      <w:rFonts w:eastAsia="宋体"/>
      <w:snapToGrid w:val="0"/>
      <w:kern w:val="0"/>
      <w:szCs w:val="20"/>
    </w:rPr>
  </w:style>
  <w:style w:type="paragraph" w:customStyle="1" w:styleId="1867">
    <w:name w:val="环表头"/>
    <w:basedOn w:val="1676"/>
    <w:next w:val="1"/>
    <w:qFormat/>
    <w:uiPriority w:val="0"/>
    <w:pPr>
      <w:spacing w:before="120" w:after="120" w:line="0" w:lineRule="atLeast"/>
      <w:ind w:left="0" w:right="28"/>
      <w:jc w:val="center"/>
    </w:pPr>
    <w:rPr>
      <w:b/>
    </w:rPr>
  </w:style>
  <w:style w:type="paragraph" w:customStyle="1" w:styleId="1868">
    <w:name w:val="1 Char Char Char Char Char Char Char Char Char Char"/>
    <w:basedOn w:val="1"/>
    <w:semiHidden/>
    <w:qFormat/>
    <w:uiPriority w:val="0"/>
    <w:pPr>
      <w:widowControl w:val="0"/>
      <w:tabs>
        <w:tab w:val="left" w:pos="360"/>
      </w:tabs>
      <w:snapToGrid w:val="0"/>
    </w:pPr>
    <w:rPr>
      <w:rFonts w:eastAsia="仿宋_GB2312" w:cs="宋体"/>
      <w:szCs w:val="24"/>
    </w:rPr>
  </w:style>
  <w:style w:type="paragraph" w:customStyle="1" w:styleId="1869">
    <w:name w:val="xl142"/>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1870">
    <w:name w:val="xl53"/>
    <w:basedOn w:val="1"/>
    <w:qFormat/>
    <w:uiPriority w:val="0"/>
    <w:pPr>
      <w:pBdr>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1871">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872">
    <w:name w:val="Chapter No"/>
    <w:basedOn w:val="35"/>
    <w:qFormat/>
    <w:uiPriority w:val="0"/>
    <w:pPr>
      <w:widowControl w:val="0"/>
    </w:pPr>
  </w:style>
  <w:style w:type="paragraph" w:customStyle="1" w:styleId="1873">
    <w:name w:val="Char Char Char1 Char Char Char1 Char"/>
    <w:basedOn w:val="1"/>
    <w:qFormat/>
    <w:uiPriority w:val="99"/>
    <w:pPr>
      <w:widowControl w:val="0"/>
      <w:spacing w:line="240" w:lineRule="auto"/>
    </w:pPr>
    <w:rPr>
      <w:rFonts w:eastAsia="宋体"/>
      <w:sz w:val="21"/>
      <w:szCs w:val="20"/>
    </w:rPr>
  </w:style>
  <w:style w:type="paragraph" w:customStyle="1" w:styleId="1874">
    <w:name w:val="新表"/>
    <w:basedOn w:val="1"/>
    <w:qFormat/>
    <w:uiPriority w:val="0"/>
    <w:pPr>
      <w:widowControl w:val="0"/>
      <w:adjustRightInd w:val="0"/>
      <w:snapToGrid w:val="0"/>
      <w:spacing w:line="360" w:lineRule="exact"/>
      <w:ind w:firstLine="200" w:firstLineChars="200"/>
    </w:pPr>
    <w:rPr>
      <w:rFonts w:eastAsia="仿宋_GB2312"/>
      <w:bCs/>
      <w:snapToGrid w:val="0"/>
      <w:kern w:val="0"/>
      <w:szCs w:val="20"/>
    </w:rPr>
  </w:style>
  <w:style w:type="paragraph" w:customStyle="1" w:styleId="1875">
    <w:name w:val="xl34"/>
    <w:basedOn w:val="1"/>
    <w:qFormat/>
    <w:uiPriority w:val="0"/>
    <w:pPr>
      <w:pBdr>
        <w:top w:val="single" w:color="auto" w:sz="4" w:space="0"/>
        <w:bottom w:val="single" w:color="auto" w:sz="4" w:space="0"/>
        <w:right w:val="single" w:color="auto" w:sz="4" w:space="0"/>
      </w:pBdr>
      <w:spacing w:before="100" w:after="100" w:line="240" w:lineRule="auto"/>
      <w:jc w:val="center"/>
      <w:textAlignment w:val="center"/>
    </w:pPr>
    <w:rPr>
      <w:rFonts w:ascii="宋体" w:hAnsi="宋体" w:eastAsia="宋体"/>
      <w:kern w:val="0"/>
      <w:szCs w:val="24"/>
    </w:rPr>
  </w:style>
  <w:style w:type="paragraph" w:customStyle="1" w:styleId="1876">
    <w:name w:val="Char Char Char Char Char Char Char Char Char Char Char Char Char Char Char Char Char Char Char Char Char Char Char Char"/>
    <w:basedOn w:val="1"/>
    <w:qFormat/>
    <w:uiPriority w:val="99"/>
    <w:pPr>
      <w:widowControl w:val="0"/>
      <w:spacing w:line="240" w:lineRule="auto"/>
    </w:pPr>
    <w:rPr>
      <w:rFonts w:eastAsia="宋体"/>
      <w:sz w:val="21"/>
      <w:szCs w:val="24"/>
    </w:rPr>
  </w:style>
  <w:style w:type="paragraph" w:customStyle="1" w:styleId="1877">
    <w:name w:val="标-5"/>
    <w:basedOn w:val="1"/>
    <w:qFormat/>
    <w:uiPriority w:val="0"/>
    <w:pPr>
      <w:widowControl w:val="0"/>
      <w:tabs>
        <w:tab w:val="right" w:leader="dot" w:pos="8789"/>
      </w:tabs>
      <w:spacing w:before="120" w:line="240" w:lineRule="auto"/>
      <w:ind w:left="1276" w:hanging="425"/>
    </w:pPr>
    <w:rPr>
      <w:rFonts w:eastAsia="宋体"/>
      <w:szCs w:val="20"/>
    </w:rPr>
  </w:style>
  <w:style w:type="paragraph" w:customStyle="1" w:styleId="1878">
    <w:name w:val="Char Char Char Char Char Char Char Char Char"/>
    <w:basedOn w:val="1"/>
    <w:qFormat/>
    <w:uiPriority w:val="0"/>
    <w:pPr>
      <w:widowControl w:val="0"/>
      <w:spacing w:line="240" w:lineRule="auto"/>
    </w:pPr>
    <w:rPr>
      <w:rFonts w:eastAsia="宋体"/>
      <w:sz w:val="21"/>
      <w:szCs w:val="24"/>
    </w:rPr>
  </w:style>
  <w:style w:type="paragraph" w:customStyle="1" w:styleId="1879">
    <w:name w:val="reader-word-layer reader-word-s1-8"/>
    <w:basedOn w:val="1"/>
    <w:qFormat/>
    <w:uiPriority w:val="0"/>
    <w:pPr>
      <w:spacing w:before="100" w:beforeAutospacing="1" w:after="100" w:afterAutospacing="1" w:line="240" w:lineRule="auto"/>
      <w:jc w:val="left"/>
    </w:pPr>
    <w:rPr>
      <w:rFonts w:ascii="宋体" w:hAnsi="宋体" w:eastAsia="宋体" w:cs="宋体"/>
      <w:kern w:val="0"/>
      <w:szCs w:val="24"/>
    </w:rPr>
  </w:style>
  <w:style w:type="paragraph" w:customStyle="1" w:styleId="1880">
    <w:name w:val="表格填充1"/>
    <w:basedOn w:val="1"/>
    <w:qFormat/>
    <w:uiPriority w:val="99"/>
    <w:pPr>
      <w:widowControl w:val="0"/>
      <w:snapToGrid w:val="0"/>
      <w:spacing w:line="240" w:lineRule="auto"/>
      <w:jc w:val="center"/>
    </w:pPr>
    <w:rPr>
      <w:rFonts w:eastAsia="仿宋_GB2312"/>
      <w:snapToGrid w:val="0"/>
      <w:color w:val="000000"/>
      <w:sz w:val="30"/>
      <w:szCs w:val="32"/>
    </w:rPr>
  </w:style>
  <w:style w:type="paragraph" w:customStyle="1" w:styleId="1881">
    <w:name w:val="xl14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1882">
    <w:name w:val="样式 段前: 0.1 行 段后: 0.1 行"/>
    <w:basedOn w:val="1"/>
    <w:qFormat/>
    <w:uiPriority w:val="0"/>
    <w:pPr>
      <w:widowControl w:val="0"/>
      <w:spacing w:line="240" w:lineRule="auto"/>
      <w:ind w:firstLine="499"/>
    </w:pPr>
    <w:rPr>
      <w:rFonts w:eastAsia="宋体" w:cs="宋体"/>
      <w:sz w:val="21"/>
      <w:szCs w:val="24"/>
    </w:rPr>
  </w:style>
  <w:style w:type="paragraph" w:customStyle="1" w:styleId="1883">
    <w:name w:val="样式 (中文) 楷体_GB2312 小四"/>
    <w:basedOn w:val="1"/>
    <w:qFormat/>
    <w:uiPriority w:val="0"/>
    <w:pPr>
      <w:widowControl w:val="0"/>
      <w:snapToGrid w:val="0"/>
      <w:ind w:left="284"/>
    </w:pPr>
    <w:rPr>
      <w:rFonts w:eastAsia="楷体_GB2312"/>
      <w:szCs w:val="20"/>
    </w:rPr>
  </w:style>
  <w:style w:type="paragraph" w:customStyle="1" w:styleId="1884">
    <w:name w:val="xl144"/>
    <w:basedOn w:val="1"/>
    <w:qFormat/>
    <w:uiPriority w:val="99"/>
    <w:pPr>
      <w:pBdr>
        <w:top w:val="single" w:color="auto" w:sz="8" w:space="0"/>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1885">
    <w:name w:val="责任表内容"/>
    <w:basedOn w:val="1"/>
    <w:semiHidden/>
    <w:qFormat/>
    <w:uiPriority w:val="0"/>
    <w:pPr>
      <w:widowControl w:val="0"/>
      <w:adjustRightInd w:val="0"/>
      <w:snapToGrid w:val="0"/>
      <w:ind w:hanging="108" w:firstLineChars="200"/>
      <w:jc w:val="center"/>
    </w:pPr>
    <w:rPr>
      <w:rFonts w:ascii="宋体" w:hAnsi="宋体" w:eastAsia="宋体"/>
      <w:snapToGrid w:val="0"/>
      <w:kern w:val="24"/>
      <w:sz w:val="28"/>
      <w:szCs w:val="20"/>
    </w:rPr>
  </w:style>
  <w:style w:type="paragraph" w:customStyle="1" w:styleId="1886">
    <w:name w:val="xl100"/>
    <w:basedOn w:val="1"/>
    <w:qFormat/>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宋体" w:cs="宋体"/>
      <w:kern w:val="0"/>
      <w:szCs w:val="24"/>
    </w:rPr>
  </w:style>
  <w:style w:type="paragraph" w:customStyle="1" w:styleId="1887">
    <w:name w:val="xl97"/>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888">
    <w:name w:val="标题C"/>
    <w:basedOn w:val="1"/>
    <w:qFormat/>
    <w:uiPriority w:val="0"/>
    <w:pPr>
      <w:widowControl w:val="0"/>
      <w:spacing w:line="240" w:lineRule="auto"/>
    </w:pPr>
    <w:rPr>
      <w:rFonts w:eastAsia="宋体"/>
      <w:sz w:val="21"/>
      <w:szCs w:val="24"/>
    </w:rPr>
  </w:style>
  <w:style w:type="paragraph" w:customStyle="1" w:styleId="1889">
    <w:name w:val="xl9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890">
    <w:name w:val="标注"/>
    <w:basedOn w:val="1"/>
    <w:qFormat/>
    <w:uiPriority w:val="99"/>
    <w:pPr>
      <w:widowControl w:val="0"/>
      <w:spacing w:before="60" w:line="240" w:lineRule="auto"/>
      <w:jc w:val="center"/>
      <w:textAlignment w:val="baseline"/>
    </w:pPr>
    <w:rPr>
      <w:rFonts w:ascii="宋体" w:hAnsi="宋体" w:eastAsia="宋体"/>
      <w:color w:val="339966"/>
      <w:kern w:val="0"/>
      <w:sz w:val="21"/>
      <w:szCs w:val="20"/>
    </w:rPr>
  </w:style>
  <w:style w:type="paragraph" w:customStyle="1" w:styleId="1891">
    <w:name w:val="样式 正文（首行缩进两字） Char Char Char2 + 首行缩进:  2 字符"/>
    <w:basedOn w:val="1892"/>
    <w:qFormat/>
    <w:uiPriority w:val="99"/>
    <w:pPr>
      <w:adjustRightInd w:val="0"/>
      <w:snapToGrid w:val="0"/>
      <w:spacing w:line="360" w:lineRule="auto"/>
    </w:pPr>
    <w:rPr>
      <w:rFonts w:ascii="Times New Roman" w:hAnsi="Times New Roman" w:cs="宋体"/>
      <w:szCs w:val="20"/>
    </w:rPr>
  </w:style>
  <w:style w:type="paragraph" w:customStyle="1" w:styleId="1892">
    <w:name w:val="正文（首行缩进两字） Char Char Char2"/>
    <w:basedOn w:val="1"/>
    <w:next w:val="22"/>
    <w:qFormat/>
    <w:uiPriority w:val="99"/>
    <w:pPr>
      <w:widowControl w:val="0"/>
      <w:spacing w:line="440" w:lineRule="exact"/>
    </w:pPr>
    <w:rPr>
      <w:rFonts w:ascii="Arial" w:hAnsi="Arial" w:eastAsia="宋体" w:cs="Arial"/>
      <w:color w:val="000000"/>
    </w:rPr>
  </w:style>
  <w:style w:type="paragraph" w:customStyle="1" w:styleId="1893">
    <w:name w:val="内容"/>
    <w:qFormat/>
    <w:uiPriority w:val="0"/>
    <w:pPr>
      <w:spacing w:line="300" w:lineRule="auto"/>
      <w:ind w:firstLine="200" w:firstLineChars="200"/>
      <w:jc w:val="both"/>
    </w:pPr>
    <w:rPr>
      <w:rFonts w:ascii="Times New Roman" w:hAnsi="Times New Roman" w:eastAsia="宋体" w:cs="Times New Roman"/>
      <w:kern w:val="44"/>
      <w:sz w:val="24"/>
      <w:szCs w:val="24"/>
      <w:lang w:val="en-US" w:eastAsia="zh-CN" w:bidi="ar-SA"/>
    </w:rPr>
  </w:style>
  <w:style w:type="paragraph" w:customStyle="1" w:styleId="1894">
    <w:name w:val="CM1"/>
    <w:basedOn w:val="1"/>
    <w:next w:val="1"/>
    <w:qFormat/>
    <w:locked/>
    <w:uiPriority w:val="0"/>
    <w:pPr>
      <w:widowControl w:val="0"/>
      <w:spacing w:line="240" w:lineRule="auto"/>
    </w:pPr>
    <w:rPr>
      <w:rFonts w:eastAsia="宋体"/>
      <w:sz w:val="21"/>
      <w:szCs w:val="24"/>
    </w:rPr>
  </w:style>
  <w:style w:type="paragraph" w:customStyle="1" w:styleId="1895">
    <w:name w:val="xl46"/>
    <w:basedOn w:val="1"/>
    <w:qFormat/>
    <w:uiPriority w:val="0"/>
    <w:pPr>
      <w:pBdr>
        <w:top w:val="single" w:color="auto" w:sz="4" w:space="0"/>
        <w:bottom w:val="single" w:color="auto" w:sz="4" w:space="0"/>
      </w:pBdr>
      <w:spacing w:before="100" w:after="100" w:line="240" w:lineRule="auto"/>
      <w:jc w:val="center"/>
      <w:textAlignment w:val="center"/>
    </w:pPr>
    <w:rPr>
      <w:rFonts w:eastAsia="宋体"/>
      <w:kern w:val="0"/>
      <w:szCs w:val="24"/>
    </w:rPr>
  </w:style>
  <w:style w:type="paragraph" w:customStyle="1" w:styleId="1896">
    <w:name w:val="正文编号"/>
    <w:basedOn w:val="1"/>
    <w:qFormat/>
    <w:uiPriority w:val="99"/>
    <w:pPr>
      <w:widowControl w:val="0"/>
      <w:tabs>
        <w:tab w:val="left" w:pos="840"/>
      </w:tabs>
      <w:adjustRightInd w:val="0"/>
      <w:ind w:left="840" w:hanging="360"/>
      <w:textAlignment w:val="baseline"/>
    </w:pPr>
    <w:rPr>
      <w:rFonts w:ascii="Arial" w:hAnsi="Arial" w:eastAsia="宋体"/>
      <w:kern w:val="0"/>
      <w:szCs w:val="24"/>
    </w:rPr>
  </w:style>
  <w:style w:type="paragraph" w:customStyle="1" w:styleId="1897">
    <w:name w:val="4"/>
    <w:basedOn w:val="1"/>
    <w:qFormat/>
    <w:uiPriority w:val="99"/>
    <w:pPr>
      <w:widowControl w:val="0"/>
      <w:spacing w:line="240" w:lineRule="auto"/>
    </w:pPr>
    <w:rPr>
      <w:rFonts w:ascii="宋体" w:hAnsi="Courier New" w:eastAsia="宋体"/>
      <w:sz w:val="21"/>
      <w:szCs w:val="20"/>
    </w:rPr>
  </w:style>
  <w:style w:type="paragraph" w:customStyle="1" w:styleId="1898">
    <w:name w:val="Char Char Char Char Char Char Char Char Char Char Char Char Char Char Char Char Char Char Char Char Char Char Char Char5"/>
    <w:basedOn w:val="1"/>
    <w:qFormat/>
    <w:uiPriority w:val="0"/>
    <w:pPr>
      <w:widowControl w:val="0"/>
      <w:spacing w:line="240" w:lineRule="auto"/>
    </w:pPr>
    <w:rPr>
      <w:rFonts w:eastAsia="宋体"/>
      <w:sz w:val="21"/>
      <w:szCs w:val="24"/>
    </w:rPr>
  </w:style>
  <w:style w:type="paragraph" w:customStyle="1" w:styleId="1899">
    <w:name w:val="责任表主题"/>
    <w:basedOn w:val="1"/>
    <w:semiHidden/>
    <w:qFormat/>
    <w:uiPriority w:val="0"/>
    <w:pPr>
      <w:widowControl w:val="0"/>
      <w:adjustRightInd w:val="0"/>
      <w:snapToGrid w:val="0"/>
      <w:spacing w:before="120"/>
      <w:ind w:hanging="108" w:firstLineChars="200"/>
      <w:jc w:val="center"/>
    </w:pPr>
    <w:rPr>
      <w:rFonts w:ascii="宋体" w:hAnsi="宋体" w:eastAsia="宋体"/>
      <w:b/>
      <w:bCs/>
      <w:snapToGrid w:val="0"/>
      <w:kern w:val="24"/>
      <w:sz w:val="28"/>
      <w:szCs w:val="20"/>
    </w:rPr>
  </w:style>
  <w:style w:type="paragraph" w:customStyle="1" w:styleId="1900">
    <w:name w:val="标题2同"/>
    <w:basedOn w:val="4"/>
    <w:qFormat/>
    <w:uiPriority w:val="99"/>
    <w:pPr>
      <w:widowControl w:val="0"/>
      <w:tabs>
        <w:tab w:val="left" w:pos="360"/>
        <w:tab w:val="left" w:pos="780"/>
      </w:tabs>
      <w:spacing w:before="0" w:beforeLines="50" w:after="156" w:line="500" w:lineRule="exact"/>
      <w:ind w:left="200" w:leftChars="200" w:hanging="200" w:hangingChars="200"/>
    </w:pPr>
    <w:rPr>
      <w:rFonts w:ascii="Arial" w:hAnsi="Arial" w:eastAsia="黑体"/>
      <w:b w:val="0"/>
      <w:kern w:val="44"/>
      <w:szCs w:val="28"/>
    </w:rPr>
  </w:style>
  <w:style w:type="paragraph" w:customStyle="1" w:styleId="1901">
    <w:name w:val="日期2"/>
    <w:basedOn w:val="1"/>
    <w:next w:val="1"/>
    <w:qFormat/>
    <w:uiPriority w:val="0"/>
    <w:pPr>
      <w:widowControl w:val="0"/>
      <w:adjustRightInd w:val="0"/>
      <w:spacing w:line="240" w:lineRule="auto"/>
      <w:textAlignment w:val="baseline"/>
    </w:pPr>
    <w:rPr>
      <w:rFonts w:eastAsia="宋体"/>
      <w:sz w:val="21"/>
      <w:szCs w:val="20"/>
    </w:rPr>
  </w:style>
  <w:style w:type="paragraph" w:customStyle="1" w:styleId="1902">
    <w:name w:val="报告表格"/>
    <w:basedOn w:val="1"/>
    <w:qFormat/>
    <w:uiPriority w:val="99"/>
    <w:pPr>
      <w:widowControl w:val="0"/>
      <w:autoSpaceDE w:val="0"/>
      <w:autoSpaceDN w:val="0"/>
      <w:spacing w:before="40" w:after="40" w:line="240" w:lineRule="auto"/>
      <w:jc w:val="center"/>
      <w:textAlignment w:val="bottom"/>
    </w:pPr>
    <w:rPr>
      <w:rFonts w:eastAsia="宋体"/>
      <w:kern w:val="0"/>
      <w:sz w:val="21"/>
      <w:szCs w:val="20"/>
    </w:rPr>
  </w:style>
  <w:style w:type="paragraph" w:customStyle="1" w:styleId="1903">
    <w:name w:val="表中"/>
    <w:semiHidden/>
    <w:qFormat/>
    <w:uiPriority w:val="99"/>
    <w:pPr>
      <w:adjustRightInd w:val="0"/>
      <w:snapToGrid w:val="0"/>
      <w:spacing w:line="300" w:lineRule="exact"/>
      <w:jc w:val="center"/>
    </w:pPr>
    <w:rPr>
      <w:rFonts w:ascii="Times New Roman" w:hAnsi="Times New Roman" w:eastAsia="宋体" w:cs="Times New Roman"/>
      <w:kern w:val="44"/>
      <w:sz w:val="21"/>
      <w:szCs w:val="21"/>
      <w:lang w:val="en-US" w:eastAsia="zh-CN" w:bidi="ar-SA"/>
    </w:rPr>
  </w:style>
  <w:style w:type="paragraph" w:customStyle="1" w:styleId="1904">
    <w:name w:val="正文内容"/>
    <w:basedOn w:val="1"/>
    <w:qFormat/>
    <w:uiPriority w:val="99"/>
    <w:pPr>
      <w:widowControl w:val="0"/>
      <w:adjustRightInd w:val="0"/>
      <w:snapToGrid w:val="0"/>
      <w:ind w:firstLine="496" w:firstLineChars="200"/>
    </w:pPr>
    <w:rPr>
      <w:rFonts w:ascii="宋体" w:hAnsi="宋体" w:eastAsia="宋体"/>
      <w:snapToGrid w:val="0"/>
      <w:spacing w:val="4"/>
      <w:kern w:val="0"/>
      <w:szCs w:val="20"/>
    </w:rPr>
  </w:style>
  <w:style w:type="paragraph" w:customStyle="1" w:styleId="1905">
    <w:name w:val="Char Char Char Char Char Char Char Char Char Char Char1 Char Char Char Char Char Char Char"/>
    <w:basedOn w:val="1"/>
    <w:qFormat/>
    <w:uiPriority w:val="0"/>
    <w:pPr>
      <w:widowControl w:val="0"/>
      <w:spacing w:line="240" w:lineRule="auto"/>
    </w:pPr>
    <w:rPr>
      <w:rFonts w:eastAsia="宋体"/>
      <w:sz w:val="21"/>
      <w:szCs w:val="24"/>
    </w:rPr>
  </w:style>
  <w:style w:type="paragraph" w:customStyle="1" w:styleId="1906">
    <w:name w:val="Char Char Char Char Char Char Char Char Char Char Char1 Char"/>
    <w:basedOn w:val="1"/>
    <w:next w:val="1"/>
    <w:qFormat/>
    <w:uiPriority w:val="99"/>
    <w:pPr>
      <w:widowControl w:val="0"/>
      <w:spacing w:line="336" w:lineRule="auto"/>
    </w:pPr>
    <w:rPr>
      <w:rFonts w:ascii="宋体" w:hAnsi="宋体" w:eastAsia="汉鼎简书宋"/>
      <w:spacing w:val="4"/>
      <w:szCs w:val="20"/>
    </w:rPr>
  </w:style>
  <w:style w:type="paragraph" w:customStyle="1" w:styleId="1907">
    <w:name w:val="封面标准文稿编辑信息"/>
    <w:qFormat/>
    <w:uiPriority w:val="99"/>
    <w:pPr>
      <w:tabs>
        <w:tab w:val="left" w:pos="960"/>
      </w:tabs>
      <w:spacing w:before="180" w:line="180" w:lineRule="exact"/>
      <w:jc w:val="center"/>
    </w:pPr>
    <w:rPr>
      <w:rFonts w:ascii="宋体" w:hAnsi="Times New Roman" w:eastAsia="宋体" w:cs="Times New Roman"/>
      <w:sz w:val="21"/>
      <w:lang w:val="en-US" w:eastAsia="zh-CN" w:bidi="ar-SA"/>
    </w:rPr>
  </w:style>
  <w:style w:type="paragraph" w:customStyle="1" w:styleId="1908">
    <w:name w:val="样式 标题 1 + 宋体 黑色"/>
    <w:basedOn w:val="3"/>
    <w:qFormat/>
    <w:uiPriority w:val="99"/>
    <w:pPr>
      <w:widowControl w:val="0"/>
      <w:tabs>
        <w:tab w:val="left" w:pos="0"/>
      </w:tabs>
      <w:topLinePunct/>
      <w:spacing w:before="0" w:after="240" w:line="240" w:lineRule="auto"/>
      <w:jc w:val="center"/>
    </w:pPr>
    <w:rPr>
      <w:rFonts w:ascii="宋体" w:hAnsi="宋体" w:eastAsia="宋体"/>
      <w:caps/>
      <w:color w:val="000000"/>
      <w:spacing w:val="20"/>
      <w:kern w:val="16"/>
      <w:sz w:val="36"/>
      <w:szCs w:val="20"/>
    </w:rPr>
  </w:style>
  <w:style w:type="paragraph" w:customStyle="1" w:styleId="1909">
    <w:name w:val="ERMBullets"/>
    <w:basedOn w:val="1"/>
    <w:qFormat/>
    <w:uiPriority w:val="99"/>
    <w:pPr>
      <w:widowControl w:val="0"/>
      <w:tabs>
        <w:tab w:val="left" w:pos="360"/>
      </w:tabs>
      <w:spacing w:line="240" w:lineRule="auto"/>
      <w:ind w:left="900"/>
    </w:pPr>
    <w:rPr>
      <w:rFonts w:eastAsia="宋体"/>
      <w:sz w:val="21"/>
    </w:rPr>
  </w:style>
  <w:style w:type="paragraph" w:customStyle="1" w:styleId="1910">
    <w:name w:val="6"/>
    <w:basedOn w:val="1"/>
    <w:next w:val="36"/>
    <w:qFormat/>
    <w:uiPriority w:val="99"/>
    <w:pPr>
      <w:widowControl w:val="0"/>
      <w:spacing w:line="240" w:lineRule="auto"/>
      <w:ind w:firstLine="540"/>
    </w:pPr>
    <w:rPr>
      <w:rFonts w:eastAsia="华文行楷"/>
      <w:sz w:val="28"/>
      <w:szCs w:val="20"/>
    </w:rPr>
  </w:style>
  <w:style w:type="paragraph" w:customStyle="1" w:styleId="1911">
    <w:name w:val="表格填充2"/>
    <w:basedOn w:val="1880"/>
    <w:qFormat/>
    <w:uiPriority w:val="99"/>
    <w:pPr>
      <w:snapToGrid/>
      <w:spacing w:line="260" w:lineRule="exact"/>
    </w:pPr>
    <w:rPr>
      <w:rFonts w:ascii="宋体" w:hAnsi="宋体" w:eastAsia="宋体"/>
      <w:snapToGrid/>
      <w:kern w:val="0"/>
      <w:sz w:val="21"/>
      <w:szCs w:val="20"/>
    </w:rPr>
  </w:style>
  <w:style w:type="paragraph" w:customStyle="1" w:styleId="1912">
    <w:name w:val="Char Char Char Char Char2 Char"/>
    <w:basedOn w:val="1"/>
    <w:semiHidden/>
    <w:qFormat/>
    <w:uiPriority w:val="99"/>
    <w:pPr>
      <w:widowControl w:val="0"/>
      <w:adjustRightInd w:val="0"/>
      <w:snapToGrid w:val="0"/>
      <w:ind w:firstLine="200" w:firstLineChars="200"/>
    </w:pPr>
    <w:rPr>
      <w:rFonts w:ascii="宋体" w:hAnsi="宋体" w:eastAsia="宋体" w:cs="宋体"/>
      <w:szCs w:val="26"/>
    </w:rPr>
  </w:style>
  <w:style w:type="paragraph" w:customStyle="1" w:styleId="1913">
    <w:name w:val="样式 标题 2节标题 1.1标题 2 Char节1.1标题 21.1_Heading 21标21.1标题2h..."/>
    <w:basedOn w:val="4"/>
    <w:qFormat/>
    <w:uiPriority w:val="99"/>
    <w:pPr>
      <w:widowControl w:val="0"/>
      <w:tabs>
        <w:tab w:val="left" w:pos="0"/>
        <w:tab w:val="left" w:pos="576"/>
        <w:tab w:val="left" w:pos="840"/>
        <w:tab w:val="left" w:pos="1081"/>
      </w:tabs>
      <w:spacing w:before="200" w:after="0" w:line="360" w:lineRule="auto"/>
      <w:ind w:left="840" w:hanging="420" w:firstLineChars="200"/>
    </w:pPr>
    <w:rPr>
      <w:rFonts w:ascii="Arial" w:hAnsi="Arial" w:eastAsia="宋体" w:cs="宋体"/>
      <w:bCs w:val="0"/>
      <w:sz w:val="28"/>
      <w:szCs w:val="24"/>
    </w:rPr>
  </w:style>
  <w:style w:type="paragraph" w:customStyle="1" w:styleId="1914">
    <w:name w:val="font12"/>
    <w:basedOn w:val="1"/>
    <w:qFormat/>
    <w:uiPriority w:val="0"/>
    <w:pPr>
      <w:spacing w:before="100" w:beforeAutospacing="1" w:after="100" w:afterAutospacing="1" w:line="240" w:lineRule="auto"/>
      <w:jc w:val="left"/>
    </w:pPr>
    <w:rPr>
      <w:rFonts w:hint="eastAsia" w:ascii="宋体" w:hAnsi="宋体" w:eastAsia="宋体"/>
      <w:kern w:val="0"/>
      <w:sz w:val="21"/>
      <w:szCs w:val="21"/>
    </w:rPr>
  </w:style>
  <w:style w:type="paragraph" w:customStyle="1" w:styleId="1915">
    <w:name w:val="正文（表格）"/>
    <w:basedOn w:val="1"/>
    <w:qFormat/>
    <w:uiPriority w:val="0"/>
    <w:pPr>
      <w:widowControl w:val="0"/>
      <w:spacing w:line="400" w:lineRule="exact"/>
      <w:jc w:val="center"/>
    </w:pPr>
    <w:rPr>
      <w:rFonts w:eastAsia="宋体"/>
      <w:sz w:val="21"/>
      <w:szCs w:val="24"/>
    </w:rPr>
  </w:style>
  <w:style w:type="paragraph" w:customStyle="1" w:styleId="1916">
    <w:name w:val="xl58"/>
    <w:basedOn w:val="1"/>
    <w:qFormat/>
    <w:uiPriority w:val="0"/>
    <w:pPr>
      <w:pBdr>
        <w:top w:val="single" w:color="auto" w:sz="8" w:space="0"/>
        <w:bottom w:val="single" w:color="auto" w:sz="4" w:space="0"/>
        <w:right w:val="single" w:color="auto" w:sz="8" w:space="0"/>
      </w:pBdr>
      <w:spacing w:before="100" w:after="100" w:line="240" w:lineRule="auto"/>
      <w:jc w:val="center"/>
      <w:textAlignment w:val="center"/>
    </w:pPr>
    <w:rPr>
      <w:rFonts w:ascii="宋体" w:hAnsi="宋体" w:eastAsia="宋体"/>
      <w:kern w:val="0"/>
      <w:sz w:val="28"/>
      <w:szCs w:val="28"/>
    </w:rPr>
  </w:style>
  <w:style w:type="paragraph" w:customStyle="1" w:styleId="1917">
    <w:name w:val="Char Char1 Char Char Char Char Char Char Char Char Char Char Char Char Char Char Char Char Char Char Char"/>
    <w:basedOn w:val="1"/>
    <w:qFormat/>
    <w:uiPriority w:val="99"/>
    <w:pPr>
      <w:spacing w:line="240" w:lineRule="auto"/>
      <w:jc w:val="left"/>
    </w:pPr>
    <w:rPr>
      <w:rFonts w:ascii="宋体" w:hAnsi="宋体" w:eastAsia="宋体" w:cs="宋体"/>
      <w:color w:val="000000"/>
      <w:kern w:val="0"/>
      <w:szCs w:val="24"/>
    </w:rPr>
  </w:style>
  <w:style w:type="paragraph" w:customStyle="1" w:styleId="1918">
    <w:name w:val="样式 标题 3 + 段前: 0.5 行"/>
    <w:basedOn w:val="5"/>
    <w:qFormat/>
    <w:uiPriority w:val="99"/>
    <w:pPr>
      <w:widowControl w:val="0"/>
      <w:tabs>
        <w:tab w:val="left" w:pos="0"/>
      </w:tabs>
      <w:spacing w:before="0" w:beforeLines="50" w:after="0" w:line="300" w:lineRule="auto"/>
      <w:ind w:left="680" w:hanging="680"/>
    </w:pPr>
    <w:rPr>
      <w:rFonts w:eastAsia="仿宋_GB2312" w:cs="宋体"/>
      <w:sz w:val="24"/>
    </w:rPr>
  </w:style>
  <w:style w:type="paragraph" w:customStyle="1" w:styleId="1919">
    <w:name w:val="图中文字"/>
    <w:basedOn w:val="1"/>
    <w:qFormat/>
    <w:uiPriority w:val="0"/>
    <w:pPr>
      <w:widowControl w:val="0"/>
      <w:adjustRightInd w:val="0"/>
      <w:snapToGrid w:val="0"/>
      <w:spacing w:line="240" w:lineRule="auto"/>
    </w:pPr>
    <w:rPr>
      <w:rFonts w:ascii="宋体" w:hAnsi="宋体" w:eastAsia="宋体"/>
      <w:sz w:val="21"/>
      <w:szCs w:val="21"/>
    </w:rPr>
  </w:style>
  <w:style w:type="paragraph" w:customStyle="1" w:styleId="1920">
    <w:name w:val="日期3"/>
    <w:basedOn w:val="1"/>
    <w:next w:val="1"/>
    <w:qFormat/>
    <w:uiPriority w:val="0"/>
    <w:pPr>
      <w:widowControl w:val="0"/>
      <w:adjustRightInd w:val="0"/>
      <w:spacing w:line="240" w:lineRule="auto"/>
      <w:textAlignment w:val="baseline"/>
    </w:pPr>
    <w:rPr>
      <w:rFonts w:eastAsia="宋体"/>
      <w:sz w:val="21"/>
      <w:szCs w:val="20"/>
    </w:rPr>
  </w:style>
  <w:style w:type="paragraph" w:customStyle="1" w:styleId="1921">
    <w:name w:val="样式 标题 2 + 段前: 1 行 段后: 0.5 行"/>
    <w:basedOn w:val="4"/>
    <w:qFormat/>
    <w:uiPriority w:val="99"/>
    <w:pPr>
      <w:keepNext w:val="0"/>
      <w:keepLines w:val="0"/>
      <w:widowControl w:val="0"/>
      <w:tabs>
        <w:tab w:val="left" w:pos="0"/>
      </w:tabs>
      <w:spacing w:before="50" w:after="0" w:line="360" w:lineRule="auto"/>
    </w:pPr>
    <w:rPr>
      <w:rFonts w:ascii="Times New Roman" w:hAnsi="Times New Roman" w:eastAsia="宋体" w:cs="宋体"/>
      <w:sz w:val="24"/>
      <w:szCs w:val="20"/>
    </w:rPr>
  </w:style>
  <w:style w:type="paragraph" w:customStyle="1" w:styleId="1922">
    <w:name w:val=".."/>
    <w:basedOn w:val="1"/>
    <w:next w:val="1"/>
    <w:qFormat/>
    <w:uiPriority w:val="99"/>
    <w:pPr>
      <w:widowControl w:val="0"/>
      <w:autoSpaceDE w:val="0"/>
      <w:autoSpaceDN w:val="0"/>
      <w:spacing w:line="240" w:lineRule="auto"/>
      <w:jc w:val="left"/>
    </w:pPr>
    <w:rPr>
      <w:rFonts w:eastAsia="宋体"/>
      <w:kern w:val="0"/>
    </w:rPr>
  </w:style>
  <w:style w:type="paragraph" w:customStyle="1" w:styleId="1923">
    <w:name w:val="0"/>
    <w:basedOn w:val="1"/>
    <w:qFormat/>
    <w:uiPriority w:val="99"/>
    <w:pPr>
      <w:widowControl w:val="0"/>
      <w:spacing w:line="336" w:lineRule="auto"/>
    </w:pPr>
    <w:rPr>
      <w:rFonts w:hint="eastAsia" w:eastAsia="宋体"/>
      <w:szCs w:val="20"/>
    </w:rPr>
  </w:style>
  <w:style w:type="paragraph" w:customStyle="1" w:styleId="1924">
    <w:name w:val="font17"/>
    <w:basedOn w:val="1"/>
    <w:qFormat/>
    <w:uiPriority w:val="99"/>
    <w:pPr>
      <w:spacing w:before="100" w:beforeAutospacing="1" w:after="100" w:afterAutospacing="1" w:line="240" w:lineRule="auto"/>
      <w:jc w:val="left"/>
    </w:pPr>
    <w:rPr>
      <w:rFonts w:ascii="宋体" w:hAnsi="宋体" w:eastAsia="宋体" w:cs="宋体"/>
      <w:kern w:val="0"/>
      <w:sz w:val="20"/>
      <w:szCs w:val="20"/>
    </w:rPr>
  </w:style>
  <w:style w:type="paragraph" w:customStyle="1" w:styleId="1925">
    <w:name w:val="222"/>
    <w:basedOn w:val="1"/>
    <w:qFormat/>
    <w:uiPriority w:val="99"/>
    <w:pPr>
      <w:widowControl w:val="0"/>
      <w:spacing w:beforeLines="30" w:afterLines="30" w:line="240" w:lineRule="auto"/>
      <w:jc w:val="center"/>
    </w:pPr>
    <w:rPr>
      <w:rFonts w:hAnsi="宋体" w:eastAsia="宋体"/>
      <w:b/>
      <w:bCs/>
      <w:kern w:val="0"/>
      <w:sz w:val="21"/>
      <w:szCs w:val="21"/>
    </w:rPr>
  </w:style>
  <w:style w:type="paragraph" w:customStyle="1" w:styleId="1926">
    <w:name w:val="报告标题10"/>
    <w:basedOn w:val="3"/>
    <w:qFormat/>
    <w:uiPriority w:val="99"/>
    <w:pPr>
      <w:widowControl w:val="0"/>
      <w:tabs>
        <w:tab w:val="left" w:pos="0"/>
      </w:tabs>
      <w:spacing w:line="360" w:lineRule="auto"/>
    </w:pPr>
    <w:rPr>
      <w:rFonts w:ascii="黑体" w:hAnsi="宋体" w:eastAsia="黑体"/>
      <w:b w:val="0"/>
      <w:spacing w:val="4"/>
      <w:sz w:val="32"/>
      <w:szCs w:val="20"/>
    </w:rPr>
  </w:style>
  <w:style w:type="paragraph" w:customStyle="1" w:styleId="1927">
    <w:name w:val="样式 标题 3正文三级标题条标题1.1.1标题 3 Char Charh3H3level_3PIM 3Level...1"/>
    <w:basedOn w:val="5"/>
    <w:qFormat/>
    <w:uiPriority w:val="99"/>
    <w:pPr>
      <w:widowControl w:val="0"/>
      <w:spacing w:before="0" w:after="0" w:line="360" w:lineRule="auto"/>
      <w:ind w:left="720" w:hanging="720"/>
    </w:pPr>
    <w:rPr>
      <w:rFonts w:eastAsia="宋体"/>
      <w:sz w:val="24"/>
    </w:rPr>
  </w:style>
  <w:style w:type="paragraph" w:customStyle="1" w:styleId="1928">
    <w:name w:val="xl38"/>
    <w:basedOn w:val="1"/>
    <w:qFormat/>
    <w:uiPriority w:val="0"/>
    <w:pPr>
      <w:pBdr>
        <w:top w:val="single" w:color="auto" w:sz="4" w:space="0"/>
        <w:bottom w:val="single" w:color="auto" w:sz="4" w:space="0"/>
      </w:pBdr>
      <w:spacing w:before="100" w:after="100" w:line="240" w:lineRule="auto"/>
      <w:jc w:val="center"/>
      <w:textAlignment w:val="center"/>
    </w:pPr>
    <w:rPr>
      <w:rFonts w:eastAsia="宋体"/>
      <w:kern w:val="0"/>
      <w:sz w:val="28"/>
      <w:szCs w:val="28"/>
    </w:rPr>
  </w:style>
  <w:style w:type="paragraph" w:customStyle="1" w:styleId="1929">
    <w:name w:val="样式 标题 3正文三级标题条标题1.1.1标题 3 Char Charh3H3level_3PIM 3Level..."/>
    <w:basedOn w:val="5"/>
    <w:qFormat/>
    <w:uiPriority w:val="99"/>
    <w:pPr>
      <w:widowControl w:val="0"/>
      <w:tabs>
        <w:tab w:val="left" w:pos="960"/>
      </w:tabs>
      <w:spacing w:before="60" w:after="0" w:line="360" w:lineRule="auto"/>
      <w:ind w:left="960" w:hanging="720"/>
    </w:pPr>
    <w:rPr>
      <w:rFonts w:eastAsia="宋体" w:cs="宋体"/>
      <w:kern w:val="0"/>
      <w:sz w:val="24"/>
      <w:szCs w:val="20"/>
    </w:rPr>
  </w:style>
  <w:style w:type="paragraph" w:customStyle="1" w:styleId="1930">
    <w:name w:val="样式 表格内字体 + (中文) 仿宋 (符号) 仿宋 黑色 紧缩量  0.5 磅"/>
    <w:basedOn w:val="497"/>
    <w:qFormat/>
    <w:uiPriority w:val="99"/>
    <w:pPr>
      <w:jc w:val="left"/>
    </w:pPr>
    <w:rPr>
      <w:rFonts w:eastAsia="仿宋"/>
      <w:snapToGrid/>
      <w:color w:val="000000"/>
      <w:spacing w:val="-10"/>
      <w:sz w:val="21"/>
      <w:szCs w:val="18"/>
    </w:rPr>
  </w:style>
  <w:style w:type="paragraph" w:customStyle="1" w:styleId="1931">
    <w:name w:val="3 Char Char Char Char Char Char Char Char Char3 Char Char Char Char Char Char Char Char Char Char"/>
    <w:basedOn w:val="1"/>
    <w:qFormat/>
    <w:uiPriority w:val="99"/>
    <w:pPr>
      <w:widowControl w:val="0"/>
      <w:snapToGrid w:val="0"/>
      <w:ind w:firstLine="200" w:firstLineChars="200"/>
    </w:pPr>
    <w:rPr>
      <w:rFonts w:eastAsia="宋体"/>
      <w:sz w:val="21"/>
      <w:szCs w:val="20"/>
    </w:rPr>
  </w:style>
  <w:style w:type="paragraph" w:customStyle="1" w:styleId="1932">
    <w:name w:val="圖標號1"/>
    <w:basedOn w:val="23"/>
    <w:qFormat/>
    <w:uiPriority w:val="99"/>
    <w:pPr>
      <w:autoSpaceDE w:val="0"/>
      <w:autoSpaceDN w:val="0"/>
      <w:spacing w:before="120" w:after="240" w:line="480" w:lineRule="exact"/>
      <w:ind w:firstLine="482"/>
      <w:jc w:val="center"/>
    </w:pPr>
    <w:rPr>
      <w:rFonts w:ascii="Times New Roman" w:hAnsi="Times New Roman" w:eastAsia="華康中楷體"/>
      <w:color w:val="000000"/>
      <w:kern w:val="0"/>
      <w:sz w:val="28"/>
      <w:szCs w:val="22"/>
      <w:lang w:val="en-GB" w:eastAsia="zh-TW"/>
    </w:rPr>
  </w:style>
  <w:style w:type="paragraph" w:customStyle="1" w:styleId="1933">
    <w:name w:val="Char Char Char Char Char Char1 Char Char4 Char"/>
    <w:basedOn w:val="1"/>
    <w:next w:val="1"/>
    <w:semiHidden/>
    <w:qFormat/>
    <w:uiPriority w:val="0"/>
    <w:pPr>
      <w:widowControl w:val="0"/>
      <w:spacing w:line="336" w:lineRule="auto"/>
      <w:ind w:firstLine="200" w:firstLineChars="200"/>
    </w:pPr>
    <w:rPr>
      <w:rFonts w:ascii="宋体" w:hAnsi="宋体" w:eastAsia="汉鼎简书宋" w:cs="宋体"/>
      <w:spacing w:val="4"/>
      <w:szCs w:val="24"/>
    </w:rPr>
  </w:style>
  <w:style w:type="paragraph" w:customStyle="1" w:styleId="1934">
    <w:name w:val="font10"/>
    <w:basedOn w:val="1"/>
    <w:qFormat/>
    <w:uiPriority w:val="0"/>
    <w:pPr>
      <w:spacing w:before="100" w:beforeAutospacing="1" w:after="100" w:afterAutospacing="1" w:line="240" w:lineRule="auto"/>
      <w:jc w:val="left"/>
    </w:pPr>
    <w:rPr>
      <w:rFonts w:eastAsia="宋体"/>
      <w:kern w:val="0"/>
      <w:sz w:val="11"/>
      <w:szCs w:val="11"/>
    </w:rPr>
  </w:style>
  <w:style w:type="paragraph" w:customStyle="1" w:styleId="1935">
    <w:name w:val="xl55"/>
    <w:basedOn w:val="1"/>
    <w:qFormat/>
    <w:uiPriority w:val="0"/>
    <w:pPr>
      <w:pBdr>
        <w:bottom w:val="single" w:color="auto" w:sz="4" w:space="0"/>
        <w:right w:val="single" w:color="auto" w:sz="8" w:space="0"/>
      </w:pBdr>
      <w:spacing w:before="100" w:after="100" w:line="240" w:lineRule="auto"/>
      <w:jc w:val="center"/>
      <w:textAlignment w:val="center"/>
    </w:pPr>
    <w:rPr>
      <w:rFonts w:ascii="宋体" w:hAnsi="宋体" w:eastAsia="宋体"/>
      <w:kern w:val="0"/>
      <w:sz w:val="28"/>
      <w:szCs w:val="28"/>
    </w:rPr>
  </w:style>
  <w:style w:type="paragraph" w:customStyle="1" w:styleId="1936">
    <w:name w:val="Normal Indent6"/>
    <w:basedOn w:val="1"/>
    <w:semiHidden/>
    <w:qFormat/>
    <w:uiPriority w:val="0"/>
    <w:pPr>
      <w:widowControl w:val="0"/>
      <w:spacing w:line="240" w:lineRule="auto"/>
      <w:ind w:firstLine="420" w:firstLineChars="200"/>
    </w:pPr>
    <w:rPr>
      <w:rFonts w:hint="eastAsia" w:eastAsia="宋体"/>
      <w:sz w:val="21"/>
      <w:szCs w:val="24"/>
    </w:rPr>
  </w:style>
  <w:style w:type="paragraph" w:customStyle="1" w:styleId="1937">
    <w:name w:val="环保局标题 2级"/>
    <w:basedOn w:val="4"/>
    <w:semiHidden/>
    <w:qFormat/>
    <w:uiPriority w:val="0"/>
    <w:pPr>
      <w:widowControl w:val="0"/>
      <w:tabs>
        <w:tab w:val="left" w:pos="1380"/>
      </w:tabs>
      <w:spacing w:before="0" w:after="0" w:line="360" w:lineRule="auto"/>
      <w:ind w:firstLine="200"/>
      <w:jc w:val="left"/>
    </w:pPr>
    <w:rPr>
      <w:rFonts w:ascii="Times New Roman" w:hAnsi="宋体" w:eastAsia="宋体" w:cs="宋体"/>
      <w:bCs w:val="0"/>
      <w:snapToGrid w:val="0"/>
      <w:color w:val="000000"/>
      <w:kern w:val="24"/>
      <w:sz w:val="24"/>
      <w:szCs w:val="24"/>
    </w:rPr>
  </w:style>
  <w:style w:type="paragraph" w:customStyle="1" w:styleId="1938">
    <w:name w:val="Plain Text6"/>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1939">
    <w:name w:val="一级条标题"/>
    <w:basedOn w:val="3"/>
    <w:next w:val="1"/>
    <w:qFormat/>
    <w:uiPriority w:val="0"/>
    <w:pPr>
      <w:keepNext w:val="0"/>
      <w:keepLines w:val="0"/>
      <w:tabs>
        <w:tab w:val="left" w:pos="360"/>
        <w:tab w:val="left" w:pos="720"/>
      </w:tabs>
      <w:spacing w:before="0" w:after="0" w:line="240" w:lineRule="auto"/>
      <w:outlineLvl w:val="2"/>
    </w:pPr>
    <w:rPr>
      <w:rFonts w:ascii="黑体" w:eastAsia="黑体"/>
      <w:b w:val="0"/>
      <w:bCs w:val="0"/>
      <w:kern w:val="0"/>
      <w:sz w:val="21"/>
      <w:szCs w:val="20"/>
    </w:rPr>
  </w:style>
  <w:style w:type="paragraph" w:customStyle="1" w:styleId="1940">
    <w:name w:val="bw1"/>
    <w:basedOn w:val="1"/>
    <w:qFormat/>
    <w:uiPriority w:val="99"/>
    <w:pPr>
      <w:widowControl w:val="0"/>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1941">
    <w:name w:val="样式 样式 正文文本 + 首行缩进:  2 字符 + 首行缩进:  2 字符"/>
    <w:basedOn w:val="1"/>
    <w:qFormat/>
    <w:uiPriority w:val="99"/>
    <w:pPr>
      <w:widowControl w:val="0"/>
      <w:spacing w:before="120" w:after="120" w:line="360" w:lineRule="exact"/>
      <w:ind w:firstLine="439"/>
      <w:textAlignment w:val="baseline"/>
    </w:pPr>
    <w:rPr>
      <w:rFonts w:eastAsia="宋体" w:cs="宋体"/>
      <w:kern w:val="0"/>
    </w:rPr>
  </w:style>
  <w:style w:type="paragraph" w:customStyle="1" w:styleId="1942">
    <w:name w:val="111"/>
    <w:basedOn w:val="1"/>
    <w:qFormat/>
    <w:uiPriority w:val="99"/>
    <w:pPr>
      <w:spacing w:before="100" w:beforeAutospacing="1" w:after="100" w:afterAutospacing="1" w:line="500" w:lineRule="exact"/>
      <w:jc w:val="left"/>
    </w:pPr>
    <w:rPr>
      <w:rFonts w:ascii="宋体" w:hAnsi="宋体" w:eastAsia="宋体"/>
      <w:kern w:val="0"/>
      <w:szCs w:val="24"/>
    </w:rPr>
  </w:style>
  <w:style w:type="paragraph" w:customStyle="1" w:styleId="1943">
    <w:name w:val="xl174"/>
    <w:basedOn w:val="1"/>
    <w:qFormat/>
    <w:uiPriority w:val="99"/>
    <w:pPr>
      <w:pBdr>
        <w:left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1944">
    <w:name w:val="List Paragraph3"/>
    <w:basedOn w:val="1"/>
    <w:semiHidden/>
    <w:qFormat/>
    <w:uiPriority w:val="0"/>
    <w:pPr>
      <w:spacing w:after="200" w:line="276" w:lineRule="auto"/>
      <w:ind w:left="720"/>
      <w:contextualSpacing/>
      <w:jc w:val="left"/>
    </w:pPr>
    <w:rPr>
      <w:rFonts w:ascii="Calibri" w:hAnsi="Calibri" w:eastAsia="宋体" w:cs="Arial"/>
      <w:kern w:val="0"/>
      <w:sz w:val="22"/>
    </w:rPr>
  </w:style>
  <w:style w:type="paragraph" w:customStyle="1" w:styleId="1945">
    <w:name w:val="Normal Indent5"/>
    <w:basedOn w:val="1"/>
    <w:semiHidden/>
    <w:qFormat/>
    <w:uiPriority w:val="0"/>
    <w:pPr>
      <w:widowControl w:val="0"/>
      <w:spacing w:line="240" w:lineRule="auto"/>
      <w:ind w:firstLine="420" w:firstLineChars="200"/>
    </w:pPr>
    <w:rPr>
      <w:rFonts w:hint="eastAsia" w:eastAsia="宋体"/>
      <w:sz w:val="21"/>
      <w:szCs w:val="24"/>
    </w:rPr>
  </w:style>
  <w:style w:type="paragraph" w:customStyle="1" w:styleId="1946">
    <w:name w:val="Plain Text3"/>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1947">
    <w:name w:val="正文段落"/>
    <w:basedOn w:val="1"/>
    <w:qFormat/>
    <w:uiPriority w:val="99"/>
    <w:pPr>
      <w:widowControl w:val="0"/>
      <w:topLinePunct/>
      <w:spacing w:line="560" w:lineRule="exact"/>
      <w:ind w:firstLine="480" w:firstLineChars="200"/>
    </w:pPr>
    <w:rPr>
      <w:rFonts w:ascii="宋体" w:hAnsi="宋体" w:eastAsia="宋体" w:cs="宋体"/>
      <w:color w:val="000000"/>
      <w:szCs w:val="24"/>
    </w:rPr>
  </w:style>
  <w:style w:type="paragraph" w:customStyle="1" w:styleId="1948">
    <w:name w:val="xl169"/>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宋体" w:cs="宋体"/>
      <w:kern w:val="0"/>
    </w:rPr>
  </w:style>
  <w:style w:type="paragraph" w:customStyle="1" w:styleId="1949">
    <w:name w:val="font15"/>
    <w:basedOn w:val="1"/>
    <w:qFormat/>
    <w:uiPriority w:val="0"/>
    <w:pPr>
      <w:spacing w:before="100" w:beforeAutospacing="1" w:after="100" w:afterAutospacing="1" w:line="240" w:lineRule="auto"/>
      <w:jc w:val="left"/>
    </w:pPr>
    <w:rPr>
      <w:rFonts w:eastAsia="宋体"/>
      <w:kern w:val="0"/>
      <w:sz w:val="21"/>
      <w:szCs w:val="21"/>
    </w:rPr>
  </w:style>
  <w:style w:type="paragraph" w:customStyle="1" w:styleId="1950">
    <w:name w:val="(a空格行"/>
    <w:qFormat/>
    <w:uiPriority w:val="99"/>
    <w:pPr>
      <w:spacing w:line="360" w:lineRule="auto"/>
      <w:ind w:right="210"/>
      <w:jc w:val="both"/>
    </w:pPr>
    <w:rPr>
      <w:rFonts w:ascii="Calibri" w:hAnsi="Calibri" w:eastAsia="仿宋_GB2312" w:cs="Times New Roman"/>
      <w:b/>
      <w:kern w:val="2"/>
      <w:sz w:val="10"/>
      <w:szCs w:val="24"/>
      <w:lang w:val="en-US" w:eastAsia="zh-CN" w:bidi="ar-SA"/>
    </w:rPr>
  </w:style>
  <w:style w:type="paragraph" w:customStyle="1" w:styleId="1951">
    <w:name w:val="char"/>
    <w:basedOn w:val="1"/>
    <w:qFormat/>
    <w:uiPriority w:val="99"/>
    <w:pPr>
      <w:spacing w:after="160" w:line="240" w:lineRule="auto"/>
      <w:jc w:val="left"/>
    </w:pPr>
    <w:rPr>
      <w:rFonts w:ascii="Verdana" w:hAnsi="Verdana" w:eastAsia="仿宋_GB2312" w:cs="”“Times New Roman”“"/>
      <w:kern w:val="0"/>
      <w:sz w:val="28"/>
      <w:szCs w:val="28"/>
      <w:lang w:eastAsia="en-US"/>
    </w:rPr>
  </w:style>
  <w:style w:type="paragraph" w:customStyle="1" w:styleId="1952">
    <w:name w:val="AnnexTitle"/>
    <w:basedOn w:val="1"/>
    <w:next w:val="1"/>
    <w:qFormat/>
    <w:uiPriority w:val="99"/>
    <w:pPr>
      <w:overflowPunct w:val="0"/>
      <w:autoSpaceDE w:val="0"/>
      <w:autoSpaceDN w:val="0"/>
      <w:spacing w:before="720" w:after="16000" w:line="264" w:lineRule="auto"/>
      <w:ind w:left="1418" w:right="1418"/>
      <w:jc w:val="left"/>
      <w:textAlignment w:val="baseline"/>
    </w:pPr>
    <w:rPr>
      <w:rFonts w:ascii="Book Antiqua" w:hAnsi="Book Antiqua" w:eastAsia="宋体"/>
      <w:kern w:val="0"/>
      <w:sz w:val="36"/>
      <w:szCs w:val="20"/>
      <w:lang w:val="en-GB"/>
    </w:rPr>
  </w:style>
  <w:style w:type="paragraph" w:customStyle="1" w:styleId="1953">
    <w:name w:val="标题四"/>
    <w:basedOn w:val="1"/>
    <w:semiHidden/>
    <w:qFormat/>
    <w:uiPriority w:val="99"/>
    <w:pPr>
      <w:widowControl w:val="0"/>
      <w:tabs>
        <w:tab w:val="left" w:pos="1800"/>
      </w:tabs>
      <w:adjustRightInd w:val="0"/>
      <w:spacing w:line="560" w:lineRule="exact"/>
    </w:pPr>
    <w:rPr>
      <w:rFonts w:eastAsia="宋体"/>
      <w:color w:val="000000"/>
      <w:szCs w:val="24"/>
    </w:rPr>
  </w:style>
  <w:style w:type="paragraph" w:customStyle="1" w:styleId="1954">
    <w:name w:val="Char Char Char Char Char Char Char Char Char1 Char Char"/>
    <w:basedOn w:val="1"/>
    <w:qFormat/>
    <w:uiPriority w:val="99"/>
    <w:pPr>
      <w:widowControl w:val="0"/>
      <w:spacing w:line="240" w:lineRule="auto"/>
    </w:pPr>
    <w:rPr>
      <w:rFonts w:eastAsia="宋体"/>
      <w:sz w:val="21"/>
    </w:rPr>
  </w:style>
  <w:style w:type="paragraph" w:customStyle="1" w:styleId="1955">
    <w:name w:val="样式 样式 纯文本 + (符号) 宋体 小四 段后: 0.5 行 行距: 1.5 倍行距 + 首行缩进:  1.5 字符"/>
    <w:basedOn w:val="1"/>
    <w:qFormat/>
    <w:uiPriority w:val="99"/>
    <w:pPr>
      <w:widowControl w:val="0"/>
      <w:spacing w:beforeLines="30" w:afterLines="30" w:line="240" w:lineRule="auto"/>
      <w:ind w:firstLine="200" w:firstLineChars="200"/>
    </w:pPr>
    <w:rPr>
      <w:rFonts w:ascii="新宋体" w:hAnsi="宋体" w:eastAsia="新宋体" w:cs="宋体"/>
      <w:w w:val="90"/>
      <w:kern w:val="0"/>
      <w:sz w:val="22"/>
    </w:rPr>
  </w:style>
  <w:style w:type="paragraph" w:customStyle="1" w:styleId="1956">
    <w:name w:val="表字居中O"/>
    <w:basedOn w:val="1"/>
    <w:qFormat/>
    <w:uiPriority w:val="99"/>
    <w:pPr>
      <w:widowControl w:val="0"/>
      <w:spacing w:line="440" w:lineRule="exact"/>
      <w:jc w:val="center"/>
    </w:pPr>
    <w:rPr>
      <w:rFonts w:hAnsi="宋体" w:eastAsia="宋体"/>
      <w:spacing w:val="-4"/>
      <w:kern w:val="0"/>
      <w:szCs w:val="24"/>
    </w:rPr>
  </w:style>
  <w:style w:type="paragraph" w:customStyle="1" w:styleId="1957">
    <w:name w:val="环保正文3"/>
    <w:basedOn w:val="1"/>
    <w:semiHidden/>
    <w:qFormat/>
    <w:uiPriority w:val="0"/>
    <w:pPr>
      <w:widowControl w:val="0"/>
      <w:ind w:firstLine="480" w:firstLineChars="200"/>
      <w:jc w:val="left"/>
    </w:pPr>
    <w:rPr>
      <w:rFonts w:eastAsia="宋体" w:cs="宋体"/>
      <w:kern w:val="24"/>
      <w:szCs w:val="24"/>
    </w:rPr>
  </w:style>
  <w:style w:type="paragraph" w:customStyle="1" w:styleId="1958">
    <w:name w:val="日期4"/>
    <w:basedOn w:val="1"/>
    <w:next w:val="1"/>
    <w:qFormat/>
    <w:uiPriority w:val="99"/>
    <w:pPr>
      <w:widowControl w:val="0"/>
      <w:adjustRightInd w:val="0"/>
      <w:spacing w:line="240" w:lineRule="auto"/>
      <w:textAlignment w:val="baseline"/>
    </w:pPr>
    <w:rPr>
      <w:rFonts w:eastAsia="宋体"/>
      <w:sz w:val="21"/>
      <w:szCs w:val="20"/>
    </w:rPr>
  </w:style>
  <w:style w:type="paragraph" w:customStyle="1" w:styleId="1959">
    <w:name w:val="样式 正文1 + 首行缩进:  2 字符 段前: 0 磅 段后: 0 磅"/>
    <w:basedOn w:val="211"/>
    <w:qFormat/>
    <w:uiPriority w:val="99"/>
    <w:pPr>
      <w:widowControl w:val="0"/>
      <w:spacing w:before="120" w:line="288" w:lineRule="auto"/>
      <w:ind w:firstLine="482"/>
      <w:textAlignment w:val="baseline"/>
    </w:pPr>
    <w:rPr>
      <w:rFonts w:ascii="黑体" w:hAnsi="Calibri" w:eastAsia="黑体" w:cs="Times New Roman"/>
      <w:b/>
      <w:sz w:val="24"/>
      <w:szCs w:val="20"/>
    </w:rPr>
  </w:style>
  <w:style w:type="paragraph" w:customStyle="1" w:styleId="1960">
    <w:name w:val="公式说明"/>
    <w:basedOn w:val="1"/>
    <w:semiHidden/>
    <w:qFormat/>
    <w:uiPriority w:val="0"/>
    <w:pPr>
      <w:widowControl w:val="0"/>
      <w:snapToGrid w:val="0"/>
      <w:spacing w:beforeLines="50" w:afterLines="50"/>
      <w:ind w:left="1502" w:hanging="425" w:firstLineChars="200"/>
    </w:pPr>
    <w:rPr>
      <w:rFonts w:hint="eastAsia" w:ascii="仿宋_GB2312" w:eastAsia="仿宋_GB2312"/>
      <w:b/>
      <w:sz w:val="28"/>
      <w:szCs w:val="24"/>
    </w:rPr>
  </w:style>
  <w:style w:type="paragraph" w:customStyle="1" w:styleId="1961">
    <w:name w:val="正文王"/>
    <w:basedOn w:val="46"/>
    <w:qFormat/>
    <w:uiPriority w:val="0"/>
    <w:pPr>
      <w:widowControl w:val="0"/>
      <w:spacing w:line="440" w:lineRule="exact"/>
    </w:pPr>
    <w:rPr>
      <w:rFonts w:ascii="Arial" w:hAnsi="Arial" w:cs="Times New Roman"/>
      <w:snapToGrid w:val="0"/>
      <w:kern w:val="0"/>
      <w:sz w:val="24"/>
      <w:szCs w:val="20"/>
    </w:rPr>
  </w:style>
  <w:style w:type="paragraph" w:customStyle="1" w:styleId="1962">
    <w:name w:val="xl26"/>
    <w:basedOn w:val="1"/>
    <w:qFormat/>
    <w:uiPriority w:val="0"/>
    <w:pPr>
      <w:pBdr>
        <w:left w:val="single" w:color="auto" w:sz="4" w:space="0"/>
        <w:bottom w:val="single" w:color="auto" w:sz="4" w:space="0"/>
        <w:right w:val="single" w:color="auto" w:sz="4" w:space="0"/>
      </w:pBdr>
      <w:spacing w:before="100" w:after="100" w:line="240" w:lineRule="auto"/>
      <w:jc w:val="center"/>
      <w:textAlignment w:val="center"/>
    </w:pPr>
    <w:rPr>
      <w:rFonts w:eastAsia="宋体"/>
      <w:kern w:val="0"/>
      <w:szCs w:val="24"/>
    </w:rPr>
  </w:style>
  <w:style w:type="paragraph" w:customStyle="1" w:styleId="1963">
    <w:name w:val="表内 + 加粗"/>
    <w:basedOn w:val="46"/>
    <w:qFormat/>
    <w:uiPriority w:val="99"/>
    <w:pPr>
      <w:widowControl w:val="0"/>
      <w:jc w:val="center"/>
    </w:pPr>
    <w:rPr>
      <w:rFonts w:ascii="Times New Roman" w:hAnsi="Times New Roman" w:eastAsia="仿宋_GB2312" w:cs="Times New Roman"/>
      <w:b/>
      <w:bCs/>
      <w:kern w:val="0"/>
      <w:sz w:val="20"/>
      <w:szCs w:val="24"/>
    </w:rPr>
  </w:style>
  <w:style w:type="paragraph" w:customStyle="1" w:styleId="1964">
    <w:name w:val="样式 样式 标题 21.1标题 21.1_Heading 2标题 2 Char1节标2节标题 1.11.1标题2h... + 段..."/>
    <w:basedOn w:val="1841"/>
    <w:semiHidden/>
    <w:qFormat/>
    <w:uiPriority w:val="0"/>
    <w:pPr>
      <w:ind w:left="0" w:firstLine="200"/>
    </w:pPr>
  </w:style>
  <w:style w:type="paragraph" w:customStyle="1" w:styleId="1965">
    <w:name w:val="1.1报告标题"/>
    <w:basedOn w:val="4"/>
    <w:qFormat/>
    <w:uiPriority w:val="99"/>
    <w:pPr>
      <w:keepNext w:val="0"/>
      <w:keepLines w:val="0"/>
      <w:widowControl w:val="0"/>
      <w:tabs>
        <w:tab w:val="left" w:pos="0"/>
      </w:tabs>
      <w:spacing w:before="0" w:after="0" w:line="360" w:lineRule="auto"/>
    </w:pPr>
    <w:rPr>
      <w:rFonts w:ascii="Times New Roman" w:hAnsi="Times New Roman" w:eastAsia="黑体"/>
      <w:bCs w:val="0"/>
      <w:spacing w:val="4"/>
      <w:szCs w:val="20"/>
    </w:rPr>
  </w:style>
  <w:style w:type="paragraph" w:customStyle="1" w:styleId="1966">
    <w:name w:val="表格 Char Char Char"/>
    <w:basedOn w:val="1"/>
    <w:semiHidden/>
    <w:qFormat/>
    <w:uiPriority w:val="99"/>
    <w:pPr>
      <w:widowControl w:val="0"/>
      <w:adjustRightInd w:val="0"/>
      <w:snapToGrid w:val="0"/>
      <w:spacing w:line="240" w:lineRule="auto"/>
      <w:jc w:val="center"/>
    </w:pPr>
    <w:rPr>
      <w:rFonts w:ascii="宋体" w:eastAsia="宋体"/>
      <w:snapToGrid w:val="0"/>
      <w:spacing w:val="4"/>
      <w:w w:val="90"/>
      <w:kern w:val="0"/>
      <w:szCs w:val="24"/>
    </w:rPr>
  </w:style>
  <w:style w:type="paragraph" w:customStyle="1" w:styleId="1967">
    <w:name w:val="样式 正文文字 + 楷体_GB2312 四号 首行缩进:  0.93 厘米"/>
    <w:basedOn w:val="35"/>
    <w:qFormat/>
    <w:uiPriority w:val="99"/>
    <w:pPr>
      <w:tabs>
        <w:tab w:val="left" w:pos="2052"/>
        <w:tab w:val="left" w:pos="2617"/>
      </w:tabs>
      <w:spacing w:before="10" w:line="480" w:lineRule="exact"/>
      <w:ind w:firstLine="353" w:firstLineChars="147"/>
    </w:pPr>
    <w:rPr>
      <w:rFonts w:ascii="宋体" w:hAnsi="宋体"/>
    </w:rPr>
  </w:style>
  <w:style w:type="paragraph" w:customStyle="1" w:styleId="1968">
    <w:name w:val="xl43"/>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eastAsia="宋体"/>
      <w:kern w:val="0"/>
      <w:szCs w:val="24"/>
    </w:rPr>
  </w:style>
  <w:style w:type="paragraph" w:customStyle="1" w:styleId="1969">
    <w:name w:val="附录章标题"/>
    <w:next w:val="1"/>
    <w:qFormat/>
    <w:uiPriority w:val="99"/>
    <w:pPr>
      <w:tabs>
        <w:tab w:val="left" w:pos="360"/>
      </w:tabs>
      <w:wordWrap w:val="0"/>
      <w:overflowPunct w:val="0"/>
      <w:autoSpaceDE w:val="0"/>
      <w:spacing w:beforeLines="50" w:afterLines="50" w:line="360" w:lineRule="auto"/>
      <w:ind w:left="360" w:hanging="360" w:hangingChars="200"/>
      <w:jc w:val="both"/>
      <w:textAlignment w:val="baseline"/>
      <w:outlineLvl w:val="1"/>
    </w:pPr>
    <w:rPr>
      <w:rFonts w:ascii="黑体" w:hAnsi="Calibri" w:eastAsia="黑体" w:cs="Times New Roman"/>
      <w:kern w:val="21"/>
      <w:sz w:val="21"/>
      <w:szCs w:val="22"/>
      <w:lang w:val="en-US" w:eastAsia="zh-CN" w:bidi="ar-SA"/>
    </w:rPr>
  </w:style>
  <w:style w:type="paragraph" w:customStyle="1" w:styleId="1970">
    <w:name w:val="样式 标题 2h22Header 2nd PageA.B.C.h2 main h标题2 + 仿宋_GB2312 行距..."/>
    <w:basedOn w:val="4"/>
    <w:qFormat/>
    <w:uiPriority w:val="99"/>
    <w:pPr>
      <w:spacing w:before="120" w:after="120" w:line="360" w:lineRule="auto"/>
      <w:ind w:firstLine="455" w:firstLineChars="162"/>
      <w:jc w:val="left"/>
    </w:pPr>
    <w:rPr>
      <w:rFonts w:ascii="仿宋_GB2312" w:hAnsi="ˎ̥" w:eastAsia="仿宋_GB2312" w:cs="宋体"/>
      <w:b w:val="0"/>
      <w:sz w:val="28"/>
      <w:szCs w:val="20"/>
    </w:rPr>
  </w:style>
  <w:style w:type="paragraph" w:customStyle="1" w:styleId="1971">
    <w:name w:val="列表W1"/>
    <w:basedOn w:val="1"/>
    <w:qFormat/>
    <w:uiPriority w:val="99"/>
    <w:pPr>
      <w:widowControl w:val="0"/>
      <w:spacing w:before="40" w:line="300" w:lineRule="auto"/>
      <w:ind w:left="300" w:leftChars="150" w:hanging="150" w:hangingChars="150"/>
    </w:pPr>
    <w:rPr>
      <w:rFonts w:ascii="宋体" w:eastAsia="宋体"/>
      <w:kern w:val="0"/>
    </w:rPr>
  </w:style>
  <w:style w:type="paragraph" w:customStyle="1" w:styleId="1972">
    <w:name w:val="Char Char Char1 Char Char Char Char Char Char Char Char Char Char Char Char Char"/>
    <w:basedOn w:val="1"/>
    <w:qFormat/>
    <w:uiPriority w:val="99"/>
    <w:pPr>
      <w:widowControl w:val="0"/>
      <w:spacing w:line="240" w:lineRule="auto"/>
    </w:pPr>
    <w:rPr>
      <w:rFonts w:eastAsia="宋体"/>
      <w:sz w:val="21"/>
      <w:szCs w:val="20"/>
    </w:rPr>
  </w:style>
  <w:style w:type="paragraph" w:customStyle="1" w:styleId="1973">
    <w:name w:val="样式 宋体 小四 首行缩进:  0.69 厘米"/>
    <w:basedOn w:val="1"/>
    <w:qFormat/>
    <w:uiPriority w:val="99"/>
    <w:pPr>
      <w:widowControl w:val="0"/>
      <w:adjustRightInd w:val="0"/>
      <w:ind w:firstLine="480" w:firstLineChars="200"/>
    </w:pPr>
    <w:rPr>
      <w:rFonts w:ascii="宋体" w:hAnsi="宋体" w:eastAsia="宋体"/>
      <w:szCs w:val="24"/>
    </w:rPr>
  </w:style>
  <w:style w:type="paragraph" w:customStyle="1" w:styleId="1974">
    <w:name w:val="內文"/>
    <w:basedOn w:val="1"/>
    <w:next w:val="1"/>
    <w:qFormat/>
    <w:uiPriority w:val="99"/>
    <w:pPr>
      <w:widowControl w:val="0"/>
      <w:autoSpaceDE w:val="0"/>
      <w:autoSpaceDN w:val="0"/>
      <w:spacing w:line="240" w:lineRule="auto"/>
      <w:jc w:val="left"/>
    </w:pPr>
    <w:rPr>
      <w:rFonts w:ascii="DF Kai Shu" w:eastAsia="DF Kai Shu"/>
      <w:kern w:val="0"/>
      <w:sz w:val="20"/>
    </w:rPr>
  </w:style>
  <w:style w:type="paragraph" w:customStyle="1" w:styleId="1975">
    <w:name w:val="style56 style41 style57"/>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1976">
    <w:name w:val="单行主体文本"/>
    <w:basedOn w:val="1"/>
    <w:qFormat/>
    <w:uiPriority w:val="99"/>
    <w:pPr>
      <w:widowControl w:val="0"/>
      <w:autoSpaceDE w:val="0"/>
      <w:autoSpaceDN w:val="0"/>
      <w:adjustRightInd w:val="0"/>
      <w:spacing w:line="240" w:lineRule="auto"/>
      <w:jc w:val="left"/>
    </w:pPr>
    <w:rPr>
      <w:rFonts w:eastAsia="宋体"/>
      <w:kern w:val="0"/>
      <w:szCs w:val="20"/>
    </w:rPr>
  </w:style>
  <w:style w:type="paragraph" w:customStyle="1" w:styleId="1977">
    <w:name w:val="CM11"/>
    <w:basedOn w:val="251"/>
    <w:next w:val="251"/>
    <w:qFormat/>
    <w:uiPriority w:val="99"/>
    <w:pPr>
      <w:spacing w:line="438" w:lineRule="atLeast"/>
    </w:pPr>
    <w:rPr>
      <w:rFonts w:ascii="Times New Roman" w:hAnsi="Calibri" w:cs="Times New Roman"/>
      <w:color w:val="auto"/>
      <w:kern w:val="2"/>
    </w:rPr>
  </w:style>
  <w:style w:type="paragraph" w:customStyle="1" w:styleId="1978">
    <w:name w:val="表头基本情况"/>
    <w:basedOn w:val="60"/>
    <w:qFormat/>
    <w:uiPriority w:val="99"/>
    <w:pPr>
      <w:widowControl w:val="0"/>
      <w:tabs>
        <w:tab w:val="right" w:leader="dot" w:pos="8891"/>
      </w:tabs>
      <w:spacing w:line="440" w:lineRule="exact"/>
      <w:jc w:val="center"/>
    </w:pPr>
    <w:rPr>
      <w:rFonts w:eastAsia="仿宋_GB2312"/>
    </w:rPr>
  </w:style>
  <w:style w:type="paragraph" w:customStyle="1" w:styleId="1979">
    <w:name w:val="xl173"/>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1980">
    <w:name w:val="font16"/>
    <w:basedOn w:val="1"/>
    <w:qFormat/>
    <w:uiPriority w:val="0"/>
    <w:pPr>
      <w:spacing w:before="100" w:beforeAutospacing="1" w:after="100" w:afterAutospacing="1" w:line="240" w:lineRule="auto"/>
      <w:jc w:val="left"/>
    </w:pPr>
    <w:rPr>
      <w:rFonts w:eastAsia="宋体"/>
      <w:kern w:val="0"/>
      <w:sz w:val="20"/>
      <w:szCs w:val="20"/>
    </w:rPr>
  </w:style>
  <w:style w:type="paragraph" w:customStyle="1" w:styleId="1981">
    <w:name w:val="表格 Char Char Char Char Char Char Char"/>
    <w:basedOn w:val="1"/>
    <w:semiHidden/>
    <w:qFormat/>
    <w:uiPriority w:val="99"/>
    <w:pPr>
      <w:widowControl w:val="0"/>
      <w:adjustRightInd w:val="0"/>
      <w:snapToGrid w:val="0"/>
      <w:spacing w:line="240" w:lineRule="auto"/>
      <w:jc w:val="center"/>
    </w:pPr>
    <w:rPr>
      <w:rFonts w:ascii="宋体" w:eastAsia="宋体"/>
      <w:snapToGrid w:val="0"/>
      <w:spacing w:val="4"/>
      <w:w w:val="90"/>
      <w:kern w:val="0"/>
      <w:szCs w:val="24"/>
    </w:rPr>
  </w:style>
  <w:style w:type="paragraph" w:customStyle="1" w:styleId="1982">
    <w:name w:val="封面标准名称"/>
    <w:qFormat/>
    <w:uiPriority w:val="99"/>
    <w:pPr>
      <w:widowControl w:val="0"/>
      <w:spacing w:line="680" w:lineRule="exact"/>
      <w:jc w:val="center"/>
      <w:textAlignment w:val="center"/>
    </w:pPr>
    <w:rPr>
      <w:rFonts w:ascii="黑体" w:hAnsi="Calibri" w:eastAsia="黑体" w:cs="Times New Roman"/>
      <w:kern w:val="2"/>
      <w:sz w:val="52"/>
      <w:szCs w:val="22"/>
      <w:lang w:val="en-US" w:eastAsia="zh-CN" w:bidi="ar-SA"/>
    </w:rPr>
  </w:style>
  <w:style w:type="paragraph" w:customStyle="1" w:styleId="1983">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1984">
    <w:name w:val="Char Char1 Char Char Char Char Char Char Char Char Char Char Char Char Char Char Char Char Char Char Char Char1 Char1"/>
    <w:basedOn w:val="1"/>
    <w:qFormat/>
    <w:uiPriority w:val="99"/>
    <w:pPr>
      <w:widowControl w:val="0"/>
      <w:jc w:val="left"/>
    </w:pPr>
    <w:rPr>
      <w:rFonts w:ascii="宋体" w:hAnsi="宋体" w:eastAsia="宋体" w:cs="宋体"/>
      <w:sz w:val="28"/>
      <w:szCs w:val="24"/>
    </w:rPr>
  </w:style>
  <w:style w:type="paragraph" w:customStyle="1" w:styleId="1985">
    <w:name w:val="msoacetate"/>
    <w:basedOn w:val="1"/>
    <w:qFormat/>
    <w:uiPriority w:val="99"/>
    <w:pPr>
      <w:widowControl w:val="0"/>
      <w:spacing w:line="240" w:lineRule="auto"/>
    </w:pPr>
    <w:rPr>
      <w:rFonts w:eastAsia="宋体"/>
      <w:sz w:val="21"/>
      <w:szCs w:val="20"/>
    </w:rPr>
  </w:style>
  <w:style w:type="paragraph" w:customStyle="1" w:styleId="1986">
    <w:name w:val="xl172"/>
    <w:basedOn w:val="1"/>
    <w:qFormat/>
    <w:uiPriority w:val="99"/>
    <w:pPr>
      <w:pBdr>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1987">
    <w:name w:val="Char Char Char Char Char Char Char Char Char Char Char Char Char Char Char Char Char Char Char Char Char Char Char Char1"/>
    <w:basedOn w:val="1"/>
    <w:qFormat/>
    <w:uiPriority w:val="99"/>
    <w:pPr>
      <w:widowControl w:val="0"/>
      <w:spacing w:beforeLines="100"/>
      <w:ind w:firstLine="200" w:firstLineChars="200"/>
      <w:jc w:val="center"/>
    </w:pPr>
    <w:rPr>
      <w:rFonts w:eastAsia="黑体"/>
      <w:sz w:val="30"/>
      <w:szCs w:val="30"/>
    </w:rPr>
  </w:style>
  <w:style w:type="paragraph" w:customStyle="1" w:styleId="1988">
    <w:name w:val="居中"/>
    <w:basedOn w:val="35"/>
    <w:qFormat/>
    <w:uiPriority w:val="0"/>
    <w:pPr>
      <w:widowControl w:val="0"/>
      <w:spacing w:line="500" w:lineRule="exact"/>
    </w:pPr>
  </w:style>
  <w:style w:type="paragraph" w:customStyle="1" w:styleId="1989">
    <w:name w:val="表名"/>
    <w:basedOn w:val="1"/>
    <w:qFormat/>
    <w:uiPriority w:val="99"/>
    <w:pPr>
      <w:widowControl w:val="0"/>
      <w:spacing w:before="120"/>
      <w:jc w:val="center"/>
    </w:pPr>
    <w:rPr>
      <w:rFonts w:ascii="宋体" w:eastAsia="宋体"/>
      <w:b/>
      <w:szCs w:val="24"/>
    </w:rPr>
  </w:style>
  <w:style w:type="paragraph" w:customStyle="1" w:styleId="1990">
    <w:name w:val="样式 表内 + 宋体"/>
    <w:basedOn w:val="46"/>
    <w:qFormat/>
    <w:uiPriority w:val="99"/>
    <w:pPr>
      <w:widowControl w:val="0"/>
      <w:jc w:val="center"/>
    </w:pPr>
    <w:rPr>
      <w:rFonts w:hAnsi="宋体" w:eastAsia="Times New Roman" w:cs="Times New Roman"/>
      <w:kern w:val="0"/>
      <w:sz w:val="20"/>
      <w:szCs w:val="24"/>
    </w:rPr>
  </w:style>
  <w:style w:type="paragraph" w:customStyle="1" w:styleId="1991">
    <w:name w:val="CoverClientName"/>
    <w:basedOn w:val="1"/>
    <w:next w:val="1"/>
    <w:qFormat/>
    <w:uiPriority w:val="99"/>
    <w:pPr>
      <w:overflowPunct w:val="0"/>
      <w:autoSpaceDE w:val="0"/>
      <w:autoSpaceDN w:val="0"/>
      <w:spacing w:after="480" w:line="264" w:lineRule="auto"/>
      <w:jc w:val="left"/>
      <w:textAlignment w:val="baseline"/>
    </w:pPr>
    <w:rPr>
      <w:rFonts w:ascii="Book Antiqua" w:hAnsi="Book Antiqua" w:eastAsia="宋体"/>
      <w:kern w:val="0"/>
      <w:sz w:val="22"/>
      <w:szCs w:val="20"/>
      <w:lang w:val="en-GB"/>
    </w:rPr>
  </w:style>
  <w:style w:type="paragraph" w:customStyle="1" w:styleId="1992">
    <w:name w:val="样式 首行缩进:  2 字符 字符缩放: 100%"/>
    <w:basedOn w:val="1"/>
    <w:qFormat/>
    <w:uiPriority w:val="99"/>
    <w:pPr>
      <w:framePr w:hSpace="180" w:wrap="around" w:vAnchor="text" w:hAnchor="margin" w:xAlign="center" w:y="99"/>
      <w:widowControl w:val="0"/>
      <w:spacing w:line="240" w:lineRule="auto"/>
      <w:jc w:val="center"/>
    </w:pPr>
    <w:rPr>
      <w:rFonts w:eastAsia="宋体"/>
      <w:szCs w:val="24"/>
    </w:rPr>
  </w:style>
  <w:style w:type="paragraph" w:customStyle="1" w:styleId="1993">
    <w:name w:val="样式 表格内容 +"/>
    <w:basedOn w:val="447"/>
    <w:qFormat/>
    <w:uiPriority w:val="99"/>
    <w:pPr>
      <w:widowControl w:val="0"/>
      <w:adjustRightInd/>
      <w:snapToGrid/>
      <w:spacing w:line="360" w:lineRule="exact"/>
      <w:jc w:val="left"/>
    </w:pPr>
    <w:rPr>
      <w:rFonts w:cstheme="minorBidi"/>
      <w:spacing w:val="-8"/>
      <w:sz w:val="18"/>
    </w:rPr>
  </w:style>
  <w:style w:type="paragraph" w:customStyle="1" w:styleId="1994">
    <w:name w:val="表格 Char Char Char Char Char"/>
    <w:basedOn w:val="1"/>
    <w:qFormat/>
    <w:uiPriority w:val="99"/>
    <w:pPr>
      <w:widowControl w:val="0"/>
      <w:adjustRightInd w:val="0"/>
      <w:snapToGrid w:val="0"/>
      <w:spacing w:line="240" w:lineRule="auto"/>
      <w:jc w:val="center"/>
    </w:pPr>
    <w:rPr>
      <w:rFonts w:ascii="宋体" w:eastAsia="宋体"/>
      <w:snapToGrid w:val="0"/>
      <w:spacing w:val="4"/>
      <w:w w:val="90"/>
      <w:kern w:val="0"/>
      <w:szCs w:val="24"/>
    </w:rPr>
  </w:style>
  <w:style w:type="paragraph" w:customStyle="1" w:styleId="1995">
    <w:name w:val="Normal Indent3"/>
    <w:basedOn w:val="1"/>
    <w:semiHidden/>
    <w:qFormat/>
    <w:uiPriority w:val="0"/>
    <w:pPr>
      <w:widowControl w:val="0"/>
      <w:spacing w:line="240" w:lineRule="auto"/>
      <w:ind w:firstLine="420" w:firstLineChars="200"/>
    </w:pPr>
    <w:rPr>
      <w:rFonts w:hint="eastAsia" w:eastAsia="宋体"/>
      <w:sz w:val="21"/>
      <w:szCs w:val="24"/>
    </w:rPr>
  </w:style>
  <w:style w:type="paragraph" w:customStyle="1" w:styleId="1996">
    <w:name w:val="Char16"/>
    <w:basedOn w:val="1"/>
    <w:qFormat/>
    <w:uiPriority w:val="0"/>
    <w:pPr>
      <w:widowControl w:val="0"/>
      <w:spacing w:line="240" w:lineRule="auto"/>
    </w:pPr>
    <w:rPr>
      <w:rFonts w:ascii="Tahoma" w:hAnsi="Tahoma" w:eastAsia="宋体"/>
      <w:szCs w:val="20"/>
    </w:rPr>
  </w:style>
  <w:style w:type="paragraph" w:customStyle="1" w:styleId="1997">
    <w:name w:val="二级条标题"/>
    <w:basedOn w:val="1939"/>
    <w:next w:val="1"/>
    <w:qFormat/>
    <w:uiPriority w:val="0"/>
    <w:pPr>
      <w:tabs>
        <w:tab w:val="left" w:pos="2356"/>
      </w:tabs>
      <w:ind w:left="1984" w:hanging="708"/>
      <w:outlineLvl w:val="3"/>
    </w:pPr>
  </w:style>
  <w:style w:type="paragraph" w:customStyle="1" w:styleId="1998">
    <w:name w:val="样式 环保局表头 + 首行缩进:  2 字符"/>
    <w:basedOn w:val="1820"/>
    <w:semiHidden/>
    <w:qFormat/>
    <w:uiPriority w:val="0"/>
    <w:pPr>
      <w:spacing w:line="240" w:lineRule="auto"/>
      <w:ind w:firstLine="0" w:firstLineChars="0"/>
    </w:pPr>
  </w:style>
  <w:style w:type="paragraph" w:customStyle="1" w:styleId="1999">
    <w:name w:val="Char Char Char Char Char Char Char Char Char Char Char Char Char Char Char Char Char Char"/>
    <w:basedOn w:val="1"/>
    <w:qFormat/>
    <w:uiPriority w:val="99"/>
    <w:pPr>
      <w:widowControl w:val="0"/>
      <w:spacing w:line="240" w:lineRule="auto"/>
    </w:pPr>
    <w:rPr>
      <w:rFonts w:eastAsia="宋体"/>
      <w:sz w:val="21"/>
      <w:szCs w:val="24"/>
    </w:rPr>
  </w:style>
  <w:style w:type="paragraph" w:customStyle="1" w:styleId="2000">
    <w:name w:val="Char Char Char Char Char Char Char Char Char Char Char Char1 Char Char Char Char Char Char Char Char Char Char Char Char1"/>
    <w:basedOn w:val="1"/>
    <w:next w:val="1"/>
    <w:qFormat/>
    <w:uiPriority w:val="99"/>
    <w:pPr>
      <w:widowControl w:val="0"/>
      <w:spacing w:line="336" w:lineRule="auto"/>
    </w:pPr>
    <w:rPr>
      <w:rFonts w:ascii="宋体" w:hAnsi="宋体" w:eastAsia="汉鼎简书宋"/>
      <w:szCs w:val="20"/>
    </w:rPr>
  </w:style>
  <w:style w:type="paragraph" w:customStyle="1" w:styleId="2001">
    <w:name w:val="正文缩进21"/>
    <w:basedOn w:val="1"/>
    <w:semiHidden/>
    <w:qFormat/>
    <w:uiPriority w:val="99"/>
    <w:pPr>
      <w:widowControl w:val="0"/>
      <w:spacing w:line="240" w:lineRule="auto"/>
      <w:ind w:firstLine="420"/>
    </w:pPr>
    <w:rPr>
      <w:rFonts w:hint="eastAsia" w:ascii="Calibri" w:hAnsi="Calibri" w:eastAsia="宋体"/>
      <w:sz w:val="21"/>
      <w:szCs w:val="20"/>
    </w:rPr>
  </w:style>
  <w:style w:type="paragraph" w:customStyle="1" w:styleId="2002">
    <w:name w:val="宏福正文-2"/>
    <w:basedOn w:val="87"/>
    <w:qFormat/>
    <w:uiPriority w:val="99"/>
    <w:pPr>
      <w:widowControl w:val="0"/>
      <w:adjustRightInd w:val="0"/>
      <w:spacing w:before="240" w:beforeAutospacing="0" w:line="400" w:lineRule="atLeast"/>
      <w:ind w:firstLine="567" w:firstLineChars="0"/>
      <w:jc w:val="left"/>
      <w:textAlignment w:val="baseline"/>
    </w:pPr>
    <w:rPr>
      <w:rFonts w:ascii="Times New Roman" w:hAnsi="Times New Roman" w:cs="Times New Roman"/>
      <w:sz w:val="28"/>
      <w:szCs w:val="20"/>
    </w:rPr>
  </w:style>
  <w:style w:type="paragraph" w:customStyle="1" w:styleId="2003">
    <w:name w:val="样式 表格 + 行距: 单倍行距"/>
    <w:basedOn w:val="294"/>
    <w:semiHidden/>
    <w:qFormat/>
    <w:uiPriority w:val="99"/>
    <w:pPr>
      <w:widowControl w:val="0"/>
      <w:tabs>
        <w:tab w:val="left" w:pos="5760"/>
      </w:tabs>
      <w:autoSpaceDE w:val="0"/>
      <w:autoSpaceDN w:val="0"/>
      <w:adjustRightInd w:val="0"/>
      <w:snapToGrid w:val="0"/>
      <w:spacing w:line="312" w:lineRule="atLeast"/>
      <w:ind w:firstLine="0"/>
      <w:textAlignment w:val="baseline"/>
      <w:outlineLvl w:val="9"/>
    </w:pPr>
    <w:rPr>
      <w:rFonts w:eastAsia="仿宋_GB2312"/>
      <w:bCs w:val="0"/>
      <w:color w:val="0000FF"/>
      <w:kern w:val="21"/>
      <w:szCs w:val="21"/>
    </w:rPr>
  </w:style>
  <w:style w:type="paragraph" w:customStyle="1" w:styleId="2004">
    <w:name w:val="xl49"/>
    <w:basedOn w:val="1"/>
    <w:qFormat/>
    <w:uiPriority w:val="0"/>
    <w:pPr>
      <w:pBdr>
        <w:left w:val="single" w:color="auto" w:sz="4"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005">
    <w:name w:val="正文文本缩进 21"/>
    <w:basedOn w:val="1"/>
    <w:qFormat/>
    <w:uiPriority w:val="99"/>
    <w:pPr>
      <w:widowControl w:val="0"/>
      <w:autoSpaceDE w:val="0"/>
      <w:autoSpaceDN w:val="0"/>
      <w:adjustRightInd w:val="0"/>
      <w:ind w:firstLine="570" w:firstLineChars="200"/>
      <w:jc w:val="left"/>
      <w:textAlignment w:val="baseline"/>
    </w:pPr>
    <w:rPr>
      <w:rFonts w:ascii="宋体" w:hAnsi="Tms Rmn" w:eastAsia="仿宋_GB2312"/>
      <w:spacing w:val="4"/>
      <w:kern w:val="0"/>
      <w:sz w:val="28"/>
      <w:szCs w:val="20"/>
    </w:rPr>
  </w:style>
  <w:style w:type="paragraph" w:customStyle="1" w:styleId="2006">
    <w:name w:val="样式 行距: 固定值 21 磅 首行缩进:  2 字符"/>
    <w:basedOn w:val="1"/>
    <w:qFormat/>
    <w:uiPriority w:val="99"/>
    <w:pPr>
      <w:widowControl w:val="0"/>
      <w:spacing w:line="240" w:lineRule="auto"/>
      <w:ind w:firstLine="592" w:firstLineChars="200"/>
    </w:pPr>
    <w:rPr>
      <w:rFonts w:eastAsia="宋体"/>
      <w:sz w:val="28"/>
      <w:szCs w:val="28"/>
    </w:rPr>
  </w:style>
  <w:style w:type="paragraph" w:customStyle="1" w:styleId="2007">
    <w:name w:val="图表标题"/>
    <w:basedOn w:val="1"/>
    <w:qFormat/>
    <w:uiPriority w:val="0"/>
    <w:pPr>
      <w:widowControl w:val="0"/>
      <w:adjustRightInd w:val="0"/>
      <w:spacing w:beforeLines="50" w:afterLines="50"/>
      <w:ind w:firstLine="480" w:firstLineChars="200"/>
      <w:jc w:val="center"/>
    </w:pPr>
    <w:rPr>
      <w:rFonts w:ascii="Calibri" w:hAnsi="Calibri" w:eastAsia="宋体"/>
      <w:b/>
      <w:sz w:val="28"/>
    </w:rPr>
  </w:style>
  <w:style w:type="paragraph" w:customStyle="1" w:styleId="2008">
    <w:name w:val="竹本油脂图 无文本框文字"/>
    <w:qFormat/>
    <w:uiPriority w:val="99"/>
    <w:pPr>
      <w:adjustRightInd w:val="0"/>
      <w:snapToGrid w:val="0"/>
      <w:jc w:val="center"/>
    </w:pPr>
    <w:rPr>
      <w:rFonts w:ascii="Times New Roman" w:hAnsi="Times New Roman" w:eastAsia="宋体" w:cs="Times New Roman"/>
      <w:snapToGrid w:val="0"/>
      <w:kern w:val="18"/>
      <w:sz w:val="18"/>
      <w:szCs w:val="18"/>
      <w:lang w:val="en-US" w:eastAsia="zh-CN" w:bidi="ar-SA"/>
    </w:rPr>
  </w:style>
  <w:style w:type="paragraph" w:customStyle="1" w:styleId="2009">
    <w:name w:val="CM2"/>
    <w:basedOn w:val="251"/>
    <w:next w:val="251"/>
    <w:qFormat/>
    <w:uiPriority w:val="99"/>
    <w:pPr>
      <w:spacing w:line="438" w:lineRule="atLeast"/>
    </w:pPr>
    <w:rPr>
      <w:rFonts w:ascii="Times New Roman" w:hAnsi="Calibri" w:cs="Times New Roman"/>
      <w:color w:val="auto"/>
      <w:kern w:val="2"/>
    </w:rPr>
  </w:style>
  <w:style w:type="paragraph" w:customStyle="1" w:styleId="2010">
    <w:name w:val="三级条标题"/>
    <w:basedOn w:val="1997"/>
    <w:next w:val="1"/>
    <w:qFormat/>
    <w:uiPriority w:val="0"/>
    <w:pPr>
      <w:tabs>
        <w:tab w:val="left" w:pos="2551"/>
      </w:tabs>
      <w:ind w:left="2551" w:hanging="850"/>
      <w:outlineLvl w:val="4"/>
    </w:pPr>
  </w:style>
  <w:style w:type="paragraph" w:customStyle="1" w:styleId="2011">
    <w:name w:val="10"/>
    <w:basedOn w:val="1"/>
    <w:next w:val="36"/>
    <w:qFormat/>
    <w:uiPriority w:val="0"/>
    <w:pPr>
      <w:widowControl w:val="0"/>
      <w:ind w:firstLine="570"/>
    </w:pPr>
    <w:rPr>
      <w:rFonts w:eastAsia="宋体"/>
      <w:color w:val="000000"/>
      <w:szCs w:val="24"/>
    </w:rPr>
  </w:style>
  <w:style w:type="paragraph" w:customStyle="1" w:styleId="2012">
    <w:name w:val="Char Char"/>
    <w:basedOn w:val="1"/>
    <w:qFormat/>
    <w:uiPriority w:val="0"/>
    <w:pPr>
      <w:widowControl w:val="0"/>
      <w:spacing w:line="240" w:lineRule="auto"/>
    </w:pPr>
    <w:rPr>
      <w:rFonts w:eastAsia="宋体"/>
      <w:sz w:val="21"/>
      <w:szCs w:val="24"/>
    </w:rPr>
  </w:style>
  <w:style w:type="paragraph" w:customStyle="1" w:styleId="2013">
    <w:name w:val="Normal Indent4"/>
    <w:basedOn w:val="1"/>
    <w:semiHidden/>
    <w:qFormat/>
    <w:uiPriority w:val="0"/>
    <w:pPr>
      <w:widowControl w:val="0"/>
      <w:spacing w:line="240" w:lineRule="auto"/>
      <w:ind w:firstLine="420" w:firstLineChars="200"/>
    </w:pPr>
    <w:rPr>
      <w:rFonts w:hint="eastAsia" w:eastAsia="宋体"/>
      <w:sz w:val="21"/>
      <w:szCs w:val="24"/>
    </w:rPr>
  </w:style>
  <w:style w:type="paragraph" w:customStyle="1" w:styleId="2014">
    <w:name w:val="样式 zhang正文 + (中文) 宋体"/>
    <w:basedOn w:val="1"/>
    <w:qFormat/>
    <w:uiPriority w:val="99"/>
    <w:pPr>
      <w:widowControl w:val="0"/>
      <w:autoSpaceDE w:val="0"/>
      <w:autoSpaceDN w:val="0"/>
      <w:ind w:firstLine="539"/>
      <w:textAlignment w:val="baseline"/>
    </w:pPr>
    <w:rPr>
      <w:rFonts w:eastAsia="宋体"/>
      <w:color w:val="000000"/>
      <w:kern w:val="0"/>
      <w:szCs w:val="20"/>
    </w:rPr>
  </w:style>
  <w:style w:type="paragraph" w:customStyle="1" w:styleId="2015">
    <w:name w:val="01"/>
    <w:basedOn w:val="1"/>
    <w:semiHidden/>
    <w:qFormat/>
    <w:uiPriority w:val="0"/>
    <w:pPr>
      <w:widowControl w:val="0"/>
      <w:adjustRightInd w:val="0"/>
      <w:snapToGrid w:val="0"/>
      <w:ind w:firstLine="200" w:firstLineChars="200"/>
    </w:pPr>
    <w:rPr>
      <w:rFonts w:ascii="宋体" w:hAnsi="宋体" w:eastAsia="宋体" w:cs="宋体"/>
      <w:szCs w:val="26"/>
    </w:rPr>
  </w:style>
  <w:style w:type="paragraph" w:customStyle="1" w:styleId="2016">
    <w:name w:val="样式 环保局表格 + 首行缩进:  2 字符1"/>
    <w:basedOn w:val="1834"/>
    <w:semiHidden/>
    <w:qFormat/>
    <w:uiPriority w:val="0"/>
    <w:pPr>
      <w:ind w:firstLine="420"/>
    </w:pPr>
    <w:rPr>
      <w:rFonts w:eastAsia="仿宋_GB2312" w:cs="宋体"/>
      <w:szCs w:val="20"/>
    </w:rPr>
  </w:style>
  <w:style w:type="paragraph" w:customStyle="1" w:styleId="2017">
    <w:name w:val="样式 标题 3 + (中文) 黑体"/>
    <w:basedOn w:val="5"/>
    <w:qFormat/>
    <w:uiPriority w:val="99"/>
    <w:pPr>
      <w:keepLines w:val="0"/>
      <w:widowControl w:val="0"/>
      <w:tabs>
        <w:tab w:val="left" w:pos="540"/>
        <w:tab w:val="left" w:pos="862"/>
      </w:tabs>
      <w:snapToGrid w:val="0"/>
      <w:spacing w:before="0" w:beforeLines="50" w:after="0" w:line="240" w:lineRule="auto"/>
      <w:jc w:val="center"/>
    </w:pPr>
    <w:rPr>
      <w:rFonts w:eastAsia="黑体"/>
      <w:b w:val="0"/>
      <w:bCs w:val="0"/>
      <w:sz w:val="24"/>
      <w:szCs w:val="28"/>
    </w:rPr>
  </w:style>
  <w:style w:type="paragraph" w:customStyle="1" w:styleId="2018">
    <w:name w:val="xl181"/>
    <w:basedOn w:val="1"/>
    <w:qFormat/>
    <w:uiPriority w:val="99"/>
    <w:pPr>
      <w:pBdr>
        <w:left w:val="single" w:color="auto" w:sz="4" w:space="0"/>
        <w:right w:val="single" w:color="auto" w:sz="4" w:space="0"/>
      </w:pBdr>
      <w:shd w:val="clear" w:color="000000" w:fill="FCD5B4"/>
      <w:spacing w:before="100" w:beforeAutospacing="1" w:after="100" w:afterAutospacing="1" w:line="240" w:lineRule="auto"/>
      <w:jc w:val="center"/>
    </w:pPr>
    <w:rPr>
      <w:rFonts w:ascii="宋体" w:hAnsi="宋体" w:eastAsia="宋体" w:cs="宋体"/>
      <w:color w:val="0000FF"/>
      <w:kern w:val="0"/>
    </w:rPr>
  </w:style>
  <w:style w:type="paragraph" w:customStyle="1" w:styleId="2019">
    <w:name w:val="SCIDI环评表格"/>
    <w:basedOn w:val="1"/>
    <w:qFormat/>
    <w:uiPriority w:val="99"/>
    <w:pPr>
      <w:widowControl w:val="0"/>
      <w:spacing w:line="240" w:lineRule="auto"/>
      <w:jc w:val="center"/>
      <w:textAlignment w:val="baseline"/>
    </w:pPr>
    <w:rPr>
      <w:rFonts w:eastAsia="宋体"/>
      <w:kern w:val="0"/>
      <w:sz w:val="21"/>
      <w:szCs w:val="21"/>
    </w:rPr>
  </w:style>
  <w:style w:type="paragraph" w:customStyle="1" w:styleId="2020">
    <w:name w:val="五级条标题"/>
    <w:basedOn w:val="2021"/>
    <w:next w:val="1"/>
    <w:qFormat/>
    <w:uiPriority w:val="0"/>
    <w:pPr>
      <w:tabs>
        <w:tab w:val="left" w:pos="360"/>
        <w:tab w:val="left" w:pos="720"/>
        <w:tab w:val="left" w:pos="2356"/>
        <w:tab w:val="left" w:pos="2551"/>
        <w:tab w:val="left" w:pos="3566"/>
        <w:tab w:val="left" w:pos="4351"/>
      </w:tabs>
      <w:ind w:left="3827" w:hanging="1276"/>
      <w:outlineLvl w:val="6"/>
    </w:pPr>
  </w:style>
  <w:style w:type="paragraph" w:customStyle="1" w:styleId="2021">
    <w:name w:val="四级条标题"/>
    <w:basedOn w:val="2010"/>
    <w:next w:val="1"/>
    <w:qFormat/>
    <w:uiPriority w:val="0"/>
    <w:pPr>
      <w:tabs>
        <w:tab w:val="left" w:pos="3566"/>
      </w:tabs>
      <w:ind w:left="3260" w:hanging="1134"/>
      <w:outlineLvl w:val="5"/>
    </w:pPr>
  </w:style>
  <w:style w:type="paragraph" w:customStyle="1" w:styleId="2022">
    <w:name w:val="1.1.1.1报告标题"/>
    <w:qFormat/>
    <w:uiPriority w:val="99"/>
    <w:pPr>
      <w:spacing w:line="360" w:lineRule="auto"/>
      <w:jc w:val="both"/>
    </w:pPr>
    <w:rPr>
      <w:rFonts w:ascii="Calibri" w:hAnsi="Calibri" w:eastAsia="黑体" w:cs="Times New Roman"/>
      <w:spacing w:val="4"/>
      <w:kern w:val="2"/>
      <w:sz w:val="24"/>
      <w:szCs w:val="22"/>
      <w:lang w:val="en-US" w:eastAsia="zh-CN" w:bidi="ar-SA"/>
    </w:rPr>
  </w:style>
  <w:style w:type="paragraph" w:customStyle="1" w:styleId="2023">
    <w:name w:val="小字体表格"/>
    <w:basedOn w:val="1"/>
    <w:qFormat/>
    <w:uiPriority w:val="99"/>
    <w:pPr>
      <w:widowControl w:val="0"/>
      <w:spacing w:line="240" w:lineRule="auto"/>
      <w:jc w:val="center"/>
    </w:pPr>
    <w:rPr>
      <w:rFonts w:eastAsia="宋体"/>
      <w:kern w:val="0"/>
      <w:sz w:val="21"/>
      <w:szCs w:val="20"/>
    </w:rPr>
  </w:style>
  <w:style w:type="paragraph" w:customStyle="1" w:styleId="2024">
    <w:name w:val="样式 样式 左侧:  2 字符 + 首行缩进:  2 字符 Char"/>
    <w:basedOn w:val="1"/>
    <w:qFormat/>
    <w:uiPriority w:val="99"/>
    <w:pPr>
      <w:widowControl w:val="0"/>
      <w:tabs>
        <w:tab w:val="left" w:pos="540"/>
      </w:tabs>
      <w:ind w:firstLine="478" w:firstLineChars="199"/>
    </w:pPr>
    <w:rPr>
      <w:rFonts w:ascii="宋体" w:hAnsi="宋体" w:eastAsia="宋体"/>
      <w:bCs/>
    </w:rPr>
  </w:style>
  <w:style w:type="paragraph" w:customStyle="1" w:styleId="2025">
    <w:name w:val="xl51"/>
    <w:basedOn w:val="1"/>
    <w:qFormat/>
    <w:uiPriority w:val="0"/>
    <w:pPr>
      <w:pBdr>
        <w:bottom w:val="single" w:color="auto" w:sz="4" w:space="0"/>
        <w:right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026">
    <w:name w:val="Char Char Char Char Char Char Char Char Char Char Char Char Char Char Char"/>
    <w:basedOn w:val="1"/>
    <w:qFormat/>
    <w:uiPriority w:val="0"/>
    <w:pPr>
      <w:widowControl w:val="0"/>
      <w:spacing w:line="240" w:lineRule="auto"/>
    </w:pPr>
    <w:rPr>
      <w:rFonts w:eastAsia="宋体"/>
      <w:sz w:val="21"/>
      <w:szCs w:val="24"/>
    </w:rPr>
  </w:style>
  <w:style w:type="paragraph" w:customStyle="1" w:styleId="2027">
    <w:name w:val="标题12"/>
    <w:basedOn w:val="1"/>
    <w:next w:val="1"/>
    <w:semiHidden/>
    <w:qFormat/>
    <w:uiPriority w:val="99"/>
    <w:pPr>
      <w:widowControl w:val="0"/>
      <w:spacing w:before="120" w:after="120"/>
    </w:pPr>
    <w:rPr>
      <w:rFonts w:eastAsia="仿宋_GB2312"/>
      <w:b/>
      <w:sz w:val="32"/>
      <w:szCs w:val="20"/>
    </w:rPr>
  </w:style>
  <w:style w:type="paragraph" w:customStyle="1" w:styleId="2028">
    <w:name w:val="font0"/>
    <w:basedOn w:val="1"/>
    <w:qFormat/>
    <w:uiPriority w:val="0"/>
    <w:pPr>
      <w:spacing w:before="100" w:after="100" w:line="240" w:lineRule="auto"/>
      <w:jc w:val="left"/>
    </w:pPr>
    <w:rPr>
      <w:rFonts w:ascii="宋体" w:hAnsi="宋体" w:eastAsia="宋体"/>
      <w:kern w:val="0"/>
      <w:szCs w:val="24"/>
    </w:rPr>
  </w:style>
  <w:style w:type="paragraph" w:customStyle="1" w:styleId="2029">
    <w:name w:val="xl47"/>
    <w:basedOn w:val="1"/>
    <w:qFormat/>
    <w:uiPriority w:val="0"/>
    <w:pPr>
      <w:pBdr>
        <w:top w:val="single" w:color="auto" w:sz="4" w:space="0"/>
        <w:bottom w:val="single" w:color="auto" w:sz="4" w:space="0"/>
        <w:right w:val="single" w:color="auto" w:sz="4" w:space="0"/>
      </w:pBdr>
      <w:spacing w:before="100" w:after="100" w:line="240" w:lineRule="auto"/>
      <w:jc w:val="center"/>
      <w:textAlignment w:val="center"/>
    </w:pPr>
    <w:rPr>
      <w:rFonts w:eastAsia="宋体"/>
      <w:kern w:val="0"/>
      <w:szCs w:val="24"/>
    </w:rPr>
  </w:style>
  <w:style w:type="paragraph" w:customStyle="1" w:styleId="2030">
    <w:name w:val="小标题3"/>
    <w:basedOn w:val="1"/>
    <w:qFormat/>
    <w:uiPriority w:val="99"/>
    <w:pPr>
      <w:widowControl w:val="0"/>
      <w:tabs>
        <w:tab w:val="left" w:pos="1174"/>
      </w:tabs>
      <w:adjustRightInd w:val="0"/>
      <w:snapToGrid w:val="0"/>
      <w:spacing w:beforeLines="50" w:line="240" w:lineRule="auto"/>
      <w:ind w:firstLine="454"/>
      <w:jc w:val="left"/>
    </w:pPr>
    <w:rPr>
      <w:rFonts w:ascii="宋体" w:hAnsi="宋体" w:eastAsia="宋体"/>
      <w:color w:val="000000"/>
      <w:szCs w:val="24"/>
    </w:rPr>
  </w:style>
  <w:style w:type="paragraph" w:customStyle="1" w:styleId="2031">
    <w:name w:val="pa-2"/>
    <w:basedOn w:val="1"/>
    <w:qFormat/>
    <w:uiPriority w:val="99"/>
    <w:pPr>
      <w:spacing w:before="100" w:beforeAutospacing="1" w:after="100" w:afterAutospacing="1" w:line="240" w:lineRule="auto"/>
      <w:jc w:val="left"/>
    </w:pPr>
    <w:rPr>
      <w:rFonts w:ascii="宋体" w:hAnsi="宋体" w:eastAsia="宋体" w:cs="宋体"/>
      <w:kern w:val="0"/>
      <w:szCs w:val="24"/>
    </w:rPr>
  </w:style>
  <w:style w:type="paragraph" w:customStyle="1" w:styleId="2032">
    <w:name w:val="Char Char Char Char Char Char Char Char Char Char Char Char Char Char Char Char Char Char Char Char Char Char Char Char2"/>
    <w:basedOn w:val="1"/>
    <w:qFormat/>
    <w:uiPriority w:val="99"/>
    <w:pPr>
      <w:widowControl w:val="0"/>
      <w:spacing w:line="240" w:lineRule="auto"/>
    </w:pPr>
    <w:rPr>
      <w:rFonts w:eastAsia="宋体"/>
      <w:sz w:val="21"/>
      <w:szCs w:val="24"/>
    </w:rPr>
  </w:style>
  <w:style w:type="paragraph" w:customStyle="1" w:styleId="2033">
    <w:name w:val="reader-word-layer reader-word-s1-11"/>
    <w:basedOn w:val="1"/>
    <w:qFormat/>
    <w:uiPriority w:val="0"/>
    <w:pPr>
      <w:spacing w:before="100" w:beforeAutospacing="1" w:after="100" w:afterAutospacing="1" w:line="240" w:lineRule="auto"/>
      <w:jc w:val="left"/>
    </w:pPr>
    <w:rPr>
      <w:rFonts w:ascii="宋体" w:hAnsi="宋体" w:eastAsia="宋体" w:cs="宋体"/>
      <w:kern w:val="0"/>
      <w:szCs w:val="24"/>
    </w:rPr>
  </w:style>
  <w:style w:type="paragraph" w:customStyle="1" w:styleId="2034">
    <w:name w:val="Char Char Char Char Char Char Char Char Char Char Char Char Char Char Char Char Char Char Char Char Char"/>
    <w:basedOn w:val="1"/>
    <w:qFormat/>
    <w:uiPriority w:val="99"/>
    <w:pPr>
      <w:widowControl w:val="0"/>
      <w:spacing w:line="240" w:lineRule="auto"/>
    </w:pPr>
    <w:rPr>
      <w:rFonts w:eastAsia="宋体"/>
      <w:sz w:val="21"/>
      <w:szCs w:val="24"/>
    </w:rPr>
  </w:style>
  <w:style w:type="paragraph" w:customStyle="1" w:styleId="2035">
    <w:name w:val="文档标签"/>
    <w:basedOn w:val="1"/>
    <w:next w:val="1"/>
    <w:qFormat/>
    <w:uiPriority w:val="99"/>
    <w:pPr>
      <w:keepNext/>
      <w:keepLines/>
      <w:widowControl w:val="0"/>
      <w:spacing w:before="160" w:line="220" w:lineRule="atLeast"/>
      <w:ind w:firstLine="482"/>
    </w:pPr>
    <w:rPr>
      <w:rFonts w:eastAsia="宋体"/>
      <w:spacing w:val="-30"/>
      <w:kern w:val="28"/>
      <w:sz w:val="60"/>
      <w:szCs w:val="20"/>
    </w:rPr>
  </w:style>
  <w:style w:type="paragraph" w:customStyle="1" w:styleId="2036">
    <w:name w:val="文字块2"/>
    <w:basedOn w:val="1"/>
    <w:qFormat/>
    <w:uiPriority w:val="99"/>
    <w:pPr>
      <w:widowControl w:val="0"/>
      <w:spacing w:line="240" w:lineRule="auto"/>
      <w:jc w:val="right"/>
      <w:textAlignment w:val="baseline"/>
    </w:pPr>
    <w:rPr>
      <w:rFonts w:ascii="Arial" w:hAnsi="Arial" w:eastAsia="宋体"/>
      <w:kern w:val="18"/>
      <w:sz w:val="18"/>
      <w:szCs w:val="20"/>
    </w:rPr>
  </w:style>
  <w:style w:type="paragraph" w:customStyle="1" w:styleId="2037">
    <w:name w:val="正文001"/>
    <w:basedOn w:val="1"/>
    <w:qFormat/>
    <w:uiPriority w:val="99"/>
    <w:pPr>
      <w:widowControl w:val="0"/>
      <w:spacing w:before="60"/>
    </w:pPr>
    <w:rPr>
      <w:rFonts w:ascii="Arial" w:hAnsi="Arial" w:eastAsia="宋体" w:cs="Arial"/>
      <w:szCs w:val="20"/>
    </w:rPr>
  </w:style>
  <w:style w:type="paragraph" w:customStyle="1" w:styleId="2038">
    <w:name w:val="正文文本 22"/>
    <w:basedOn w:val="1"/>
    <w:qFormat/>
    <w:uiPriority w:val="99"/>
    <w:pPr>
      <w:widowControl w:val="0"/>
      <w:overflowPunct w:val="0"/>
      <w:autoSpaceDE w:val="0"/>
      <w:autoSpaceDN w:val="0"/>
      <w:adjustRightInd w:val="0"/>
      <w:spacing w:after="120"/>
      <w:textAlignment w:val="baseline"/>
    </w:pPr>
    <w:rPr>
      <w:rFonts w:eastAsia="宋体"/>
      <w:szCs w:val="20"/>
    </w:rPr>
  </w:style>
  <w:style w:type="paragraph" w:customStyle="1" w:styleId="2039">
    <w:name w:val="正文文本缩进 31"/>
    <w:basedOn w:val="1"/>
    <w:semiHidden/>
    <w:qFormat/>
    <w:uiPriority w:val="99"/>
    <w:pPr>
      <w:widowControl w:val="0"/>
      <w:autoSpaceDE w:val="0"/>
      <w:autoSpaceDN w:val="0"/>
      <w:adjustRightInd w:val="0"/>
      <w:spacing w:line="520" w:lineRule="exact"/>
      <w:ind w:firstLine="540" w:firstLineChars="200"/>
      <w:jc w:val="left"/>
      <w:textAlignment w:val="baseline"/>
    </w:pPr>
    <w:rPr>
      <w:rFonts w:ascii="宋体" w:hAnsi="Tms Rmn" w:eastAsia="仿宋_GB2312"/>
      <w:spacing w:val="4"/>
      <w:kern w:val="0"/>
      <w:sz w:val="28"/>
      <w:szCs w:val="20"/>
    </w:rPr>
  </w:style>
  <w:style w:type="paragraph" w:customStyle="1" w:styleId="2040">
    <w:name w:val="Char Char2 Char Char"/>
    <w:basedOn w:val="1"/>
    <w:qFormat/>
    <w:uiPriority w:val="99"/>
    <w:pPr>
      <w:widowControl w:val="0"/>
      <w:spacing w:line="240" w:lineRule="auto"/>
    </w:pPr>
    <w:rPr>
      <w:rFonts w:eastAsia="宋体"/>
    </w:rPr>
  </w:style>
  <w:style w:type="paragraph" w:customStyle="1" w:styleId="2041">
    <w:name w:val="样式 标题 1 + 段后: 0 磅"/>
    <w:basedOn w:val="3"/>
    <w:qFormat/>
    <w:uiPriority w:val="99"/>
    <w:pPr>
      <w:widowControl w:val="0"/>
      <w:tabs>
        <w:tab w:val="left" w:pos="240"/>
        <w:tab w:val="left" w:pos="432"/>
      </w:tabs>
      <w:adjustRightInd w:val="0"/>
      <w:snapToGrid w:val="0"/>
      <w:spacing w:before="0" w:beforeLines="50" w:after="0" w:line="500" w:lineRule="exact"/>
      <w:ind w:left="432" w:hanging="432"/>
      <w:jc w:val="left"/>
      <w:textAlignment w:val="baseline"/>
    </w:pPr>
    <w:rPr>
      <w:rFonts w:ascii="Arial" w:hAnsi="Arial" w:eastAsia="黑体"/>
      <w:spacing w:val="4"/>
      <w:sz w:val="32"/>
      <w:szCs w:val="32"/>
    </w:rPr>
  </w:style>
  <w:style w:type="paragraph" w:customStyle="1" w:styleId="2042">
    <w:name w:val="表格文字两端对齐"/>
    <w:basedOn w:val="1"/>
    <w:qFormat/>
    <w:uiPriority w:val="99"/>
    <w:pPr>
      <w:widowControl w:val="0"/>
      <w:spacing w:line="300" w:lineRule="auto"/>
      <w:jc w:val="center"/>
    </w:pPr>
    <w:rPr>
      <w:rFonts w:ascii="Arial Narrow" w:hAnsi="Arial Narrow" w:eastAsia="仿宋_GB2312"/>
      <w:sz w:val="21"/>
    </w:rPr>
  </w:style>
  <w:style w:type="paragraph" w:customStyle="1" w:styleId="2043">
    <w:name w:val="Char1 Char Char"/>
    <w:basedOn w:val="1"/>
    <w:qFormat/>
    <w:uiPriority w:val="99"/>
    <w:pPr>
      <w:widowControl w:val="0"/>
      <w:spacing w:line="240" w:lineRule="auto"/>
    </w:pPr>
    <w:rPr>
      <w:rFonts w:eastAsia="仿宋_GB2312"/>
      <w:sz w:val="21"/>
      <w:szCs w:val="21"/>
    </w:rPr>
  </w:style>
  <w:style w:type="paragraph" w:customStyle="1" w:styleId="2044">
    <w:name w:val="Char Char Char Char Char Char Char Char Char Char Char1 Char Char Char Char Char Char Char Char Char"/>
    <w:basedOn w:val="1"/>
    <w:qFormat/>
    <w:uiPriority w:val="99"/>
    <w:pPr>
      <w:widowControl w:val="0"/>
      <w:spacing w:line="240" w:lineRule="auto"/>
    </w:pPr>
    <w:rPr>
      <w:rFonts w:eastAsia="宋体"/>
      <w:sz w:val="21"/>
      <w:szCs w:val="24"/>
    </w:rPr>
  </w:style>
  <w:style w:type="paragraph" w:customStyle="1" w:styleId="2045">
    <w:name w:val="正常1"/>
    <w:qFormat/>
    <w:uiPriority w:val="99"/>
    <w:pPr>
      <w:widowControl w:val="0"/>
      <w:adjustRightInd w:val="0"/>
      <w:spacing w:line="312" w:lineRule="atLeast"/>
      <w:jc w:val="both"/>
      <w:textAlignment w:val="baseline"/>
    </w:pPr>
    <w:rPr>
      <w:rFonts w:ascii="Arial" w:hAnsi="Calibri" w:eastAsia="楷体_GB2312" w:cs="Times New Roman"/>
      <w:spacing w:val="-6"/>
      <w:kern w:val="2"/>
      <w:sz w:val="28"/>
      <w:szCs w:val="22"/>
      <w:lang w:val="en-US" w:eastAsia="zh-CN" w:bidi="ar-SA"/>
    </w:rPr>
  </w:style>
  <w:style w:type="paragraph" w:customStyle="1" w:styleId="2046">
    <w:name w:val="Char Char Char1"/>
    <w:basedOn w:val="1"/>
    <w:qFormat/>
    <w:uiPriority w:val="99"/>
    <w:pPr>
      <w:widowControl w:val="0"/>
      <w:spacing w:line="240" w:lineRule="auto"/>
    </w:pPr>
    <w:rPr>
      <w:rFonts w:eastAsia="宋体"/>
      <w:sz w:val="21"/>
      <w:szCs w:val="24"/>
    </w:rPr>
  </w:style>
  <w:style w:type="character" w:customStyle="1" w:styleId="2047">
    <w:name w:val="z-窗体底端 Char5"/>
    <w:basedOn w:val="134"/>
    <w:semiHidden/>
    <w:uiPriority w:val="99"/>
    <w:rPr>
      <w:rFonts w:ascii="Arial" w:hAnsi="Arial" w:cs="Arial"/>
      <w:vanish/>
      <w:sz w:val="16"/>
      <w:szCs w:val="16"/>
    </w:rPr>
  </w:style>
  <w:style w:type="paragraph" w:customStyle="1" w:styleId="2048">
    <w:name w:val="样式 标题 2 + 段前: 1 行1"/>
    <w:basedOn w:val="4"/>
    <w:qFormat/>
    <w:uiPriority w:val="99"/>
    <w:pPr>
      <w:widowControl w:val="0"/>
      <w:tabs>
        <w:tab w:val="left" w:pos="576"/>
        <w:tab w:val="left" w:pos="3128"/>
      </w:tabs>
      <w:adjustRightInd w:val="0"/>
      <w:snapToGrid w:val="0"/>
      <w:spacing w:before="0" w:beforeLines="50" w:after="0" w:line="500" w:lineRule="exact"/>
      <w:ind w:left="576" w:hanging="576"/>
      <w:textAlignment w:val="baseline"/>
    </w:pPr>
    <w:rPr>
      <w:rFonts w:ascii="宋体" w:hAnsi="宋体" w:eastAsia="宋体"/>
      <w:b w:val="0"/>
      <w:color w:val="000000"/>
      <w:spacing w:val="4"/>
      <w:kern w:val="0"/>
      <w:sz w:val="28"/>
      <w:szCs w:val="28"/>
    </w:rPr>
  </w:style>
  <w:style w:type="paragraph" w:customStyle="1" w:styleId="2049">
    <w:name w:val="Char Char Char1 Char Char Char"/>
    <w:basedOn w:val="1"/>
    <w:qFormat/>
    <w:uiPriority w:val="99"/>
    <w:pPr>
      <w:widowControl w:val="0"/>
      <w:spacing w:line="240" w:lineRule="auto"/>
    </w:pPr>
    <w:rPr>
      <w:rFonts w:eastAsia="宋体"/>
      <w:sz w:val="21"/>
      <w:szCs w:val="20"/>
    </w:rPr>
  </w:style>
  <w:style w:type="paragraph" w:customStyle="1" w:styleId="2050">
    <w:name w:val="明显引用1"/>
    <w:basedOn w:val="1"/>
    <w:next w:val="1"/>
    <w:qFormat/>
    <w:uiPriority w:val="0"/>
    <w:pPr>
      <w:spacing w:line="240" w:lineRule="auto"/>
      <w:ind w:left="720" w:right="720"/>
      <w:jc w:val="left"/>
    </w:pPr>
    <w:rPr>
      <w:rFonts w:ascii="Calibri" w:hAnsi="Calibri" w:eastAsia="宋体"/>
      <w:b/>
      <w:i/>
      <w:kern w:val="0"/>
    </w:rPr>
  </w:style>
  <w:style w:type="paragraph" w:customStyle="1" w:styleId="2051">
    <w:name w:val="Char Char Char Char Char Char Char Char Char Char Char Char Char Char Char Char Char Char1 Char Char Char Char"/>
    <w:basedOn w:val="1"/>
    <w:qFormat/>
    <w:uiPriority w:val="99"/>
    <w:pPr>
      <w:spacing w:after="160" w:line="240" w:lineRule="exact"/>
      <w:jc w:val="left"/>
    </w:pPr>
    <w:rPr>
      <w:rFonts w:ascii="Verdana" w:hAnsi="Verdana" w:eastAsia="宋体"/>
      <w:kern w:val="0"/>
      <w:sz w:val="20"/>
      <w:szCs w:val="20"/>
      <w:lang w:eastAsia="en-US"/>
    </w:rPr>
  </w:style>
  <w:style w:type="paragraph" w:customStyle="1" w:styleId="2052">
    <w:name w:val="表格式"/>
    <w:basedOn w:val="67"/>
    <w:qFormat/>
    <w:uiPriority w:val="99"/>
    <w:pPr>
      <w:ind w:left="0" w:firstLine="0" w:firstLineChars="0"/>
      <w:contextualSpacing w:val="0"/>
      <w:jc w:val="center"/>
    </w:pPr>
    <w:rPr>
      <w:rFonts w:ascii="Calibri" w:hAnsi="Calibri" w:eastAsia="宋体" w:cs="Times New Roman"/>
      <w:snapToGrid w:val="0"/>
      <w:kern w:val="21"/>
      <w:sz w:val="21"/>
      <w:szCs w:val="27"/>
    </w:rPr>
  </w:style>
  <w:style w:type="paragraph" w:customStyle="1" w:styleId="2053">
    <w:name w:val="xl27"/>
    <w:basedOn w:val="1"/>
    <w:qFormat/>
    <w:uiPriority w:val="0"/>
    <w:pPr>
      <w:pBdr>
        <w:top w:val="single" w:color="auto" w:sz="4"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054">
    <w:name w:val="表中文字1"/>
    <w:semiHidden/>
    <w:qFormat/>
    <w:uiPriority w:val="99"/>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055">
    <w:name w:val="样式 正文文本缩进 3 + 宋体 四号 黑色"/>
    <w:basedOn w:val="1"/>
    <w:qFormat/>
    <w:uiPriority w:val="99"/>
    <w:pPr>
      <w:widowControl w:val="0"/>
      <w:spacing w:after="120" w:line="500" w:lineRule="exact"/>
      <w:ind w:left="420" w:leftChars="200"/>
      <w:jc w:val="left"/>
    </w:pPr>
    <w:rPr>
      <w:rFonts w:ascii="宋体" w:hAnsi="宋体" w:eastAsia="宋体"/>
      <w:color w:val="000000"/>
      <w:kern w:val="0"/>
      <w:szCs w:val="16"/>
    </w:rPr>
  </w:style>
  <w:style w:type="paragraph" w:customStyle="1" w:styleId="2056">
    <w:name w:val="Char Char Char Char Char Char Char Char Char Char Char Char Char Char Char2"/>
    <w:basedOn w:val="1"/>
    <w:semiHidden/>
    <w:qFormat/>
    <w:uiPriority w:val="99"/>
    <w:pPr>
      <w:widowControl w:val="0"/>
      <w:spacing w:line="240" w:lineRule="auto"/>
    </w:pPr>
    <w:rPr>
      <w:rFonts w:ascii="宋体" w:hAnsi="宋体" w:eastAsia="宋体" w:cs="宋体"/>
      <w:szCs w:val="24"/>
    </w:rPr>
  </w:style>
  <w:style w:type="paragraph" w:customStyle="1" w:styleId="2057">
    <w:name w:val="样式9"/>
    <w:basedOn w:val="1"/>
    <w:qFormat/>
    <w:uiPriority w:val="0"/>
    <w:pPr>
      <w:widowControl w:val="0"/>
      <w:adjustRightInd w:val="0"/>
      <w:snapToGrid w:val="0"/>
      <w:spacing w:line="480" w:lineRule="exact"/>
      <w:ind w:firstLine="500" w:firstLineChars="500"/>
    </w:pPr>
    <w:rPr>
      <w:rFonts w:eastAsia="宋体"/>
      <w:sz w:val="26"/>
      <w:szCs w:val="26"/>
    </w:rPr>
  </w:style>
  <w:style w:type="paragraph" w:customStyle="1" w:styleId="2058">
    <w:name w:val="标题21"/>
    <w:basedOn w:val="4"/>
    <w:semiHidden/>
    <w:qFormat/>
    <w:uiPriority w:val="99"/>
    <w:pPr>
      <w:widowControl w:val="0"/>
      <w:tabs>
        <w:tab w:val="left" w:pos="0"/>
        <w:tab w:val="left" w:pos="1019"/>
      </w:tabs>
      <w:spacing w:before="0" w:beforeLines="50" w:after="0" w:line="312" w:lineRule="auto"/>
      <w:ind w:left="1019" w:hanging="420"/>
      <w:textAlignment w:val="baseline"/>
    </w:pPr>
    <w:rPr>
      <w:rFonts w:ascii="Times New Roman" w:hAnsi="Times New Roman" w:eastAsia="仿宋_GB2312"/>
      <w:bCs w:val="0"/>
      <w:kern w:val="0"/>
      <w:sz w:val="28"/>
      <w:szCs w:val="20"/>
    </w:rPr>
  </w:style>
  <w:style w:type="paragraph" w:customStyle="1" w:styleId="2059">
    <w:name w:val="样式 首行缩进:  0.75 厘米 段前: 0.1 行 段后: 0.1 行"/>
    <w:basedOn w:val="1"/>
    <w:semiHidden/>
    <w:qFormat/>
    <w:uiPriority w:val="0"/>
    <w:pPr>
      <w:widowControl w:val="0"/>
      <w:adjustRightInd w:val="0"/>
      <w:snapToGrid w:val="0"/>
      <w:ind w:firstLine="425" w:firstLineChars="200"/>
    </w:pPr>
    <w:rPr>
      <w:rFonts w:eastAsia="宋体" w:cs="宋体"/>
      <w:snapToGrid w:val="0"/>
      <w:kern w:val="24"/>
      <w:szCs w:val="24"/>
    </w:rPr>
  </w:style>
  <w:style w:type="paragraph" w:customStyle="1" w:styleId="2060">
    <w:name w:val="Style Heading 3§1.1.1.H3标题 3zym条标题1.1.1标题 3 Charh3level_3PI...1"/>
    <w:basedOn w:val="5"/>
    <w:qFormat/>
    <w:uiPriority w:val="99"/>
    <w:pPr>
      <w:widowControl w:val="0"/>
      <w:tabs>
        <w:tab w:val="left" w:pos="-1418"/>
        <w:tab w:val="left" w:pos="0"/>
        <w:tab w:val="left" w:pos="360"/>
      </w:tabs>
      <w:overflowPunct w:val="0"/>
      <w:autoSpaceDE w:val="0"/>
      <w:autoSpaceDN w:val="0"/>
      <w:spacing w:before="0" w:line="264" w:lineRule="auto"/>
      <w:ind w:left="360" w:hanging="1411" w:hangingChars="200"/>
      <w:textAlignment w:val="baseline"/>
    </w:pPr>
    <w:rPr>
      <w:rFonts w:ascii="Book Antiqua" w:hAnsi="Book Antiqua" w:eastAsia="宋体"/>
      <w:i/>
      <w:iCs/>
      <w:kern w:val="28"/>
      <w:sz w:val="24"/>
    </w:rPr>
  </w:style>
  <w:style w:type="paragraph" w:customStyle="1" w:styleId="2061">
    <w:name w:val="样式 首行缩进:  0 字符"/>
    <w:basedOn w:val="1"/>
    <w:qFormat/>
    <w:uiPriority w:val="99"/>
    <w:pPr>
      <w:widowControl w:val="0"/>
      <w:spacing w:line="500" w:lineRule="exact"/>
      <w:ind w:firstLine="200" w:firstLineChars="200"/>
    </w:pPr>
    <w:rPr>
      <w:rFonts w:eastAsia="宋体"/>
      <w:szCs w:val="20"/>
    </w:rPr>
  </w:style>
  <w:style w:type="paragraph" w:customStyle="1" w:styleId="2062">
    <w:name w:val="样式 标题 2 + 段前: 0.25 行 段后: 0.25 行"/>
    <w:basedOn w:val="4"/>
    <w:semiHidden/>
    <w:qFormat/>
    <w:uiPriority w:val="0"/>
    <w:pPr>
      <w:widowControl w:val="0"/>
      <w:spacing w:before="240" w:after="0" w:afterLines="50" w:line="360" w:lineRule="auto"/>
      <w:jc w:val="left"/>
    </w:pPr>
    <w:rPr>
      <w:rFonts w:ascii="Arial" w:hAnsi="Arial" w:eastAsia="宋体" w:cs="宋体"/>
      <w:b w:val="0"/>
      <w:snapToGrid w:val="0"/>
      <w:color w:val="000000"/>
      <w:kern w:val="24"/>
      <w:sz w:val="30"/>
      <w:szCs w:val="28"/>
    </w:rPr>
  </w:style>
  <w:style w:type="paragraph" w:customStyle="1" w:styleId="2063">
    <w:name w:val="bgbt"/>
    <w:basedOn w:val="1"/>
    <w:qFormat/>
    <w:uiPriority w:val="99"/>
    <w:pPr>
      <w:widowControl w:val="0"/>
      <w:jc w:val="center"/>
    </w:pPr>
    <w:rPr>
      <w:rFonts w:ascii="宋体" w:hAnsi="宋体" w:eastAsia="宋体"/>
      <w:b/>
      <w:color w:val="0000FF"/>
      <w:kern w:val="0"/>
      <w:sz w:val="21"/>
      <w:szCs w:val="21"/>
    </w:rPr>
  </w:style>
  <w:style w:type="paragraph" w:customStyle="1" w:styleId="2064">
    <w:name w:val="环保正文1"/>
    <w:basedOn w:val="1"/>
    <w:semiHidden/>
    <w:qFormat/>
    <w:uiPriority w:val="0"/>
    <w:pPr>
      <w:widowControl w:val="0"/>
      <w:adjustRightInd w:val="0"/>
      <w:snapToGrid w:val="0"/>
      <w:ind w:firstLine="480" w:firstLineChars="200"/>
    </w:pPr>
    <w:rPr>
      <w:rFonts w:eastAsia="宋体" w:cs="宋体"/>
      <w:snapToGrid w:val="0"/>
      <w:kern w:val="24"/>
      <w:szCs w:val="24"/>
    </w:rPr>
  </w:style>
  <w:style w:type="paragraph" w:customStyle="1" w:styleId="2065">
    <w:name w:val="样式 目录 2 + 左侧:  1 字符 段前: 0.1 行"/>
    <w:basedOn w:val="75"/>
    <w:qFormat/>
    <w:uiPriority w:val="99"/>
    <w:pPr>
      <w:widowControl w:val="0"/>
      <w:tabs>
        <w:tab w:val="left" w:pos="142"/>
        <w:tab w:val="left" w:pos="720"/>
        <w:tab w:val="right" w:leader="dot" w:pos="8891"/>
      </w:tabs>
      <w:spacing w:beforeLines="10" w:line="240" w:lineRule="auto"/>
      <w:ind w:left="240" w:leftChars="100"/>
      <w:textAlignment w:val="baseline"/>
    </w:pPr>
    <w:rPr>
      <w:rFonts w:eastAsia="宋体" w:cs="宋体"/>
      <w:kern w:val="0"/>
      <w:sz w:val="21"/>
      <w:szCs w:val="20"/>
    </w:rPr>
  </w:style>
  <w:style w:type="paragraph" w:customStyle="1" w:styleId="2066">
    <w:name w:val="样式 标题 1标题 1 Char + 右侧:  0.4 厘米 段前: 0 磅"/>
    <w:basedOn w:val="3"/>
    <w:semiHidden/>
    <w:qFormat/>
    <w:uiPriority w:val="0"/>
    <w:pPr>
      <w:keepNext w:val="0"/>
      <w:keepLines w:val="0"/>
      <w:pageBreakBefore/>
      <w:tabs>
        <w:tab w:val="left" w:pos="1280"/>
      </w:tabs>
      <w:adjustRightInd w:val="0"/>
      <w:spacing w:before="0" w:after="60" w:line="312" w:lineRule="auto"/>
      <w:ind w:left="1280" w:hanging="360" w:firstLineChars="200"/>
      <w:jc w:val="left"/>
      <w:textAlignment w:val="baseline"/>
    </w:pPr>
    <w:rPr>
      <w:rFonts w:ascii="Arial" w:hAnsi="Arial" w:eastAsia="黑体" w:cs="宋体"/>
      <w:b w:val="0"/>
      <w:kern w:val="0"/>
      <w:sz w:val="30"/>
      <w:szCs w:val="30"/>
    </w:rPr>
  </w:style>
  <w:style w:type="paragraph" w:customStyle="1" w:styleId="2067">
    <w:name w:val="xl22"/>
    <w:basedOn w:val="1"/>
    <w:qFormat/>
    <w:uiPriority w:val="0"/>
    <w:pPr>
      <w:pBdr>
        <w:left w:val="single" w:color="auto" w:sz="8"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068">
    <w:name w:val="环保正文2"/>
    <w:basedOn w:val="1882"/>
    <w:semiHidden/>
    <w:qFormat/>
    <w:uiPriority w:val="0"/>
    <w:pPr>
      <w:adjustRightInd w:val="0"/>
      <w:snapToGrid w:val="0"/>
      <w:spacing w:line="360" w:lineRule="auto"/>
      <w:ind w:firstLine="480" w:firstLineChars="200"/>
    </w:pPr>
    <w:rPr>
      <w:snapToGrid w:val="0"/>
      <w:kern w:val="24"/>
      <w:sz w:val="24"/>
    </w:rPr>
  </w:style>
  <w:style w:type="paragraph" w:customStyle="1" w:styleId="2069">
    <w:name w:val="表、图名"/>
    <w:basedOn w:val="1"/>
    <w:qFormat/>
    <w:uiPriority w:val="0"/>
    <w:pPr>
      <w:widowControl w:val="0"/>
      <w:adjustRightInd w:val="0"/>
      <w:snapToGrid w:val="0"/>
      <w:ind w:left="-6" w:firstLine="200" w:firstLineChars="200"/>
      <w:jc w:val="center"/>
    </w:pPr>
    <w:rPr>
      <w:rFonts w:eastAsia="黑体"/>
      <w:kern w:val="0"/>
      <w:szCs w:val="24"/>
    </w:rPr>
  </w:style>
  <w:style w:type="paragraph" w:customStyle="1" w:styleId="2070">
    <w:name w:val="样式 标题 2 + 段前: 0.5 行"/>
    <w:basedOn w:val="4"/>
    <w:qFormat/>
    <w:uiPriority w:val="99"/>
    <w:pPr>
      <w:widowControl w:val="0"/>
      <w:tabs>
        <w:tab w:val="left" w:pos="360"/>
      </w:tabs>
      <w:spacing w:before="0" w:beforeLines="50" w:after="0" w:afterLines="100" w:line="560" w:lineRule="exact"/>
    </w:pPr>
    <w:rPr>
      <w:rFonts w:ascii="Arial" w:hAnsi="Arial" w:eastAsia="黑体"/>
      <w:bCs w:val="0"/>
      <w:kern w:val="44"/>
      <w:szCs w:val="28"/>
    </w:rPr>
  </w:style>
  <w:style w:type="paragraph" w:customStyle="1" w:styleId="2071">
    <w:name w:val="样式 环保局表格 + 首行缩进:  2 字符"/>
    <w:basedOn w:val="1834"/>
    <w:semiHidden/>
    <w:qFormat/>
    <w:uiPriority w:val="0"/>
    <w:pPr>
      <w:ind w:firstLine="0" w:firstLineChars="0"/>
    </w:pPr>
    <w:rPr>
      <w:rFonts w:eastAsia="仿宋_GB2312" w:cs="宋体"/>
      <w:szCs w:val="20"/>
    </w:rPr>
  </w:style>
  <w:style w:type="paragraph" w:customStyle="1" w:styleId="2072">
    <w:name w:val="样式 正文文本缩进 3 + 宋体 四号 黑色1"/>
    <w:basedOn w:val="1"/>
    <w:qFormat/>
    <w:uiPriority w:val="99"/>
    <w:pPr>
      <w:widowControl w:val="0"/>
      <w:spacing w:after="120" w:line="500" w:lineRule="exact"/>
      <w:ind w:left="200" w:leftChars="200"/>
    </w:pPr>
    <w:rPr>
      <w:rFonts w:ascii="宋体" w:hAnsi="宋体" w:eastAsia="宋体"/>
      <w:color w:val="000000"/>
      <w:kern w:val="0"/>
      <w:szCs w:val="16"/>
    </w:rPr>
  </w:style>
  <w:style w:type="paragraph" w:customStyle="1" w:styleId="2073">
    <w:name w:val="Revision7"/>
    <w:semiHidden/>
    <w:qFormat/>
    <w:uiPriority w:val="0"/>
    <w:rPr>
      <w:rFonts w:ascii="Times New Roman" w:hAnsi="Times New Roman" w:eastAsia="宋体" w:cs="Times New Roman"/>
      <w:snapToGrid w:val="0"/>
      <w:kern w:val="24"/>
      <w:sz w:val="24"/>
      <w:szCs w:val="24"/>
      <w:lang w:val="en-US" w:eastAsia="zh-CN" w:bidi="ar-SA"/>
    </w:rPr>
  </w:style>
  <w:style w:type="paragraph" w:customStyle="1" w:styleId="2074">
    <w:name w:val="殷泰纸业三级标题"/>
    <w:basedOn w:val="1"/>
    <w:semiHidden/>
    <w:qFormat/>
    <w:uiPriority w:val="99"/>
    <w:pPr>
      <w:keepNext/>
      <w:keepLines/>
      <w:widowControl w:val="0"/>
      <w:jc w:val="left"/>
      <w:outlineLvl w:val="2"/>
    </w:pPr>
    <w:rPr>
      <w:rFonts w:ascii="Arial" w:hAnsi="Arial" w:eastAsia="黑体"/>
      <w:b/>
      <w:bCs/>
      <w:szCs w:val="32"/>
    </w:rPr>
  </w:style>
  <w:style w:type="paragraph" w:customStyle="1" w:styleId="2075">
    <w:name w:val="样式 标题 1 + 黑体 段前: 0 磅 段后: 0 磅"/>
    <w:basedOn w:val="3"/>
    <w:qFormat/>
    <w:uiPriority w:val="99"/>
    <w:pPr>
      <w:widowControl w:val="0"/>
      <w:tabs>
        <w:tab w:val="left" w:pos="240"/>
        <w:tab w:val="left" w:pos="432"/>
      </w:tabs>
      <w:adjustRightInd w:val="0"/>
      <w:snapToGrid w:val="0"/>
      <w:spacing w:before="0" w:beforeLines="50" w:after="0" w:line="500" w:lineRule="exact"/>
      <w:ind w:left="432" w:firstLine="168" w:firstLineChars="168"/>
      <w:jc w:val="left"/>
      <w:textAlignment w:val="baseline"/>
    </w:pPr>
    <w:rPr>
      <w:rFonts w:ascii="黑体" w:hAnsi="Arial" w:eastAsia="黑体"/>
      <w:spacing w:val="4"/>
      <w:sz w:val="32"/>
      <w:szCs w:val="32"/>
    </w:rPr>
  </w:style>
  <w:style w:type="paragraph" w:customStyle="1" w:styleId="2076">
    <w:name w:val="表项"/>
    <w:basedOn w:val="1"/>
    <w:qFormat/>
    <w:uiPriority w:val="99"/>
    <w:pPr>
      <w:widowControl w:val="0"/>
      <w:adjustRightInd w:val="0"/>
      <w:spacing w:before="60" w:after="60" w:line="288" w:lineRule="auto"/>
      <w:jc w:val="center"/>
      <w:textAlignment w:val="baseline"/>
    </w:pPr>
    <w:rPr>
      <w:rFonts w:eastAsia="楷体"/>
      <w:kern w:val="44"/>
      <w:sz w:val="18"/>
      <w:szCs w:val="20"/>
      <w:lang w:val="en-GB"/>
    </w:rPr>
  </w:style>
  <w:style w:type="paragraph" w:customStyle="1" w:styleId="2077">
    <w:name w:val="表粗中"/>
    <w:basedOn w:val="1113"/>
    <w:qFormat/>
    <w:uiPriority w:val="99"/>
    <w:pPr>
      <w:spacing w:line="360" w:lineRule="exact"/>
      <w:jc w:val="center"/>
    </w:pPr>
  </w:style>
  <w:style w:type="paragraph" w:customStyle="1" w:styleId="2078">
    <w:name w:val="标题-4"/>
    <w:basedOn w:val="12"/>
    <w:qFormat/>
    <w:uiPriority w:val="99"/>
    <w:pPr>
      <w:keepNext w:val="0"/>
      <w:keepLines w:val="0"/>
      <w:tabs>
        <w:tab w:val="left" w:pos="1584"/>
      </w:tabs>
      <w:spacing w:before="0" w:beforeLines="0" w:after="0" w:afterLines="0" w:line="240" w:lineRule="auto"/>
      <w:outlineLvl w:val="3"/>
    </w:pPr>
    <w:rPr>
      <w:rFonts w:ascii="Times New Roman" w:hAnsi="Times New Roman" w:eastAsia="宋体"/>
      <w:sz w:val="28"/>
      <w:szCs w:val="20"/>
    </w:rPr>
  </w:style>
  <w:style w:type="paragraph" w:customStyle="1" w:styleId="20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80">
    <w:name w:val="Style Heading 2§1.1§1.1.H21标题 2 Char Char节标题 1.1（一）Underrub...3"/>
    <w:basedOn w:val="4"/>
    <w:qFormat/>
    <w:uiPriority w:val="99"/>
    <w:pPr>
      <w:widowControl w:val="0"/>
      <w:tabs>
        <w:tab w:val="left" w:pos="-1418"/>
        <w:tab w:val="left" w:pos="0"/>
        <w:tab w:val="left" w:pos="2835"/>
      </w:tabs>
      <w:spacing w:before="0" w:line="240" w:lineRule="auto"/>
      <w:ind w:hanging="1411"/>
    </w:pPr>
    <w:rPr>
      <w:rFonts w:ascii="Times New Roman" w:hAnsi="Times New Roman" w:eastAsia="宋体"/>
      <w:i/>
      <w:iCs/>
      <w:smallCaps/>
      <w:kern w:val="28"/>
      <w:sz w:val="24"/>
      <w:szCs w:val="24"/>
    </w:rPr>
  </w:style>
  <w:style w:type="paragraph" w:customStyle="1" w:styleId="2081">
    <w:name w:val="內文12"/>
    <w:basedOn w:val="1"/>
    <w:qFormat/>
    <w:uiPriority w:val="99"/>
    <w:pPr>
      <w:widowControl w:val="0"/>
      <w:spacing w:line="480" w:lineRule="atLeast"/>
      <w:ind w:firstLine="567"/>
      <w:textAlignment w:val="baseline"/>
    </w:pPr>
    <w:rPr>
      <w:rFonts w:eastAsia="DFKai-SB"/>
      <w:kern w:val="0"/>
      <w:szCs w:val="20"/>
      <w:lang w:eastAsia="zh-TW"/>
    </w:rPr>
  </w:style>
  <w:style w:type="paragraph" w:customStyle="1" w:styleId="2082">
    <w:name w:val="样式 正文11111111 + 左侧:  0.85 厘米 首行缩进:  2 字符"/>
    <w:basedOn w:val="2083"/>
    <w:qFormat/>
    <w:uiPriority w:val="99"/>
    <w:pPr>
      <w:ind w:firstLine="480"/>
    </w:pPr>
  </w:style>
  <w:style w:type="paragraph" w:customStyle="1" w:styleId="2083">
    <w:name w:val="正文11111111"/>
    <w:basedOn w:val="1"/>
    <w:qFormat/>
    <w:uiPriority w:val="0"/>
    <w:pPr>
      <w:widowControl w:val="0"/>
      <w:spacing w:line="440" w:lineRule="exact"/>
      <w:ind w:firstLine="200" w:firstLineChars="200"/>
    </w:pPr>
    <w:rPr>
      <w:rFonts w:eastAsia="宋体" w:cs="宋体"/>
      <w:szCs w:val="20"/>
    </w:rPr>
  </w:style>
  <w:style w:type="paragraph" w:customStyle="1" w:styleId="2084">
    <w:name w:val="Char Char Char Char Char Char2"/>
    <w:basedOn w:val="1"/>
    <w:next w:val="1"/>
    <w:qFormat/>
    <w:uiPriority w:val="99"/>
    <w:pPr>
      <w:widowControl w:val="0"/>
      <w:spacing w:line="240" w:lineRule="auto"/>
    </w:pPr>
    <w:rPr>
      <w:rFonts w:eastAsia="宋体"/>
      <w:b/>
    </w:rPr>
  </w:style>
  <w:style w:type="paragraph" w:customStyle="1" w:styleId="2085">
    <w:name w:val="图文框"/>
    <w:basedOn w:val="1"/>
    <w:qFormat/>
    <w:uiPriority w:val="0"/>
    <w:pPr>
      <w:widowControl w:val="0"/>
      <w:adjustRightInd w:val="0"/>
      <w:snapToGrid w:val="0"/>
      <w:spacing w:line="400" w:lineRule="exact"/>
      <w:ind w:firstLine="576" w:firstLineChars="200"/>
      <w:jc w:val="center"/>
    </w:pPr>
    <w:rPr>
      <w:rFonts w:ascii="宋体" w:hAnsi="宋体" w:eastAsia="仿宋_GB2312"/>
      <w:spacing w:val="4"/>
      <w:kern w:val="18"/>
      <w:sz w:val="28"/>
      <w:szCs w:val="20"/>
    </w:rPr>
  </w:style>
  <w:style w:type="paragraph" w:customStyle="1" w:styleId="2086">
    <w:name w:val="hg1"/>
    <w:basedOn w:val="1"/>
    <w:qFormat/>
    <w:uiPriority w:val="0"/>
    <w:pPr>
      <w:spacing w:before="100" w:beforeAutospacing="1" w:after="100" w:afterAutospacing="1" w:line="300" w:lineRule="atLeast"/>
      <w:jc w:val="left"/>
    </w:pPr>
    <w:rPr>
      <w:rFonts w:ascii="宋体" w:hAnsi="宋体" w:eastAsia="宋体"/>
      <w:color w:val="000000"/>
      <w:kern w:val="0"/>
      <w:szCs w:val="24"/>
    </w:rPr>
  </w:style>
  <w:style w:type="paragraph" w:customStyle="1" w:styleId="2087">
    <w:name w:val="环保正文7"/>
    <w:basedOn w:val="1837"/>
    <w:semiHidden/>
    <w:qFormat/>
    <w:uiPriority w:val="0"/>
    <w:pPr>
      <w:spacing w:before="0"/>
      <w:ind w:firstLine="480"/>
    </w:pPr>
    <w:rPr>
      <w:rFonts w:ascii="Times New Roman" w:eastAsia="宋体" w:cs="宋体"/>
      <w:b w:val="0"/>
      <w:szCs w:val="20"/>
    </w:rPr>
  </w:style>
  <w:style w:type="paragraph" w:customStyle="1" w:styleId="2088">
    <w:name w:val="标题2 Char Char Char Char Char Char Char Char Char Char Char Char Char Char Char Char Char Char Char Char Char Char Char Char Char"/>
    <w:basedOn w:val="1"/>
    <w:qFormat/>
    <w:uiPriority w:val="99"/>
    <w:pPr>
      <w:snapToGrid w:val="0"/>
      <w:spacing w:beforeLines="50" w:afterLines="50"/>
      <w:outlineLvl w:val="1"/>
    </w:pPr>
    <w:rPr>
      <w:rFonts w:eastAsia="宋体"/>
      <w:b/>
      <w:color w:val="000000"/>
      <w:kern w:val="0"/>
      <w:sz w:val="28"/>
      <w:szCs w:val="28"/>
    </w:rPr>
  </w:style>
  <w:style w:type="paragraph" w:customStyle="1" w:styleId="2089">
    <w:name w:val="表注2"/>
    <w:basedOn w:val="1"/>
    <w:qFormat/>
    <w:uiPriority w:val="99"/>
    <w:pPr>
      <w:widowControl w:val="0"/>
      <w:spacing w:line="360" w:lineRule="exact"/>
      <w:ind w:firstLine="482"/>
    </w:pPr>
    <w:rPr>
      <w:rFonts w:eastAsia="仿宋_GB2312"/>
      <w:color w:val="000000"/>
      <w:sz w:val="18"/>
    </w:rPr>
  </w:style>
  <w:style w:type="paragraph" w:customStyle="1" w:styleId="2090">
    <w:name w:val="环保正文4"/>
    <w:basedOn w:val="2091"/>
    <w:semiHidden/>
    <w:qFormat/>
    <w:uiPriority w:val="0"/>
    <w:pPr>
      <w:spacing w:line="360" w:lineRule="auto"/>
      <w:ind w:firstLine="200" w:firstLineChars="200"/>
      <w:textAlignment w:val="auto"/>
    </w:pPr>
    <w:rPr>
      <w:kern w:val="24"/>
      <w:szCs w:val="24"/>
    </w:rPr>
  </w:style>
  <w:style w:type="paragraph" w:customStyle="1" w:styleId="2091">
    <w:name w:val="样式 首行缩进:  0.75 厘米 段前: 0.1 行 段后: 0.1 行1"/>
    <w:basedOn w:val="1"/>
    <w:qFormat/>
    <w:uiPriority w:val="0"/>
    <w:pPr>
      <w:widowControl w:val="0"/>
      <w:adjustRightInd w:val="0"/>
      <w:snapToGrid w:val="0"/>
      <w:spacing w:line="300" w:lineRule="auto"/>
      <w:ind w:firstLine="425"/>
      <w:textAlignment w:val="baseline"/>
    </w:pPr>
    <w:rPr>
      <w:rFonts w:eastAsia="宋体" w:cs="宋体"/>
      <w:snapToGrid w:val="0"/>
      <w:kern w:val="0"/>
      <w:szCs w:val="20"/>
    </w:rPr>
  </w:style>
  <w:style w:type="paragraph" w:customStyle="1" w:styleId="2092">
    <w:name w:val="xl40"/>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eastAsia="宋体"/>
      <w:kern w:val="0"/>
      <w:szCs w:val="24"/>
    </w:rPr>
  </w:style>
  <w:style w:type="paragraph" w:customStyle="1" w:styleId="2093">
    <w:name w:val="流程"/>
    <w:basedOn w:val="1"/>
    <w:qFormat/>
    <w:uiPriority w:val="99"/>
    <w:pPr>
      <w:widowControl w:val="0"/>
      <w:adjustRightInd w:val="0"/>
      <w:snapToGrid w:val="0"/>
      <w:spacing w:line="240" w:lineRule="auto"/>
      <w:jc w:val="center"/>
    </w:pPr>
    <w:rPr>
      <w:rFonts w:eastAsia="仿宋_GB2312"/>
      <w:color w:val="000000"/>
      <w:sz w:val="21"/>
      <w:szCs w:val="24"/>
    </w:rPr>
  </w:style>
  <w:style w:type="paragraph" w:customStyle="1" w:styleId="2094">
    <w:name w:val="Char Char52"/>
    <w:basedOn w:val="1"/>
    <w:qFormat/>
    <w:uiPriority w:val="0"/>
    <w:pPr>
      <w:widowControl w:val="0"/>
      <w:spacing w:line="240" w:lineRule="auto"/>
    </w:pPr>
    <w:rPr>
      <w:rFonts w:eastAsia="宋体"/>
      <w:sz w:val="21"/>
      <w:szCs w:val="24"/>
    </w:rPr>
  </w:style>
  <w:style w:type="paragraph" w:customStyle="1" w:styleId="2095">
    <w:name w:val="Char Char Char Char Char Char1 Char Char4 Char1"/>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096">
    <w:name w:val="Char Char Char1 Char Char Char Char Char Char Char Char Char Char Char Char Char Char Char Char"/>
    <w:basedOn w:val="1"/>
    <w:qFormat/>
    <w:uiPriority w:val="99"/>
    <w:pPr>
      <w:widowControl w:val="0"/>
      <w:adjustRightInd w:val="0"/>
      <w:spacing w:line="360" w:lineRule="atLeast"/>
      <w:jc w:val="left"/>
      <w:textAlignment w:val="baseline"/>
    </w:pPr>
    <w:rPr>
      <w:rFonts w:ascii="Tahoma" w:hAnsi="Tahoma" w:eastAsia="宋体"/>
      <w:kern w:val="0"/>
      <w:szCs w:val="24"/>
    </w:rPr>
  </w:style>
  <w:style w:type="paragraph" w:customStyle="1" w:styleId="2097">
    <w:name w:val="样式 样式 标题 2h22Header 2nd PageA.B.C.h2 main h标题2 + 仿宋_GB2312 行距......1"/>
    <w:basedOn w:val="1970"/>
    <w:qFormat/>
    <w:uiPriority w:val="99"/>
    <w:pPr>
      <w:ind w:firstLine="454"/>
    </w:pPr>
    <w:rPr>
      <w:b/>
      <w:bCs w:val="0"/>
    </w:rPr>
  </w:style>
  <w:style w:type="paragraph" w:customStyle="1" w:styleId="2098">
    <w:name w:val="yiv1985145573msonormal"/>
    <w:basedOn w:val="1"/>
    <w:qFormat/>
    <w:uiPriority w:val="99"/>
    <w:pPr>
      <w:spacing w:before="100" w:beforeAutospacing="1" w:after="100" w:afterAutospacing="1" w:line="240" w:lineRule="auto"/>
      <w:jc w:val="left"/>
    </w:pPr>
    <w:rPr>
      <w:rFonts w:eastAsia="宋体"/>
      <w:kern w:val="0"/>
    </w:rPr>
  </w:style>
  <w:style w:type="paragraph" w:customStyle="1" w:styleId="2099">
    <w:name w:val="xl41"/>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eastAsia="宋体"/>
      <w:kern w:val="0"/>
      <w:szCs w:val="24"/>
    </w:rPr>
  </w:style>
  <w:style w:type="paragraph" w:customStyle="1" w:styleId="2100">
    <w:name w:val="样式 正文缩进 + 首行缩进:  2 字符"/>
    <w:basedOn w:val="22"/>
    <w:qFormat/>
    <w:uiPriority w:val="99"/>
    <w:pPr>
      <w:widowControl w:val="0"/>
      <w:spacing w:line="500" w:lineRule="exact"/>
      <w:ind w:firstLine="200" w:firstLineChars="200"/>
    </w:pPr>
    <w:rPr>
      <w:rFonts w:ascii="Times New Roman" w:hAnsi="Times New Roman" w:eastAsia="宋体"/>
      <w:kern w:val="2"/>
    </w:rPr>
  </w:style>
  <w:style w:type="paragraph" w:customStyle="1" w:styleId="2101">
    <w:name w:val="正文11 Char Char2"/>
    <w:basedOn w:val="1"/>
    <w:qFormat/>
    <w:uiPriority w:val="99"/>
    <w:pPr>
      <w:widowControl w:val="0"/>
      <w:ind w:left="6" w:firstLine="474"/>
      <w:jc w:val="left"/>
      <w:textAlignment w:val="baseline"/>
    </w:pPr>
    <w:rPr>
      <w:rFonts w:ascii="宋体" w:hAnsi="宋体" w:eastAsia="宋体"/>
      <w:kern w:val="0"/>
    </w:rPr>
  </w:style>
  <w:style w:type="paragraph" w:customStyle="1" w:styleId="2102">
    <w:name w:val="样式 标题4 + 段前: 0.5 行 段后: 0.5 行"/>
    <w:basedOn w:val="1"/>
    <w:qFormat/>
    <w:uiPriority w:val="99"/>
    <w:pPr>
      <w:widowControl w:val="0"/>
      <w:spacing w:before="120" w:after="120" w:line="500" w:lineRule="exact"/>
      <w:jc w:val="left"/>
    </w:pPr>
    <w:rPr>
      <w:rFonts w:eastAsia="宋体"/>
      <w:szCs w:val="20"/>
    </w:rPr>
  </w:style>
  <w:style w:type="paragraph" w:customStyle="1" w:styleId="2103">
    <w:name w:val="Char41"/>
    <w:basedOn w:val="1"/>
    <w:qFormat/>
    <w:uiPriority w:val="99"/>
    <w:pPr>
      <w:widowControl w:val="0"/>
    </w:pPr>
    <w:rPr>
      <w:rFonts w:ascii="宋体" w:hAnsi="宋体" w:eastAsia="宋体" w:cs="宋体"/>
    </w:rPr>
  </w:style>
  <w:style w:type="paragraph" w:customStyle="1" w:styleId="2104">
    <w:name w:val="表2"/>
    <w:basedOn w:val="1"/>
    <w:qFormat/>
    <w:uiPriority w:val="99"/>
    <w:pPr>
      <w:widowControl w:val="0"/>
      <w:autoSpaceDE w:val="0"/>
      <w:autoSpaceDN w:val="0"/>
      <w:spacing w:line="360" w:lineRule="exact"/>
      <w:textAlignment w:val="bottom"/>
      <w:outlineLvl w:val="8"/>
    </w:pPr>
    <w:rPr>
      <w:rFonts w:ascii="Arial" w:hAnsi="Arial" w:eastAsia="宋体"/>
      <w:bCs/>
      <w:color w:val="000000"/>
      <w:sz w:val="21"/>
      <w:szCs w:val="21"/>
    </w:rPr>
  </w:style>
  <w:style w:type="paragraph" w:customStyle="1" w:styleId="2105">
    <w:name w:val="main"/>
    <w:basedOn w:val="1"/>
    <w:qFormat/>
    <w:uiPriority w:val="99"/>
    <w:pPr>
      <w:spacing w:before="100" w:beforeAutospacing="1" w:after="100" w:afterAutospacing="1" w:line="240" w:lineRule="auto"/>
      <w:jc w:val="left"/>
    </w:pPr>
    <w:rPr>
      <w:rFonts w:ascii="宋体" w:hAnsi="宋体" w:eastAsia="宋体" w:cs="宋体"/>
      <w:color w:val="000000"/>
      <w:kern w:val="0"/>
    </w:rPr>
  </w:style>
  <w:style w:type="paragraph" w:customStyle="1" w:styleId="2106">
    <w:name w:val="样式 样式 样式 居中 行距: 固定值 25 磅 + +"/>
    <w:basedOn w:val="1"/>
    <w:qFormat/>
    <w:uiPriority w:val="99"/>
    <w:pPr>
      <w:widowControl w:val="0"/>
      <w:spacing w:line="240" w:lineRule="auto"/>
      <w:jc w:val="center"/>
    </w:pPr>
    <w:rPr>
      <w:rFonts w:eastAsia="宋体" w:cs="宋体"/>
      <w:szCs w:val="20"/>
    </w:rPr>
  </w:style>
  <w:style w:type="paragraph" w:customStyle="1" w:styleId="2107">
    <w:name w:val="助剂四级标题4"/>
    <w:basedOn w:val="6"/>
    <w:qFormat/>
    <w:uiPriority w:val="99"/>
    <w:pPr>
      <w:spacing w:line="360" w:lineRule="auto"/>
      <w:ind w:firstLine="200" w:firstLineChars="200"/>
    </w:pPr>
    <w:rPr>
      <w:rFonts w:eastAsia="宋体" w:cs="Times New Roman"/>
      <w:b/>
      <w:kern w:val="0"/>
      <w:szCs w:val="20"/>
    </w:rPr>
  </w:style>
  <w:style w:type="paragraph" w:customStyle="1" w:styleId="2108">
    <w:name w:val="Char Char Char Char Char Char Char Char"/>
    <w:basedOn w:val="1"/>
    <w:qFormat/>
    <w:uiPriority w:val="99"/>
    <w:pPr>
      <w:jc w:val="left"/>
    </w:pPr>
    <w:rPr>
      <w:rFonts w:eastAsia="宋体"/>
      <w:sz w:val="21"/>
    </w:rPr>
  </w:style>
  <w:style w:type="paragraph" w:customStyle="1" w:styleId="2109">
    <w:name w:val="xl175"/>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2110">
    <w:name w:val="reader-word-layer reader-word-s4-2"/>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111">
    <w:name w:val="xl164"/>
    <w:basedOn w:val="1"/>
    <w:qFormat/>
    <w:uiPriority w:val="99"/>
    <w:pPr>
      <w:pBdr>
        <w:bottom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112">
    <w:name w:val="Char Char Char Char Char Char Char Char Char Char Char Char Char1"/>
    <w:qFormat/>
    <w:uiPriority w:val="99"/>
    <w:pPr>
      <w:widowControl w:val="0"/>
      <w:spacing w:line="580" w:lineRule="exact"/>
      <w:ind w:firstLine="560" w:firstLineChars="200"/>
      <w:jc w:val="both"/>
    </w:pPr>
    <w:rPr>
      <w:rFonts w:ascii="Times New Roman" w:hAnsi="Times New Roman" w:eastAsia="宋体" w:cs="Times New Roman"/>
      <w:kern w:val="2"/>
      <w:sz w:val="21"/>
      <w:szCs w:val="24"/>
      <w:lang w:val="en-US" w:eastAsia="zh-CN" w:bidi="ar-SA"/>
    </w:rPr>
  </w:style>
  <w:style w:type="paragraph" w:customStyle="1" w:styleId="2113">
    <w:name w:val="样式 小四 首行缩进:  24 磅 行距: 多倍行距 1.25 字行"/>
    <w:basedOn w:val="1"/>
    <w:qFormat/>
    <w:uiPriority w:val="99"/>
    <w:pPr>
      <w:widowControl w:val="0"/>
      <w:spacing w:line="440" w:lineRule="exact"/>
      <w:ind w:firstLine="480"/>
      <w:textAlignment w:val="baseline"/>
    </w:pPr>
    <w:rPr>
      <w:rFonts w:eastAsia="宋体"/>
      <w:kern w:val="0"/>
      <w:szCs w:val="20"/>
    </w:rPr>
  </w:style>
  <w:style w:type="paragraph" w:customStyle="1" w:styleId="2114">
    <w:name w:val="表字左对齐O"/>
    <w:basedOn w:val="1"/>
    <w:qFormat/>
    <w:uiPriority w:val="99"/>
    <w:pPr>
      <w:widowControl w:val="0"/>
      <w:snapToGrid w:val="0"/>
      <w:spacing w:line="240" w:lineRule="auto"/>
      <w:jc w:val="left"/>
    </w:pPr>
    <w:rPr>
      <w:rFonts w:eastAsia="宋体"/>
      <w:szCs w:val="24"/>
    </w:rPr>
  </w:style>
  <w:style w:type="paragraph" w:customStyle="1" w:styleId="2115">
    <w:name w:val="Style Heading 3"/>
    <w:basedOn w:val="5"/>
    <w:qFormat/>
    <w:uiPriority w:val="99"/>
    <w:pPr>
      <w:widowControl w:val="0"/>
      <w:tabs>
        <w:tab w:val="left" w:pos="0"/>
      </w:tabs>
      <w:spacing w:before="0" w:after="0" w:line="360" w:lineRule="auto"/>
      <w:ind w:left="720" w:hanging="720"/>
    </w:pPr>
    <w:rPr>
      <w:rFonts w:eastAsia="宋体" w:cs="宋体"/>
      <w:sz w:val="24"/>
      <w:szCs w:val="20"/>
    </w:rPr>
  </w:style>
  <w:style w:type="paragraph" w:customStyle="1" w:styleId="2116">
    <w:name w:val="正文的小表格"/>
    <w:basedOn w:val="1"/>
    <w:qFormat/>
    <w:uiPriority w:val="99"/>
    <w:pPr>
      <w:widowControl w:val="0"/>
      <w:spacing w:line="240" w:lineRule="auto"/>
      <w:ind w:firstLine="480"/>
      <w:jc w:val="center"/>
    </w:pPr>
    <w:rPr>
      <w:rFonts w:eastAsia="仿宋_GB2312"/>
      <w:sz w:val="21"/>
    </w:rPr>
  </w:style>
  <w:style w:type="paragraph" w:customStyle="1" w:styleId="2117">
    <w:name w:val="1.1.1报告标题"/>
    <w:qFormat/>
    <w:uiPriority w:val="99"/>
    <w:pPr>
      <w:adjustRightInd w:val="0"/>
      <w:snapToGrid w:val="0"/>
      <w:spacing w:line="360" w:lineRule="auto"/>
      <w:jc w:val="both"/>
      <w:outlineLvl w:val="2"/>
    </w:pPr>
    <w:rPr>
      <w:rFonts w:ascii="Calibri" w:hAnsi="Calibri" w:eastAsia="黑体" w:cs="Times New Roman"/>
      <w:color w:val="000000"/>
      <w:kern w:val="2"/>
      <w:sz w:val="28"/>
      <w:szCs w:val="22"/>
      <w:lang w:val="en-US" w:eastAsia="zh-CN" w:bidi="ar-SA"/>
    </w:rPr>
  </w:style>
  <w:style w:type="paragraph" w:customStyle="1" w:styleId="2118">
    <w:name w:val="正文（首行缩进）"/>
    <w:basedOn w:val="1"/>
    <w:qFormat/>
    <w:uiPriority w:val="99"/>
    <w:pPr>
      <w:widowControl w:val="0"/>
    </w:pPr>
    <w:rPr>
      <w:rFonts w:ascii="宋体" w:eastAsia="宋体"/>
      <w:kern w:val="0"/>
    </w:rPr>
  </w:style>
  <w:style w:type="paragraph" w:customStyle="1" w:styleId="2119">
    <w:name w:val="8"/>
    <w:basedOn w:val="1"/>
    <w:next w:val="35"/>
    <w:qFormat/>
    <w:uiPriority w:val="99"/>
    <w:pPr>
      <w:widowControl w:val="0"/>
      <w:spacing w:line="240" w:lineRule="auto"/>
    </w:pPr>
    <w:rPr>
      <w:rFonts w:ascii="宋体" w:hAnsi="宋体" w:eastAsia="宋体"/>
      <w:sz w:val="28"/>
      <w:szCs w:val="24"/>
    </w:rPr>
  </w:style>
  <w:style w:type="paragraph" w:customStyle="1" w:styleId="2120">
    <w:name w:val="样式 四号 首行缩进:  2 字符"/>
    <w:basedOn w:val="1"/>
    <w:qFormat/>
    <w:uiPriority w:val="99"/>
    <w:pPr>
      <w:widowControl w:val="0"/>
      <w:spacing w:line="480" w:lineRule="atLeast"/>
    </w:pPr>
    <w:rPr>
      <w:rFonts w:eastAsia="宋体"/>
      <w:szCs w:val="20"/>
    </w:rPr>
  </w:style>
  <w:style w:type="paragraph" w:customStyle="1" w:styleId="2121">
    <w:name w:val="样式 日期 + 宋体 行距: 1.5 倍行距1"/>
    <w:basedOn w:val="51"/>
    <w:qFormat/>
    <w:uiPriority w:val="99"/>
    <w:pPr>
      <w:overflowPunct w:val="0"/>
      <w:autoSpaceDE w:val="0"/>
      <w:autoSpaceDN w:val="0"/>
      <w:adjustRightInd w:val="0"/>
      <w:spacing w:line="480" w:lineRule="exact"/>
      <w:ind w:left="0" w:leftChars="0" w:firstLine="200" w:firstLineChars="200"/>
      <w:textAlignment w:val="baseline"/>
    </w:pPr>
    <w:rPr>
      <w:rFonts w:ascii="宋体" w:hAnsi="宋体" w:eastAsia="宋体" w:cs="宋体"/>
      <w:kern w:val="0"/>
      <w:sz w:val="28"/>
      <w:szCs w:val="20"/>
      <w:lang w:val="en-GB"/>
    </w:rPr>
  </w:style>
  <w:style w:type="paragraph" w:customStyle="1" w:styleId="2122">
    <w:name w:val="Char Char49"/>
    <w:basedOn w:val="1"/>
    <w:qFormat/>
    <w:uiPriority w:val="99"/>
    <w:pPr>
      <w:widowControl w:val="0"/>
      <w:textAlignment w:val="baseline"/>
    </w:pPr>
    <w:rPr>
      <w:rFonts w:eastAsia="宋体"/>
      <w:kern w:val="0"/>
      <w:szCs w:val="20"/>
    </w:rPr>
  </w:style>
  <w:style w:type="paragraph" w:customStyle="1" w:styleId="2123">
    <w:name w:val="日期31"/>
    <w:basedOn w:val="1"/>
    <w:next w:val="1"/>
    <w:qFormat/>
    <w:uiPriority w:val="99"/>
    <w:pPr>
      <w:widowControl w:val="0"/>
      <w:adjustRightInd w:val="0"/>
      <w:spacing w:line="240" w:lineRule="auto"/>
      <w:textAlignment w:val="baseline"/>
    </w:pPr>
    <w:rPr>
      <w:rFonts w:eastAsia="宋体"/>
      <w:sz w:val="21"/>
      <w:szCs w:val="20"/>
    </w:rPr>
  </w:style>
  <w:style w:type="paragraph" w:customStyle="1" w:styleId="2124">
    <w:name w:val="20"/>
    <w:next w:val="1"/>
    <w:unhideWhenUsed/>
    <w:qFormat/>
    <w:uiPriority w:val="99"/>
    <w:pPr>
      <w:widowControl w:val="0"/>
      <w:adjustRightInd w:val="0"/>
      <w:snapToGrid w:val="0"/>
      <w:spacing w:line="360" w:lineRule="auto"/>
      <w:ind w:firstLine="200" w:firstLineChars="200"/>
      <w:jc w:val="both"/>
    </w:pPr>
    <w:rPr>
      <w:rFonts w:ascii="Calibri" w:hAnsi="Calibri" w:eastAsia="宋体" w:cs="Times New Roman"/>
      <w:snapToGrid w:val="0"/>
      <w:kern w:val="24"/>
      <w:sz w:val="24"/>
      <w:szCs w:val="24"/>
      <w:lang w:val="en-US" w:eastAsia="zh-CN" w:bidi="ar-SA"/>
    </w:rPr>
  </w:style>
  <w:style w:type="paragraph" w:customStyle="1" w:styleId="2125">
    <w:name w:val="Char2 Char Char Char"/>
    <w:basedOn w:val="1"/>
    <w:qFormat/>
    <w:uiPriority w:val="99"/>
    <w:pPr>
      <w:widowControl w:val="0"/>
      <w:spacing w:line="240" w:lineRule="auto"/>
    </w:pPr>
    <w:rPr>
      <w:rFonts w:eastAsia="宋体"/>
      <w:sz w:val="21"/>
    </w:rPr>
  </w:style>
  <w:style w:type="paragraph" w:customStyle="1" w:styleId="2126">
    <w:name w:val="宏福4"/>
    <w:basedOn w:val="1"/>
    <w:qFormat/>
    <w:uiPriority w:val="99"/>
    <w:pPr>
      <w:widowControl w:val="0"/>
      <w:snapToGrid w:val="0"/>
      <w:spacing w:line="400" w:lineRule="atLeast"/>
      <w:ind w:firstLine="567"/>
    </w:pPr>
    <w:rPr>
      <w:rFonts w:eastAsia="宋体"/>
      <w:sz w:val="28"/>
      <w:szCs w:val="24"/>
    </w:rPr>
  </w:style>
  <w:style w:type="paragraph" w:customStyle="1" w:styleId="2127">
    <w:name w:val="tmp"/>
    <w:basedOn w:val="1"/>
    <w:qFormat/>
    <w:uiPriority w:val="99"/>
    <w:pPr>
      <w:widowControl w:val="0"/>
      <w:spacing w:line="480" w:lineRule="atLeast"/>
      <w:ind w:left="709" w:hanging="283"/>
      <w:textAlignment w:val="baseline"/>
    </w:pPr>
    <w:rPr>
      <w:rFonts w:eastAsia="DFKai-SB"/>
      <w:kern w:val="0"/>
      <w:szCs w:val="20"/>
      <w:lang w:eastAsia="zh-TW"/>
    </w:rPr>
  </w:style>
  <w:style w:type="paragraph" w:customStyle="1" w:styleId="2128">
    <w:name w:val="Example File"/>
    <w:basedOn w:val="1"/>
    <w:qFormat/>
    <w:uiPriority w:val="99"/>
    <w:pPr>
      <w:widowControl w:val="0"/>
      <w:tabs>
        <w:tab w:val="left" w:pos="1134"/>
      </w:tabs>
      <w:autoSpaceDE w:val="0"/>
      <w:autoSpaceDN w:val="0"/>
      <w:spacing w:line="480" w:lineRule="exact"/>
      <w:ind w:firstLine="567"/>
    </w:pPr>
    <w:rPr>
      <w:rFonts w:ascii="Courier New" w:hAnsi="Courier New" w:eastAsia="華康中楷體"/>
      <w:kern w:val="0"/>
      <w:sz w:val="28"/>
      <w:szCs w:val="20"/>
      <w:lang w:val="en-GB" w:eastAsia="zh-TW"/>
    </w:rPr>
  </w:style>
  <w:style w:type="paragraph" w:customStyle="1" w:styleId="2129">
    <w:name w:val="（空格行"/>
    <w:basedOn w:val="1"/>
    <w:qFormat/>
    <w:uiPriority w:val="99"/>
    <w:pPr>
      <w:widowControl w:val="0"/>
      <w:spacing w:line="240" w:lineRule="auto"/>
      <w:ind w:firstLine="480"/>
    </w:pPr>
    <w:rPr>
      <w:rFonts w:eastAsia="仿宋_GB2312"/>
    </w:rPr>
  </w:style>
  <w:style w:type="paragraph" w:customStyle="1" w:styleId="2130">
    <w:name w:val="xl48"/>
    <w:basedOn w:val="1"/>
    <w:qFormat/>
    <w:uiPriority w:val="0"/>
    <w:pPr>
      <w:pBdr>
        <w:top w:val="single" w:color="auto" w:sz="4" w:space="0"/>
        <w:left w:val="single" w:color="auto" w:sz="4" w:space="0"/>
        <w:bottom w:val="single" w:color="auto" w:sz="4" w:space="0"/>
      </w:pBdr>
      <w:spacing w:before="100" w:after="100" w:line="240" w:lineRule="auto"/>
      <w:jc w:val="center"/>
      <w:textAlignment w:val="center"/>
    </w:pPr>
    <w:rPr>
      <w:rFonts w:ascii="宋体" w:hAnsi="宋体" w:eastAsia="宋体"/>
      <w:kern w:val="0"/>
      <w:szCs w:val="24"/>
    </w:rPr>
  </w:style>
  <w:style w:type="paragraph" w:customStyle="1" w:styleId="2131">
    <w:name w:val="Style Heading 3§1.1.1.H3标题 3zym条标题1.1.1标题 3 Charh3level_3PI..."/>
    <w:basedOn w:val="5"/>
    <w:qFormat/>
    <w:uiPriority w:val="99"/>
    <w:pPr>
      <w:widowControl w:val="0"/>
      <w:tabs>
        <w:tab w:val="left" w:pos="-1418"/>
        <w:tab w:val="left" w:pos="0"/>
        <w:tab w:val="left" w:pos="360"/>
      </w:tabs>
      <w:overflowPunct w:val="0"/>
      <w:autoSpaceDE w:val="0"/>
      <w:autoSpaceDN w:val="0"/>
      <w:spacing w:before="0" w:line="264" w:lineRule="auto"/>
      <w:ind w:left="360" w:hanging="1411" w:hangingChars="200"/>
      <w:textAlignment w:val="baseline"/>
    </w:pPr>
    <w:rPr>
      <w:rFonts w:ascii="Book Antiqua" w:hAnsi="Book Antiqua" w:eastAsia="宋体"/>
      <w:i/>
      <w:iCs/>
      <w:kern w:val="28"/>
      <w:sz w:val="24"/>
    </w:rPr>
  </w:style>
  <w:style w:type="paragraph" w:customStyle="1" w:styleId="2132">
    <w:name w:val="SCIDI正文"/>
    <w:basedOn w:val="1"/>
    <w:qFormat/>
    <w:uiPriority w:val="99"/>
    <w:pPr>
      <w:widowControl w:val="0"/>
      <w:ind w:firstLine="560"/>
    </w:pPr>
    <w:rPr>
      <w:rFonts w:eastAsia="仿宋_GB2312"/>
      <w:sz w:val="28"/>
      <w:szCs w:val="20"/>
    </w:rPr>
  </w:style>
  <w:style w:type="paragraph" w:customStyle="1" w:styleId="2133">
    <w:name w:val="Char Char Char Char Char Char Char Char Char Char Char Char"/>
    <w:basedOn w:val="1"/>
    <w:qFormat/>
    <w:uiPriority w:val="0"/>
    <w:pPr>
      <w:widowControl w:val="0"/>
      <w:spacing w:line="240" w:lineRule="auto"/>
    </w:pPr>
    <w:rPr>
      <w:rFonts w:eastAsia="宋体"/>
      <w:sz w:val="21"/>
      <w:szCs w:val="24"/>
    </w:rPr>
  </w:style>
  <w:style w:type="paragraph" w:customStyle="1" w:styleId="2134">
    <w:name w:val="xl50"/>
    <w:basedOn w:val="1"/>
    <w:qFormat/>
    <w:uiPriority w:val="0"/>
    <w:pPr>
      <w:pBdr>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135">
    <w:name w:val="样式 蓝色 段前: 2 磅 行距: 多倍行距 1.25 字行"/>
    <w:basedOn w:val="1"/>
    <w:qFormat/>
    <w:uiPriority w:val="99"/>
    <w:pPr>
      <w:widowControl w:val="0"/>
      <w:spacing w:before="40" w:afterLines="30"/>
    </w:pPr>
    <w:rPr>
      <w:rFonts w:ascii="Arial" w:hAnsi="Arial" w:eastAsia="宋体" w:cs="宋体"/>
      <w:color w:val="0000FF"/>
    </w:rPr>
  </w:style>
  <w:style w:type="paragraph" w:customStyle="1" w:styleId="2136">
    <w:name w:val="xl52"/>
    <w:basedOn w:val="1"/>
    <w:qFormat/>
    <w:uiPriority w:val="0"/>
    <w:pPr>
      <w:pBdr>
        <w:left w:val="single" w:color="auto" w:sz="4" w:space="0"/>
        <w:bottom w:val="single" w:color="auto" w:sz="4" w:space="0"/>
      </w:pBdr>
      <w:spacing w:before="100" w:after="100" w:line="240" w:lineRule="auto"/>
      <w:jc w:val="center"/>
      <w:textAlignment w:val="center"/>
    </w:pPr>
    <w:rPr>
      <w:rFonts w:eastAsia="宋体"/>
      <w:kern w:val="0"/>
      <w:sz w:val="28"/>
      <w:szCs w:val="28"/>
    </w:rPr>
  </w:style>
  <w:style w:type="paragraph" w:customStyle="1" w:styleId="2137">
    <w:name w:val="ST20_1"/>
    <w:basedOn w:val="1"/>
    <w:qFormat/>
    <w:uiPriority w:val="99"/>
    <w:pPr>
      <w:widowControl w:val="0"/>
      <w:autoSpaceDE w:val="0"/>
      <w:autoSpaceDN w:val="0"/>
      <w:adjustRightInd w:val="0"/>
      <w:spacing w:line="312" w:lineRule="atLeast"/>
      <w:ind w:firstLine="576" w:firstLineChars="200"/>
      <w:jc w:val="center"/>
      <w:textAlignment w:val="baseline"/>
    </w:pPr>
    <w:rPr>
      <w:rFonts w:ascii="宋体" w:hAnsi="Tms Rmn" w:eastAsia="仿宋_GB2312"/>
      <w:spacing w:val="4"/>
      <w:kern w:val="0"/>
      <w:szCs w:val="20"/>
    </w:rPr>
  </w:style>
  <w:style w:type="paragraph" w:customStyle="1" w:styleId="2138">
    <w:name w:val="xl162"/>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eastAsia="宋体" w:cs="宋体"/>
      <w:kern w:val="0"/>
    </w:rPr>
  </w:style>
  <w:style w:type="paragraph" w:customStyle="1" w:styleId="2139">
    <w:name w:val="热电厂正文 Char"/>
    <w:basedOn w:val="1"/>
    <w:qFormat/>
    <w:uiPriority w:val="99"/>
    <w:pPr>
      <w:widowControl w:val="0"/>
      <w:spacing w:line="440" w:lineRule="exact"/>
      <w:ind w:firstLine="480"/>
    </w:pPr>
    <w:rPr>
      <w:rFonts w:eastAsia="宋体"/>
      <w:szCs w:val="20"/>
    </w:rPr>
  </w:style>
  <w:style w:type="paragraph" w:customStyle="1" w:styleId="2140">
    <w:name w:val="样式 标题 2 + 段前: 15.6 磅 段后: 7.8 磅"/>
    <w:basedOn w:val="4"/>
    <w:qFormat/>
    <w:uiPriority w:val="99"/>
    <w:pPr>
      <w:keepNext w:val="0"/>
      <w:keepLines w:val="0"/>
      <w:widowControl w:val="0"/>
      <w:tabs>
        <w:tab w:val="left" w:pos="0"/>
      </w:tabs>
      <w:spacing w:before="0" w:beforeLines="150" w:after="0" w:line="360" w:lineRule="auto"/>
    </w:pPr>
    <w:rPr>
      <w:rFonts w:ascii="Times New Roman" w:hAnsi="Times New Roman" w:eastAsia="宋体" w:cs="宋体"/>
      <w:sz w:val="24"/>
      <w:szCs w:val="20"/>
    </w:rPr>
  </w:style>
  <w:style w:type="paragraph" w:customStyle="1" w:styleId="2141">
    <w:name w:val="Char Char Char Char Char Char Char Char Char Char Char1"/>
    <w:basedOn w:val="1"/>
    <w:qFormat/>
    <w:uiPriority w:val="99"/>
    <w:pPr>
      <w:widowControl w:val="0"/>
      <w:spacing w:line="240" w:lineRule="auto"/>
    </w:pPr>
    <w:rPr>
      <w:rFonts w:eastAsia="宋体"/>
      <w:sz w:val="21"/>
      <w:szCs w:val="24"/>
    </w:rPr>
  </w:style>
  <w:style w:type="paragraph" w:customStyle="1" w:styleId="2142">
    <w:name w:val="发布日期"/>
    <w:qFormat/>
    <w:uiPriority w:val="99"/>
    <w:pPr>
      <w:framePr w:w="4000" w:h="473" w:hRule="exact" w:hSpace="180" w:vSpace="180" w:wrap="around" w:vAnchor="margin" w:hAnchor="margin" w:y="13511" w:anchorLock="1"/>
      <w:spacing w:line="360" w:lineRule="auto"/>
      <w:jc w:val="both"/>
    </w:pPr>
    <w:rPr>
      <w:rFonts w:ascii="Calibri" w:hAnsi="Calibri" w:eastAsia="黑体" w:cs="Times New Roman"/>
      <w:kern w:val="2"/>
      <w:sz w:val="28"/>
      <w:szCs w:val="22"/>
      <w:lang w:val="en-US" w:eastAsia="zh-CN" w:bidi="ar-SA"/>
    </w:rPr>
  </w:style>
  <w:style w:type="paragraph" w:customStyle="1" w:styleId="2143">
    <w:name w:val="19"/>
    <w:next w:val="1"/>
    <w:qFormat/>
    <w:uiPriority w:val="99"/>
    <w:pPr>
      <w:widowControl w:val="0"/>
      <w:adjustRightInd w:val="0"/>
      <w:snapToGrid w:val="0"/>
      <w:spacing w:line="360" w:lineRule="auto"/>
      <w:ind w:firstLine="200" w:firstLineChars="200"/>
      <w:jc w:val="both"/>
    </w:pPr>
    <w:rPr>
      <w:rFonts w:ascii="Calibri" w:hAnsi="Calibri" w:eastAsia="宋体" w:cs="Times New Roman"/>
      <w:snapToGrid w:val="0"/>
      <w:kern w:val="24"/>
      <w:sz w:val="24"/>
      <w:szCs w:val="24"/>
      <w:lang w:val="en-US" w:eastAsia="zh-CN" w:bidi="ar-SA"/>
    </w:rPr>
  </w:style>
  <w:style w:type="paragraph" w:customStyle="1" w:styleId="2144">
    <w:name w:val="font14"/>
    <w:basedOn w:val="1"/>
    <w:qFormat/>
    <w:uiPriority w:val="0"/>
    <w:pPr>
      <w:spacing w:before="100" w:beforeAutospacing="1" w:after="100" w:afterAutospacing="1" w:line="240" w:lineRule="auto"/>
      <w:jc w:val="left"/>
    </w:pPr>
    <w:rPr>
      <w:rFonts w:eastAsia="宋体"/>
      <w:kern w:val="0"/>
      <w:sz w:val="21"/>
      <w:szCs w:val="21"/>
    </w:rPr>
  </w:style>
  <w:style w:type="paragraph" w:customStyle="1" w:styleId="2145">
    <w:name w:val="XecSumm"/>
    <w:basedOn w:val="1"/>
    <w:qFormat/>
    <w:uiPriority w:val="99"/>
    <w:pPr>
      <w:overflowPunct w:val="0"/>
      <w:autoSpaceDE w:val="0"/>
      <w:autoSpaceDN w:val="0"/>
      <w:spacing w:line="264" w:lineRule="auto"/>
      <w:jc w:val="left"/>
      <w:textAlignment w:val="baseline"/>
    </w:pPr>
    <w:rPr>
      <w:rFonts w:ascii="Book Antiqua" w:hAnsi="Book Antiqua" w:eastAsia="宋体"/>
      <w:i/>
      <w:kern w:val="0"/>
      <w:sz w:val="22"/>
      <w:szCs w:val="20"/>
      <w:lang w:val="en-GB"/>
    </w:rPr>
  </w:style>
  <w:style w:type="paragraph" w:customStyle="1" w:styleId="2146">
    <w:name w:val="xl163"/>
    <w:basedOn w:val="1"/>
    <w:qFormat/>
    <w:uiPriority w:val="99"/>
    <w:pPr>
      <w:pBdr>
        <w:left w:val="single" w:color="auto" w:sz="4" w:space="0"/>
        <w:bottom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147">
    <w:name w:val="表内式样"/>
    <w:basedOn w:val="1"/>
    <w:qFormat/>
    <w:uiPriority w:val="99"/>
    <w:pPr>
      <w:widowControl w:val="0"/>
      <w:spacing w:line="240" w:lineRule="exact"/>
      <w:ind w:left="-36" w:leftChars="-17" w:right="-105" w:rightChars="-50"/>
      <w:jc w:val="center"/>
    </w:pPr>
    <w:rPr>
      <w:rFonts w:ascii="宋体" w:hAnsi="宋体" w:eastAsia="宋体"/>
      <w:sz w:val="18"/>
      <w:szCs w:val="18"/>
    </w:rPr>
  </w:style>
  <w:style w:type="paragraph" w:customStyle="1" w:styleId="2148">
    <w:name w:val="FMS表格内字体"/>
    <w:qFormat/>
    <w:uiPriority w:val="99"/>
    <w:pPr>
      <w:adjustRightInd w:val="0"/>
      <w:snapToGrid w:val="0"/>
      <w:jc w:val="center"/>
    </w:pPr>
    <w:rPr>
      <w:rFonts w:ascii="Times New Roman" w:hAnsi="Times New Roman" w:eastAsia="仿宋_GB2312" w:cs="Times New Roman"/>
      <w:snapToGrid w:val="0"/>
      <w:kern w:val="21"/>
      <w:sz w:val="21"/>
      <w:szCs w:val="21"/>
      <w:lang w:val="en-US" w:eastAsia="zh-CN" w:bidi="ar-SA"/>
    </w:rPr>
  </w:style>
  <w:style w:type="paragraph" w:customStyle="1" w:styleId="2149">
    <w:name w:val="16"/>
    <w:basedOn w:val="1"/>
    <w:qFormat/>
    <w:uiPriority w:val="99"/>
    <w:pPr>
      <w:spacing w:before="100" w:beforeAutospacing="1" w:after="100" w:afterAutospacing="1" w:line="240" w:lineRule="auto"/>
      <w:ind w:firstLine="570"/>
    </w:pPr>
    <w:rPr>
      <w:rFonts w:ascii="宋体" w:hAnsi="宋体" w:eastAsia="宋体"/>
      <w:spacing w:val="-4"/>
      <w:kern w:val="0"/>
      <w:sz w:val="28"/>
      <w:szCs w:val="20"/>
    </w:rPr>
  </w:style>
  <w:style w:type="paragraph" w:customStyle="1" w:styleId="2150">
    <w:name w:val="xl54"/>
    <w:basedOn w:val="1"/>
    <w:qFormat/>
    <w:uiPriority w:val="0"/>
    <w:pPr>
      <w:pBdr>
        <w:bottom w:val="single" w:color="auto" w:sz="4" w:space="0"/>
        <w:right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151">
    <w:name w:val="xl57"/>
    <w:basedOn w:val="1"/>
    <w:qFormat/>
    <w:uiPriority w:val="0"/>
    <w:pPr>
      <w:pBdr>
        <w:top w:val="single" w:color="auto" w:sz="8" w:space="0"/>
        <w:bottom w:val="single" w:color="auto" w:sz="4" w:space="0"/>
      </w:pBdr>
      <w:spacing w:before="100" w:after="100" w:line="240" w:lineRule="auto"/>
      <w:jc w:val="center"/>
      <w:textAlignment w:val="center"/>
    </w:pPr>
    <w:rPr>
      <w:rFonts w:ascii="宋体" w:hAnsi="宋体" w:eastAsia="宋体"/>
      <w:kern w:val="0"/>
      <w:sz w:val="28"/>
      <w:szCs w:val="28"/>
    </w:rPr>
  </w:style>
  <w:style w:type="paragraph" w:customStyle="1" w:styleId="2152">
    <w:name w:val="公式编辑器"/>
    <w:basedOn w:val="1"/>
    <w:qFormat/>
    <w:uiPriority w:val="99"/>
    <w:pPr>
      <w:widowControl w:val="0"/>
      <w:jc w:val="center"/>
    </w:pPr>
    <w:rPr>
      <w:rFonts w:eastAsia="宋体" w:cs="宋体"/>
      <w:sz w:val="21"/>
      <w:szCs w:val="20"/>
    </w:rPr>
  </w:style>
  <w:style w:type="paragraph" w:customStyle="1" w:styleId="2153">
    <w:name w:val="样式 宋体 四号 首行缩进:  2 字符"/>
    <w:basedOn w:val="1"/>
    <w:qFormat/>
    <w:uiPriority w:val="99"/>
    <w:pPr>
      <w:widowControl w:val="0"/>
      <w:spacing w:line="240" w:lineRule="exact"/>
    </w:pPr>
    <w:rPr>
      <w:rFonts w:eastAsia="宋体"/>
      <w:color w:val="000000"/>
      <w:sz w:val="18"/>
      <w:szCs w:val="20"/>
    </w:rPr>
  </w:style>
  <w:style w:type="paragraph" w:customStyle="1" w:styleId="2154">
    <w:name w:val="sec（1）"/>
    <w:basedOn w:val="1"/>
    <w:qFormat/>
    <w:uiPriority w:val="99"/>
    <w:pPr>
      <w:widowControl w:val="0"/>
      <w:tabs>
        <w:tab w:val="left" w:pos="-480"/>
        <w:tab w:val="left" w:pos="1134"/>
      </w:tabs>
      <w:spacing w:beforeLines="20" w:afterLines="20" w:line="240" w:lineRule="auto"/>
      <w:ind w:left="1134" w:hanging="964"/>
    </w:pPr>
    <w:rPr>
      <w:rFonts w:ascii="宋体" w:hAnsi="宋体" w:eastAsia="宋体"/>
      <w:color w:val="000000"/>
      <w:szCs w:val="20"/>
    </w:rPr>
  </w:style>
  <w:style w:type="paragraph" w:customStyle="1" w:styleId="2155">
    <w:name w:val="表1表2"/>
    <w:basedOn w:val="1"/>
    <w:qFormat/>
    <w:uiPriority w:val="99"/>
    <w:pPr>
      <w:widowControl w:val="0"/>
      <w:autoSpaceDE w:val="0"/>
      <w:autoSpaceDN w:val="0"/>
      <w:adjustRightInd w:val="0"/>
      <w:spacing w:line="240" w:lineRule="auto"/>
      <w:jc w:val="center"/>
      <w:textAlignment w:val="center"/>
    </w:pPr>
    <w:rPr>
      <w:rFonts w:eastAsia="仿宋_GB2312"/>
      <w:kern w:val="0"/>
      <w:sz w:val="21"/>
      <w:szCs w:val="21"/>
    </w:rPr>
  </w:style>
  <w:style w:type="paragraph" w:customStyle="1" w:styleId="2156">
    <w:name w:val="样式 标题 1 + 段后: 0.5 行"/>
    <w:basedOn w:val="3"/>
    <w:qFormat/>
    <w:uiPriority w:val="99"/>
    <w:pPr>
      <w:widowControl w:val="0"/>
      <w:tabs>
        <w:tab w:val="left" w:pos="567"/>
        <w:tab w:val="right" w:leader="dot" w:pos="8396"/>
      </w:tabs>
      <w:spacing w:before="0" w:beforeLines="50" w:after="0" w:afterLines="50" w:line="240" w:lineRule="auto"/>
      <w:ind w:left="900" w:hanging="420"/>
    </w:pPr>
    <w:rPr>
      <w:rFonts w:ascii="Calibri" w:hAnsi="Calibri" w:eastAsia="黑体" w:cs="宋体"/>
      <w:b w:val="0"/>
      <w:caps/>
      <w:color w:val="339966"/>
      <w:kern w:val="32"/>
      <w:sz w:val="32"/>
      <w:szCs w:val="20"/>
    </w:rPr>
  </w:style>
  <w:style w:type="paragraph" w:customStyle="1" w:styleId="215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158">
    <w:name w:val="环保正文6"/>
    <w:basedOn w:val="1"/>
    <w:semiHidden/>
    <w:qFormat/>
    <w:uiPriority w:val="0"/>
    <w:pPr>
      <w:widowControl w:val="0"/>
      <w:adjustRightInd w:val="0"/>
      <w:snapToGrid w:val="0"/>
      <w:ind w:firstLine="480" w:firstLineChars="200"/>
    </w:pPr>
    <w:rPr>
      <w:rFonts w:eastAsia="宋体" w:cs="宋体"/>
      <w:snapToGrid w:val="0"/>
      <w:kern w:val="24"/>
      <w:szCs w:val="24"/>
    </w:rPr>
  </w:style>
  <w:style w:type="paragraph" w:customStyle="1" w:styleId="2159">
    <w:name w:val="样式 仿宋_GB2312 四号 行距: 1.5 倍行距 首行缩进:  2 字符"/>
    <w:basedOn w:val="1"/>
    <w:qFormat/>
    <w:uiPriority w:val="99"/>
    <w:pPr>
      <w:widowControl w:val="0"/>
      <w:ind w:firstLine="560" w:firstLineChars="200"/>
    </w:pPr>
    <w:rPr>
      <w:rFonts w:ascii="仿宋_GB2312" w:eastAsia="仿宋_GB2312" w:cs="宋体"/>
      <w:sz w:val="28"/>
      <w:szCs w:val="20"/>
    </w:rPr>
  </w:style>
  <w:style w:type="paragraph" w:customStyle="1" w:styleId="2160">
    <w:name w:val="xl178"/>
    <w:basedOn w:val="1"/>
    <w:qFormat/>
    <w:uiPriority w:val="99"/>
    <w:pPr>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pPr>
    <w:rPr>
      <w:rFonts w:ascii="宋体" w:hAnsi="宋体" w:eastAsia="宋体" w:cs="宋体"/>
      <w:color w:val="0000FF"/>
      <w:kern w:val="0"/>
    </w:rPr>
  </w:style>
  <w:style w:type="paragraph" w:customStyle="1" w:styleId="2161">
    <w:name w:val="样式 标题 1正文一级标题 + 段前: 1 行1"/>
    <w:basedOn w:val="3"/>
    <w:semiHidden/>
    <w:qFormat/>
    <w:uiPriority w:val="0"/>
    <w:pPr>
      <w:keepNext w:val="0"/>
      <w:keepLines w:val="0"/>
      <w:pageBreakBefore/>
      <w:tabs>
        <w:tab w:val="left" w:pos="180"/>
      </w:tabs>
      <w:adjustRightInd w:val="0"/>
      <w:snapToGrid w:val="0"/>
      <w:spacing w:before="240" w:after="0" w:line="360" w:lineRule="auto"/>
      <w:textAlignment w:val="baseline"/>
    </w:pPr>
    <w:rPr>
      <w:rFonts w:ascii="Calibri" w:hAnsi="Calibri" w:eastAsia="黑体" w:cs="宋体"/>
      <w:b w:val="0"/>
      <w:bCs w:val="0"/>
      <w:snapToGrid w:val="0"/>
      <w:kern w:val="30"/>
      <w:sz w:val="30"/>
      <w:szCs w:val="20"/>
    </w:rPr>
  </w:style>
  <w:style w:type="paragraph" w:customStyle="1" w:styleId="2162">
    <w:name w:val="样式 标题 4 + 首行缩进:  0.99 厘米"/>
    <w:basedOn w:val="6"/>
    <w:qFormat/>
    <w:uiPriority w:val="99"/>
    <w:pPr>
      <w:tabs>
        <w:tab w:val="left" w:pos="864"/>
      </w:tabs>
      <w:topLinePunct/>
      <w:spacing w:line="560" w:lineRule="exact"/>
      <w:ind w:left="864" w:hanging="864"/>
    </w:pPr>
    <w:rPr>
      <w:rFonts w:eastAsia="宋体" w:cs="Times New Roman"/>
      <w:b/>
      <w:bCs w:val="0"/>
      <w:sz w:val="28"/>
      <w:szCs w:val="24"/>
    </w:rPr>
  </w:style>
  <w:style w:type="paragraph" w:customStyle="1" w:styleId="2163">
    <w:name w:val="表格 Char Char Char Char"/>
    <w:basedOn w:val="1"/>
    <w:qFormat/>
    <w:uiPriority w:val="99"/>
    <w:pPr>
      <w:widowControl w:val="0"/>
      <w:adjustRightInd w:val="0"/>
      <w:snapToGrid w:val="0"/>
      <w:spacing w:line="240" w:lineRule="auto"/>
      <w:jc w:val="center"/>
    </w:pPr>
    <w:rPr>
      <w:rFonts w:ascii="宋体" w:eastAsia="宋体"/>
      <w:snapToGrid w:val="0"/>
      <w:spacing w:val="4"/>
      <w:w w:val="90"/>
      <w:kern w:val="0"/>
      <w:szCs w:val="24"/>
    </w:rPr>
  </w:style>
  <w:style w:type="paragraph" w:customStyle="1" w:styleId="2164">
    <w:name w:val="Normal1"/>
    <w:qFormat/>
    <w:uiPriority w:val="99"/>
    <w:pPr>
      <w:widowControl w:val="0"/>
      <w:tabs>
        <w:tab w:val="left" w:pos="567"/>
      </w:tabs>
      <w:adjustRightInd w:val="0"/>
      <w:spacing w:line="360" w:lineRule="atLeast"/>
      <w:jc w:val="both"/>
      <w:textAlignment w:val="baseline"/>
    </w:pPr>
    <w:rPr>
      <w:rFonts w:ascii="Calibri" w:hAnsi="Courier" w:eastAsia="PMingLiU" w:cs="Times New Roman"/>
      <w:kern w:val="2"/>
      <w:sz w:val="24"/>
      <w:szCs w:val="22"/>
      <w:lang w:val="en-US" w:eastAsia="zh-TW" w:bidi="ar-SA"/>
    </w:rPr>
  </w:style>
  <w:style w:type="paragraph" w:customStyle="1" w:styleId="2165">
    <w:name w:val="样式 标题 1正文一级标题 + 首行缩进:  2 字符"/>
    <w:basedOn w:val="3"/>
    <w:semiHidden/>
    <w:qFormat/>
    <w:uiPriority w:val="0"/>
    <w:pPr>
      <w:keepNext w:val="0"/>
      <w:keepLines w:val="0"/>
      <w:pageBreakBefore/>
      <w:tabs>
        <w:tab w:val="left" w:pos="180"/>
        <w:tab w:val="left" w:pos="434"/>
      </w:tabs>
      <w:adjustRightInd w:val="0"/>
      <w:snapToGrid w:val="0"/>
      <w:spacing w:before="0" w:after="0" w:line="360" w:lineRule="auto"/>
      <w:ind w:left="434" w:hanging="432"/>
      <w:textAlignment w:val="baseline"/>
    </w:pPr>
    <w:rPr>
      <w:rFonts w:ascii="Calibri" w:hAnsi="Calibri" w:eastAsia="黑体" w:cs="宋体"/>
      <w:b w:val="0"/>
      <w:bCs w:val="0"/>
      <w:snapToGrid w:val="0"/>
      <w:kern w:val="30"/>
      <w:sz w:val="30"/>
      <w:szCs w:val="20"/>
    </w:rPr>
  </w:style>
  <w:style w:type="paragraph" w:customStyle="1" w:styleId="2166">
    <w:name w:val="样式 样式 样式4 + 首行缩进:  1.92 字符 + 仿宋_GB2312"/>
    <w:basedOn w:val="1"/>
    <w:qFormat/>
    <w:uiPriority w:val="99"/>
    <w:pPr>
      <w:widowControl w:val="0"/>
      <w:ind w:firstLine="538" w:firstLineChars="192"/>
    </w:pPr>
    <w:rPr>
      <w:rFonts w:eastAsia="宋体"/>
      <w:sz w:val="28"/>
      <w:szCs w:val="28"/>
    </w:rPr>
  </w:style>
  <w:style w:type="paragraph" w:customStyle="1" w:styleId="2167">
    <w:name w:val="样式 标题 1 + 字距调整三号"/>
    <w:basedOn w:val="3"/>
    <w:semiHidden/>
    <w:qFormat/>
    <w:uiPriority w:val="0"/>
    <w:pPr>
      <w:keepNext w:val="0"/>
      <w:keepLines w:val="0"/>
      <w:pageBreakBefore/>
      <w:tabs>
        <w:tab w:val="left" w:pos="180"/>
      </w:tabs>
      <w:adjustRightInd w:val="0"/>
      <w:snapToGrid w:val="0"/>
      <w:spacing w:before="0" w:after="0" w:line="360" w:lineRule="auto"/>
      <w:textAlignment w:val="baseline"/>
    </w:pPr>
    <w:rPr>
      <w:rFonts w:ascii="Calibri" w:hAnsi="Calibri" w:eastAsia="黑体" w:cs="MS Gothic"/>
      <w:bCs w:val="0"/>
      <w:kern w:val="32"/>
      <w:sz w:val="30"/>
      <w:szCs w:val="30"/>
    </w:rPr>
  </w:style>
  <w:style w:type="paragraph" w:customStyle="1" w:styleId="2168">
    <w:name w:val="表题注"/>
    <w:basedOn w:val="1"/>
    <w:qFormat/>
    <w:uiPriority w:val="99"/>
    <w:pPr>
      <w:widowControl w:val="0"/>
      <w:spacing w:line="500" w:lineRule="exact"/>
      <w:jc w:val="center"/>
    </w:pPr>
    <w:rPr>
      <w:rFonts w:ascii="Arial" w:hAnsi="Arial" w:eastAsia="宋体" w:cs="Arial"/>
      <w:sz w:val="28"/>
      <w:szCs w:val="28"/>
    </w:rPr>
  </w:style>
  <w:style w:type="paragraph" w:customStyle="1" w:styleId="2169">
    <w:name w:val="标准条文"/>
    <w:basedOn w:val="1"/>
    <w:next w:val="1"/>
    <w:qFormat/>
    <w:uiPriority w:val="99"/>
    <w:pPr>
      <w:widowControl w:val="0"/>
      <w:autoSpaceDE w:val="0"/>
      <w:autoSpaceDN w:val="0"/>
      <w:spacing w:line="240" w:lineRule="auto"/>
      <w:jc w:val="left"/>
    </w:pPr>
    <w:rPr>
      <w:rFonts w:ascii="宋体" w:eastAsia="宋体"/>
      <w:kern w:val="0"/>
    </w:rPr>
  </w:style>
  <w:style w:type="paragraph" w:customStyle="1" w:styleId="2170">
    <w:name w:val="正文新"/>
    <w:basedOn w:val="1"/>
    <w:qFormat/>
    <w:uiPriority w:val="0"/>
    <w:pPr>
      <w:widowControl w:val="0"/>
      <w:snapToGrid w:val="0"/>
      <w:spacing w:line="300" w:lineRule="auto"/>
      <w:ind w:firstLine="510"/>
    </w:pPr>
    <w:rPr>
      <w:rFonts w:ascii="宋体" w:hAnsi="Arial" w:eastAsia="宋体"/>
      <w:snapToGrid w:val="0"/>
      <w:kern w:val="0"/>
      <w:sz w:val="21"/>
      <w:szCs w:val="20"/>
    </w:rPr>
  </w:style>
  <w:style w:type="paragraph" w:customStyle="1" w:styleId="2171">
    <w:name w:val="Char Char Char Char Char Char Char Char Char Char Char Char Char Char Char6"/>
    <w:basedOn w:val="1"/>
    <w:qFormat/>
    <w:uiPriority w:val="0"/>
    <w:pPr>
      <w:widowControl w:val="0"/>
      <w:spacing w:line="240" w:lineRule="auto"/>
    </w:pPr>
    <w:rPr>
      <w:rFonts w:ascii="宋体" w:hAnsi="宋体" w:eastAsia="宋体" w:cs="宋体"/>
      <w:szCs w:val="24"/>
    </w:rPr>
  </w:style>
  <w:style w:type="paragraph" w:customStyle="1" w:styleId="2172">
    <w:name w:val="Date1"/>
    <w:basedOn w:val="1"/>
    <w:next w:val="1"/>
    <w:qFormat/>
    <w:uiPriority w:val="99"/>
    <w:pPr>
      <w:widowControl w:val="0"/>
      <w:adjustRightInd w:val="0"/>
      <w:spacing w:line="240" w:lineRule="auto"/>
      <w:textAlignment w:val="baseline"/>
    </w:pPr>
    <w:rPr>
      <w:rFonts w:eastAsia="宋体"/>
      <w:sz w:val="21"/>
      <w:szCs w:val="20"/>
    </w:rPr>
  </w:style>
  <w:style w:type="paragraph" w:customStyle="1" w:styleId="2173">
    <w:name w:val="环保表格"/>
    <w:basedOn w:val="1834"/>
    <w:semiHidden/>
    <w:qFormat/>
    <w:uiPriority w:val="0"/>
    <w:pPr>
      <w:ind w:firstLine="0" w:firstLineChars="0"/>
    </w:pPr>
    <w:rPr>
      <w:rFonts w:eastAsia="仿宋_GB2312" w:cs="宋体"/>
      <w:szCs w:val="20"/>
    </w:rPr>
  </w:style>
  <w:style w:type="paragraph" w:customStyle="1" w:styleId="2174">
    <w:name w:val="批注框文本1"/>
    <w:basedOn w:val="1"/>
    <w:semiHidden/>
    <w:qFormat/>
    <w:uiPriority w:val="0"/>
    <w:pPr>
      <w:widowControl w:val="0"/>
      <w:spacing w:line="240" w:lineRule="auto"/>
    </w:pPr>
    <w:rPr>
      <w:rFonts w:ascii="宋体" w:hAnsi="宋体" w:eastAsia="宋体"/>
      <w:snapToGrid w:val="0"/>
      <w:color w:val="000000"/>
      <w:sz w:val="18"/>
      <w:szCs w:val="18"/>
    </w:rPr>
  </w:style>
  <w:style w:type="paragraph" w:customStyle="1" w:styleId="2175">
    <w:name w:val="正文首行缩进2字符"/>
    <w:basedOn w:val="35"/>
    <w:qFormat/>
    <w:uiPriority w:val="99"/>
    <w:pPr>
      <w:widowControl w:val="0"/>
      <w:ind w:firstLine="200"/>
      <w:jc w:val="left"/>
    </w:pPr>
    <w:rPr>
      <w:sz w:val="28"/>
    </w:rPr>
  </w:style>
  <w:style w:type="paragraph" w:customStyle="1" w:styleId="2176">
    <w:name w:val="Level 2"/>
    <w:basedOn w:val="1"/>
    <w:qFormat/>
    <w:uiPriority w:val="99"/>
    <w:pPr>
      <w:tabs>
        <w:tab w:val="left" w:pos="851"/>
      </w:tabs>
      <w:spacing w:before="120" w:after="120" w:line="360" w:lineRule="exact"/>
      <w:ind w:left="851" w:hanging="851"/>
      <w:jc w:val="left"/>
    </w:pPr>
    <w:rPr>
      <w:rFonts w:ascii="Arial" w:hAnsi="Arial" w:eastAsia="宋体"/>
      <w:color w:val="000000"/>
      <w:kern w:val="0"/>
      <w:sz w:val="22"/>
      <w:szCs w:val="20"/>
      <w:lang w:val="en-GB" w:eastAsia="en-US"/>
    </w:rPr>
  </w:style>
  <w:style w:type="paragraph" w:customStyle="1" w:styleId="2177">
    <w:name w:val="样式 标题 2标题 2 Char1.1标题 21.1_Heading 21节标2节标题 1.11.1标题2h..."/>
    <w:basedOn w:val="4"/>
    <w:qFormat/>
    <w:uiPriority w:val="99"/>
    <w:pPr>
      <w:widowControl w:val="0"/>
      <w:tabs>
        <w:tab w:val="left" w:pos="0"/>
        <w:tab w:val="left" w:pos="200"/>
      </w:tabs>
      <w:spacing w:before="80" w:after="120" w:line="480" w:lineRule="exact"/>
      <w:textAlignment w:val="baseline"/>
    </w:pPr>
    <w:rPr>
      <w:rFonts w:ascii="黑体" w:hAnsi="Times New Roman" w:eastAsia="宋体"/>
      <w:bCs w:val="0"/>
      <w:sz w:val="28"/>
      <w:szCs w:val="20"/>
    </w:rPr>
  </w:style>
  <w:style w:type="paragraph" w:customStyle="1" w:styleId="2178">
    <w:name w:val="竹本油脂（目录）一级标题"/>
    <w:basedOn w:val="1816"/>
    <w:qFormat/>
    <w:uiPriority w:val="99"/>
    <w:rPr>
      <w:rFonts w:eastAsia="宋体"/>
      <w:b/>
      <w:kern w:val="24"/>
      <w:sz w:val="24"/>
      <w:szCs w:val="24"/>
    </w:rPr>
  </w:style>
  <w:style w:type="paragraph" w:customStyle="1" w:styleId="2179">
    <w:name w:val="样式 样式1 + 宋体 首行缩进:  2 字符"/>
    <w:basedOn w:val="1"/>
    <w:qFormat/>
    <w:uiPriority w:val="99"/>
    <w:pPr>
      <w:widowControl w:val="0"/>
      <w:spacing w:line="180" w:lineRule="atLeast"/>
      <w:ind w:firstLine="520"/>
    </w:pPr>
    <w:rPr>
      <w:rFonts w:eastAsia="宋体"/>
      <w:bCs/>
      <w:sz w:val="28"/>
      <w:szCs w:val="28"/>
    </w:rPr>
  </w:style>
  <w:style w:type="paragraph" w:customStyle="1" w:styleId="2180">
    <w:name w:val="环保局表首1"/>
    <w:basedOn w:val="2181"/>
    <w:semiHidden/>
    <w:qFormat/>
    <w:uiPriority w:val="0"/>
    <w:pPr>
      <w:spacing w:line="240" w:lineRule="auto"/>
      <w:ind w:firstLine="0" w:firstLineChars="0"/>
    </w:pPr>
    <w:rPr>
      <w:rFonts w:eastAsia="仿宋_GB2312" w:cs="宋体"/>
      <w:sz w:val="21"/>
      <w:szCs w:val="20"/>
    </w:rPr>
  </w:style>
  <w:style w:type="paragraph" w:customStyle="1" w:styleId="2181">
    <w:name w:val="环保局表首"/>
    <w:basedOn w:val="1312"/>
    <w:semiHidden/>
    <w:qFormat/>
    <w:uiPriority w:val="0"/>
    <w:pPr>
      <w:spacing w:beforeLines="0" w:afterLines="0" w:line="300" w:lineRule="auto"/>
      <w:ind w:firstLine="200" w:firstLineChars="200"/>
    </w:pPr>
    <w:rPr>
      <w:rFonts w:ascii="Times New Roman"/>
      <w:b/>
      <w:bCs/>
      <w:kern w:val="24"/>
      <w:sz w:val="24"/>
    </w:rPr>
  </w:style>
  <w:style w:type="paragraph" w:customStyle="1" w:styleId="2182">
    <w:name w:val="Char Char Char Char Char Char Char Char2"/>
    <w:basedOn w:val="1"/>
    <w:next w:val="1"/>
    <w:qFormat/>
    <w:uiPriority w:val="99"/>
    <w:pPr>
      <w:widowControl w:val="0"/>
      <w:spacing w:line="336" w:lineRule="auto"/>
    </w:pPr>
    <w:rPr>
      <w:rFonts w:ascii="宋体" w:hAnsi="宋体" w:eastAsia="汉鼎简书宋"/>
      <w:spacing w:val="4"/>
      <w:szCs w:val="20"/>
    </w:rPr>
  </w:style>
  <w:style w:type="paragraph" w:customStyle="1" w:styleId="2183">
    <w:name w:val="表格字体"/>
    <w:basedOn w:val="67"/>
    <w:qFormat/>
    <w:uiPriority w:val="99"/>
    <w:pPr>
      <w:spacing w:line="240" w:lineRule="exact"/>
      <w:ind w:left="0" w:firstLine="0" w:firstLineChars="0"/>
      <w:contextualSpacing w:val="0"/>
      <w:jc w:val="center"/>
    </w:pPr>
    <w:rPr>
      <w:rFonts w:ascii="宋体" w:hAnsi="宋体" w:eastAsia="宋体" w:cs="Times New Roman"/>
      <w:sz w:val="21"/>
    </w:rPr>
  </w:style>
  <w:style w:type="paragraph" w:customStyle="1" w:styleId="2184">
    <w:name w:val="样式 标题 4 + 小四"/>
    <w:basedOn w:val="6"/>
    <w:semiHidden/>
    <w:qFormat/>
    <w:uiPriority w:val="99"/>
    <w:pPr>
      <w:tabs>
        <w:tab w:val="left" w:pos="-1418"/>
        <w:tab w:val="left" w:pos="0"/>
        <w:tab w:val="left" w:pos="2716"/>
      </w:tabs>
      <w:spacing w:beforeLines="50" w:line="360" w:lineRule="auto"/>
      <w:ind w:left="1984" w:hanging="708" w:hangingChars="236"/>
      <w:textAlignment w:val="bottom"/>
    </w:pPr>
    <w:rPr>
      <w:rFonts w:ascii="Arial" w:hAnsi="宋体" w:eastAsia="宋体" w:cs="Times New Roman"/>
      <w:b/>
      <w:color w:val="000000"/>
    </w:rPr>
  </w:style>
  <w:style w:type="paragraph" w:customStyle="1" w:styleId="2185">
    <w:name w:val="居中正文"/>
    <w:basedOn w:val="87"/>
    <w:qFormat/>
    <w:uiPriority w:val="99"/>
    <w:pPr>
      <w:widowControl w:val="0"/>
      <w:spacing w:before="120" w:beforeAutospacing="0"/>
      <w:ind w:firstLine="0" w:firstLineChars="0"/>
      <w:textAlignment w:val="baseline"/>
    </w:pPr>
    <w:rPr>
      <w:rFonts w:hAnsi="Times New Roman" w:cs="Times New Roman"/>
      <w:kern w:val="28"/>
      <w:sz w:val="24"/>
      <w:szCs w:val="20"/>
    </w:rPr>
  </w:style>
  <w:style w:type="paragraph" w:customStyle="1" w:styleId="2186">
    <w:name w:val="MarginRelease"/>
    <w:basedOn w:val="1"/>
    <w:next w:val="1"/>
    <w:qFormat/>
    <w:uiPriority w:val="99"/>
    <w:pPr>
      <w:overflowPunct w:val="0"/>
      <w:autoSpaceDE w:val="0"/>
      <w:autoSpaceDN w:val="0"/>
      <w:spacing w:line="264" w:lineRule="auto"/>
      <w:ind w:hanging="1418"/>
      <w:jc w:val="left"/>
      <w:textAlignment w:val="baseline"/>
    </w:pPr>
    <w:rPr>
      <w:rFonts w:ascii="Book Antiqua" w:hAnsi="Book Antiqua" w:eastAsia="宋体"/>
      <w:kern w:val="0"/>
      <w:sz w:val="22"/>
      <w:szCs w:val="20"/>
      <w:lang w:val="en-GB"/>
    </w:rPr>
  </w:style>
  <w:style w:type="paragraph" w:customStyle="1" w:styleId="2187">
    <w:name w:val="普通 (Web)"/>
    <w:basedOn w:val="1"/>
    <w:qFormat/>
    <w:uiPriority w:val="99"/>
    <w:pPr>
      <w:spacing w:before="100" w:after="100" w:line="240" w:lineRule="auto"/>
      <w:jc w:val="left"/>
    </w:pPr>
    <w:rPr>
      <w:rFonts w:ascii="宋体" w:hAnsi="宋体" w:eastAsia="宋体"/>
      <w:kern w:val="0"/>
      <w:szCs w:val="20"/>
    </w:rPr>
  </w:style>
  <w:style w:type="paragraph" w:customStyle="1" w:styleId="2188">
    <w:name w:val="样式 题注 + 黑体 五号"/>
    <w:basedOn w:val="23"/>
    <w:qFormat/>
    <w:uiPriority w:val="99"/>
    <w:pPr>
      <w:widowControl w:val="0"/>
      <w:spacing w:line="440" w:lineRule="exact"/>
      <w:jc w:val="center"/>
    </w:pPr>
    <w:rPr>
      <w:rFonts w:ascii="黑体" w:hAnsi="黑体" w:cs="Arial"/>
      <w:sz w:val="21"/>
      <w:szCs w:val="24"/>
    </w:rPr>
  </w:style>
  <w:style w:type="paragraph" w:customStyle="1" w:styleId="2189">
    <w:name w:val="OtherHeader"/>
    <w:basedOn w:val="58"/>
    <w:next w:val="1"/>
    <w:qFormat/>
    <w:uiPriority w:val="99"/>
    <w:pPr>
      <w:pBdr>
        <w:bottom w:val="none" w:color="auto" w:sz="0" w:space="0"/>
      </w:pBdr>
      <w:tabs>
        <w:tab w:val="left" w:pos="4153"/>
        <w:tab w:val="right" w:pos="7655"/>
      </w:tabs>
      <w:overflowPunct w:val="0"/>
      <w:autoSpaceDE w:val="0"/>
      <w:autoSpaceDN w:val="0"/>
      <w:adjustRightInd w:val="0"/>
      <w:snapToGrid/>
      <w:spacing w:before="360" w:after="240" w:line="264" w:lineRule="auto"/>
      <w:ind w:firstLine="200" w:firstLineChars="200"/>
      <w:jc w:val="left"/>
      <w:textAlignment w:val="baseline"/>
    </w:pPr>
    <w:rPr>
      <w:rFonts w:ascii="Book Antiqua" w:hAnsi="Book Antiqua" w:eastAsia="宋体"/>
      <w:b/>
      <w:i/>
      <w:caps/>
      <w:snapToGrid w:val="0"/>
      <w:kern w:val="0"/>
      <w:sz w:val="22"/>
      <w:szCs w:val="20"/>
      <w:lang w:val="en-GB"/>
    </w:rPr>
  </w:style>
  <w:style w:type="paragraph" w:customStyle="1" w:styleId="2190">
    <w:name w:val="wangjunbo.bullet"/>
    <w:basedOn w:val="1"/>
    <w:qFormat/>
    <w:uiPriority w:val="99"/>
    <w:pPr>
      <w:widowControl w:val="0"/>
      <w:adjustRightInd w:val="0"/>
      <w:snapToGrid w:val="0"/>
      <w:spacing w:line="360" w:lineRule="exact"/>
      <w:jc w:val="center"/>
    </w:pPr>
    <w:rPr>
      <w:rFonts w:eastAsia="宋体"/>
      <w:kern w:val="0"/>
      <w:sz w:val="21"/>
      <w:szCs w:val="20"/>
    </w:rPr>
  </w:style>
  <w:style w:type="paragraph" w:customStyle="1" w:styleId="2191">
    <w:name w:val="xl184"/>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rPr>
  </w:style>
  <w:style w:type="paragraph" w:customStyle="1" w:styleId="2192">
    <w:name w:val="编制日期"/>
    <w:basedOn w:val="1"/>
    <w:qFormat/>
    <w:uiPriority w:val="99"/>
    <w:pPr>
      <w:widowControl w:val="0"/>
      <w:spacing w:line="240" w:lineRule="auto"/>
      <w:jc w:val="center"/>
    </w:pPr>
    <w:rPr>
      <w:rFonts w:eastAsia="黑体"/>
      <w:b/>
      <w:sz w:val="32"/>
      <w:szCs w:val="20"/>
    </w:rPr>
  </w:style>
  <w:style w:type="paragraph" w:customStyle="1" w:styleId="2193">
    <w:name w:val="p9copy"/>
    <w:basedOn w:val="1"/>
    <w:semiHidden/>
    <w:qFormat/>
    <w:uiPriority w:val="99"/>
    <w:pPr>
      <w:adjustRightInd w:val="0"/>
      <w:spacing w:before="100" w:beforeAutospacing="1" w:after="100" w:afterAutospacing="1"/>
      <w:ind w:firstLine="576" w:firstLineChars="200"/>
      <w:jc w:val="left"/>
    </w:pPr>
    <w:rPr>
      <w:rFonts w:hint="eastAsia" w:ascii="宋体" w:hAnsi="Arial Unicode MS" w:eastAsia="仿宋_GB2312" w:cs="Arial Unicode MS"/>
      <w:color w:val="000000"/>
      <w:spacing w:val="4"/>
      <w:kern w:val="0"/>
      <w:sz w:val="18"/>
      <w:szCs w:val="18"/>
    </w:rPr>
  </w:style>
  <w:style w:type="paragraph" w:customStyle="1" w:styleId="2194">
    <w:name w:val="Subtext"/>
    <w:basedOn w:val="1"/>
    <w:qFormat/>
    <w:uiPriority w:val="99"/>
    <w:pPr>
      <w:overflowPunct w:val="0"/>
      <w:autoSpaceDE w:val="0"/>
      <w:autoSpaceDN w:val="0"/>
      <w:spacing w:line="264" w:lineRule="auto"/>
      <w:jc w:val="left"/>
      <w:textAlignment w:val="baseline"/>
    </w:pPr>
    <w:rPr>
      <w:rFonts w:ascii="Book Antiqua" w:hAnsi="Book Antiqua" w:eastAsia="宋体"/>
      <w:kern w:val="0"/>
      <w:sz w:val="18"/>
      <w:szCs w:val="20"/>
      <w:lang w:val="en-GB"/>
    </w:rPr>
  </w:style>
  <w:style w:type="paragraph" w:customStyle="1" w:styleId="2195">
    <w:name w:val="表号"/>
    <w:basedOn w:val="1"/>
    <w:qFormat/>
    <w:uiPriority w:val="99"/>
    <w:pPr>
      <w:widowControl w:val="0"/>
      <w:spacing w:line="240" w:lineRule="auto"/>
    </w:pPr>
    <w:rPr>
      <w:rFonts w:eastAsia="宋体"/>
      <w:sz w:val="21"/>
      <w:szCs w:val="20"/>
    </w:rPr>
  </w:style>
  <w:style w:type="paragraph" w:customStyle="1" w:styleId="2196">
    <w:name w:val="Char Char Char Char Char Char Char Char Char Char Char1 Char Char Char Char Char Char Char1"/>
    <w:basedOn w:val="1"/>
    <w:qFormat/>
    <w:uiPriority w:val="99"/>
    <w:pPr>
      <w:widowControl w:val="0"/>
      <w:spacing w:line="240" w:lineRule="auto"/>
    </w:pPr>
    <w:rPr>
      <w:rFonts w:eastAsia="宋体"/>
      <w:sz w:val="21"/>
      <w:szCs w:val="24"/>
    </w:rPr>
  </w:style>
  <w:style w:type="paragraph" w:customStyle="1" w:styleId="2197">
    <w:name w:val="正文文本 21"/>
    <w:basedOn w:val="1"/>
    <w:qFormat/>
    <w:uiPriority w:val="0"/>
    <w:pPr>
      <w:widowControl w:val="0"/>
      <w:overflowPunct w:val="0"/>
      <w:autoSpaceDE w:val="0"/>
      <w:autoSpaceDN w:val="0"/>
      <w:adjustRightInd w:val="0"/>
      <w:spacing w:after="120"/>
      <w:textAlignment w:val="baseline"/>
    </w:pPr>
    <w:rPr>
      <w:rFonts w:eastAsia="宋体"/>
      <w:szCs w:val="20"/>
    </w:rPr>
  </w:style>
  <w:style w:type="paragraph" w:customStyle="1" w:styleId="2198">
    <w:name w:val="xl160"/>
    <w:basedOn w:val="1"/>
    <w:qFormat/>
    <w:uiPriority w:val="99"/>
    <w:pPr>
      <w:pBdr>
        <w:left w:val="single" w:color="auto" w:sz="4" w:space="0"/>
        <w:right w:val="single" w:color="auto" w:sz="4" w:space="0"/>
      </w:pBdr>
      <w:shd w:val="clear" w:color="000000" w:fill="8DB4E2"/>
      <w:spacing w:before="100" w:beforeAutospacing="1" w:after="100" w:afterAutospacing="1" w:line="240" w:lineRule="auto"/>
      <w:jc w:val="center"/>
    </w:pPr>
    <w:rPr>
      <w:rFonts w:ascii="宋体" w:hAnsi="宋体" w:eastAsia="宋体" w:cs="宋体"/>
      <w:kern w:val="0"/>
    </w:rPr>
  </w:style>
  <w:style w:type="paragraph" w:customStyle="1" w:styleId="2199">
    <w:name w:val="样式 标题 2H2（一）Underrubrik1prop2Heading 2 HiddenHeading 2 CCB..."/>
    <w:basedOn w:val="4"/>
    <w:qFormat/>
    <w:uiPriority w:val="99"/>
    <w:pPr>
      <w:keepNext w:val="0"/>
      <w:keepLines w:val="0"/>
      <w:widowControl w:val="0"/>
      <w:tabs>
        <w:tab w:val="left" w:pos="576"/>
        <w:tab w:val="left" w:pos="3128"/>
      </w:tabs>
      <w:snapToGrid w:val="0"/>
      <w:spacing w:before="0" w:beforeLines="50" w:after="0" w:line="240" w:lineRule="auto"/>
      <w:ind w:left="576" w:hanging="576"/>
    </w:pPr>
    <w:rPr>
      <w:rFonts w:ascii="仿宋_GB2312" w:hAnsi="Times New Roman" w:eastAsia="仿宋_GB2312"/>
      <w:b w:val="0"/>
      <w:color w:val="000000"/>
      <w:spacing w:val="4"/>
      <w:sz w:val="30"/>
      <w:szCs w:val="28"/>
    </w:rPr>
  </w:style>
  <w:style w:type="paragraph" w:customStyle="1" w:styleId="2200">
    <w:name w:val="Char Char Char Char Char Char Char Char Char1"/>
    <w:basedOn w:val="1"/>
    <w:qFormat/>
    <w:uiPriority w:val="99"/>
    <w:pPr>
      <w:widowControl w:val="0"/>
      <w:spacing w:line="240" w:lineRule="auto"/>
    </w:pPr>
    <w:rPr>
      <w:rFonts w:eastAsia="宋体"/>
      <w:sz w:val="21"/>
      <w:szCs w:val="24"/>
    </w:rPr>
  </w:style>
  <w:style w:type="paragraph" w:customStyle="1" w:styleId="2201">
    <w:name w:val="Char Char Char Char Char Char Char Char Char Char Char Char Char Char Char Char Char Char Char Char Char Char Char Char Char Char Char Char Char Char Char Char Char"/>
    <w:basedOn w:val="1"/>
    <w:qFormat/>
    <w:uiPriority w:val="99"/>
    <w:pPr>
      <w:spacing w:after="160" w:line="240" w:lineRule="exact"/>
      <w:jc w:val="left"/>
    </w:pPr>
    <w:rPr>
      <w:rFonts w:eastAsia="宋体"/>
      <w:sz w:val="21"/>
      <w:szCs w:val="20"/>
    </w:rPr>
  </w:style>
  <w:style w:type="paragraph" w:customStyle="1" w:styleId="2202">
    <w:name w:val="Char Char Char Char Char Char Char Char Char Char Char"/>
    <w:basedOn w:val="1"/>
    <w:qFormat/>
    <w:uiPriority w:val="99"/>
    <w:pPr>
      <w:widowControl w:val="0"/>
      <w:spacing w:line="240" w:lineRule="auto"/>
    </w:pPr>
    <w:rPr>
      <w:rFonts w:eastAsia="宋体"/>
      <w:sz w:val="21"/>
      <w:szCs w:val="24"/>
    </w:rPr>
  </w:style>
  <w:style w:type="paragraph" w:customStyle="1" w:styleId="2203">
    <w:name w:val="font13"/>
    <w:basedOn w:val="1"/>
    <w:qFormat/>
    <w:uiPriority w:val="0"/>
    <w:pPr>
      <w:spacing w:before="100" w:beforeAutospacing="1" w:after="100" w:afterAutospacing="1" w:line="240" w:lineRule="auto"/>
      <w:jc w:val="left"/>
    </w:pPr>
    <w:rPr>
      <w:rFonts w:eastAsia="宋体"/>
      <w:b/>
      <w:bCs/>
      <w:kern w:val="0"/>
      <w:sz w:val="28"/>
      <w:szCs w:val="28"/>
    </w:rPr>
  </w:style>
  <w:style w:type="paragraph" w:customStyle="1" w:styleId="2204">
    <w:name w:val="主体 + 居中"/>
    <w:basedOn w:val="1209"/>
    <w:qFormat/>
    <w:uiPriority w:val="99"/>
    <w:pPr>
      <w:ind w:firstLine="0" w:firstLineChars="0"/>
      <w:jc w:val="center"/>
    </w:pPr>
    <w:rPr>
      <w:rFonts w:cs="宋体"/>
      <w:bCs w:val="0"/>
      <w:szCs w:val="20"/>
    </w:rPr>
  </w:style>
  <w:style w:type="paragraph" w:customStyle="1" w:styleId="2205">
    <w:name w:val="胡奔流-标题6"/>
    <w:basedOn w:val="1"/>
    <w:semiHidden/>
    <w:qFormat/>
    <w:uiPriority w:val="99"/>
    <w:pPr>
      <w:widowControl w:val="0"/>
      <w:adjustRightInd w:val="0"/>
      <w:textAlignment w:val="baseline"/>
    </w:pPr>
    <w:rPr>
      <w:rFonts w:ascii="宋体" w:eastAsia="宋体"/>
      <w:spacing w:val="10"/>
      <w:kern w:val="21"/>
      <w:szCs w:val="20"/>
    </w:rPr>
  </w:style>
  <w:style w:type="paragraph" w:customStyle="1" w:styleId="2206">
    <w:name w:val="飞凯表格"/>
    <w:basedOn w:val="67"/>
    <w:qFormat/>
    <w:uiPriority w:val="99"/>
    <w:pPr>
      <w:autoSpaceDE w:val="0"/>
      <w:autoSpaceDN w:val="0"/>
      <w:ind w:left="0" w:firstLine="0" w:firstLineChars="0"/>
      <w:contextualSpacing w:val="0"/>
      <w:jc w:val="center"/>
    </w:pPr>
    <w:rPr>
      <w:rFonts w:ascii="宋体" w:hAnsi="Calibri" w:eastAsia="宋体" w:cs="宋体"/>
      <w:sz w:val="21"/>
      <w:lang w:val="zh-CN"/>
    </w:rPr>
  </w:style>
  <w:style w:type="paragraph" w:customStyle="1" w:styleId="2207">
    <w:name w:val="Char Char Char Char Char Char Char Char Char Char Char2"/>
    <w:basedOn w:val="1"/>
    <w:qFormat/>
    <w:uiPriority w:val="99"/>
    <w:pPr>
      <w:widowControl w:val="0"/>
      <w:spacing w:line="240" w:lineRule="auto"/>
    </w:pPr>
    <w:rPr>
      <w:rFonts w:eastAsia="宋体"/>
      <w:sz w:val="21"/>
      <w:szCs w:val="24"/>
    </w:rPr>
  </w:style>
  <w:style w:type="paragraph" w:customStyle="1" w:styleId="2208">
    <w:name w:val="tc"/>
    <w:basedOn w:val="5"/>
    <w:qFormat/>
    <w:uiPriority w:val="99"/>
    <w:pPr>
      <w:keepNext w:val="0"/>
      <w:keepLines w:val="0"/>
      <w:widowControl w:val="0"/>
      <w:tabs>
        <w:tab w:val="left" w:pos="540"/>
        <w:tab w:val="left" w:pos="1418"/>
      </w:tabs>
      <w:autoSpaceDE w:val="0"/>
      <w:autoSpaceDN w:val="0"/>
      <w:spacing w:before="0" w:beforeAutospacing="1" w:after="0" w:afterAutospacing="1" w:line="400" w:lineRule="exact"/>
      <w:ind w:left="1418" w:hanging="567"/>
      <w:jc w:val="left"/>
    </w:pPr>
    <w:rPr>
      <w:rFonts w:hAnsi="宋体" w:eastAsia="黑体"/>
      <w:bCs w:val="0"/>
      <w:iCs/>
      <w:color w:val="000000"/>
      <w:kern w:val="0"/>
      <w:sz w:val="24"/>
      <w:szCs w:val="30"/>
      <w:lang w:val="en-GB"/>
    </w:rPr>
  </w:style>
  <w:style w:type="paragraph" w:customStyle="1" w:styleId="2209">
    <w:name w:val="样式 小三 加粗 首行缩进:  2 字符"/>
    <w:basedOn w:val="1"/>
    <w:qFormat/>
    <w:uiPriority w:val="99"/>
    <w:pPr>
      <w:widowControl w:val="0"/>
      <w:ind w:firstLine="480" w:firstLineChars="200"/>
    </w:pPr>
    <w:rPr>
      <w:rFonts w:eastAsia="宋体"/>
      <w:bCs/>
      <w:szCs w:val="20"/>
    </w:rPr>
  </w:style>
  <w:style w:type="paragraph" w:customStyle="1" w:styleId="2210">
    <w:name w:val="copyright"/>
    <w:basedOn w:val="1"/>
    <w:qFormat/>
    <w:uiPriority w:val="99"/>
    <w:pPr>
      <w:spacing w:before="100" w:beforeAutospacing="1" w:after="100" w:afterAutospacing="1" w:line="240" w:lineRule="auto"/>
      <w:ind w:firstLine="401"/>
      <w:jc w:val="left"/>
    </w:pPr>
    <w:rPr>
      <w:rFonts w:ascii="宋体" w:hAnsi="宋体" w:eastAsia="宋体" w:cs="宋体"/>
      <w:color w:val="000000"/>
      <w:kern w:val="0"/>
      <w:sz w:val="20"/>
      <w:szCs w:val="20"/>
    </w:rPr>
  </w:style>
  <w:style w:type="paragraph" w:customStyle="1" w:styleId="2211">
    <w:name w:val="图2"/>
    <w:basedOn w:val="74"/>
    <w:qFormat/>
    <w:uiPriority w:val="99"/>
    <w:pPr>
      <w:spacing w:before="120" w:afterLines="30"/>
      <w:ind w:left="1440" w:leftChars="0" w:hanging="360" w:firstLineChars="200"/>
      <w:jc w:val="center"/>
    </w:pPr>
    <w:rPr>
      <w:rFonts w:ascii="昆仑楷体" w:hAnsi="Arial"/>
      <w:b/>
      <w:szCs w:val="22"/>
    </w:rPr>
  </w:style>
  <w:style w:type="paragraph" w:customStyle="1" w:styleId="2212">
    <w:name w:val="AnnexLetter"/>
    <w:basedOn w:val="1"/>
    <w:qFormat/>
    <w:uiPriority w:val="99"/>
    <w:pPr>
      <w:overflowPunct w:val="0"/>
      <w:autoSpaceDE w:val="0"/>
      <w:autoSpaceDN w:val="0"/>
      <w:spacing w:before="2400" w:line="264" w:lineRule="auto"/>
      <w:ind w:left="1418" w:right="1418"/>
      <w:jc w:val="left"/>
      <w:textAlignment w:val="baseline"/>
    </w:pPr>
    <w:rPr>
      <w:rFonts w:ascii="Book Antiqua" w:hAnsi="Book Antiqua" w:eastAsia="宋体"/>
      <w:kern w:val="0"/>
      <w:sz w:val="22"/>
      <w:szCs w:val="20"/>
      <w:lang w:val="en-GB"/>
    </w:rPr>
  </w:style>
  <w:style w:type="paragraph" w:customStyle="1" w:styleId="2213">
    <w:name w:val="Normal Indent1"/>
    <w:basedOn w:val="1"/>
    <w:semiHidden/>
    <w:qFormat/>
    <w:uiPriority w:val="0"/>
    <w:pPr>
      <w:widowControl w:val="0"/>
      <w:spacing w:line="240" w:lineRule="auto"/>
      <w:ind w:firstLine="420" w:firstLineChars="200"/>
    </w:pPr>
    <w:rPr>
      <w:rFonts w:hint="eastAsia" w:eastAsia="宋体"/>
      <w:sz w:val="21"/>
      <w:szCs w:val="24"/>
    </w:rPr>
  </w:style>
  <w:style w:type="paragraph" w:customStyle="1" w:styleId="2214">
    <w:name w:val="13"/>
    <w:basedOn w:val="1"/>
    <w:next w:val="82"/>
    <w:qFormat/>
    <w:uiPriority w:val="99"/>
    <w:pPr>
      <w:spacing w:before="100" w:beforeAutospacing="1" w:after="100" w:afterAutospacing="1" w:line="240" w:lineRule="auto"/>
      <w:jc w:val="left"/>
    </w:pPr>
    <w:rPr>
      <w:rFonts w:ascii="宋体" w:hAnsi="宋体" w:eastAsia="宋体"/>
      <w:color w:val="000066"/>
      <w:kern w:val="0"/>
      <w:szCs w:val="20"/>
    </w:rPr>
  </w:style>
  <w:style w:type="paragraph" w:customStyle="1" w:styleId="2215">
    <w:name w:val="应填表格"/>
    <w:basedOn w:val="1"/>
    <w:qFormat/>
    <w:uiPriority w:val="99"/>
    <w:pPr>
      <w:spacing w:before="40" w:after="40" w:line="240" w:lineRule="auto"/>
      <w:jc w:val="left"/>
    </w:pPr>
    <w:rPr>
      <w:rFonts w:ascii="Calibri" w:hAnsi="Calibri" w:eastAsia="宋体"/>
      <w:kern w:val="0"/>
      <w:szCs w:val="24"/>
      <w:lang w:eastAsia="en-US" w:bidi="en-US"/>
    </w:rPr>
  </w:style>
  <w:style w:type="paragraph" w:customStyle="1" w:styleId="2216">
    <w:name w:val="样式 样式 样式 (符号) 宋体 14 磅 行距: 1.5 倍行距 首行缩进:  2 字符 + 首行缩进:  2 字符 + 首行..."/>
    <w:basedOn w:val="1"/>
    <w:qFormat/>
    <w:uiPriority w:val="0"/>
    <w:pPr>
      <w:widowControl w:val="0"/>
      <w:spacing w:line="400" w:lineRule="exact"/>
      <w:ind w:firstLine="200" w:firstLineChars="200"/>
    </w:pPr>
    <w:rPr>
      <w:rFonts w:hAnsi="宋体" w:eastAsia="宋体" w:cs="宋体"/>
      <w:szCs w:val="20"/>
    </w:rPr>
  </w:style>
  <w:style w:type="paragraph" w:customStyle="1" w:styleId="2217">
    <w:name w:val="样式 正文1 + 首行缩进:  2 字符"/>
    <w:basedOn w:val="211"/>
    <w:qFormat/>
    <w:uiPriority w:val="99"/>
    <w:pPr>
      <w:widowControl w:val="0"/>
      <w:snapToGrid w:val="0"/>
      <w:spacing w:before="24" w:after="24" w:line="300" w:lineRule="auto"/>
      <w:ind w:firstLine="480"/>
      <w:jc w:val="left"/>
    </w:pPr>
    <w:rPr>
      <w:rFonts w:ascii="宋体" w:hAnsi="Calibri" w:cs="宋体"/>
      <w:snapToGrid w:val="0"/>
      <w:kern w:val="0"/>
      <w:sz w:val="28"/>
      <w:szCs w:val="20"/>
    </w:rPr>
  </w:style>
  <w:style w:type="paragraph" w:customStyle="1" w:styleId="2218">
    <w:name w:val="TOC 标题11"/>
    <w:basedOn w:val="3"/>
    <w:next w:val="1"/>
    <w:qFormat/>
    <w:uiPriority w:val="39"/>
    <w:pPr>
      <w:keepLines w:val="0"/>
      <w:spacing w:before="240" w:after="60" w:line="240" w:lineRule="auto"/>
      <w:jc w:val="left"/>
      <w:outlineLvl w:val="9"/>
    </w:pPr>
    <w:rPr>
      <w:rFonts w:ascii="Cambria" w:hAnsi="Cambria" w:eastAsia="宋体"/>
      <w:kern w:val="32"/>
      <w:sz w:val="32"/>
      <w:szCs w:val="32"/>
    </w:rPr>
  </w:style>
  <w:style w:type="paragraph" w:customStyle="1" w:styleId="2219">
    <w:name w:val="Style Centered"/>
    <w:basedOn w:val="1"/>
    <w:qFormat/>
    <w:uiPriority w:val="99"/>
    <w:pPr>
      <w:widowControl w:val="0"/>
      <w:jc w:val="center"/>
    </w:pPr>
    <w:rPr>
      <w:rFonts w:eastAsia="宋体" w:cs="宋体"/>
      <w:sz w:val="21"/>
      <w:szCs w:val="20"/>
    </w:rPr>
  </w:style>
  <w:style w:type="paragraph" w:customStyle="1" w:styleId="2220">
    <w:name w:val="竹本油脂（目录）二到4级标题及附表"/>
    <w:basedOn w:val="1816"/>
    <w:qFormat/>
    <w:uiPriority w:val="99"/>
    <w:rPr>
      <w:rFonts w:eastAsia="宋体"/>
      <w:sz w:val="24"/>
    </w:rPr>
  </w:style>
  <w:style w:type="paragraph" w:customStyle="1" w:styleId="2221">
    <w:name w:val="Style Heading 2 + (Asian) 宋体 (Complex) 小四 Not Bold Before:  6 pt"/>
    <w:basedOn w:val="4"/>
    <w:qFormat/>
    <w:uiPriority w:val="99"/>
    <w:pPr>
      <w:keepLines w:val="0"/>
      <w:widowControl w:val="0"/>
      <w:tabs>
        <w:tab w:val="left" w:pos="0"/>
      </w:tabs>
      <w:spacing w:before="120" w:after="120" w:line="240" w:lineRule="auto"/>
      <w:ind w:hanging="851"/>
    </w:pPr>
    <w:rPr>
      <w:rFonts w:ascii="Times New Roman" w:hAnsi="Times New Roman" w:eastAsia="宋体"/>
      <w:b w:val="0"/>
      <w:bCs w:val="0"/>
      <w:kern w:val="0"/>
      <w:sz w:val="24"/>
      <w:szCs w:val="24"/>
      <w:lang w:val="en-GB" w:eastAsia="en-US"/>
    </w:rPr>
  </w:style>
  <w:style w:type="paragraph" w:customStyle="1" w:styleId="2222">
    <w:name w:val="Char Char Char Char Char Char Char Char2 Char Char Char Char Char Char Char Char Char Char Char Char Char"/>
    <w:basedOn w:val="1"/>
    <w:next w:val="1"/>
    <w:qFormat/>
    <w:uiPriority w:val="99"/>
    <w:pPr>
      <w:widowControl w:val="0"/>
      <w:spacing w:line="336" w:lineRule="auto"/>
    </w:pPr>
    <w:rPr>
      <w:rFonts w:ascii="宋体" w:hAnsi="宋体" w:eastAsia="汉鼎简书宋"/>
      <w:spacing w:val="4"/>
      <w:szCs w:val="20"/>
    </w:rPr>
  </w:style>
  <w:style w:type="paragraph" w:customStyle="1" w:styleId="2223">
    <w:name w:val="表格样式1"/>
    <w:basedOn w:val="1"/>
    <w:qFormat/>
    <w:uiPriority w:val="99"/>
    <w:pPr>
      <w:widowControl w:val="0"/>
      <w:spacing w:line="240" w:lineRule="auto"/>
      <w:jc w:val="center"/>
    </w:pPr>
    <w:rPr>
      <w:rFonts w:ascii="宋体" w:hAnsi="宋体" w:eastAsia="宋体"/>
      <w:sz w:val="21"/>
    </w:rPr>
  </w:style>
  <w:style w:type="paragraph" w:customStyle="1" w:styleId="2224">
    <w:name w:val="标题 3A"/>
    <w:basedOn w:val="5"/>
    <w:qFormat/>
    <w:uiPriority w:val="99"/>
    <w:pPr>
      <w:keepNext w:val="0"/>
      <w:keepLines w:val="0"/>
      <w:widowControl w:val="0"/>
      <w:tabs>
        <w:tab w:val="left" w:pos="0"/>
      </w:tabs>
      <w:spacing w:before="0" w:beforeLines="20" w:after="0" w:afterLines="10" w:line="300" w:lineRule="auto"/>
      <w:ind w:right="227"/>
    </w:pPr>
    <w:rPr>
      <w:rFonts w:ascii="Calibri" w:hAnsi="Calibri" w:eastAsia="宋体"/>
      <w:bCs w:val="0"/>
      <w:color w:val="000000"/>
      <w:kern w:val="28"/>
      <w:sz w:val="24"/>
      <w:szCs w:val="20"/>
    </w:rPr>
  </w:style>
  <w:style w:type="paragraph" w:customStyle="1" w:styleId="2225">
    <w:name w:val="18"/>
    <w:basedOn w:val="1"/>
    <w:qFormat/>
    <w:uiPriority w:val="99"/>
    <w:pPr>
      <w:spacing w:before="100" w:beforeAutospacing="1" w:after="100" w:afterAutospacing="1" w:line="240" w:lineRule="auto"/>
    </w:pPr>
    <w:rPr>
      <w:rFonts w:eastAsia="宋体"/>
      <w:kern w:val="0"/>
      <w:sz w:val="28"/>
      <w:szCs w:val="28"/>
    </w:rPr>
  </w:style>
  <w:style w:type="paragraph" w:customStyle="1" w:styleId="2226">
    <w:name w:val="图框文字"/>
    <w:basedOn w:val="1"/>
    <w:qFormat/>
    <w:uiPriority w:val="99"/>
    <w:pPr>
      <w:widowControl w:val="0"/>
      <w:spacing w:line="240" w:lineRule="auto"/>
      <w:jc w:val="center"/>
      <w:textAlignment w:val="center"/>
    </w:pPr>
    <w:rPr>
      <w:rFonts w:eastAsia="宋体"/>
      <w:sz w:val="21"/>
    </w:rPr>
  </w:style>
  <w:style w:type="paragraph" w:customStyle="1" w:styleId="2227">
    <w:name w:val="默认段落字体 Para Char Char Char Char Char Char Char Char Char Char"/>
    <w:basedOn w:val="1"/>
    <w:qFormat/>
    <w:uiPriority w:val="99"/>
    <w:pPr>
      <w:widowControl w:val="0"/>
      <w:spacing w:line="240" w:lineRule="auto"/>
    </w:pPr>
    <w:rPr>
      <w:rFonts w:eastAsia="宋体"/>
      <w:sz w:val="21"/>
    </w:rPr>
  </w:style>
  <w:style w:type="paragraph" w:customStyle="1" w:styleId="2228">
    <w:name w:val="竹本油脂表格批注"/>
    <w:qFormat/>
    <w:uiPriority w:val="99"/>
    <w:pPr>
      <w:adjustRightInd w:val="0"/>
      <w:snapToGrid w:val="0"/>
      <w:spacing w:line="360" w:lineRule="auto"/>
      <w:jc w:val="center"/>
    </w:pPr>
    <w:rPr>
      <w:rFonts w:ascii="Times New Roman" w:hAnsi="Times New Roman" w:eastAsia="宋体" w:cs="Times New Roman"/>
      <w:snapToGrid w:val="0"/>
      <w:kern w:val="24"/>
      <w:sz w:val="24"/>
      <w:szCs w:val="24"/>
      <w:lang w:val="en-US" w:eastAsia="zh-CN" w:bidi="ar-SA"/>
    </w:rPr>
  </w:style>
  <w:style w:type="paragraph" w:customStyle="1" w:styleId="2229">
    <w:name w:val="xl186"/>
    <w:basedOn w:val="1"/>
    <w:qFormat/>
    <w:uiPriority w:val="99"/>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230">
    <w:name w:val="标题31"/>
    <w:basedOn w:val="1"/>
    <w:qFormat/>
    <w:uiPriority w:val="99"/>
    <w:pPr>
      <w:widowControl w:val="0"/>
      <w:spacing w:line="240" w:lineRule="auto"/>
    </w:pPr>
    <w:rPr>
      <w:rFonts w:ascii="宋体" w:hAnsi="宋体" w:eastAsia="宋体"/>
      <w:color w:val="000000"/>
      <w:szCs w:val="20"/>
    </w:rPr>
  </w:style>
  <w:style w:type="paragraph" w:customStyle="1" w:styleId="2231">
    <w:name w:val=":|"/>
    <w:qFormat/>
    <w:uiPriority w:val="99"/>
    <w:pPr>
      <w:overflowPunct w:val="0"/>
      <w:autoSpaceDE w:val="0"/>
      <w:autoSpaceDN w:val="0"/>
      <w:adjustRightInd w:val="0"/>
      <w:spacing w:line="360" w:lineRule="auto"/>
      <w:jc w:val="both"/>
      <w:textAlignment w:val="baseline"/>
    </w:pPr>
    <w:rPr>
      <w:rFonts w:ascii="Calibri" w:hAnsi="Calibri" w:eastAsia="宋体" w:cs="Times New Roman"/>
      <w:kern w:val="2"/>
      <w:sz w:val="21"/>
      <w:szCs w:val="22"/>
      <w:lang w:val="en-US" w:eastAsia="en-US" w:bidi="ar-SA"/>
    </w:rPr>
  </w:style>
  <w:style w:type="paragraph" w:customStyle="1" w:styleId="2232">
    <w:name w:val="表中正文"/>
    <w:basedOn w:val="1"/>
    <w:qFormat/>
    <w:uiPriority w:val="99"/>
    <w:pPr>
      <w:widowControl w:val="0"/>
      <w:autoSpaceDE w:val="0"/>
      <w:autoSpaceDN w:val="0"/>
      <w:spacing w:before="60" w:after="60" w:line="240" w:lineRule="atLeast"/>
      <w:ind w:firstLine="527"/>
      <w:jc w:val="center"/>
      <w:textAlignment w:val="baseline"/>
    </w:pPr>
    <w:rPr>
      <w:rFonts w:ascii="宋体" w:eastAsia="宋体"/>
      <w:kern w:val="0"/>
      <w:szCs w:val="20"/>
    </w:rPr>
  </w:style>
  <w:style w:type="paragraph" w:customStyle="1" w:styleId="2233">
    <w:name w:val="Char Char2 Char Char Char Char"/>
    <w:basedOn w:val="1"/>
    <w:qFormat/>
    <w:uiPriority w:val="99"/>
    <w:pPr>
      <w:widowControl w:val="0"/>
      <w:tabs>
        <w:tab w:val="left" w:pos="794"/>
        <w:tab w:val="left" w:pos="1191"/>
        <w:tab w:val="left" w:pos="1588"/>
        <w:tab w:val="left" w:pos="1985"/>
      </w:tabs>
      <w:autoSpaceDE w:val="0"/>
      <w:autoSpaceDN w:val="0"/>
      <w:spacing w:before="136" w:line="240" w:lineRule="auto"/>
    </w:pPr>
    <w:rPr>
      <w:rFonts w:ascii="Tahoma" w:hAnsi="Tahoma" w:eastAsia="宋体"/>
      <w:lang w:val="en-GB"/>
    </w:rPr>
  </w:style>
  <w:style w:type="paragraph" w:customStyle="1" w:styleId="2234">
    <w:name w:val="Char Char Char Char Char Char Char Char Char1 Char Char Char Char Char Char Char Char Char Char Char Char Char Char Char Char Char Char Char Char Char"/>
    <w:basedOn w:val="1"/>
    <w:qFormat/>
    <w:uiPriority w:val="99"/>
    <w:pPr>
      <w:widowControl w:val="0"/>
      <w:spacing w:line="240" w:lineRule="auto"/>
    </w:pPr>
    <w:rPr>
      <w:rFonts w:eastAsia="宋体"/>
      <w:sz w:val="21"/>
      <w:szCs w:val="21"/>
    </w:rPr>
  </w:style>
  <w:style w:type="paragraph" w:customStyle="1" w:styleId="2235">
    <w:name w:val="竹本油脂目录标题"/>
    <w:qFormat/>
    <w:uiPriority w:val="99"/>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paragraph" w:customStyle="1" w:styleId="2236">
    <w:name w:val="样式 标题 3标题3H3h33rd level第二层条头标题 3 Char Char小标题小节标题标题 3 ...3"/>
    <w:basedOn w:val="5"/>
    <w:qFormat/>
    <w:uiPriority w:val="99"/>
    <w:pPr>
      <w:widowControl w:val="0"/>
      <w:tabs>
        <w:tab w:val="left" w:pos="0"/>
        <w:tab w:val="left" w:pos="709"/>
      </w:tabs>
      <w:spacing w:before="156" w:after="120" w:line="240" w:lineRule="auto"/>
      <w:ind w:left="709" w:hanging="709"/>
    </w:pPr>
    <w:rPr>
      <w:rFonts w:eastAsia="仿宋_GB2312" w:cs="宋体"/>
      <w:sz w:val="24"/>
      <w:szCs w:val="20"/>
    </w:rPr>
  </w:style>
  <w:style w:type="paragraph" w:customStyle="1" w:styleId="2237">
    <w:name w:val="标题 2."/>
    <w:basedOn w:val="4"/>
    <w:qFormat/>
    <w:uiPriority w:val="99"/>
    <w:pPr>
      <w:keepNext w:val="0"/>
      <w:keepLines w:val="0"/>
      <w:widowControl w:val="0"/>
      <w:tabs>
        <w:tab w:val="left" w:pos="0"/>
        <w:tab w:val="left" w:pos="200"/>
      </w:tabs>
      <w:spacing w:before="0" w:beforeLines="30" w:after="0" w:afterLines="10" w:line="300" w:lineRule="auto"/>
      <w:ind w:right="227"/>
      <w:textAlignment w:val="baseline"/>
    </w:pPr>
    <w:rPr>
      <w:rFonts w:ascii="Times New Roman" w:hAnsi="Times New Roman" w:eastAsia="宋体"/>
      <w:bCs w:val="0"/>
      <w:kern w:val="0"/>
      <w:sz w:val="24"/>
      <w:szCs w:val="20"/>
    </w:rPr>
  </w:style>
  <w:style w:type="paragraph" w:customStyle="1" w:styleId="2238">
    <w:name w:val="表注+左对齐"/>
    <w:basedOn w:val="1"/>
    <w:qFormat/>
    <w:uiPriority w:val="99"/>
    <w:pPr>
      <w:spacing w:line="240" w:lineRule="atLeast"/>
      <w:jc w:val="left"/>
      <w:textAlignment w:val="baseline"/>
    </w:pPr>
    <w:rPr>
      <w:rFonts w:ascii="仿宋_GB2312" w:eastAsia="仿宋_GB2312"/>
      <w:sz w:val="18"/>
      <w:szCs w:val="20"/>
    </w:rPr>
  </w:style>
  <w:style w:type="paragraph" w:customStyle="1" w:styleId="2239">
    <w:name w:val="xl166"/>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eastAsia="宋体"/>
      <w:color w:val="000000"/>
      <w:kern w:val="0"/>
    </w:rPr>
  </w:style>
  <w:style w:type="paragraph" w:customStyle="1" w:styleId="2240">
    <w:name w:val="11charchar"/>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241">
    <w:name w:val="样式11"/>
    <w:basedOn w:val="1"/>
    <w:qFormat/>
    <w:uiPriority w:val="99"/>
    <w:pPr>
      <w:widowControl w:val="0"/>
      <w:tabs>
        <w:tab w:val="left" w:pos="780"/>
      </w:tabs>
      <w:adjustRightInd w:val="0"/>
      <w:snapToGrid w:val="0"/>
      <w:spacing w:before="156" w:beforeLines="50"/>
      <w:ind w:left="-360"/>
      <w:jc w:val="left"/>
      <w:textAlignment w:val="baseline"/>
      <w:outlineLvl w:val="1"/>
    </w:pPr>
    <w:rPr>
      <w:rFonts w:eastAsia="宋体"/>
      <w:b/>
      <w:snapToGrid w:val="0"/>
      <w:color w:val="000000"/>
      <w:kern w:val="0"/>
      <w:sz w:val="32"/>
      <w:szCs w:val="32"/>
    </w:rPr>
  </w:style>
  <w:style w:type="paragraph" w:customStyle="1" w:styleId="2242">
    <w:name w:val="报告正文文字"/>
    <w:basedOn w:val="1"/>
    <w:qFormat/>
    <w:uiPriority w:val="99"/>
    <w:pPr>
      <w:autoSpaceDE w:val="0"/>
      <w:autoSpaceDN w:val="0"/>
      <w:ind w:firstLine="480"/>
    </w:pPr>
    <w:rPr>
      <w:rFonts w:ascii="宋体" w:hAnsi="宋体" w:eastAsia="宋体"/>
      <w:color w:val="000000"/>
      <w:spacing w:val="4"/>
      <w:kern w:val="0"/>
      <w:szCs w:val="20"/>
    </w:rPr>
  </w:style>
  <w:style w:type="paragraph" w:customStyle="1" w:styleId="2243">
    <w:name w:val="Char Char1 Char Char Char Char Char Char"/>
    <w:basedOn w:val="1"/>
    <w:qFormat/>
    <w:uiPriority w:val="99"/>
    <w:pPr>
      <w:widowControl w:val="0"/>
      <w:spacing w:line="240" w:lineRule="auto"/>
    </w:pPr>
    <w:rPr>
      <w:rFonts w:eastAsia="仿宋_GB2312"/>
      <w:sz w:val="21"/>
      <w:szCs w:val="21"/>
    </w:rPr>
  </w:style>
  <w:style w:type="paragraph" w:customStyle="1" w:styleId="2244">
    <w:name w:val="Char Char Char Char Char Char1 Char Char4 Char5"/>
    <w:basedOn w:val="1"/>
    <w:next w:val="1"/>
    <w:semiHidden/>
    <w:uiPriority w:val="0"/>
    <w:pPr>
      <w:widowControl w:val="0"/>
      <w:spacing w:line="336" w:lineRule="auto"/>
      <w:ind w:firstLine="200" w:firstLineChars="200"/>
    </w:pPr>
    <w:rPr>
      <w:rFonts w:ascii="宋体" w:hAnsi="宋体" w:eastAsia="汉鼎简书宋" w:cs="宋体"/>
      <w:spacing w:val="4"/>
      <w:szCs w:val="24"/>
    </w:rPr>
  </w:style>
  <w:style w:type="paragraph" w:customStyle="1" w:styleId="2245">
    <w:name w:val="02"/>
    <w:basedOn w:val="3"/>
    <w:qFormat/>
    <w:uiPriority w:val="99"/>
    <w:pPr>
      <w:widowControl w:val="0"/>
      <w:tabs>
        <w:tab w:val="left" w:pos="0"/>
        <w:tab w:val="left" w:pos="425"/>
      </w:tabs>
      <w:spacing w:before="240" w:after="0" w:line="360" w:lineRule="auto"/>
      <w:ind w:left="425" w:right="228" w:hanging="425"/>
    </w:pPr>
    <w:rPr>
      <w:rFonts w:eastAsia="宋体"/>
      <w:kern w:val="0"/>
      <w:sz w:val="28"/>
      <w:szCs w:val="28"/>
    </w:rPr>
  </w:style>
  <w:style w:type="paragraph" w:customStyle="1" w:styleId="2246">
    <w:name w:val="style3"/>
    <w:basedOn w:val="1"/>
    <w:qFormat/>
    <w:uiPriority w:val="99"/>
    <w:pPr>
      <w:spacing w:before="100" w:beforeAutospacing="1" w:after="100" w:afterAutospacing="1" w:line="240" w:lineRule="auto"/>
      <w:jc w:val="left"/>
    </w:pPr>
    <w:rPr>
      <w:rFonts w:ascii="宋体" w:hAnsi="宋体" w:eastAsia="仿宋_GB2312" w:cs="宋体"/>
      <w:kern w:val="0"/>
    </w:rPr>
  </w:style>
  <w:style w:type="paragraph" w:customStyle="1" w:styleId="2247">
    <w:name w:val="表头助剂"/>
    <w:basedOn w:val="3"/>
    <w:semiHidden/>
    <w:qFormat/>
    <w:uiPriority w:val="99"/>
    <w:pPr>
      <w:widowControl w:val="0"/>
      <w:tabs>
        <w:tab w:val="left" w:pos="0"/>
      </w:tabs>
      <w:spacing w:before="0" w:after="0" w:line="360" w:lineRule="auto"/>
      <w:jc w:val="center"/>
      <w:outlineLvl w:val="9"/>
    </w:pPr>
    <w:rPr>
      <w:rFonts w:ascii="黑体" w:eastAsia="宋体"/>
      <w:b w:val="0"/>
      <w:kern w:val="0"/>
      <w:sz w:val="24"/>
      <w:szCs w:val="24"/>
    </w:rPr>
  </w:style>
  <w:style w:type="paragraph" w:customStyle="1" w:styleId="2248">
    <w:name w:val="字元 字元1 Char Char"/>
    <w:basedOn w:val="1"/>
    <w:qFormat/>
    <w:uiPriority w:val="99"/>
    <w:pPr>
      <w:widowControl w:val="0"/>
      <w:spacing w:line="240" w:lineRule="auto"/>
    </w:pPr>
    <w:rPr>
      <w:rFonts w:ascii="宋体" w:hAnsi="宋体" w:eastAsia="宋体" w:cs="宋体"/>
      <w:szCs w:val="24"/>
    </w:rPr>
  </w:style>
  <w:style w:type="paragraph" w:customStyle="1" w:styleId="2249">
    <w:name w:val="yiv912206986msonormal"/>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250">
    <w:name w:val="样式 报告正文 + 首行缩进:  2 字符 行距: 1.5 倍行距"/>
    <w:basedOn w:val="1248"/>
    <w:qFormat/>
    <w:uiPriority w:val="99"/>
    <w:pPr>
      <w:adjustRightInd/>
      <w:snapToGrid/>
      <w:spacing w:beforeLines="0"/>
      <w:ind w:firstLine="0" w:firstLineChars="0"/>
    </w:pPr>
    <w:rPr>
      <w:rFonts w:ascii="Calibri" w:hAnsi="Calibri" w:cs="宋体"/>
      <w:snapToGrid/>
      <w:szCs w:val="20"/>
    </w:rPr>
  </w:style>
  <w:style w:type="paragraph" w:customStyle="1" w:styleId="2251">
    <w:name w:val="a"/>
    <w:basedOn w:val="1"/>
    <w:qFormat/>
    <w:uiPriority w:val="99"/>
    <w:pPr>
      <w:widowControl w:val="0"/>
      <w:tabs>
        <w:tab w:val="left" w:pos="992"/>
      </w:tabs>
      <w:spacing w:after="60" w:line="240" w:lineRule="auto"/>
    </w:pPr>
    <w:rPr>
      <w:rFonts w:ascii="楷体_GB2312" w:eastAsia="楷体_GB2312"/>
      <w:sz w:val="28"/>
      <w:szCs w:val="20"/>
    </w:rPr>
  </w:style>
  <w:style w:type="paragraph" w:customStyle="1" w:styleId="2252">
    <w:name w:val="Char Char Char1 Char Char Char Char Char Char Char Char Char"/>
    <w:basedOn w:val="1"/>
    <w:qFormat/>
    <w:uiPriority w:val="99"/>
    <w:pPr>
      <w:widowControl w:val="0"/>
      <w:spacing w:line="240" w:lineRule="auto"/>
    </w:pPr>
    <w:rPr>
      <w:rFonts w:eastAsia="宋体"/>
      <w:sz w:val="21"/>
      <w:szCs w:val="20"/>
    </w:rPr>
  </w:style>
  <w:style w:type="paragraph" w:customStyle="1" w:styleId="2253">
    <w:name w:val="xl187"/>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254">
    <w:name w:val="Char Char Char Char Char Char Char Char Char Char Char Char Char Char Char Char Char Char Char Char Char Char"/>
    <w:basedOn w:val="1"/>
    <w:qFormat/>
    <w:uiPriority w:val="0"/>
    <w:pPr>
      <w:widowControl w:val="0"/>
      <w:spacing w:line="240" w:lineRule="auto"/>
    </w:pPr>
    <w:rPr>
      <w:rFonts w:eastAsia="仿宋_GB2312"/>
      <w:sz w:val="21"/>
      <w:szCs w:val="21"/>
    </w:rPr>
  </w:style>
  <w:style w:type="paragraph" w:customStyle="1" w:styleId="2255">
    <w:name w:val="报告1"/>
    <w:basedOn w:val="1747"/>
    <w:qFormat/>
    <w:uiPriority w:val="99"/>
    <w:pPr>
      <w:widowControl/>
      <w:overflowPunct/>
      <w:autoSpaceDE/>
      <w:autoSpaceDN/>
      <w:adjustRightInd/>
      <w:spacing w:beforeLines="0" w:afterLines="0" w:line="360" w:lineRule="auto"/>
      <w:ind w:right="0" w:rightChars="0" w:firstLine="0" w:firstLineChars="0"/>
      <w:jc w:val="left"/>
      <w:textAlignment w:val="baseline"/>
    </w:pPr>
    <w:rPr>
      <w:kern w:val="2"/>
    </w:rPr>
  </w:style>
  <w:style w:type="paragraph" w:customStyle="1" w:styleId="2256">
    <w:name w:val="Char Char1 Char Char Char Char Char Char Char Char Char Char Char Char Char Char Char Char Char Char Char Char1 Char"/>
    <w:basedOn w:val="1"/>
    <w:qFormat/>
    <w:uiPriority w:val="0"/>
    <w:pPr>
      <w:widowControl w:val="0"/>
      <w:jc w:val="left"/>
    </w:pPr>
    <w:rPr>
      <w:rFonts w:ascii="宋体" w:hAnsi="宋体" w:eastAsia="宋体" w:cs="宋体"/>
      <w:sz w:val="28"/>
      <w:szCs w:val="24"/>
    </w:rPr>
  </w:style>
  <w:style w:type="paragraph" w:customStyle="1" w:styleId="2257">
    <w:name w:val="Char5"/>
    <w:basedOn w:val="1"/>
    <w:qFormat/>
    <w:uiPriority w:val="99"/>
    <w:pPr>
      <w:widowControl w:val="0"/>
      <w:spacing w:line="240" w:lineRule="auto"/>
    </w:pPr>
    <w:rPr>
      <w:rFonts w:ascii="Tahoma" w:hAnsi="Tahoma" w:eastAsia="宋体"/>
      <w:szCs w:val="20"/>
    </w:rPr>
  </w:style>
  <w:style w:type="paragraph" w:customStyle="1" w:styleId="2258">
    <w:name w:val="样式 标题 1正文一级标题一、1.标题 1标题 1 Char标1章节标题-*+章标题 1文章标题h11st...1"/>
    <w:basedOn w:val="3"/>
    <w:semiHidden/>
    <w:qFormat/>
    <w:uiPriority w:val="0"/>
    <w:pPr>
      <w:keepNext w:val="0"/>
      <w:keepLines w:val="0"/>
      <w:pageBreakBefore/>
      <w:tabs>
        <w:tab w:val="left" w:pos="180"/>
      </w:tabs>
      <w:adjustRightInd w:val="0"/>
      <w:snapToGrid w:val="0"/>
      <w:spacing w:before="240" w:after="0" w:line="360" w:lineRule="auto"/>
      <w:textAlignment w:val="baseline"/>
    </w:pPr>
    <w:rPr>
      <w:rFonts w:ascii="Calibri" w:hAnsi="Calibri" w:eastAsia="黑体" w:cs="宋体"/>
      <w:b w:val="0"/>
      <w:bCs w:val="0"/>
      <w:snapToGrid w:val="0"/>
      <w:kern w:val="30"/>
      <w:sz w:val="30"/>
      <w:szCs w:val="20"/>
    </w:rPr>
  </w:style>
  <w:style w:type="paragraph" w:customStyle="1" w:styleId="2259">
    <w:name w:val="封4单位信息"/>
    <w:basedOn w:val="1"/>
    <w:next w:val="1"/>
    <w:semiHidden/>
    <w:qFormat/>
    <w:uiPriority w:val="0"/>
    <w:pPr>
      <w:widowControl w:val="0"/>
      <w:adjustRightInd w:val="0"/>
      <w:snapToGrid w:val="0"/>
      <w:ind w:firstLine="907"/>
      <w:jc w:val="left"/>
      <w:textAlignment w:val="baseline"/>
    </w:pPr>
    <w:rPr>
      <w:rFonts w:eastAsia="宋体"/>
      <w:snapToGrid w:val="0"/>
      <w:kern w:val="28"/>
      <w:sz w:val="28"/>
      <w:szCs w:val="24"/>
    </w:rPr>
  </w:style>
  <w:style w:type="paragraph" w:customStyle="1" w:styleId="2260">
    <w:name w:val="封4文件类别"/>
    <w:basedOn w:val="1"/>
    <w:next w:val="1"/>
    <w:semiHidden/>
    <w:qFormat/>
    <w:uiPriority w:val="0"/>
    <w:pPr>
      <w:widowControl w:val="0"/>
      <w:adjustRightInd w:val="0"/>
      <w:snapToGrid w:val="0"/>
      <w:jc w:val="center"/>
      <w:textAlignment w:val="baseline"/>
    </w:pPr>
    <w:rPr>
      <w:rFonts w:eastAsia="宋体"/>
      <w:b/>
      <w:snapToGrid w:val="0"/>
      <w:kern w:val="44"/>
      <w:sz w:val="44"/>
      <w:szCs w:val="24"/>
    </w:rPr>
  </w:style>
  <w:style w:type="paragraph" w:customStyle="1" w:styleId="2261">
    <w:name w:val="目录2"/>
    <w:basedOn w:val="651"/>
    <w:semiHidden/>
    <w:qFormat/>
    <w:uiPriority w:val="0"/>
    <w:pPr>
      <w:tabs>
        <w:tab w:val="clear" w:pos="840"/>
        <w:tab w:val="clear" w:pos="8400"/>
      </w:tabs>
      <w:adjustRightInd w:val="0"/>
      <w:spacing w:before="0" w:after="0" w:line="300" w:lineRule="auto"/>
      <w:ind w:firstLine="200" w:firstLineChars="200"/>
      <w:jc w:val="both"/>
      <w:textAlignment w:val="baseline"/>
    </w:pPr>
    <w:rPr>
      <w:b w:val="0"/>
      <w:bCs w:val="0"/>
      <w:caps w:val="0"/>
      <w:snapToGrid w:val="0"/>
      <w:kern w:val="24"/>
      <w:szCs w:val="24"/>
    </w:rPr>
  </w:style>
  <w:style w:type="paragraph" w:customStyle="1" w:styleId="2262">
    <w:name w:val="封4项目名称"/>
    <w:basedOn w:val="1"/>
    <w:next w:val="1"/>
    <w:semiHidden/>
    <w:qFormat/>
    <w:uiPriority w:val="0"/>
    <w:pPr>
      <w:widowControl w:val="0"/>
      <w:adjustRightInd w:val="0"/>
      <w:snapToGrid w:val="0"/>
      <w:jc w:val="center"/>
      <w:textAlignment w:val="baseline"/>
    </w:pPr>
    <w:rPr>
      <w:rFonts w:eastAsia="宋体"/>
      <w:b/>
      <w:snapToGrid w:val="0"/>
      <w:kern w:val="36"/>
      <w:sz w:val="36"/>
      <w:szCs w:val="24"/>
    </w:rPr>
  </w:style>
  <w:style w:type="paragraph" w:customStyle="1" w:styleId="2263">
    <w:name w:val="样式 标题 1正文一级标题 +"/>
    <w:basedOn w:val="3"/>
    <w:semiHidden/>
    <w:qFormat/>
    <w:uiPriority w:val="0"/>
    <w:pPr>
      <w:keepNext w:val="0"/>
      <w:keepLines w:val="0"/>
      <w:pageBreakBefore/>
      <w:tabs>
        <w:tab w:val="left" w:pos="180"/>
      </w:tabs>
      <w:adjustRightInd w:val="0"/>
      <w:snapToGrid w:val="0"/>
      <w:spacing w:before="0" w:after="0" w:line="360" w:lineRule="auto"/>
      <w:textAlignment w:val="baseline"/>
    </w:pPr>
    <w:rPr>
      <w:rFonts w:ascii="Calibri" w:hAnsi="Calibri" w:eastAsia="黑体" w:cs="宋体"/>
      <w:b w:val="0"/>
      <w:bCs w:val="0"/>
      <w:snapToGrid w:val="0"/>
      <w:kern w:val="30"/>
      <w:sz w:val="30"/>
      <w:szCs w:val="20"/>
    </w:rPr>
  </w:style>
  <w:style w:type="paragraph" w:customStyle="1" w:styleId="2264">
    <w:name w:val="三级标题"/>
    <w:basedOn w:val="1"/>
    <w:qFormat/>
    <w:uiPriority w:val="99"/>
    <w:pPr>
      <w:keepNext/>
      <w:keepLines/>
      <w:widowControl w:val="0"/>
      <w:outlineLvl w:val="0"/>
    </w:pPr>
    <w:rPr>
      <w:rFonts w:eastAsia="宋体"/>
      <w:b/>
      <w:bCs/>
      <w:kern w:val="44"/>
      <w:szCs w:val="44"/>
    </w:rPr>
  </w:style>
  <w:style w:type="paragraph" w:customStyle="1" w:styleId="2265">
    <w:name w:val="标题13"/>
    <w:basedOn w:val="1"/>
    <w:next w:val="1"/>
    <w:qFormat/>
    <w:uiPriority w:val="99"/>
    <w:pPr>
      <w:widowControl w:val="0"/>
      <w:spacing w:before="120" w:after="120"/>
    </w:pPr>
    <w:rPr>
      <w:rFonts w:eastAsia="仿宋_GB2312"/>
      <w:b/>
      <w:sz w:val="32"/>
      <w:szCs w:val="20"/>
    </w:rPr>
  </w:style>
  <w:style w:type="paragraph" w:customStyle="1" w:styleId="2266">
    <w:name w:val="列出段落11"/>
    <w:basedOn w:val="1"/>
    <w:qFormat/>
    <w:uiPriority w:val="99"/>
    <w:pPr>
      <w:widowControl w:val="0"/>
      <w:spacing w:line="240" w:lineRule="auto"/>
      <w:ind w:firstLine="420" w:firstLineChars="200"/>
    </w:pPr>
    <w:rPr>
      <w:rFonts w:ascii="Calibri" w:hAnsi="Calibri" w:eastAsia="宋体"/>
      <w:sz w:val="21"/>
    </w:rPr>
  </w:style>
  <w:style w:type="paragraph" w:customStyle="1" w:styleId="2267">
    <w:name w:val="样式 标题 2 + (西文) Times New Roman (中文) 宋体"/>
    <w:basedOn w:val="4"/>
    <w:semiHidden/>
    <w:qFormat/>
    <w:uiPriority w:val="0"/>
    <w:pPr>
      <w:widowControl w:val="0"/>
      <w:tabs>
        <w:tab w:val="left" w:pos="480"/>
        <w:tab w:val="left" w:pos="578"/>
        <w:tab w:val="left" w:pos="2160"/>
      </w:tabs>
      <w:spacing w:before="0" w:after="0" w:line="360" w:lineRule="auto"/>
      <w:ind w:left="578" w:hanging="576"/>
      <w:jc w:val="left"/>
    </w:pPr>
    <w:rPr>
      <w:rFonts w:ascii="Calibri" w:hAnsi="Calibri" w:eastAsia="宋体"/>
      <w:color w:val="000000"/>
      <w:kern w:val="24"/>
      <w:sz w:val="24"/>
      <w:szCs w:val="24"/>
    </w:rPr>
  </w:style>
  <w:style w:type="paragraph" w:customStyle="1" w:styleId="2268">
    <w:name w:val="正文助剂"/>
    <w:basedOn w:val="1"/>
    <w:qFormat/>
    <w:uiPriority w:val="0"/>
    <w:pPr>
      <w:widowControl w:val="0"/>
      <w:autoSpaceDE w:val="0"/>
      <w:autoSpaceDN w:val="0"/>
      <w:adjustRightInd w:val="0"/>
      <w:snapToGrid w:val="0"/>
      <w:ind w:firstLine="200" w:firstLineChars="200"/>
      <w:textAlignment w:val="baseline"/>
    </w:pPr>
    <w:rPr>
      <w:rFonts w:eastAsia="宋体"/>
      <w:snapToGrid w:val="0"/>
      <w:kern w:val="0"/>
      <w:szCs w:val="20"/>
    </w:rPr>
  </w:style>
  <w:style w:type="paragraph" w:customStyle="1" w:styleId="2269">
    <w:name w:val="CM9"/>
    <w:basedOn w:val="251"/>
    <w:next w:val="251"/>
    <w:qFormat/>
    <w:uiPriority w:val="99"/>
    <w:pPr>
      <w:spacing w:line="438" w:lineRule="atLeast"/>
    </w:pPr>
    <w:rPr>
      <w:rFonts w:ascii="Times New Roman" w:hAnsi="Calibri" w:cs="Times New Roman"/>
      <w:color w:val="auto"/>
      <w:kern w:val="2"/>
    </w:rPr>
  </w:style>
  <w:style w:type="paragraph" w:customStyle="1" w:styleId="2270">
    <w:name w:val="表格文字中对齐"/>
    <w:basedOn w:val="1"/>
    <w:qFormat/>
    <w:uiPriority w:val="99"/>
    <w:pPr>
      <w:widowControl w:val="0"/>
      <w:spacing w:line="300" w:lineRule="auto"/>
      <w:jc w:val="center"/>
    </w:pPr>
    <w:rPr>
      <w:rFonts w:ascii="Arial Narrow" w:hAnsi="Arial Narrow" w:eastAsia="仿宋_GB2312"/>
      <w:sz w:val="21"/>
      <w:szCs w:val="24"/>
    </w:rPr>
  </w:style>
  <w:style w:type="paragraph" w:customStyle="1" w:styleId="2271">
    <w:name w:val="中远正文"/>
    <w:basedOn w:val="1"/>
    <w:semiHidden/>
    <w:qFormat/>
    <w:uiPriority w:val="0"/>
    <w:pPr>
      <w:widowControl w:val="0"/>
      <w:adjustRightInd w:val="0"/>
      <w:snapToGrid w:val="0"/>
      <w:ind w:firstLine="464" w:firstLineChars="200"/>
    </w:pPr>
    <w:rPr>
      <w:rFonts w:ascii="Calibri" w:hAnsi="Calibri" w:eastAsia="宋体"/>
      <w:snapToGrid w:val="0"/>
      <w:spacing w:val="-4"/>
      <w:sz w:val="21"/>
      <w:szCs w:val="20"/>
    </w:rPr>
  </w:style>
  <w:style w:type="paragraph" w:customStyle="1" w:styleId="2272">
    <w:name w:val="XYF表格"/>
    <w:basedOn w:val="1"/>
    <w:semiHidden/>
    <w:qFormat/>
    <w:uiPriority w:val="0"/>
    <w:pPr>
      <w:widowControl w:val="0"/>
      <w:tabs>
        <w:tab w:val="left" w:pos="1080"/>
      </w:tabs>
      <w:spacing w:afterLines="10" w:line="440" w:lineRule="exact"/>
    </w:pPr>
    <w:rPr>
      <w:rFonts w:ascii="Calibri" w:hAnsi="Calibri" w:eastAsia="宋体"/>
      <w:snapToGrid w:val="0"/>
      <w:sz w:val="21"/>
      <w:szCs w:val="21"/>
    </w:rPr>
  </w:style>
  <w:style w:type="paragraph" w:customStyle="1" w:styleId="2273">
    <w:name w:val="中文报告书样式"/>
    <w:basedOn w:val="1"/>
    <w:semiHidden/>
    <w:qFormat/>
    <w:uiPriority w:val="0"/>
    <w:pPr>
      <w:widowControl w:val="0"/>
      <w:adjustRightInd w:val="0"/>
      <w:snapToGrid w:val="0"/>
      <w:spacing w:line="480" w:lineRule="atLeast"/>
      <w:ind w:firstLine="200" w:firstLineChars="200"/>
      <w:textAlignment w:val="baseline"/>
    </w:pPr>
    <w:rPr>
      <w:rFonts w:ascii="Calibri" w:hAnsi="Calibri" w:eastAsia="宋体"/>
      <w:kern w:val="0"/>
      <w:sz w:val="21"/>
      <w:szCs w:val="20"/>
    </w:rPr>
  </w:style>
  <w:style w:type="paragraph" w:customStyle="1" w:styleId="2274">
    <w:name w:val="正文（1）"/>
    <w:basedOn w:val="1"/>
    <w:semiHidden/>
    <w:qFormat/>
    <w:uiPriority w:val="0"/>
    <w:pPr>
      <w:widowControl w:val="0"/>
      <w:adjustRightInd w:val="0"/>
      <w:snapToGrid w:val="0"/>
      <w:spacing w:before="60" w:line="300" w:lineRule="auto"/>
      <w:ind w:firstLine="473" w:firstLineChars="200"/>
    </w:pPr>
    <w:rPr>
      <w:rFonts w:ascii="宋体" w:hAnsi="Calibri" w:eastAsia="宋体"/>
      <w:b/>
      <w:bCs/>
      <w:kern w:val="0"/>
      <w:sz w:val="21"/>
      <w:szCs w:val="21"/>
    </w:rPr>
  </w:style>
  <w:style w:type="paragraph" w:customStyle="1" w:styleId="2275">
    <w:name w:val="Standard ohne Abstand"/>
    <w:basedOn w:val="1"/>
    <w:semiHidden/>
    <w:qFormat/>
    <w:uiPriority w:val="0"/>
    <w:pPr>
      <w:spacing w:line="240" w:lineRule="auto"/>
      <w:jc w:val="left"/>
    </w:pPr>
    <w:rPr>
      <w:rFonts w:ascii="Arial" w:hAnsi="Arial" w:eastAsia="Times New Roman"/>
      <w:snapToGrid w:val="0"/>
      <w:kern w:val="0"/>
      <w:sz w:val="28"/>
      <w:szCs w:val="20"/>
      <w:lang w:val="de-DE" w:eastAsia="de-DE"/>
    </w:rPr>
  </w:style>
  <w:style w:type="paragraph" w:customStyle="1" w:styleId="2276">
    <w:name w:val="XYF1"/>
    <w:basedOn w:val="1"/>
    <w:qFormat/>
    <w:uiPriority w:val="0"/>
    <w:pPr>
      <w:widowControl w:val="0"/>
      <w:tabs>
        <w:tab w:val="left" w:pos="1080"/>
      </w:tabs>
      <w:spacing w:line="440" w:lineRule="exact"/>
      <w:ind w:firstLine="195" w:firstLineChars="195"/>
    </w:pPr>
    <w:rPr>
      <w:rFonts w:eastAsia="宋体"/>
      <w:szCs w:val="24"/>
    </w:rPr>
  </w:style>
  <w:style w:type="paragraph" w:customStyle="1" w:styleId="2277">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78">
    <w:name w:val="xl98"/>
    <w:basedOn w:val="1"/>
    <w:qFormat/>
    <w:uiPriority w:val="0"/>
    <w:pPr>
      <w:pBdr>
        <w:top w:val="single" w:color="auto" w:sz="4" w:space="0"/>
        <w:left w:val="single" w:color="auto" w:sz="4" w:space="0"/>
        <w:right w:val="single" w:color="auto" w:sz="8" w:space="0"/>
      </w:pBdr>
      <w:spacing w:before="100" w:beforeAutospacing="1" w:after="100" w:afterAutospacing="1" w:line="240" w:lineRule="auto"/>
      <w:jc w:val="center"/>
    </w:pPr>
    <w:rPr>
      <w:rFonts w:ascii="宋体" w:hAnsi="宋体" w:eastAsia="宋体" w:cs="宋体"/>
      <w:kern w:val="0"/>
      <w:szCs w:val="24"/>
    </w:rPr>
  </w:style>
  <w:style w:type="paragraph" w:customStyle="1" w:styleId="2279">
    <w:name w:val="xl9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宋体" w:cs="宋体"/>
      <w:kern w:val="0"/>
      <w:szCs w:val="24"/>
    </w:rPr>
  </w:style>
  <w:style w:type="paragraph" w:customStyle="1" w:styleId="2280">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281">
    <w:name w:val="Char Char Char Char Char Char Char Char Char Char Char Char Char Char Char Char Char Char Char Char Char Char Char Char Char Char Char"/>
    <w:basedOn w:val="1"/>
    <w:semiHidden/>
    <w:qFormat/>
    <w:uiPriority w:val="0"/>
    <w:pPr>
      <w:widowControl w:val="0"/>
      <w:jc w:val="center"/>
    </w:pPr>
    <w:rPr>
      <w:rFonts w:eastAsia="宋体"/>
      <w:color w:val="000000"/>
      <w:sz w:val="21"/>
      <w:szCs w:val="21"/>
    </w:rPr>
  </w:style>
  <w:style w:type="paragraph" w:customStyle="1" w:styleId="2282">
    <w:name w:val="xl102"/>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283">
    <w:name w:val="xl104"/>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eastAsia="宋体" w:cs="宋体"/>
      <w:kern w:val="0"/>
      <w:szCs w:val="24"/>
    </w:rPr>
  </w:style>
  <w:style w:type="paragraph" w:customStyle="1" w:styleId="2284">
    <w:name w:val="xl1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285">
    <w:name w:val="xl108"/>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286">
    <w:name w:val="xl11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287">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Cs w:val="24"/>
    </w:rPr>
  </w:style>
  <w:style w:type="paragraph" w:customStyle="1" w:styleId="2288">
    <w:name w:val="xl11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289">
    <w:name w:val="xl114"/>
    <w:basedOn w:val="1"/>
    <w:qFormat/>
    <w:uiPriority w:val="0"/>
    <w:pPr>
      <w:pBdr>
        <w:left w:val="single" w:color="auto" w:sz="4" w:space="0"/>
        <w:bottom w:val="single" w:color="auto" w:sz="4" w:space="0"/>
        <w:right w:val="single" w:color="auto" w:sz="4" w:space="0"/>
      </w:pBdr>
      <w:shd w:val="clear" w:color="000000" w:fill="D7E4BC"/>
      <w:spacing w:before="100" w:beforeAutospacing="1" w:after="100" w:afterAutospacing="1" w:line="240" w:lineRule="auto"/>
      <w:jc w:val="center"/>
    </w:pPr>
    <w:rPr>
      <w:rFonts w:ascii="宋体" w:hAnsi="宋体" w:eastAsia="宋体" w:cs="宋体"/>
      <w:kern w:val="0"/>
      <w:sz w:val="18"/>
      <w:szCs w:val="18"/>
    </w:rPr>
  </w:style>
  <w:style w:type="paragraph" w:customStyle="1" w:styleId="2290">
    <w:name w:val="xl115"/>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color w:val="FF0000"/>
      <w:kern w:val="0"/>
      <w:sz w:val="21"/>
      <w:szCs w:val="21"/>
    </w:rPr>
  </w:style>
  <w:style w:type="paragraph" w:customStyle="1" w:styleId="2291">
    <w:name w:val="xl116"/>
    <w:basedOn w:val="1"/>
    <w:qFormat/>
    <w:uiPriority w:val="0"/>
    <w:pPr>
      <w:pBdr>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color w:val="FF0000"/>
      <w:kern w:val="0"/>
      <w:sz w:val="21"/>
      <w:szCs w:val="21"/>
    </w:rPr>
  </w:style>
  <w:style w:type="paragraph" w:customStyle="1" w:styleId="2292">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93">
    <w:name w:val="样式 宋体 黑色 居中 行距: 固定值 15 磅"/>
    <w:basedOn w:val="1"/>
    <w:qFormat/>
    <w:uiPriority w:val="0"/>
    <w:pPr>
      <w:widowControl w:val="0"/>
      <w:spacing w:line="300" w:lineRule="auto"/>
      <w:jc w:val="center"/>
    </w:pPr>
    <w:rPr>
      <w:rFonts w:ascii="Arial" w:hAnsi="Arial" w:eastAsia="宋体" w:cs="Arial"/>
      <w:color w:val="000000"/>
      <w:kern w:val="0"/>
      <w:sz w:val="21"/>
      <w:szCs w:val="21"/>
    </w:rPr>
  </w:style>
  <w:style w:type="paragraph" w:customStyle="1" w:styleId="2294">
    <w:name w:val="xl118"/>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95">
    <w:name w:val="xl119"/>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96">
    <w:name w:val="xl12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97">
    <w:name w:val="xl136"/>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298">
    <w:name w:val="xl121"/>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299">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300">
    <w:name w:val="xl123"/>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jc w:val="center"/>
    </w:pPr>
    <w:rPr>
      <w:rFonts w:ascii="宋体" w:hAnsi="宋体" w:eastAsia="宋体" w:cs="宋体"/>
      <w:kern w:val="0"/>
      <w:sz w:val="18"/>
      <w:szCs w:val="18"/>
    </w:rPr>
  </w:style>
  <w:style w:type="paragraph" w:customStyle="1" w:styleId="2301">
    <w:name w:val="xl1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302">
    <w:name w:val="xl125"/>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303">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color w:val="FF0000"/>
      <w:kern w:val="0"/>
      <w:sz w:val="21"/>
      <w:szCs w:val="21"/>
    </w:rPr>
  </w:style>
  <w:style w:type="paragraph" w:customStyle="1" w:styleId="2304">
    <w:name w:val="xl127"/>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305">
    <w:name w:val="xl128"/>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306">
    <w:name w:val="xl131"/>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07">
    <w:name w:val="xl1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color w:val="FF0000"/>
      <w:kern w:val="0"/>
      <w:sz w:val="21"/>
      <w:szCs w:val="21"/>
    </w:rPr>
  </w:style>
  <w:style w:type="paragraph" w:customStyle="1" w:styleId="2308">
    <w:name w:val="main10-120"/>
    <w:basedOn w:val="1"/>
    <w:qFormat/>
    <w:uiPriority w:val="0"/>
    <w:pPr>
      <w:spacing w:before="100" w:beforeAutospacing="1" w:after="100" w:afterAutospacing="1" w:line="288" w:lineRule="auto"/>
      <w:jc w:val="left"/>
    </w:pPr>
    <w:rPr>
      <w:rFonts w:ascii="宋体" w:hAnsi="宋体" w:eastAsia="宋体"/>
      <w:kern w:val="0"/>
      <w:sz w:val="26"/>
      <w:szCs w:val="26"/>
    </w:rPr>
  </w:style>
  <w:style w:type="paragraph" w:customStyle="1" w:styleId="2309">
    <w:name w:val="xl133"/>
    <w:basedOn w:val="1"/>
    <w:qFormat/>
    <w:uiPriority w:val="99"/>
    <w:pPr>
      <w:pBdr>
        <w:top w:val="single" w:color="auto" w:sz="8" w:space="0"/>
        <w:left w:val="single" w:color="auto" w:sz="4" w:space="0"/>
        <w:bottom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2310">
    <w:name w:val="xl134"/>
    <w:basedOn w:val="1"/>
    <w:qFormat/>
    <w:uiPriority w:val="99"/>
    <w:pPr>
      <w:pBdr>
        <w:top w:val="single" w:color="auto" w:sz="8" w:space="0"/>
        <w:bottom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2311">
    <w:name w:val="Char Char Char Char Char Char Char"/>
    <w:basedOn w:val="1"/>
    <w:qFormat/>
    <w:uiPriority w:val="0"/>
    <w:pPr>
      <w:spacing w:after="160" w:line="240" w:lineRule="exact"/>
      <w:jc w:val="left"/>
    </w:pPr>
    <w:rPr>
      <w:rFonts w:ascii="Verdana" w:hAnsi="Verdana" w:eastAsia="宋体"/>
      <w:kern w:val="0"/>
      <w:sz w:val="20"/>
      <w:szCs w:val="20"/>
      <w:lang w:eastAsia="en-US"/>
    </w:rPr>
  </w:style>
  <w:style w:type="paragraph" w:customStyle="1" w:styleId="2312">
    <w:name w:val="xl135"/>
    <w:basedOn w:val="1"/>
    <w:qFormat/>
    <w:uiPriority w:val="99"/>
    <w:pPr>
      <w:pBdr>
        <w:top w:val="single" w:color="auto" w:sz="8" w:space="0"/>
        <w:bottom w:val="single" w:color="auto" w:sz="4" w:space="0"/>
        <w:right w:val="single" w:color="auto" w:sz="8"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2313">
    <w:name w:val="HTML 预设格式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hAnsi="Courier New" w:eastAsia="黑体"/>
      <w:color w:val="000000"/>
      <w:kern w:val="0"/>
      <w:sz w:val="20"/>
      <w:szCs w:val="20"/>
    </w:rPr>
  </w:style>
  <w:style w:type="paragraph" w:customStyle="1" w:styleId="2314">
    <w:name w:val="文-5"/>
    <w:basedOn w:val="1"/>
    <w:qFormat/>
    <w:uiPriority w:val="0"/>
    <w:pPr>
      <w:widowControl w:val="0"/>
      <w:tabs>
        <w:tab w:val="right" w:leader="dot" w:pos="8789"/>
      </w:tabs>
      <w:spacing w:before="120" w:line="240" w:lineRule="auto"/>
      <w:ind w:left="1276" w:firstLine="482"/>
    </w:pPr>
    <w:rPr>
      <w:rFonts w:eastAsia="宋体"/>
      <w:szCs w:val="20"/>
    </w:rPr>
  </w:style>
  <w:style w:type="paragraph" w:customStyle="1" w:styleId="2315">
    <w:name w:val="xl137"/>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316">
    <w:name w:val="xl138"/>
    <w:basedOn w:val="1"/>
    <w:qFormat/>
    <w:uiPriority w:val="99"/>
    <w:pPr>
      <w:pBdr>
        <w:top w:val="single" w:color="auto" w:sz="4" w:space="0"/>
        <w:left w:val="single" w:color="auto" w:sz="4" w:space="0"/>
        <w:right w:val="single" w:color="auto" w:sz="8" w:space="0"/>
      </w:pBdr>
      <w:spacing w:before="100" w:beforeAutospacing="1" w:after="100" w:afterAutospacing="1" w:line="240" w:lineRule="auto"/>
      <w:jc w:val="center"/>
    </w:pPr>
    <w:rPr>
      <w:rFonts w:ascii="仿宋_GB2312" w:hAnsi="宋体" w:eastAsia="仿宋_GB2312" w:cs="宋体"/>
      <w:kern w:val="0"/>
      <w:sz w:val="21"/>
      <w:szCs w:val="21"/>
    </w:rPr>
  </w:style>
  <w:style w:type="paragraph" w:customStyle="1" w:styleId="2317">
    <w:name w:val="xl139"/>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szCs w:val="24"/>
    </w:rPr>
  </w:style>
  <w:style w:type="paragraph" w:customStyle="1" w:styleId="2318">
    <w:name w:val="xl141"/>
    <w:basedOn w:val="1"/>
    <w:qFormat/>
    <w:uiPriority w:val="99"/>
    <w:pPr>
      <w:pBdr>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eastAsia="宋体" w:cs="宋体"/>
      <w:kern w:val="0"/>
      <w:szCs w:val="24"/>
    </w:rPr>
  </w:style>
  <w:style w:type="paragraph" w:customStyle="1" w:styleId="2319">
    <w:name w:val="样式 标题 2标题2 + (西文) Arial (中文) 黑体 居中 段后: 2 磅"/>
    <w:basedOn w:val="4"/>
    <w:qFormat/>
    <w:uiPriority w:val="0"/>
    <w:pPr>
      <w:keepNext w:val="0"/>
      <w:widowControl w:val="0"/>
      <w:tabs>
        <w:tab w:val="left" w:pos="567"/>
        <w:tab w:val="left" w:pos="840"/>
      </w:tabs>
      <w:spacing w:before="0" w:beforeLines="100" w:after="0" w:line="360" w:lineRule="auto"/>
      <w:ind w:left="840" w:hanging="420"/>
      <w:jc w:val="left"/>
      <w:textAlignment w:val="baseline"/>
    </w:pPr>
    <w:rPr>
      <w:rFonts w:ascii="Times New Roman" w:hAnsi="Times New Roman" w:eastAsia="宋体"/>
      <w:b w:val="0"/>
      <w:color w:val="000000"/>
      <w:sz w:val="24"/>
      <w:szCs w:val="20"/>
    </w:rPr>
  </w:style>
  <w:style w:type="paragraph" w:customStyle="1" w:styleId="2320">
    <w:name w:val="xl147"/>
    <w:basedOn w:val="1"/>
    <w:qFormat/>
    <w:uiPriority w:val="99"/>
    <w:pPr>
      <w:pBdr>
        <w:right w:val="single" w:color="auto" w:sz="4" w:space="0"/>
      </w:pBdr>
      <w:spacing w:before="100" w:beforeAutospacing="1" w:after="100" w:afterAutospacing="1" w:line="240" w:lineRule="auto"/>
      <w:jc w:val="center"/>
    </w:pPr>
    <w:rPr>
      <w:rFonts w:ascii="宋体" w:hAnsi="宋体" w:eastAsia="宋体" w:cs="宋体"/>
      <w:b/>
      <w:bCs/>
      <w:kern w:val="0"/>
      <w:szCs w:val="24"/>
    </w:rPr>
  </w:style>
  <w:style w:type="paragraph" w:customStyle="1" w:styleId="2321">
    <w:name w:val="xl148"/>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仿宋_GB2312" w:hAnsi="宋体" w:eastAsia="仿宋_GB2312" w:cs="宋体"/>
      <w:b/>
      <w:bCs/>
      <w:kern w:val="0"/>
      <w:sz w:val="21"/>
      <w:szCs w:val="21"/>
    </w:rPr>
  </w:style>
  <w:style w:type="paragraph" w:customStyle="1" w:styleId="2322">
    <w:name w:val="正文内容 Char"/>
    <w:basedOn w:val="1"/>
    <w:next w:val="1"/>
    <w:qFormat/>
    <w:uiPriority w:val="0"/>
    <w:pPr>
      <w:widowControl w:val="0"/>
      <w:snapToGrid w:val="0"/>
      <w:spacing w:beforeLines="25" w:afterLines="25" w:line="440" w:lineRule="exact"/>
      <w:ind w:firstLine="200" w:firstLineChars="200"/>
    </w:pPr>
    <w:rPr>
      <w:rFonts w:eastAsia="宋体" w:cs="宋体"/>
      <w:szCs w:val="24"/>
    </w:rPr>
  </w:style>
  <w:style w:type="paragraph" w:customStyle="1" w:styleId="2323">
    <w:name w:val="xl149"/>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24">
    <w:name w:val="xl150"/>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25">
    <w:name w:val="xl151"/>
    <w:basedOn w:val="1"/>
    <w:qFormat/>
    <w:uiPriority w:val="99"/>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26">
    <w:name w:val="xl15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27">
    <w:name w:val="xl153"/>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28">
    <w:name w:val="Char Char Char Char Char Char1 Char"/>
    <w:basedOn w:val="1"/>
    <w:qFormat/>
    <w:uiPriority w:val="0"/>
    <w:pPr>
      <w:spacing w:after="160" w:line="240" w:lineRule="exact"/>
      <w:jc w:val="left"/>
    </w:pPr>
    <w:rPr>
      <w:rFonts w:ascii="Arial" w:hAnsi="Arial" w:eastAsia="Times New Roman" w:cs="Verdana"/>
      <w:b/>
      <w:kern w:val="0"/>
      <w:sz w:val="21"/>
      <w:szCs w:val="20"/>
      <w:lang w:eastAsia="en-US"/>
    </w:rPr>
  </w:style>
  <w:style w:type="paragraph" w:customStyle="1" w:styleId="2329">
    <w:name w:val="xl154"/>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2330">
    <w:name w:val="xl155"/>
    <w:basedOn w:val="1"/>
    <w:qFormat/>
    <w:uiPriority w:val="99"/>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Cs w:val="24"/>
    </w:rPr>
  </w:style>
  <w:style w:type="paragraph" w:customStyle="1" w:styleId="2331">
    <w:name w:val="xl156"/>
    <w:basedOn w:val="1"/>
    <w:qFormat/>
    <w:uiPriority w:val="99"/>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Cs w:val="24"/>
    </w:rPr>
  </w:style>
  <w:style w:type="paragraph" w:customStyle="1" w:styleId="2332">
    <w:name w:val="xl157"/>
    <w:basedOn w:val="1"/>
    <w:qFormat/>
    <w:uiPriority w:val="99"/>
    <w:pPr>
      <w:pBdr>
        <w:left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Cs w:val="24"/>
    </w:rPr>
  </w:style>
  <w:style w:type="paragraph" w:customStyle="1" w:styleId="2333">
    <w:name w:val="xl158"/>
    <w:basedOn w:val="1"/>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宋体" w:hAnsi="宋体" w:eastAsia="宋体" w:cs="宋体"/>
      <w:kern w:val="0"/>
      <w:szCs w:val="24"/>
    </w:rPr>
  </w:style>
  <w:style w:type="paragraph" w:customStyle="1" w:styleId="2334">
    <w:name w:val="样式 标题 4 + 行距: 最小值 26 磅"/>
    <w:basedOn w:val="6"/>
    <w:qFormat/>
    <w:uiPriority w:val="0"/>
    <w:pPr>
      <w:tabs>
        <w:tab w:val="left" w:pos="2520"/>
        <w:tab w:val="left" w:pos="2700"/>
      </w:tabs>
      <w:spacing w:line="360" w:lineRule="auto"/>
      <w:ind w:left="693" w:firstLine="567" w:firstLineChars="200"/>
    </w:pPr>
    <w:rPr>
      <w:rFonts w:ascii="宋体" w:hAnsi="宋体" w:eastAsia="宋体" w:cs="宋体"/>
      <w:color w:val="000000"/>
      <w:spacing w:val="6"/>
      <w:szCs w:val="24"/>
    </w:rPr>
  </w:style>
  <w:style w:type="paragraph" w:customStyle="1" w:styleId="2335">
    <w:name w:val="xl159"/>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left"/>
    </w:pPr>
    <w:rPr>
      <w:rFonts w:ascii="宋体" w:hAnsi="宋体" w:eastAsia="宋体" w:cs="宋体"/>
      <w:kern w:val="0"/>
      <w:sz w:val="18"/>
      <w:szCs w:val="18"/>
    </w:rPr>
  </w:style>
  <w:style w:type="paragraph" w:customStyle="1" w:styleId="2336">
    <w:name w:val="maintitle"/>
    <w:basedOn w:val="1"/>
    <w:qFormat/>
    <w:uiPriority w:val="0"/>
    <w:pPr>
      <w:spacing w:before="100" w:beforeAutospacing="1" w:after="100" w:afterAutospacing="1" w:line="312" w:lineRule="auto"/>
      <w:jc w:val="left"/>
    </w:pPr>
    <w:rPr>
      <w:rFonts w:ascii="宋体" w:hAnsi="宋体" w:eastAsia="宋体"/>
      <w:kern w:val="0"/>
      <w:sz w:val="32"/>
      <w:szCs w:val="32"/>
    </w:rPr>
  </w:style>
  <w:style w:type="paragraph" w:customStyle="1" w:styleId="2337">
    <w:name w:val="h标题3"/>
    <w:basedOn w:val="5"/>
    <w:next w:val="517"/>
    <w:qFormat/>
    <w:uiPriority w:val="99"/>
    <w:pPr>
      <w:widowControl w:val="0"/>
      <w:tabs>
        <w:tab w:val="left" w:pos="432"/>
        <w:tab w:val="left" w:pos="720"/>
      </w:tabs>
      <w:autoSpaceDE w:val="0"/>
      <w:autoSpaceDN w:val="0"/>
      <w:adjustRightInd w:val="0"/>
      <w:snapToGrid w:val="0"/>
      <w:spacing w:before="0" w:after="0" w:line="500" w:lineRule="exact"/>
      <w:ind w:left="1740" w:hanging="420"/>
      <w:textAlignment w:val="baseline"/>
    </w:pPr>
    <w:rPr>
      <w:rFonts w:eastAsia="宋体"/>
      <w:bCs w:val="0"/>
      <w:sz w:val="24"/>
      <w:szCs w:val="24"/>
    </w:rPr>
  </w:style>
  <w:style w:type="paragraph" w:customStyle="1" w:styleId="2338">
    <w:name w:val="样式 项目一级编号 + 段前: 2.3 磅 加宽量  1 磅"/>
    <w:basedOn w:val="1"/>
    <w:qFormat/>
    <w:uiPriority w:val="0"/>
    <w:pPr>
      <w:keepNext/>
      <w:keepLines/>
      <w:widowControl w:val="0"/>
      <w:tabs>
        <w:tab w:val="left" w:pos="425"/>
        <w:tab w:val="left" w:pos="851"/>
      </w:tabs>
      <w:spacing w:before="46"/>
      <w:ind w:left="425" w:hanging="425"/>
      <w:outlineLvl w:val="0"/>
    </w:pPr>
    <w:rPr>
      <w:rFonts w:eastAsia="宋体"/>
      <w:b/>
      <w:bCs/>
      <w:spacing w:val="20"/>
      <w:kern w:val="44"/>
      <w:sz w:val="28"/>
      <w:szCs w:val="28"/>
    </w:rPr>
  </w:style>
  <w:style w:type="paragraph" w:customStyle="1" w:styleId="2339">
    <w:name w:val="环保正文8"/>
    <w:basedOn w:val="1"/>
    <w:semiHidden/>
    <w:qFormat/>
    <w:uiPriority w:val="0"/>
    <w:pPr>
      <w:widowControl w:val="0"/>
      <w:adjustRightInd w:val="0"/>
      <w:snapToGrid w:val="0"/>
      <w:ind w:firstLine="480" w:firstLineChars="200"/>
    </w:pPr>
    <w:rPr>
      <w:rFonts w:eastAsia="宋体" w:cs="宋体"/>
      <w:snapToGrid w:val="0"/>
      <w:kern w:val="24"/>
      <w:szCs w:val="24"/>
    </w:rPr>
  </w:style>
  <w:style w:type="paragraph" w:customStyle="1" w:styleId="2340">
    <w:name w:val="标题样式"/>
    <w:basedOn w:val="1"/>
    <w:next w:val="35"/>
    <w:qFormat/>
    <w:uiPriority w:val="99"/>
    <w:pPr>
      <w:keepNext/>
      <w:widowControl w:val="0"/>
      <w:autoSpaceDE w:val="0"/>
      <w:autoSpaceDN w:val="0"/>
      <w:adjustRightInd w:val="0"/>
      <w:spacing w:before="240" w:after="120" w:line="312" w:lineRule="atLeast"/>
      <w:textAlignment w:val="baseline"/>
    </w:pPr>
    <w:rPr>
      <w:rFonts w:ascii="Liberation Sans" w:hAnsi="Liberation Sans" w:eastAsia="宋体" w:cs="思源黑体 CN Regular"/>
      <w:kern w:val="21"/>
      <w:sz w:val="28"/>
      <w:szCs w:val="28"/>
    </w:rPr>
  </w:style>
  <w:style w:type="paragraph" w:customStyle="1" w:styleId="2341">
    <w:name w:val="标题06"/>
    <w:basedOn w:val="1"/>
    <w:qFormat/>
    <w:uiPriority w:val="0"/>
    <w:pPr>
      <w:widowControl w:val="0"/>
      <w:adjustRightInd w:val="0"/>
      <w:spacing w:before="2040" w:line="400" w:lineRule="atLeast"/>
      <w:textAlignment w:val="baseline"/>
    </w:pPr>
    <w:rPr>
      <w:rFonts w:eastAsia="黑体"/>
      <w:spacing w:val="10"/>
      <w:kern w:val="0"/>
      <w:sz w:val="28"/>
      <w:szCs w:val="24"/>
    </w:rPr>
  </w:style>
  <w:style w:type="paragraph" w:customStyle="1" w:styleId="2342">
    <w:name w:val="Plain Text7"/>
    <w:basedOn w:val="1"/>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343">
    <w:name w:val="z-窗体底端11"/>
    <w:basedOn w:val="1"/>
    <w:next w:val="1"/>
    <w:qFormat/>
    <w:uiPriority w:val="0"/>
    <w:pPr>
      <w:pBdr>
        <w:top w:val="single" w:color="auto" w:sz="6" w:space="1"/>
      </w:pBdr>
      <w:spacing w:line="240" w:lineRule="auto"/>
      <w:jc w:val="center"/>
    </w:pPr>
    <w:rPr>
      <w:rFonts w:ascii="Arial" w:hAnsi="Arial" w:eastAsia="Arial Unicode MS"/>
      <w:vanish/>
      <w:kern w:val="0"/>
      <w:sz w:val="16"/>
      <w:szCs w:val="20"/>
    </w:rPr>
  </w:style>
  <w:style w:type="paragraph" w:customStyle="1" w:styleId="2344">
    <w:name w:val="Char Char Char Char Char Char Char Char Char Char Char Char Char Char Char Char Char Char Char Char Char Char Char Char3"/>
    <w:basedOn w:val="1"/>
    <w:qFormat/>
    <w:uiPriority w:val="99"/>
    <w:pPr>
      <w:widowControl w:val="0"/>
      <w:spacing w:line="240" w:lineRule="auto"/>
    </w:pPr>
    <w:rPr>
      <w:rFonts w:eastAsia="宋体"/>
      <w:sz w:val="21"/>
      <w:szCs w:val="24"/>
    </w:rPr>
  </w:style>
  <w:style w:type="paragraph" w:customStyle="1" w:styleId="2345">
    <w:name w:val="日期5"/>
    <w:basedOn w:val="1"/>
    <w:next w:val="1"/>
    <w:qFormat/>
    <w:uiPriority w:val="99"/>
    <w:pPr>
      <w:widowControl w:val="0"/>
      <w:adjustRightInd w:val="0"/>
      <w:spacing w:line="240" w:lineRule="auto"/>
      <w:textAlignment w:val="baseline"/>
    </w:pPr>
    <w:rPr>
      <w:rFonts w:eastAsia="宋体"/>
      <w:sz w:val="21"/>
      <w:szCs w:val="20"/>
    </w:rPr>
  </w:style>
  <w:style w:type="paragraph" w:customStyle="1" w:styleId="2346">
    <w:name w:val="Revision4"/>
    <w:semiHidden/>
    <w:qFormat/>
    <w:uiPriority w:val="0"/>
    <w:rPr>
      <w:rFonts w:ascii="Arial" w:hAnsi="Arial" w:eastAsia="仿宋_GB2312" w:cs="Times New Roman"/>
      <w:kern w:val="2"/>
      <w:sz w:val="24"/>
      <w:szCs w:val="24"/>
      <w:lang w:val="en-US" w:eastAsia="zh-CN" w:bidi="ar-SA"/>
    </w:rPr>
  </w:style>
  <w:style w:type="paragraph" w:customStyle="1" w:styleId="2347">
    <w:name w:val="Char Char Char Char Char Char Char Char Char Char Char Char Char Char Char Char Char Char1"/>
    <w:basedOn w:val="1"/>
    <w:qFormat/>
    <w:uiPriority w:val="99"/>
    <w:pPr>
      <w:widowControl w:val="0"/>
      <w:spacing w:line="240" w:lineRule="auto"/>
    </w:pPr>
    <w:rPr>
      <w:rFonts w:eastAsia="宋体"/>
      <w:sz w:val="21"/>
      <w:szCs w:val="24"/>
    </w:rPr>
  </w:style>
  <w:style w:type="paragraph" w:customStyle="1" w:styleId="2348">
    <w:name w:val="Char12"/>
    <w:basedOn w:val="1"/>
    <w:semiHidden/>
    <w:qFormat/>
    <w:uiPriority w:val="99"/>
    <w:pPr>
      <w:widowControl w:val="0"/>
      <w:spacing w:line="240" w:lineRule="auto"/>
    </w:pPr>
    <w:rPr>
      <w:rFonts w:ascii="Tahoma" w:hAnsi="Tahoma" w:eastAsia="宋体"/>
      <w:szCs w:val="20"/>
    </w:rPr>
  </w:style>
  <w:style w:type="paragraph" w:customStyle="1" w:styleId="2349">
    <w:name w:val="竹本油脂表格内字体"/>
    <w:qFormat/>
    <w:uiPriority w:val="0"/>
    <w:pPr>
      <w:adjustRightInd w:val="0"/>
      <w:snapToGrid w:val="0"/>
      <w:jc w:val="center"/>
    </w:pPr>
    <w:rPr>
      <w:rFonts w:ascii="Times New Roman" w:hAnsi="Times New Roman" w:eastAsia="仿宋_GB2312" w:cs="Times New Roman"/>
      <w:snapToGrid w:val="0"/>
      <w:kern w:val="21"/>
      <w:sz w:val="21"/>
      <w:szCs w:val="21"/>
      <w:lang w:val="en-US" w:eastAsia="zh-CN" w:bidi="ar-SA"/>
    </w:rPr>
  </w:style>
  <w:style w:type="paragraph" w:customStyle="1" w:styleId="2350">
    <w:name w:val="xl165"/>
    <w:basedOn w:val="1"/>
    <w:qFormat/>
    <w:uiPriority w:val="99"/>
    <w:pPr>
      <w:pBdr>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351">
    <w:name w:val="Char Char5"/>
    <w:basedOn w:val="1"/>
    <w:qFormat/>
    <w:uiPriority w:val="0"/>
    <w:pPr>
      <w:widowControl w:val="0"/>
      <w:spacing w:line="240" w:lineRule="auto"/>
    </w:pPr>
    <w:rPr>
      <w:rFonts w:eastAsia="宋体"/>
      <w:sz w:val="21"/>
      <w:szCs w:val="24"/>
    </w:rPr>
  </w:style>
  <w:style w:type="paragraph" w:customStyle="1" w:styleId="2352">
    <w:name w:val="Char Char Char Char Char Char Char Char Char Char Char1 Char Char Char Char Char Char Char3"/>
    <w:basedOn w:val="1"/>
    <w:semiHidden/>
    <w:qFormat/>
    <w:uiPriority w:val="99"/>
    <w:pPr>
      <w:widowControl w:val="0"/>
      <w:spacing w:line="240" w:lineRule="auto"/>
    </w:pPr>
    <w:rPr>
      <w:rFonts w:eastAsia="宋体"/>
      <w:sz w:val="21"/>
      <w:szCs w:val="24"/>
    </w:rPr>
  </w:style>
  <w:style w:type="paragraph" w:customStyle="1" w:styleId="2353">
    <w:name w:val="Revision5"/>
    <w:semiHidden/>
    <w:qFormat/>
    <w:uiPriority w:val="0"/>
    <w:rPr>
      <w:rFonts w:ascii="Arial" w:hAnsi="Arial" w:eastAsia="仿宋_GB2312" w:cs="Times New Roman"/>
      <w:kern w:val="2"/>
      <w:sz w:val="24"/>
      <w:szCs w:val="24"/>
      <w:lang w:val="en-US" w:eastAsia="zh-CN" w:bidi="ar-SA"/>
    </w:rPr>
  </w:style>
  <w:style w:type="paragraph" w:customStyle="1" w:styleId="2354">
    <w:name w:val="Char Char Char Char Char Char Char Char Char Char Char11"/>
    <w:basedOn w:val="1"/>
    <w:semiHidden/>
    <w:qFormat/>
    <w:uiPriority w:val="99"/>
    <w:pPr>
      <w:widowControl w:val="0"/>
      <w:spacing w:line="240" w:lineRule="auto"/>
    </w:pPr>
    <w:rPr>
      <w:rFonts w:eastAsia="宋体"/>
      <w:sz w:val="21"/>
      <w:szCs w:val="24"/>
    </w:rPr>
  </w:style>
  <w:style w:type="paragraph" w:customStyle="1" w:styleId="2355">
    <w:name w:val="正文文本 23"/>
    <w:basedOn w:val="1"/>
    <w:semiHidden/>
    <w:qFormat/>
    <w:uiPriority w:val="99"/>
    <w:pPr>
      <w:widowControl w:val="0"/>
      <w:overflowPunct w:val="0"/>
      <w:autoSpaceDE w:val="0"/>
      <w:autoSpaceDN w:val="0"/>
      <w:adjustRightInd w:val="0"/>
      <w:spacing w:after="120"/>
      <w:textAlignment w:val="baseline"/>
    </w:pPr>
    <w:rPr>
      <w:rFonts w:eastAsia="宋体"/>
      <w:szCs w:val="20"/>
    </w:rPr>
  </w:style>
  <w:style w:type="paragraph" w:customStyle="1" w:styleId="2356">
    <w:name w:val="Char Char Char Char Char Char Char Char Char Char Char Char Char Char Char1"/>
    <w:basedOn w:val="1"/>
    <w:qFormat/>
    <w:uiPriority w:val="0"/>
    <w:pPr>
      <w:widowControl w:val="0"/>
      <w:spacing w:line="240" w:lineRule="auto"/>
    </w:pPr>
    <w:rPr>
      <w:rFonts w:eastAsia="宋体"/>
      <w:sz w:val="21"/>
      <w:szCs w:val="24"/>
    </w:rPr>
  </w:style>
  <w:style w:type="paragraph" w:customStyle="1" w:styleId="2357">
    <w:name w:val="Char Char Char Char Char2"/>
    <w:basedOn w:val="1"/>
    <w:semiHidden/>
    <w:qFormat/>
    <w:uiPriority w:val="99"/>
    <w:pPr>
      <w:widowControl w:val="0"/>
      <w:spacing w:line="240" w:lineRule="auto"/>
    </w:pPr>
    <w:rPr>
      <w:rFonts w:eastAsia="宋体"/>
      <w:sz w:val="21"/>
      <w:szCs w:val="24"/>
    </w:rPr>
  </w:style>
  <w:style w:type="paragraph" w:customStyle="1" w:styleId="2358">
    <w:name w:val="Char Char Char2"/>
    <w:basedOn w:val="1"/>
    <w:qFormat/>
    <w:uiPriority w:val="99"/>
    <w:pPr>
      <w:widowControl w:val="0"/>
      <w:spacing w:line="240" w:lineRule="auto"/>
    </w:pPr>
    <w:rPr>
      <w:rFonts w:eastAsia="宋体"/>
      <w:sz w:val="21"/>
      <w:szCs w:val="24"/>
    </w:rPr>
  </w:style>
  <w:style w:type="paragraph" w:customStyle="1" w:styleId="2359">
    <w:name w:val="Char Char Char Char Char Char Char Char Char Char Char Char Char Char Char Char Char1"/>
    <w:basedOn w:val="1"/>
    <w:semiHidden/>
    <w:qFormat/>
    <w:uiPriority w:val="99"/>
    <w:pPr>
      <w:widowControl w:val="0"/>
      <w:spacing w:line="240" w:lineRule="auto"/>
    </w:pPr>
    <w:rPr>
      <w:rFonts w:eastAsia="宋体"/>
      <w:sz w:val="21"/>
      <w:szCs w:val="24"/>
    </w:rPr>
  </w:style>
  <w:style w:type="paragraph" w:customStyle="1" w:styleId="2360">
    <w:name w:val="Char Char Char Char Char Char Char Char Char2"/>
    <w:basedOn w:val="1"/>
    <w:semiHidden/>
    <w:qFormat/>
    <w:uiPriority w:val="99"/>
    <w:pPr>
      <w:widowControl w:val="0"/>
      <w:spacing w:line="240" w:lineRule="auto"/>
    </w:pPr>
    <w:rPr>
      <w:rFonts w:eastAsia="宋体"/>
      <w:sz w:val="21"/>
      <w:szCs w:val="24"/>
    </w:rPr>
  </w:style>
  <w:style w:type="paragraph" w:customStyle="1" w:styleId="2361">
    <w:name w:val="Char Char Char Char Char Char Char Char Char Char Char1 Char Char Char Char1"/>
    <w:basedOn w:val="1"/>
    <w:semiHidden/>
    <w:qFormat/>
    <w:uiPriority w:val="99"/>
    <w:pPr>
      <w:widowControl w:val="0"/>
      <w:spacing w:line="240" w:lineRule="auto"/>
    </w:pPr>
    <w:rPr>
      <w:rFonts w:eastAsia="宋体"/>
      <w:sz w:val="21"/>
      <w:szCs w:val="24"/>
    </w:rPr>
  </w:style>
  <w:style w:type="paragraph" w:customStyle="1" w:styleId="2362">
    <w:name w:val="Char Char Char Char Char Char Char Char Char Char Char Char1"/>
    <w:basedOn w:val="1"/>
    <w:semiHidden/>
    <w:qFormat/>
    <w:uiPriority w:val="99"/>
    <w:pPr>
      <w:widowControl w:val="0"/>
      <w:spacing w:line="240" w:lineRule="auto"/>
    </w:pPr>
    <w:rPr>
      <w:rFonts w:eastAsia="宋体"/>
      <w:sz w:val="21"/>
      <w:szCs w:val="24"/>
    </w:rPr>
  </w:style>
  <w:style w:type="paragraph" w:customStyle="1" w:styleId="2363">
    <w:name w:val="Plain Text8"/>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364">
    <w:name w:val="Char Char Char Char Char Char Char Char Char Char Char Char Char Char Char Char Char Char Char Char Char1"/>
    <w:basedOn w:val="1"/>
    <w:semiHidden/>
    <w:qFormat/>
    <w:uiPriority w:val="99"/>
    <w:pPr>
      <w:widowControl w:val="0"/>
      <w:spacing w:line="240" w:lineRule="auto"/>
    </w:pPr>
    <w:rPr>
      <w:rFonts w:eastAsia="宋体"/>
      <w:sz w:val="21"/>
      <w:szCs w:val="24"/>
    </w:rPr>
  </w:style>
  <w:style w:type="paragraph" w:customStyle="1" w:styleId="2365">
    <w:name w:val="Char Char1 Char1"/>
    <w:basedOn w:val="1"/>
    <w:semiHidden/>
    <w:qFormat/>
    <w:uiPriority w:val="99"/>
    <w:pPr>
      <w:widowControl w:val="0"/>
      <w:spacing w:line="240" w:lineRule="auto"/>
    </w:pPr>
    <w:rPr>
      <w:rFonts w:eastAsia="宋体"/>
      <w:sz w:val="21"/>
      <w:szCs w:val="24"/>
    </w:rPr>
  </w:style>
  <w:style w:type="paragraph" w:customStyle="1" w:styleId="2366">
    <w:name w:val="Char Char Char Char Char Char Char Char Char Char Char1 Char Char Char Char Char Char Char11"/>
    <w:basedOn w:val="1"/>
    <w:semiHidden/>
    <w:qFormat/>
    <w:uiPriority w:val="99"/>
    <w:pPr>
      <w:widowControl w:val="0"/>
      <w:spacing w:line="240" w:lineRule="auto"/>
    </w:pPr>
    <w:rPr>
      <w:rFonts w:eastAsia="宋体"/>
      <w:sz w:val="21"/>
      <w:szCs w:val="24"/>
    </w:rPr>
  </w:style>
  <w:style w:type="paragraph" w:customStyle="1" w:styleId="2367">
    <w:name w:val="Plain Text9"/>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368">
    <w:name w:val="Char Char Char Char Char Char Char Char Char Char Char1 Char Char Char Char Char Char Char Char Char1"/>
    <w:basedOn w:val="1"/>
    <w:semiHidden/>
    <w:qFormat/>
    <w:uiPriority w:val="99"/>
    <w:pPr>
      <w:widowControl w:val="0"/>
      <w:spacing w:line="240" w:lineRule="auto"/>
    </w:pPr>
    <w:rPr>
      <w:rFonts w:eastAsia="宋体"/>
      <w:sz w:val="21"/>
      <w:szCs w:val="24"/>
    </w:rPr>
  </w:style>
  <w:style w:type="paragraph" w:customStyle="1" w:styleId="2369">
    <w:name w:val="Char Char Char Char Char Char Char Char Char Char Char Char Char Char Char Char Char Char Char Char Char Char Char1"/>
    <w:basedOn w:val="1"/>
    <w:semiHidden/>
    <w:qFormat/>
    <w:uiPriority w:val="99"/>
    <w:pPr>
      <w:widowControl w:val="0"/>
      <w:spacing w:line="240" w:lineRule="auto"/>
    </w:pPr>
    <w:rPr>
      <w:rFonts w:eastAsia="宋体"/>
      <w:sz w:val="21"/>
      <w:szCs w:val="24"/>
    </w:rPr>
  </w:style>
  <w:style w:type="paragraph" w:customStyle="1" w:styleId="2370">
    <w:name w:val="Char Char Char Char2"/>
    <w:basedOn w:val="1"/>
    <w:qFormat/>
    <w:uiPriority w:val="99"/>
    <w:pPr>
      <w:widowControl w:val="0"/>
      <w:spacing w:line="240" w:lineRule="auto"/>
    </w:pPr>
    <w:rPr>
      <w:rFonts w:eastAsia="宋体"/>
      <w:sz w:val="21"/>
      <w:szCs w:val="24"/>
    </w:rPr>
  </w:style>
  <w:style w:type="paragraph" w:customStyle="1" w:styleId="2371">
    <w:name w:val="封面正文"/>
    <w:semiHidden/>
    <w:qFormat/>
    <w:uiPriority w:val="0"/>
    <w:pPr>
      <w:jc w:val="both"/>
    </w:pPr>
    <w:rPr>
      <w:rFonts w:ascii="Times New Roman" w:hAnsi="Times New Roman" w:eastAsia="宋体" w:cs="Times New Roman"/>
      <w:lang w:val="en-US" w:eastAsia="zh-CN" w:bidi="ar-SA"/>
    </w:rPr>
  </w:style>
  <w:style w:type="paragraph" w:customStyle="1" w:styleId="2372">
    <w:name w:val="样式 样式 样式20 + 首行缩进:  2 字符 段后: 0.5 行 + 段后: 0.5 行"/>
    <w:basedOn w:val="1"/>
    <w:qFormat/>
    <w:uiPriority w:val="99"/>
    <w:pPr>
      <w:widowControl w:val="0"/>
      <w:spacing w:afterLines="50"/>
      <w:ind w:firstLine="480" w:firstLineChars="200"/>
    </w:pPr>
    <w:rPr>
      <w:rFonts w:eastAsia="宋体"/>
      <w:szCs w:val="28"/>
    </w:rPr>
  </w:style>
  <w:style w:type="paragraph" w:customStyle="1" w:styleId="2373">
    <w:name w:val="样式 正文文字缩进 + 行距: 1.5 倍行距 首行缩进:  1.98 字符"/>
    <w:basedOn w:val="1"/>
    <w:semiHidden/>
    <w:qFormat/>
    <w:uiPriority w:val="0"/>
    <w:pPr>
      <w:widowControl w:val="0"/>
      <w:adjustRightInd w:val="0"/>
      <w:snapToGrid w:val="0"/>
      <w:ind w:firstLine="554" w:firstLineChars="198"/>
    </w:pPr>
    <w:rPr>
      <w:rFonts w:eastAsia="宋体"/>
      <w:snapToGrid w:val="0"/>
      <w:kern w:val="24"/>
      <w:szCs w:val="24"/>
    </w:rPr>
  </w:style>
  <w:style w:type="paragraph" w:customStyle="1" w:styleId="2374">
    <w:name w:val="列出段落2"/>
    <w:basedOn w:val="1"/>
    <w:qFormat/>
    <w:uiPriority w:val="34"/>
    <w:pPr>
      <w:widowControl w:val="0"/>
      <w:spacing w:line="240" w:lineRule="auto"/>
      <w:ind w:firstLine="420" w:firstLineChars="200"/>
    </w:pPr>
    <w:rPr>
      <w:rFonts w:ascii="Calibri" w:hAnsi="Calibri" w:eastAsia="宋体"/>
      <w:sz w:val="21"/>
      <w:szCs w:val="24"/>
    </w:rPr>
  </w:style>
  <w:style w:type="paragraph" w:customStyle="1" w:styleId="2375">
    <w:name w:val="环评标题2"/>
    <w:basedOn w:val="4"/>
    <w:next w:val="1"/>
    <w:qFormat/>
    <w:uiPriority w:val="0"/>
    <w:pPr>
      <w:widowControl w:val="0"/>
      <w:tabs>
        <w:tab w:val="left" w:pos="432"/>
        <w:tab w:val="left" w:pos="567"/>
        <w:tab w:val="left" w:pos="1002"/>
      </w:tabs>
      <w:autoSpaceDE w:val="0"/>
      <w:autoSpaceDN w:val="0"/>
      <w:adjustRightInd w:val="0"/>
      <w:snapToGrid w:val="0"/>
      <w:spacing w:beforeLines="50" w:after="0" w:line="500" w:lineRule="exact"/>
      <w:jc w:val="left"/>
      <w:textAlignment w:val="baseline"/>
    </w:pPr>
    <w:rPr>
      <w:rFonts w:ascii="Times New Roman" w:hAnsi="Times New Roman" w:eastAsia="宋体"/>
      <w:bCs w:val="0"/>
      <w:sz w:val="28"/>
      <w:szCs w:val="28"/>
    </w:rPr>
  </w:style>
  <w:style w:type="paragraph" w:customStyle="1" w:styleId="2376">
    <w:name w:val="表格体"/>
    <w:basedOn w:val="1"/>
    <w:qFormat/>
    <w:uiPriority w:val="99"/>
    <w:pPr>
      <w:widowControl w:val="0"/>
      <w:autoSpaceDE w:val="0"/>
      <w:autoSpaceDN w:val="0"/>
      <w:adjustRightInd w:val="0"/>
      <w:snapToGrid w:val="0"/>
      <w:spacing w:line="312" w:lineRule="atLeast"/>
      <w:jc w:val="center"/>
      <w:textAlignment w:val="baseline"/>
    </w:pPr>
    <w:rPr>
      <w:rFonts w:eastAsia="宋体"/>
      <w:bCs/>
      <w:kern w:val="21"/>
      <w:sz w:val="21"/>
      <w:szCs w:val="20"/>
    </w:rPr>
  </w:style>
  <w:style w:type="paragraph" w:customStyle="1" w:styleId="2377">
    <w:name w:val="样式 段前: 0.1 行 段后: 0.1 行1"/>
    <w:basedOn w:val="1"/>
    <w:semiHidden/>
    <w:qFormat/>
    <w:uiPriority w:val="0"/>
    <w:pPr>
      <w:widowControl w:val="0"/>
      <w:adjustRightInd w:val="0"/>
      <w:snapToGrid w:val="0"/>
      <w:ind w:firstLine="200" w:firstLineChars="200"/>
    </w:pPr>
    <w:rPr>
      <w:rFonts w:eastAsia="宋体" w:cs="宋体"/>
      <w:snapToGrid w:val="0"/>
      <w:kern w:val="24"/>
      <w:szCs w:val="24"/>
    </w:rPr>
  </w:style>
  <w:style w:type="paragraph" w:customStyle="1" w:styleId="2378">
    <w:name w:val="h正文表头"/>
    <w:basedOn w:val="293"/>
    <w:qFormat/>
    <w:uiPriority w:val="0"/>
    <w:pPr>
      <w:widowControl w:val="0"/>
      <w:autoSpaceDE w:val="0"/>
      <w:autoSpaceDN w:val="0"/>
      <w:adjustRightInd w:val="0"/>
      <w:spacing w:line="360" w:lineRule="auto"/>
      <w:textAlignment w:val="baseline"/>
    </w:pPr>
    <w:rPr>
      <w:rFonts w:eastAsia="宋体"/>
      <w:kern w:val="21"/>
      <w:szCs w:val="20"/>
    </w:rPr>
  </w:style>
  <w:style w:type="paragraph" w:customStyle="1" w:styleId="2379">
    <w:name w:val="h标题2"/>
    <w:basedOn w:val="4"/>
    <w:next w:val="517"/>
    <w:qFormat/>
    <w:uiPriority w:val="99"/>
    <w:pPr>
      <w:widowControl w:val="0"/>
      <w:tabs>
        <w:tab w:val="left" w:pos="426"/>
        <w:tab w:val="left" w:pos="567"/>
        <w:tab w:val="left" w:pos="1002"/>
      </w:tabs>
      <w:autoSpaceDE w:val="0"/>
      <w:autoSpaceDN w:val="0"/>
      <w:adjustRightInd w:val="0"/>
      <w:snapToGrid w:val="0"/>
      <w:spacing w:beforeLines="50" w:after="0" w:line="360" w:lineRule="auto"/>
      <w:jc w:val="left"/>
      <w:textAlignment w:val="baseline"/>
    </w:pPr>
    <w:rPr>
      <w:rFonts w:ascii="Times New Roman" w:hAnsi="Times New Roman" w:eastAsia="宋体"/>
      <w:bCs w:val="0"/>
      <w:sz w:val="24"/>
      <w:szCs w:val="30"/>
    </w:rPr>
  </w:style>
  <w:style w:type="paragraph" w:customStyle="1" w:styleId="2380">
    <w:name w:val="正文首行缩进 + 行距: 1.5 倍行距 + 首行缩进:  2 字符 段后: 0 磅 行距: 固定值 23 磅"/>
    <w:basedOn w:val="1"/>
    <w:qFormat/>
    <w:uiPriority w:val="0"/>
    <w:pPr>
      <w:widowControl w:val="0"/>
      <w:spacing w:line="460" w:lineRule="exact"/>
      <w:ind w:firstLine="480" w:firstLineChars="200"/>
    </w:pPr>
    <w:rPr>
      <w:rFonts w:eastAsia="宋体" w:cs="宋体"/>
      <w:szCs w:val="24"/>
    </w:rPr>
  </w:style>
  <w:style w:type="paragraph" w:customStyle="1" w:styleId="2381">
    <w:name w:val="（目录）前言及附表等"/>
    <w:basedOn w:val="1270"/>
    <w:qFormat/>
    <w:uiPriority w:val="0"/>
    <w:rPr>
      <w:rFonts w:eastAsia="宋体"/>
      <w:b/>
      <w:kern w:val="24"/>
      <w:sz w:val="24"/>
      <w:szCs w:val="24"/>
    </w:rPr>
  </w:style>
  <w:style w:type="paragraph" w:customStyle="1" w:styleId="2382">
    <w:name w:val="样式 正文首行缩进 + 行距: 1.5 倍行距"/>
    <w:basedOn w:val="87"/>
    <w:semiHidden/>
    <w:qFormat/>
    <w:uiPriority w:val="0"/>
    <w:pPr>
      <w:widowControl w:val="0"/>
      <w:spacing w:before="0" w:beforeAutospacing="0"/>
      <w:ind w:firstLine="200" w:firstLineChars="200"/>
    </w:pPr>
    <w:rPr>
      <w:rFonts w:ascii="Times New Roman" w:hAnsi="Times New Roman"/>
      <w:sz w:val="24"/>
      <w:szCs w:val="24"/>
    </w:rPr>
  </w:style>
  <w:style w:type="paragraph" w:customStyle="1" w:styleId="2383">
    <w:name w:val="（目录）一级标题"/>
    <w:basedOn w:val="1270"/>
    <w:qFormat/>
    <w:uiPriority w:val="0"/>
    <w:rPr>
      <w:rFonts w:eastAsia="宋体"/>
      <w:b/>
      <w:kern w:val="24"/>
      <w:sz w:val="24"/>
      <w:szCs w:val="24"/>
    </w:rPr>
  </w:style>
  <w:style w:type="paragraph" w:customStyle="1" w:styleId="2384">
    <w:name w:val="封面"/>
    <w:qFormat/>
    <w:uiPriority w:val="0"/>
    <w:pPr>
      <w:adjustRightInd w:val="0"/>
      <w:snapToGrid w:val="0"/>
      <w:spacing w:line="360" w:lineRule="auto"/>
    </w:pPr>
    <w:rPr>
      <w:rFonts w:ascii="Times New Roman" w:hAnsi="Times New Roman" w:eastAsia="宋体" w:cs="Times New Roman"/>
      <w:snapToGrid w:val="0"/>
      <w:kern w:val="28"/>
      <w:sz w:val="28"/>
      <w:szCs w:val="28"/>
      <w:lang w:val="en-US" w:eastAsia="zh-CN" w:bidi="ar-SA"/>
    </w:rPr>
  </w:style>
  <w:style w:type="paragraph" w:customStyle="1" w:styleId="2385">
    <w:name w:val="目录标题"/>
    <w:qFormat/>
    <w:uiPriority w:val="0"/>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paragraph" w:customStyle="1" w:styleId="2386">
    <w:name w:val="样式 标题 3标题 3 Char Char标题 3 Char1.1.1条标3条标题1.1.1二级节名h33rd..."/>
    <w:basedOn w:val="5"/>
    <w:qFormat/>
    <w:uiPriority w:val="0"/>
    <w:pPr>
      <w:tabs>
        <w:tab w:val="left" w:pos="1800"/>
      </w:tabs>
      <w:adjustRightInd w:val="0"/>
      <w:snapToGrid w:val="0"/>
      <w:spacing w:before="60" w:after="38" w:line="360" w:lineRule="auto"/>
      <w:ind w:left="1800" w:hanging="420"/>
      <w:jc w:val="left"/>
    </w:pPr>
    <w:rPr>
      <w:rFonts w:eastAsia="宋体" w:cs="宋体"/>
      <w:bCs w:val="0"/>
      <w:snapToGrid w:val="0"/>
      <w:kern w:val="24"/>
      <w:sz w:val="24"/>
      <w:szCs w:val="24"/>
    </w:rPr>
  </w:style>
  <w:style w:type="paragraph" w:customStyle="1" w:styleId="2387">
    <w:name w:val="样式 样式 标题 21.1标题 21.1_Heading 2标题 2 Char1节标2节标题 1.11.1标题2h... + 红色"/>
    <w:basedOn w:val="1841"/>
    <w:semiHidden/>
    <w:qFormat/>
    <w:uiPriority w:val="0"/>
    <w:rPr>
      <w:szCs w:val="28"/>
    </w:rPr>
  </w:style>
  <w:style w:type="paragraph" w:customStyle="1" w:styleId="2388">
    <w:name w:val="Revision1"/>
    <w:semiHidden/>
    <w:qFormat/>
    <w:uiPriority w:val="0"/>
    <w:rPr>
      <w:rFonts w:ascii="Arial" w:hAnsi="Arial" w:eastAsia="仿宋_GB2312" w:cs="Times New Roman"/>
      <w:kern w:val="2"/>
      <w:sz w:val="24"/>
      <w:szCs w:val="24"/>
      <w:lang w:val="en-US" w:eastAsia="zh-CN" w:bidi="ar-SA"/>
    </w:rPr>
  </w:style>
  <w:style w:type="paragraph" w:customStyle="1" w:styleId="2389">
    <w:name w:val="样式 黑色 行距: 多倍行距 1.3 字行 首行缩进:  2 字符"/>
    <w:basedOn w:val="1"/>
    <w:semiHidden/>
    <w:qFormat/>
    <w:uiPriority w:val="0"/>
    <w:pPr>
      <w:widowControl w:val="0"/>
      <w:spacing w:line="312" w:lineRule="auto"/>
      <w:ind w:firstLine="420" w:firstLineChars="200"/>
    </w:pPr>
    <w:rPr>
      <w:rFonts w:eastAsia="宋体"/>
      <w:color w:val="000000"/>
      <w:szCs w:val="24"/>
    </w:rPr>
  </w:style>
  <w:style w:type="paragraph" w:customStyle="1" w:styleId="2390">
    <w:name w:val="环保表首2"/>
    <w:basedOn w:val="1"/>
    <w:semiHidden/>
    <w:qFormat/>
    <w:uiPriority w:val="0"/>
    <w:pPr>
      <w:widowControl w:val="0"/>
      <w:adjustRightInd w:val="0"/>
      <w:snapToGrid w:val="0"/>
      <w:spacing w:line="240" w:lineRule="auto"/>
      <w:jc w:val="center"/>
    </w:pPr>
    <w:rPr>
      <w:rFonts w:eastAsia="仿宋_GB2312" w:cs="宋体"/>
      <w:b/>
      <w:snapToGrid w:val="0"/>
      <w:kern w:val="24"/>
      <w:sz w:val="21"/>
      <w:szCs w:val="20"/>
    </w:rPr>
  </w:style>
  <w:style w:type="paragraph" w:customStyle="1" w:styleId="2391">
    <w:name w:val="样式 标题 3条标题1.1.1h3H3level_3PIM 3Level 3 HeadHeading 3 - ol..."/>
    <w:basedOn w:val="5"/>
    <w:qFormat/>
    <w:uiPriority w:val="0"/>
    <w:pPr>
      <w:tabs>
        <w:tab w:val="left" w:pos="533"/>
      </w:tabs>
      <w:spacing w:before="0" w:after="0" w:line="360" w:lineRule="auto"/>
      <w:jc w:val="left"/>
    </w:pPr>
    <w:rPr>
      <w:rFonts w:eastAsia="宋体"/>
      <w:bCs w:val="0"/>
      <w:sz w:val="30"/>
      <w:szCs w:val="24"/>
    </w:rPr>
  </w:style>
  <w:style w:type="paragraph" w:customStyle="1" w:styleId="2392">
    <w:name w:val="Char Char1 Char Char Char Char Char Char Char Char Char Char Char Char1 Char"/>
    <w:basedOn w:val="1"/>
    <w:qFormat/>
    <w:uiPriority w:val="0"/>
    <w:pPr>
      <w:widowControl w:val="0"/>
      <w:tabs>
        <w:tab w:val="left" w:pos="794"/>
        <w:tab w:val="left" w:pos="1191"/>
        <w:tab w:val="left" w:pos="1588"/>
        <w:tab w:val="left" w:pos="1985"/>
      </w:tabs>
      <w:autoSpaceDE w:val="0"/>
      <w:autoSpaceDN w:val="0"/>
      <w:adjustRightInd w:val="0"/>
      <w:spacing w:before="136" w:line="240" w:lineRule="auto"/>
    </w:pPr>
    <w:rPr>
      <w:rFonts w:ascii="Tahoma" w:hAnsi="Tahoma" w:eastAsia="宋体"/>
      <w:szCs w:val="24"/>
      <w:lang w:val="en-GB"/>
    </w:rPr>
  </w:style>
  <w:style w:type="paragraph" w:customStyle="1" w:styleId="2393">
    <w:name w:val="表格左"/>
    <w:basedOn w:val="1"/>
    <w:semiHidden/>
    <w:qFormat/>
    <w:uiPriority w:val="0"/>
    <w:pPr>
      <w:widowControl w:val="0"/>
      <w:adjustRightInd w:val="0"/>
      <w:snapToGrid w:val="0"/>
      <w:spacing w:after="38"/>
      <w:ind w:firstLine="200" w:firstLineChars="200"/>
      <w:jc w:val="left"/>
    </w:pPr>
    <w:rPr>
      <w:rFonts w:eastAsia="宋体"/>
      <w:snapToGrid w:val="0"/>
      <w:kern w:val="24"/>
      <w:szCs w:val="21"/>
    </w:rPr>
  </w:style>
  <w:style w:type="paragraph" w:customStyle="1" w:styleId="2394">
    <w:name w:val="Revision2"/>
    <w:semiHidden/>
    <w:qFormat/>
    <w:uiPriority w:val="0"/>
    <w:rPr>
      <w:rFonts w:ascii="Arial" w:hAnsi="Arial" w:eastAsia="仿宋_GB2312" w:cs="Times New Roman"/>
      <w:kern w:val="2"/>
      <w:sz w:val="24"/>
      <w:szCs w:val="24"/>
      <w:lang w:val="en-US" w:eastAsia="zh-CN" w:bidi="ar-SA"/>
    </w:rPr>
  </w:style>
  <w:style w:type="paragraph" w:customStyle="1" w:styleId="2395">
    <w:name w:val="表格内部"/>
    <w:basedOn w:val="1"/>
    <w:semiHidden/>
    <w:qFormat/>
    <w:uiPriority w:val="99"/>
    <w:pPr>
      <w:widowControl w:val="0"/>
      <w:spacing w:line="240" w:lineRule="auto"/>
      <w:jc w:val="center"/>
    </w:pPr>
    <w:rPr>
      <w:rFonts w:eastAsia="宋体"/>
      <w:sz w:val="21"/>
      <w:szCs w:val="24"/>
    </w:rPr>
  </w:style>
  <w:style w:type="paragraph" w:customStyle="1" w:styleId="2396">
    <w:name w:val="正文11"/>
    <w:basedOn w:val="1"/>
    <w:qFormat/>
    <w:uiPriority w:val="0"/>
    <w:pPr>
      <w:widowControl w:val="0"/>
      <w:adjustRightInd w:val="0"/>
      <w:ind w:left="6" w:firstLine="474"/>
      <w:jc w:val="left"/>
      <w:textAlignment w:val="baseline"/>
    </w:pPr>
    <w:rPr>
      <w:rFonts w:ascii="宋体" w:hAnsi="宋体" w:eastAsia="仿宋_GB2312"/>
      <w:snapToGrid w:val="0"/>
      <w:kern w:val="0"/>
      <w:szCs w:val="24"/>
    </w:rPr>
  </w:style>
  <w:style w:type="paragraph" w:customStyle="1" w:styleId="2397">
    <w:name w:val="Char Char1 Char Char Char Char Char Char Char Char Char Char Char Char1 Char3"/>
    <w:basedOn w:val="1"/>
    <w:uiPriority w:val="0"/>
    <w:pPr>
      <w:widowControl w:val="0"/>
      <w:tabs>
        <w:tab w:val="left" w:pos="794"/>
        <w:tab w:val="left" w:pos="1191"/>
        <w:tab w:val="left" w:pos="1588"/>
        <w:tab w:val="left" w:pos="1985"/>
      </w:tabs>
      <w:autoSpaceDE w:val="0"/>
      <w:autoSpaceDN w:val="0"/>
      <w:adjustRightInd w:val="0"/>
      <w:spacing w:before="136" w:line="240" w:lineRule="auto"/>
    </w:pPr>
    <w:rPr>
      <w:rFonts w:ascii="Tahoma" w:hAnsi="Tahoma" w:eastAsia="宋体"/>
      <w:szCs w:val="24"/>
      <w:lang w:val="en-GB"/>
    </w:rPr>
  </w:style>
  <w:style w:type="paragraph" w:customStyle="1" w:styleId="2398">
    <w:name w:val="普通 (Web)1"/>
    <w:basedOn w:val="1"/>
    <w:semiHidden/>
    <w:qFormat/>
    <w:uiPriority w:val="0"/>
    <w:pPr>
      <w:spacing w:before="100" w:beforeAutospacing="1" w:after="100" w:afterAutospacing="1" w:line="400" w:lineRule="atLeast"/>
      <w:ind w:firstLine="480" w:firstLineChars="200"/>
      <w:jc w:val="left"/>
    </w:pPr>
    <w:rPr>
      <w:rFonts w:ascii="Arial Unicode MS" w:hAnsi="Arial Unicode MS" w:eastAsia="Arial Unicode MS"/>
      <w:kern w:val="0"/>
      <w:szCs w:val="24"/>
    </w:rPr>
  </w:style>
  <w:style w:type="paragraph" w:customStyle="1" w:styleId="2399">
    <w:name w:val="奇页脚样式"/>
    <w:basedOn w:val="1"/>
    <w:semiHidden/>
    <w:qFormat/>
    <w:uiPriority w:val="0"/>
    <w:pPr>
      <w:widowControl w:val="0"/>
      <w:pBdr>
        <w:top w:val="single" w:color="auto" w:sz="4" w:space="1"/>
        <w:bottom w:val="single" w:color="auto" w:sz="6" w:space="1"/>
      </w:pBdr>
      <w:tabs>
        <w:tab w:val="center" w:pos="4153"/>
        <w:tab w:val="right" w:pos="8306"/>
      </w:tabs>
      <w:adjustRightInd w:val="0"/>
      <w:snapToGrid w:val="0"/>
      <w:spacing w:before="600" w:line="240" w:lineRule="auto"/>
      <w:ind w:firstLine="482" w:firstLineChars="200"/>
      <w:jc w:val="left"/>
    </w:pPr>
    <w:rPr>
      <w:rFonts w:eastAsia="宋体"/>
      <w:b/>
      <w:snapToGrid w:val="0"/>
      <w:kern w:val="24"/>
      <w:sz w:val="18"/>
      <w:szCs w:val="24"/>
    </w:rPr>
  </w:style>
  <w:style w:type="paragraph" w:customStyle="1" w:styleId="2400">
    <w:name w:val="首页脚样式"/>
    <w:basedOn w:val="1"/>
    <w:semiHidden/>
    <w:qFormat/>
    <w:uiPriority w:val="0"/>
    <w:pPr>
      <w:widowControl w:val="0"/>
      <w:pBdr>
        <w:top w:val="single" w:color="auto" w:sz="4" w:space="1"/>
        <w:bottom w:val="single" w:color="auto" w:sz="6" w:space="1"/>
      </w:pBdr>
      <w:tabs>
        <w:tab w:val="center" w:pos="4153"/>
        <w:tab w:val="right" w:pos="8306"/>
      </w:tabs>
      <w:adjustRightInd w:val="0"/>
      <w:snapToGrid w:val="0"/>
      <w:spacing w:before="600" w:line="240" w:lineRule="auto"/>
      <w:ind w:firstLine="482" w:firstLineChars="200"/>
      <w:jc w:val="left"/>
    </w:pPr>
    <w:rPr>
      <w:rFonts w:eastAsia="宋体"/>
      <w:b/>
      <w:snapToGrid w:val="0"/>
      <w:kern w:val="24"/>
      <w:sz w:val="18"/>
      <w:szCs w:val="24"/>
    </w:rPr>
  </w:style>
  <w:style w:type="paragraph" w:customStyle="1" w:styleId="2401">
    <w:name w:val="首页页眉样式"/>
    <w:basedOn w:val="1"/>
    <w:semiHidden/>
    <w:qFormat/>
    <w:uiPriority w:val="0"/>
    <w:pPr>
      <w:widowControl w:val="0"/>
      <w:pBdr>
        <w:bottom w:val="single" w:color="auto" w:sz="6" w:space="1"/>
      </w:pBdr>
      <w:tabs>
        <w:tab w:val="center" w:pos="4153"/>
        <w:tab w:val="right" w:pos="8306"/>
      </w:tabs>
      <w:adjustRightInd w:val="0"/>
      <w:snapToGrid w:val="0"/>
      <w:spacing w:before="120" w:line="240" w:lineRule="auto"/>
      <w:ind w:firstLine="482" w:firstLineChars="200"/>
      <w:jc w:val="center"/>
    </w:pPr>
    <w:rPr>
      <w:rFonts w:eastAsia="宋体"/>
      <w:snapToGrid w:val="0"/>
      <w:kern w:val="24"/>
      <w:sz w:val="18"/>
      <w:szCs w:val="24"/>
    </w:rPr>
  </w:style>
  <w:style w:type="paragraph" w:customStyle="1" w:styleId="2402">
    <w:name w:val="样式 正文1 + 段前: 0.5 行1"/>
    <w:basedOn w:val="1"/>
    <w:semiHidden/>
    <w:qFormat/>
    <w:uiPriority w:val="0"/>
    <w:pPr>
      <w:widowControl w:val="0"/>
      <w:adjustRightInd w:val="0"/>
      <w:snapToGrid w:val="0"/>
      <w:spacing w:beforeLines="50" w:afterLines="50" w:line="240" w:lineRule="auto"/>
    </w:pPr>
    <w:rPr>
      <w:rFonts w:eastAsia="仿宋_GB2312" w:cs="宋体"/>
      <w:kern w:val="0"/>
      <w:szCs w:val="24"/>
    </w:rPr>
  </w:style>
  <w:style w:type="paragraph" w:customStyle="1" w:styleId="2403">
    <w:name w:val="Plain Text5"/>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404">
    <w:name w:val="正文（英）"/>
    <w:basedOn w:val="1"/>
    <w:semiHidden/>
    <w:qFormat/>
    <w:uiPriority w:val="0"/>
    <w:pPr>
      <w:widowControl w:val="0"/>
      <w:adjustRightInd w:val="0"/>
      <w:spacing w:line="240" w:lineRule="auto"/>
      <w:textAlignment w:val="baseline"/>
    </w:pPr>
    <w:rPr>
      <w:rFonts w:ascii="Arial" w:hAnsi="Arial" w:eastAsia="仿宋_GB2312"/>
      <w:color w:val="FF0000"/>
      <w:kern w:val="0"/>
      <w:szCs w:val="24"/>
    </w:rPr>
  </w:style>
  <w:style w:type="paragraph" w:customStyle="1" w:styleId="2405">
    <w:name w:val="标题（英）"/>
    <w:basedOn w:val="1"/>
    <w:semiHidden/>
    <w:qFormat/>
    <w:uiPriority w:val="0"/>
    <w:pPr>
      <w:widowControl w:val="0"/>
      <w:adjustRightInd w:val="0"/>
      <w:snapToGrid w:val="0"/>
      <w:spacing w:line="240" w:lineRule="auto"/>
      <w:textAlignment w:val="baseline"/>
    </w:pPr>
    <w:rPr>
      <w:rFonts w:ascii="Arial" w:hAnsi="Arial" w:eastAsia="仿宋_GB2312"/>
      <w:kern w:val="0"/>
      <w:szCs w:val="24"/>
    </w:rPr>
  </w:style>
  <w:style w:type="paragraph" w:customStyle="1" w:styleId="2406">
    <w:name w:val="样式 标题 11.标题 1 + 段前: 12 磅 段后: 12 磅"/>
    <w:basedOn w:val="3"/>
    <w:semiHidden/>
    <w:qFormat/>
    <w:uiPriority w:val="0"/>
    <w:pPr>
      <w:pageBreakBefore/>
      <w:widowControl w:val="0"/>
      <w:tabs>
        <w:tab w:val="left" w:pos="180"/>
        <w:tab w:val="left" w:pos="434"/>
      </w:tabs>
      <w:adjustRightInd w:val="0"/>
      <w:snapToGrid w:val="0"/>
      <w:spacing w:before="0" w:after="0" w:line="360" w:lineRule="auto"/>
      <w:ind w:left="432" w:hanging="432"/>
      <w:jc w:val="center"/>
      <w:textAlignment w:val="baseline"/>
    </w:pPr>
    <w:rPr>
      <w:rFonts w:ascii="Calibri" w:hAnsi="黑体" w:eastAsia="黑体" w:cs="宋体"/>
      <w:b w:val="0"/>
      <w:snapToGrid w:val="0"/>
      <w:kern w:val="0"/>
      <w:sz w:val="30"/>
      <w:szCs w:val="32"/>
    </w:rPr>
  </w:style>
  <w:style w:type="paragraph" w:customStyle="1" w:styleId="2407">
    <w:name w:val="正文-使用"/>
    <w:basedOn w:val="1"/>
    <w:semiHidden/>
    <w:qFormat/>
    <w:uiPriority w:val="0"/>
    <w:pPr>
      <w:widowControl w:val="0"/>
      <w:adjustRightInd w:val="0"/>
      <w:snapToGrid w:val="0"/>
      <w:ind w:firstLine="482"/>
    </w:pPr>
    <w:rPr>
      <w:rFonts w:eastAsia="仿宋_GB2312"/>
      <w:szCs w:val="20"/>
    </w:rPr>
  </w:style>
  <w:style w:type="paragraph" w:customStyle="1" w:styleId="2408">
    <w:name w:val="样式 正文文字缩进 + 左侧:  2.5 字符1"/>
    <w:basedOn w:val="1"/>
    <w:semiHidden/>
    <w:qFormat/>
    <w:uiPriority w:val="0"/>
    <w:pPr>
      <w:widowControl w:val="0"/>
      <w:adjustRightInd w:val="0"/>
      <w:spacing w:before="240" w:after="240" w:line="312" w:lineRule="auto"/>
      <w:ind w:left="600" w:leftChars="250"/>
    </w:pPr>
    <w:rPr>
      <w:rFonts w:eastAsia="仿宋_GB2312"/>
      <w:szCs w:val="20"/>
    </w:rPr>
  </w:style>
  <w:style w:type="paragraph" w:customStyle="1" w:styleId="2409">
    <w:name w:val="二级无标题条"/>
    <w:basedOn w:val="1"/>
    <w:qFormat/>
    <w:uiPriority w:val="0"/>
    <w:pPr>
      <w:widowControl w:val="0"/>
      <w:spacing w:line="240" w:lineRule="auto"/>
    </w:pPr>
    <w:rPr>
      <w:rFonts w:eastAsia="仿宋_GB2312"/>
      <w:sz w:val="21"/>
      <w:szCs w:val="24"/>
    </w:rPr>
  </w:style>
  <w:style w:type="paragraph" w:customStyle="1" w:styleId="2410">
    <w:name w:val="表标题11.1"/>
    <w:basedOn w:val="1"/>
    <w:semiHidden/>
    <w:qFormat/>
    <w:uiPriority w:val="0"/>
    <w:pPr>
      <w:widowControl w:val="0"/>
      <w:spacing w:beforeLines="100" w:line="0" w:lineRule="atLeast"/>
      <w:jc w:val="center"/>
    </w:pPr>
    <w:rPr>
      <w:rFonts w:ascii="宋体" w:hAnsi="宋体" w:eastAsia="宋体"/>
      <w:b/>
      <w:kern w:val="24"/>
      <w:szCs w:val="24"/>
    </w:rPr>
  </w:style>
  <w:style w:type="paragraph" w:customStyle="1" w:styleId="2411">
    <w:name w:val="普通(Web)1"/>
    <w:basedOn w:val="1"/>
    <w:semiHidden/>
    <w:qFormat/>
    <w:uiPriority w:val="0"/>
    <w:pPr>
      <w:spacing w:line="240" w:lineRule="auto"/>
      <w:jc w:val="left"/>
    </w:pPr>
    <w:rPr>
      <w:rFonts w:ascii="宋体" w:hAnsi="宋体" w:eastAsia="仿宋_GB2312" w:cs="宋体"/>
      <w:color w:val="000000"/>
      <w:kern w:val="0"/>
      <w:szCs w:val="24"/>
    </w:rPr>
  </w:style>
  <w:style w:type="paragraph" w:customStyle="1" w:styleId="2412">
    <w:name w:val="样式 首行缩进:  0.85 厘米"/>
    <w:basedOn w:val="1"/>
    <w:qFormat/>
    <w:uiPriority w:val="0"/>
    <w:pPr>
      <w:widowControl w:val="0"/>
      <w:adjustRightInd w:val="0"/>
      <w:snapToGrid w:val="0"/>
      <w:ind w:firstLine="482"/>
      <w:textAlignment w:val="baseline"/>
    </w:pPr>
    <w:rPr>
      <w:rFonts w:eastAsia="仿宋_GB2312"/>
      <w:snapToGrid w:val="0"/>
      <w:kern w:val="0"/>
      <w:szCs w:val="20"/>
    </w:rPr>
  </w:style>
  <w:style w:type="paragraph" w:customStyle="1" w:styleId="2413">
    <w:name w:val="Bullet"/>
    <w:basedOn w:val="1"/>
    <w:semiHidden/>
    <w:qFormat/>
    <w:uiPriority w:val="0"/>
    <w:pPr>
      <w:widowControl w:val="0"/>
      <w:tabs>
        <w:tab w:val="left" w:pos="1200"/>
      </w:tabs>
      <w:spacing w:after="160" w:line="240" w:lineRule="auto"/>
      <w:ind w:left="1200" w:hanging="720"/>
    </w:pPr>
    <w:rPr>
      <w:rFonts w:ascii="Book Antiqua" w:hAnsi="Book Antiqua" w:eastAsia="仿宋_GB2312" w:cs="宋体"/>
      <w:sz w:val="22"/>
      <w:szCs w:val="24"/>
    </w:rPr>
  </w:style>
  <w:style w:type="paragraph" w:customStyle="1" w:styleId="2414">
    <w:name w:val="CSA"/>
    <w:basedOn w:val="1"/>
    <w:next w:val="3"/>
    <w:semiHidden/>
    <w:qFormat/>
    <w:uiPriority w:val="0"/>
    <w:pPr>
      <w:keepNext/>
      <w:widowControl w:val="0"/>
      <w:spacing w:line="240" w:lineRule="auto"/>
    </w:pPr>
    <w:rPr>
      <w:rFonts w:ascii="Book Antiqua" w:hAnsi="Book Antiqua" w:eastAsia="仿宋_GB2312"/>
      <w:b/>
      <w:caps/>
      <w:sz w:val="20"/>
      <w:szCs w:val="24"/>
    </w:rPr>
  </w:style>
  <w:style w:type="paragraph" w:customStyle="1" w:styleId="2415">
    <w:name w:val="Main-Head"/>
    <w:basedOn w:val="1"/>
    <w:next w:val="1"/>
    <w:semiHidden/>
    <w:qFormat/>
    <w:uiPriority w:val="0"/>
    <w:pPr>
      <w:widowControl w:val="0"/>
      <w:spacing w:line="240" w:lineRule="auto"/>
    </w:pPr>
    <w:rPr>
      <w:rFonts w:ascii="Arial Narrow" w:hAnsi="Arial Narrow" w:eastAsia="仿宋_GB2312"/>
      <w:b/>
      <w:sz w:val="22"/>
      <w:szCs w:val="24"/>
    </w:rPr>
  </w:style>
  <w:style w:type="paragraph" w:customStyle="1" w:styleId="2416">
    <w:name w:val="Exhibit--Number"/>
    <w:basedOn w:val="2415"/>
    <w:next w:val="2417"/>
    <w:semiHidden/>
    <w:qFormat/>
    <w:uiPriority w:val="0"/>
    <w:pPr>
      <w:spacing w:before="160"/>
    </w:pPr>
    <w:rPr>
      <w:caps/>
      <w:sz w:val="18"/>
    </w:rPr>
  </w:style>
  <w:style w:type="paragraph" w:customStyle="1" w:styleId="2417">
    <w:name w:val="Exhibit--Title"/>
    <w:basedOn w:val="2416"/>
    <w:next w:val="2418"/>
    <w:semiHidden/>
    <w:qFormat/>
    <w:uiPriority w:val="0"/>
    <w:pPr>
      <w:spacing w:before="0"/>
    </w:pPr>
    <w:rPr>
      <w:b w:val="0"/>
      <w:caps w:val="0"/>
      <w:sz w:val="20"/>
    </w:rPr>
  </w:style>
  <w:style w:type="paragraph" w:customStyle="1" w:styleId="2418">
    <w:name w:val="Exhibit--Caption"/>
    <w:basedOn w:val="2417"/>
    <w:next w:val="1"/>
    <w:semiHidden/>
    <w:qFormat/>
    <w:uiPriority w:val="0"/>
    <w:rPr>
      <w:i/>
    </w:rPr>
  </w:style>
  <w:style w:type="paragraph" w:customStyle="1" w:styleId="2419">
    <w:name w:val="Contents"/>
    <w:basedOn w:val="3"/>
    <w:next w:val="1"/>
    <w:semiHidden/>
    <w:qFormat/>
    <w:uiPriority w:val="0"/>
    <w:pPr>
      <w:pageBreakBefore/>
      <w:widowControl w:val="0"/>
      <w:tabs>
        <w:tab w:val="left" w:pos="180"/>
      </w:tabs>
      <w:adjustRightInd w:val="0"/>
      <w:snapToGrid w:val="0"/>
      <w:spacing w:before="0" w:after="0" w:line="360" w:lineRule="auto"/>
    </w:pPr>
    <w:rPr>
      <w:rFonts w:ascii="黑体" w:hAnsi="宋体" w:eastAsia="黑体"/>
      <w:b w:val="0"/>
      <w:snapToGrid w:val="0"/>
      <w:kern w:val="0"/>
      <w:sz w:val="24"/>
      <w:szCs w:val="24"/>
    </w:rPr>
  </w:style>
  <w:style w:type="paragraph" w:customStyle="1" w:styleId="2420">
    <w:name w:val="Table Notes"/>
    <w:basedOn w:val="1"/>
    <w:semiHidden/>
    <w:qFormat/>
    <w:uiPriority w:val="0"/>
    <w:pPr>
      <w:widowControl w:val="0"/>
      <w:adjustRightInd w:val="0"/>
      <w:snapToGrid w:val="0"/>
      <w:spacing w:after="320"/>
      <w:ind w:firstLine="200" w:firstLineChars="200"/>
    </w:pPr>
    <w:rPr>
      <w:rFonts w:eastAsia="仿宋_GB2312"/>
      <w:snapToGrid w:val="0"/>
      <w:szCs w:val="24"/>
    </w:rPr>
  </w:style>
  <w:style w:type="paragraph" w:customStyle="1" w:styleId="2421">
    <w:name w:val="Tick"/>
    <w:basedOn w:val="1"/>
    <w:next w:val="1"/>
    <w:semiHidden/>
    <w:qFormat/>
    <w:uiPriority w:val="0"/>
    <w:pPr>
      <w:widowControl w:val="0"/>
      <w:spacing w:line="240" w:lineRule="auto"/>
      <w:ind w:left="720" w:hanging="360"/>
    </w:pPr>
    <w:rPr>
      <w:rFonts w:ascii="Book Antiqua" w:hAnsi="Book Antiqua" w:eastAsia="仿宋_GB2312"/>
      <w:sz w:val="22"/>
      <w:szCs w:val="24"/>
    </w:rPr>
  </w:style>
  <w:style w:type="paragraph" w:customStyle="1" w:styleId="2422">
    <w:name w:val="Char Char1 Char Char Char Char"/>
    <w:basedOn w:val="1"/>
    <w:semiHidden/>
    <w:qFormat/>
    <w:uiPriority w:val="0"/>
    <w:pPr>
      <w:widowControl w:val="0"/>
      <w:spacing w:line="240" w:lineRule="auto"/>
      <w:ind w:firstLine="200" w:firstLineChars="200"/>
    </w:pPr>
    <w:rPr>
      <w:rFonts w:eastAsia="宋体"/>
      <w:szCs w:val="24"/>
    </w:rPr>
  </w:style>
  <w:style w:type="paragraph" w:customStyle="1" w:styleId="2423">
    <w:name w:val="Char Char1 Char Char1"/>
    <w:basedOn w:val="1"/>
    <w:semiHidden/>
    <w:qFormat/>
    <w:uiPriority w:val="0"/>
    <w:pPr>
      <w:widowControl w:val="0"/>
      <w:spacing w:line="240" w:lineRule="auto"/>
      <w:ind w:firstLine="200" w:firstLineChars="200"/>
    </w:pPr>
    <w:rPr>
      <w:rFonts w:eastAsia="宋体"/>
      <w:szCs w:val="24"/>
    </w:rPr>
  </w:style>
  <w:style w:type="paragraph" w:customStyle="1" w:styleId="2424">
    <w:name w:val="Char Char1 Char Char Char Char1"/>
    <w:basedOn w:val="1"/>
    <w:semiHidden/>
    <w:qFormat/>
    <w:uiPriority w:val="0"/>
    <w:pPr>
      <w:widowControl w:val="0"/>
      <w:spacing w:line="240" w:lineRule="auto"/>
      <w:ind w:firstLine="200" w:firstLineChars="200"/>
    </w:pPr>
    <w:rPr>
      <w:rFonts w:eastAsia="宋体"/>
      <w:szCs w:val="24"/>
    </w:rPr>
  </w:style>
  <w:style w:type="character" w:customStyle="1" w:styleId="2425">
    <w:name w:val="z-窗体顶端 Char4"/>
    <w:basedOn w:val="134"/>
    <w:semiHidden/>
    <w:uiPriority w:val="99"/>
    <w:rPr>
      <w:rFonts w:ascii="Arial" w:hAnsi="Arial" w:cs="Arial"/>
      <w:vanish/>
      <w:sz w:val="16"/>
      <w:szCs w:val="16"/>
    </w:rPr>
  </w:style>
  <w:style w:type="paragraph" w:customStyle="1" w:styleId="2426">
    <w:name w:val="Plain Text2"/>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427">
    <w:name w:val="Normal Indent2"/>
    <w:basedOn w:val="1"/>
    <w:semiHidden/>
    <w:qFormat/>
    <w:uiPriority w:val="0"/>
    <w:pPr>
      <w:widowControl w:val="0"/>
      <w:spacing w:line="240" w:lineRule="auto"/>
      <w:ind w:firstLine="420" w:firstLineChars="200"/>
    </w:pPr>
    <w:rPr>
      <w:rFonts w:hint="eastAsia" w:eastAsia="宋体"/>
      <w:sz w:val="21"/>
      <w:szCs w:val="24"/>
    </w:rPr>
  </w:style>
  <w:style w:type="paragraph" w:customStyle="1" w:styleId="2428">
    <w:name w:val="正文(1)"/>
    <w:basedOn w:val="1"/>
    <w:qFormat/>
    <w:uiPriority w:val="0"/>
    <w:pPr>
      <w:widowControl w:val="0"/>
      <w:adjustRightInd w:val="0"/>
      <w:snapToGrid w:val="0"/>
      <w:spacing w:before="120" w:line="300" w:lineRule="auto"/>
      <w:ind w:firstLine="480" w:firstLineChars="200"/>
    </w:pPr>
    <w:rPr>
      <w:rFonts w:ascii="黑体" w:hAnsi="宋体" w:eastAsia="黑体"/>
      <w:b/>
      <w:snapToGrid w:val="0"/>
      <w:color w:val="339966"/>
      <w:kern w:val="0"/>
      <w:szCs w:val="24"/>
    </w:rPr>
  </w:style>
  <w:style w:type="paragraph" w:customStyle="1" w:styleId="2429">
    <w:name w:val="Char Char1 Char Char Char Char Char Char Char Char Char Char Char Char Char Char Char Char Char Char Char Char1 Char5"/>
    <w:basedOn w:val="1"/>
    <w:semiHidden/>
    <w:uiPriority w:val="0"/>
    <w:pPr>
      <w:widowControl w:val="0"/>
      <w:adjustRightInd w:val="0"/>
    </w:pPr>
    <w:rPr>
      <w:rFonts w:ascii="宋体" w:hAnsi="宋体" w:eastAsia="宋体" w:cs="宋体"/>
      <w:b/>
      <w:color w:val="000000"/>
      <w:sz w:val="28"/>
      <w:szCs w:val="28"/>
    </w:rPr>
  </w:style>
  <w:style w:type="paragraph" w:customStyle="1" w:styleId="2430">
    <w:name w:val="样式 标题 1正文一级标题一、1.标题 1标题 1 Char标1章节标题-*+章标题 1文章标题h11st..."/>
    <w:basedOn w:val="3"/>
    <w:semiHidden/>
    <w:qFormat/>
    <w:uiPriority w:val="0"/>
    <w:pPr>
      <w:keepNext w:val="0"/>
      <w:keepLines w:val="0"/>
      <w:pageBreakBefore/>
      <w:tabs>
        <w:tab w:val="left" w:pos="180"/>
        <w:tab w:val="left" w:pos="360"/>
      </w:tabs>
      <w:adjustRightInd w:val="0"/>
      <w:snapToGrid w:val="0"/>
      <w:spacing w:before="240" w:after="0" w:line="360" w:lineRule="auto"/>
      <w:ind w:left="900" w:hanging="420"/>
      <w:textAlignment w:val="baseline"/>
    </w:pPr>
    <w:rPr>
      <w:rFonts w:ascii="Calibri" w:hAnsi="Calibri" w:eastAsia="黑体" w:cs="宋体"/>
      <w:b w:val="0"/>
      <w:bCs w:val="0"/>
      <w:snapToGrid w:val="0"/>
      <w:kern w:val="30"/>
      <w:sz w:val="30"/>
      <w:szCs w:val="20"/>
    </w:rPr>
  </w:style>
  <w:style w:type="paragraph" w:customStyle="1" w:styleId="2431">
    <w:name w:val="样式 标题 1正文一级标题 + 段前: 1 行"/>
    <w:basedOn w:val="3"/>
    <w:semiHidden/>
    <w:qFormat/>
    <w:uiPriority w:val="0"/>
    <w:pPr>
      <w:keepNext w:val="0"/>
      <w:keepLines w:val="0"/>
      <w:pageBreakBefore/>
      <w:tabs>
        <w:tab w:val="left" w:pos="180"/>
        <w:tab w:val="left" w:pos="360"/>
      </w:tabs>
      <w:adjustRightInd w:val="0"/>
      <w:snapToGrid w:val="0"/>
      <w:spacing w:before="0" w:after="0" w:line="360" w:lineRule="auto"/>
      <w:textAlignment w:val="baseline"/>
    </w:pPr>
    <w:rPr>
      <w:rFonts w:ascii="Calibri" w:hAnsi="Calibri" w:eastAsia="黑体" w:cs="宋体"/>
      <w:b w:val="0"/>
      <w:bCs w:val="0"/>
      <w:snapToGrid w:val="0"/>
      <w:kern w:val="30"/>
      <w:sz w:val="30"/>
      <w:szCs w:val="20"/>
    </w:rPr>
  </w:style>
  <w:style w:type="paragraph" w:customStyle="1" w:styleId="2432">
    <w:name w:val="表格2011"/>
    <w:basedOn w:val="1"/>
    <w:semiHidden/>
    <w:qFormat/>
    <w:uiPriority w:val="0"/>
    <w:pPr>
      <w:widowControl w:val="0"/>
      <w:adjustRightInd w:val="0"/>
      <w:snapToGrid w:val="0"/>
      <w:spacing w:beforeLines="15" w:afterLines="15" w:line="240" w:lineRule="auto"/>
      <w:jc w:val="center"/>
    </w:pPr>
    <w:rPr>
      <w:rFonts w:ascii="仿宋_GB2312" w:hAnsi="宋体" w:eastAsia="仿宋_GB2312"/>
      <w:snapToGrid w:val="0"/>
      <w:spacing w:val="5"/>
      <w:kern w:val="0"/>
      <w:sz w:val="21"/>
      <w:szCs w:val="18"/>
    </w:rPr>
  </w:style>
  <w:style w:type="paragraph" w:customStyle="1" w:styleId="2433">
    <w:name w:val="样式 标题 1正文一级标题一、1.标题 1标题 1 Char标1章节标题-*+章标题 1文章标题h11st...2"/>
    <w:basedOn w:val="3"/>
    <w:semiHidden/>
    <w:qFormat/>
    <w:uiPriority w:val="0"/>
    <w:pPr>
      <w:keepNext w:val="0"/>
      <w:keepLines w:val="0"/>
      <w:pageBreakBefore/>
      <w:tabs>
        <w:tab w:val="left" w:pos="180"/>
      </w:tabs>
      <w:adjustRightInd w:val="0"/>
      <w:snapToGrid w:val="0"/>
      <w:spacing w:before="240" w:after="0" w:line="360" w:lineRule="auto"/>
      <w:textAlignment w:val="baseline"/>
    </w:pPr>
    <w:rPr>
      <w:rFonts w:ascii="Calibri" w:hAnsi="Calibri" w:eastAsia="黑体" w:cs="宋体"/>
      <w:bCs w:val="0"/>
      <w:snapToGrid w:val="0"/>
      <w:kern w:val="30"/>
      <w:sz w:val="30"/>
      <w:szCs w:val="20"/>
    </w:rPr>
  </w:style>
  <w:style w:type="paragraph" w:customStyle="1" w:styleId="2434">
    <w:name w:val="Plain Text4"/>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435">
    <w:name w:val="质表正文"/>
    <w:basedOn w:val="1"/>
    <w:qFormat/>
    <w:uiPriority w:val="0"/>
    <w:pPr>
      <w:widowControl w:val="0"/>
      <w:adjustRightInd w:val="0"/>
      <w:snapToGrid w:val="0"/>
      <w:spacing w:line="240" w:lineRule="atLeast"/>
      <w:jc w:val="center"/>
    </w:pPr>
    <w:rPr>
      <w:rFonts w:ascii="宋体" w:hAnsi="宋体" w:eastAsia="宋体"/>
      <w:snapToGrid w:val="0"/>
      <w:spacing w:val="-20"/>
      <w:sz w:val="21"/>
      <w:szCs w:val="21"/>
    </w:rPr>
  </w:style>
  <w:style w:type="paragraph" w:customStyle="1" w:styleId="2436">
    <w:name w:val="批注主题11"/>
    <w:basedOn w:val="29"/>
    <w:next w:val="29"/>
    <w:semiHidden/>
    <w:qFormat/>
    <w:uiPriority w:val="0"/>
    <w:pPr>
      <w:widowControl w:val="0"/>
      <w:spacing w:line="240" w:lineRule="auto"/>
    </w:pPr>
    <w:rPr>
      <w:rFonts w:ascii="宋体" w:hAnsi="宋体" w:eastAsia="宋体"/>
      <w:b/>
      <w:bCs/>
      <w:snapToGrid w:val="0"/>
      <w:color w:val="000000"/>
      <w:sz w:val="21"/>
      <w:szCs w:val="24"/>
    </w:rPr>
  </w:style>
  <w:style w:type="paragraph" w:customStyle="1" w:styleId="2437">
    <w:name w:val="Paratitre"/>
    <w:basedOn w:val="1"/>
    <w:semiHidden/>
    <w:qFormat/>
    <w:uiPriority w:val="0"/>
    <w:pPr>
      <w:adjustRightInd w:val="0"/>
      <w:snapToGrid w:val="0"/>
      <w:spacing w:before="120" w:line="300" w:lineRule="auto"/>
      <w:ind w:left="851" w:firstLine="499"/>
    </w:pPr>
    <w:rPr>
      <w:rFonts w:ascii="Arial" w:hAnsi="Arial" w:eastAsia="宋体" w:cs="Arial"/>
      <w:kern w:val="0"/>
      <w:sz w:val="20"/>
      <w:szCs w:val="20"/>
      <w:lang w:eastAsia="fr-FR"/>
    </w:rPr>
  </w:style>
  <w:style w:type="paragraph" w:customStyle="1" w:styleId="2438">
    <w:name w:val="form"/>
    <w:basedOn w:val="1"/>
    <w:semiHidden/>
    <w:qFormat/>
    <w:uiPriority w:val="0"/>
    <w:pPr>
      <w:widowControl w:val="0"/>
      <w:adjustRightInd w:val="0"/>
      <w:snapToGrid w:val="0"/>
      <w:spacing w:line="240" w:lineRule="auto"/>
      <w:jc w:val="center"/>
    </w:pPr>
    <w:rPr>
      <w:rFonts w:hint="eastAsia" w:ascii="仿宋_GB2312" w:hAnsi="Calibri" w:eastAsia="仿宋_GB2312"/>
      <w:bCs/>
      <w:snapToGrid w:val="0"/>
      <w:sz w:val="21"/>
      <w:szCs w:val="21"/>
    </w:rPr>
  </w:style>
  <w:style w:type="paragraph" w:customStyle="1" w:styleId="2439">
    <w:name w:val="unnamed3"/>
    <w:basedOn w:val="1"/>
    <w:semiHidden/>
    <w:qFormat/>
    <w:uiPriority w:val="0"/>
    <w:pPr>
      <w:spacing w:before="100" w:beforeAutospacing="1" w:after="100" w:afterAutospacing="1" w:line="408" w:lineRule="auto"/>
      <w:jc w:val="left"/>
    </w:pPr>
    <w:rPr>
      <w:rFonts w:ascii="Arial Unicode MS" w:hAnsi="Arial Unicode MS" w:eastAsia="Arial Unicode MS"/>
      <w:snapToGrid w:val="0"/>
      <w:color w:val="000000"/>
      <w:kern w:val="0"/>
      <w:sz w:val="20"/>
      <w:szCs w:val="20"/>
    </w:rPr>
  </w:style>
  <w:style w:type="paragraph" w:customStyle="1" w:styleId="2440">
    <w:name w:val="样式 样式 样式 样式 样式 样式 样式 样式 样式 样式 第二层2 + 段后: 0.5 行 + 段后: 0.5 行 + 段后:..."/>
    <w:basedOn w:val="1"/>
    <w:semiHidden/>
    <w:qFormat/>
    <w:uiPriority w:val="0"/>
    <w:pPr>
      <w:tabs>
        <w:tab w:val="left" w:pos="720"/>
        <w:tab w:val="left" w:pos="936"/>
      </w:tabs>
      <w:snapToGrid w:val="0"/>
      <w:ind w:left="936" w:hanging="576"/>
      <w:jc w:val="left"/>
      <w:outlineLvl w:val="1"/>
    </w:pPr>
    <w:rPr>
      <w:rFonts w:eastAsia="宋体"/>
      <w:b/>
      <w:bCs/>
      <w:snapToGrid w:val="0"/>
      <w:kern w:val="0"/>
      <w:sz w:val="28"/>
      <w:szCs w:val="28"/>
    </w:rPr>
  </w:style>
  <w:style w:type="paragraph" w:customStyle="1" w:styleId="2441">
    <w:name w:val="az"/>
    <w:basedOn w:val="1"/>
    <w:semiHidden/>
    <w:qFormat/>
    <w:uiPriority w:val="0"/>
    <w:pPr>
      <w:widowControl w:val="0"/>
      <w:spacing w:line="240" w:lineRule="auto"/>
      <w:ind w:firstLine="200" w:firstLineChars="200"/>
      <w:outlineLvl w:val="2"/>
    </w:pPr>
    <w:rPr>
      <w:rFonts w:eastAsia="宋体"/>
      <w:szCs w:val="24"/>
    </w:rPr>
  </w:style>
  <w:style w:type="paragraph" w:customStyle="1" w:styleId="2442">
    <w:name w:val="表格头"/>
    <w:next w:val="1"/>
    <w:semiHidden/>
    <w:qFormat/>
    <w:uiPriority w:val="0"/>
    <w:pPr>
      <w:spacing w:line="360" w:lineRule="auto"/>
      <w:jc w:val="center"/>
    </w:pPr>
    <w:rPr>
      <w:rFonts w:ascii="Times New Roman" w:hAnsi="Times New Roman" w:eastAsia="宋体" w:cs="Times New Roman"/>
      <w:bCs/>
      <w:kern w:val="44"/>
      <w:sz w:val="24"/>
      <w:szCs w:val="44"/>
      <w:lang w:val="en-US" w:eastAsia="zh-CN" w:bidi="ar-SA"/>
    </w:rPr>
  </w:style>
  <w:style w:type="paragraph" w:customStyle="1" w:styleId="2443">
    <w:name w:val="TJ-1"/>
    <w:basedOn w:val="1"/>
    <w:qFormat/>
    <w:uiPriority w:val="0"/>
    <w:pPr>
      <w:widowControl w:val="0"/>
      <w:kinsoku w:val="0"/>
      <w:wordWrap w:val="0"/>
      <w:overflowPunct w:val="0"/>
      <w:autoSpaceDE w:val="0"/>
      <w:autoSpaceDN w:val="0"/>
      <w:adjustRightInd w:val="0"/>
      <w:spacing w:line="0" w:lineRule="atLeast"/>
      <w:jc w:val="left"/>
      <w:textAlignment w:val="baseline"/>
    </w:pPr>
    <w:rPr>
      <w:rFonts w:ascii="Arial" w:hAnsi="Arial" w:eastAsia="幼圆"/>
      <w:snapToGrid w:val="0"/>
      <w:kern w:val="0"/>
      <w:sz w:val="21"/>
      <w:szCs w:val="20"/>
    </w:rPr>
  </w:style>
  <w:style w:type="paragraph" w:customStyle="1" w:styleId="2444">
    <w:name w:val="封面标准号1"/>
    <w:semiHidden/>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445">
    <w:name w:val="标题4A"/>
    <w:basedOn w:val="1"/>
    <w:next w:val="1"/>
    <w:qFormat/>
    <w:uiPriority w:val="0"/>
    <w:pPr>
      <w:widowControl w:val="0"/>
      <w:spacing w:line="300" w:lineRule="auto"/>
    </w:pPr>
    <w:rPr>
      <w:rFonts w:eastAsia="宋体"/>
      <w:szCs w:val="24"/>
    </w:rPr>
  </w:style>
  <w:style w:type="paragraph" w:customStyle="1" w:styleId="2446">
    <w:name w:val="正文A"/>
    <w:basedOn w:val="1"/>
    <w:qFormat/>
    <w:uiPriority w:val="0"/>
    <w:pPr>
      <w:widowControl w:val="0"/>
      <w:spacing w:line="540" w:lineRule="exact"/>
    </w:pPr>
    <w:rPr>
      <w:rFonts w:ascii="宋体" w:hAnsi="宋体" w:eastAsia="宋体"/>
      <w:szCs w:val="20"/>
    </w:rPr>
  </w:style>
  <w:style w:type="paragraph" w:customStyle="1" w:styleId="2447">
    <w:name w:val="1 Char Char Char Char Char Char Char Char"/>
    <w:basedOn w:val="1"/>
    <w:semiHidden/>
    <w:qFormat/>
    <w:uiPriority w:val="0"/>
    <w:pPr>
      <w:widowControl w:val="0"/>
      <w:spacing w:line="240" w:lineRule="auto"/>
    </w:pPr>
    <w:rPr>
      <w:rFonts w:eastAsia="宋体"/>
      <w:szCs w:val="24"/>
    </w:rPr>
  </w:style>
  <w:style w:type="paragraph" w:customStyle="1" w:styleId="2448">
    <w:name w:val="TEL1"/>
    <w:basedOn w:val="1"/>
    <w:qFormat/>
    <w:uiPriority w:val="0"/>
    <w:pPr>
      <w:widowControl w:val="0"/>
      <w:tabs>
        <w:tab w:val="left" w:pos="680"/>
      </w:tabs>
      <w:kinsoku w:val="0"/>
      <w:wordWrap w:val="0"/>
      <w:overflowPunct w:val="0"/>
      <w:autoSpaceDE w:val="0"/>
      <w:autoSpaceDN w:val="0"/>
      <w:adjustRightInd w:val="0"/>
      <w:spacing w:before="120" w:after="360" w:line="240" w:lineRule="atLeast"/>
      <w:ind w:left="680" w:hanging="680"/>
      <w:jc w:val="left"/>
      <w:textAlignment w:val="baseline"/>
    </w:pPr>
    <w:rPr>
      <w:rFonts w:ascii="Arial" w:hAnsi="Arial" w:eastAsia="幼圆"/>
      <w:kern w:val="30"/>
      <w:sz w:val="21"/>
      <w:szCs w:val="20"/>
    </w:rPr>
  </w:style>
  <w:style w:type="paragraph" w:customStyle="1" w:styleId="2449">
    <w:name w:val="表格名称2"/>
    <w:basedOn w:val="22"/>
    <w:semiHidden/>
    <w:qFormat/>
    <w:uiPriority w:val="0"/>
    <w:pPr>
      <w:widowControl w:val="0"/>
    </w:pPr>
    <w:rPr>
      <w:rFonts w:ascii="Times New Roman" w:hAnsi="Times New Roman" w:eastAsia="宋体"/>
      <w:kern w:val="2"/>
      <w:sz w:val="21"/>
    </w:rPr>
  </w:style>
  <w:style w:type="paragraph" w:customStyle="1" w:styleId="2450">
    <w:name w:val="初设正文"/>
    <w:basedOn w:val="1"/>
    <w:qFormat/>
    <w:uiPriority w:val="0"/>
    <w:pPr>
      <w:widowControl w:val="0"/>
      <w:spacing w:after="120" w:line="440" w:lineRule="exact"/>
      <w:ind w:left="425" w:firstLine="425"/>
    </w:pPr>
    <w:rPr>
      <w:rFonts w:ascii="Arial" w:hAnsi="Arial" w:eastAsia="宋体"/>
      <w:kern w:val="0"/>
      <w:szCs w:val="20"/>
    </w:rPr>
  </w:style>
  <w:style w:type="paragraph" w:customStyle="1" w:styleId="2451">
    <w:name w:val="正文25磅"/>
    <w:basedOn w:val="1"/>
    <w:semiHidden/>
    <w:qFormat/>
    <w:uiPriority w:val="0"/>
    <w:pPr>
      <w:widowControl w:val="0"/>
      <w:spacing w:line="500" w:lineRule="exact"/>
      <w:ind w:firstLine="200" w:firstLineChars="200"/>
    </w:pPr>
    <w:rPr>
      <w:rFonts w:eastAsia="宋体"/>
      <w:sz w:val="28"/>
      <w:szCs w:val="20"/>
    </w:rPr>
  </w:style>
  <w:style w:type="paragraph" w:customStyle="1" w:styleId="2452">
    <w:name w:val="图片格式"/>
    <w:basedOn w:val="1"/>
    <w:next w:val="1"/>
    <w:qFormat/>
    <w:uiPriority w:val="0"/>
    <w:pPr>
      <w:widowControl w:val="0"/>
      <w:spacing w:line="240" w:lineRule="auto"/>
      <w:jc w:val="center"/>
    </w:pPr>
    <w:rPr>
      <w:rFonts w:eastAsia="宋体" w:cs="宋体"/>
      <w:szCs w:val="20"/>
    </w:rPr>
  </w:style>
  <w:style w:type="paragraph" w:customStyle="1" w:styleId="2453">
    <w:name w:val="段落1"/>
    <w:basedOn w:val="1"/>
    <w:qFormat/>
    <w:uiPriority w:val="0"/>
    <w:pPr>
      <w:widowControl w:val="0"/>
      <w:adjustRightInd w:val="0"/>
      <w:spacing w:line="440" w:lineRule="exact"/>
      <w:ind w:firstLine="510"/>
      <w:textAlignment w:val="baseline"/>
    </w:pPr>
    <w:rPr>
      <w:rFonts w:eastAsia="仿宋_GB2312"/>
      <w:spacing w:val="4"/>
      <w:kern w:val="0"/>
      <w:sz w:val="28"/>
      <w:szCs w:val="20"/>
    </w:rPr>
  </w:style>
  <w:style w:type="paragraph" w:customStyle="1" w:styleId="2454">
    <w:name w:val="表格03"/>
    <w:basedOn w:val="1"/>
    <w:qFormat/>
    <w:uiPriority w:val="0"/>
    <w:pPr>
      <w:widowControl w:val="0"/>
      <w:spacing w:line="400" w:lineRule="exact"/>
      <w:jc w:val="center"/>
    </w:pPr>
    <w:rPr>
      <w:rFonts w:eastAsia="宋体"/>
      <w:sz w:val="21"/>
      <w:szCs w:val="21"/>
    </w:rPr>
  </w:style>
  <w:style w:type="paragraph" w:customStyle="1" w:styleId="2455">
    <w:name w:val="样式111"/>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2456">
    <w:name w:val="表格下方正文"/>
    <w:basedOn w:val="1"/>
    <w:qFormat/>
    <w:uiPriority w:val="0"/>
    <w:pPr>
      <w:widowControl w:val="0"/>
      <w:spacing w:before="300" w:line="460" w:lineRule="exact"/>
      <w:ind w:firstLine="200" w:firstLineChars="200"/>
    </w:pPr>
    <w:rPr>
      <w:rFonts w:eastAsia="宋体"/>
      <w:szCs w:val="20"/>
    </w:rPr>
  </w:style>
  <w:style w:type="paragraph" w:customStyle="1" w:styleId="2457">
    <w:name w:val="标题 3 + 宋体"/>
    <w:basedOn w:val="5"/>
    <w:qFormat/>
    <w:uiPriority w:val="0"/>
    <w:pPr>
      <w:keepNext w:val="0"/>
      <w:keepLines w:val="0"/>
      <w:widowControl w:val="0"/>
      <w:tabs>
        <w:tab w:val="left" w:pos="709"/>
        <w:tab w:val="left" w:pos="1740"/>
      </w:tabs>
      <w:spacing w:before="0" w:after="0" w:line="360" w:lineRule="auto"/>
      <w:ind w:left="1740" w:hanging="420"/>
      <w:jc w:val="left"/>
    </w:pPr>
    <w:rPr>
      <w:rFonts w:ascii="Arial" w:hAnsi="Arial" w:eastAsia="宋体"/>
      <w:b w:val="0"/>
      <w:bCs w:val="0"/>
      <w:sz w:val="24"/>
      <w:szCs w:val="28"/>
    </w:rPr>
  </w:style>
  <w:style w:type="paragraph" w:customStyle="1" w:styleId="2458">
    <w:name w:val="标题A"/>
    <w:basedOn w:val="1"/>
    <w:qFormat/>
    <w:uiPriority w:val="0"/>
    <w:pPr>
      <w:widowControl w:val="0"/>
      <w:autoSpaceDE w:val="0"/>
      <w:autoSpaceDN w:val="0"/>
      <w:adjustRightInd w:val="0"/>
      <w:spacing w:afterLines="50" w:line="240" w:lineRule="auto"/>
      <w:jc w:val="center"/>
    </w:pPr>
    <w:rPr>
      <w:rFonts w:ascii="仿宋_GB2312" w:eastAsia="仿宋_GB2312"/>
      <w:b/>
      <w:bCs/>
      <w:kern w:val="0"/>
      <w:sz w:val="44"/>
      <w:szCs w:val="44"/>
    </w:rPr>
  </w:style>
  <w:style w:type="paragraph" w:customStyle="1" w:styleId="2459">
    <w:name w:val="样式 标题 1一、 + (中文) 仿宋_GB2312 段前: 6 磅"/>
    <w:basedOn w:val="3"/>
    <w:semiHidden/>
    <w:qFormat/>
    <w:uiPriority w:val="0"/>
    <w:pPr>
      <w:widowControl w:val="0"/>
      <w:tabs>
        <w:tab w:val="left" w:pos="432"/>
        <w:tab w:val="left" w:pos="845"/>
      </w:tabs>
      <w:adjustRightInd w:val="0"/>
      <w:snapToGrid w:val="0"/>
      <w:spacing w:before="240" w:after="240" w:line="240" w:lineRule="auto"/>
      <w:ind w:left="845" w:hanging="420"/>
    </w:pPr>
    <w:rPr>
      <w:rFonts w:eastAsia="仿宋_GB2312"/>
      <w:bCs w:val="0"/>
      <w:sz w:val="36"/>
      <w:szCs w:val="20"/>
    </w:rPr>
  </w:style>
  <w:style w:type="paragraph" w:customStyle="1" w:styleId="2460">
    <w:name w:val="标题F"/>
    <w:basedOn w:val="1"/>
    <w:qFormat/>
    <w:uiPriority w:val="0"/>
    <w:pPr>
      <w:widowControl w:val="0"/>
      <w:spacing w:line="240" w:lineRule="auto"/>
    </w:pPr>
    <w:rPr>
      <w:rFonts w:eastAsia="宋体"/>
      <w:sz w:val="21"/>
      <w:szCs w:val="24"/>
    </w:rPr>
  </w:style>
  <w:style w:type="paragraph" w:customStyle="1" w:styleId="2461">
    <w:name w:val="签名表"/>
    <w:basedOn w:val="1"/>
    <w:qFormat/>
    <w:uiPriority w:val="0"/>
    <w:pPr>
      <w:widowControl w:val="0"/>
      <w:spacing w:line="240" w:lineRule="auto"/>
    </w:pPr>
    <w:rPr>
      <w:rFonts w:eastAsia="宋体"/>
      <w:sz w:val="21"/>
      <w:szCs w:val="24"/>
    </w:rPr>
  </w:style>
  <w:style w:type="paragraph" w:customStyle="1" w:styleId="2462">
    <w:name w:val="附件"/>
    <w:basedOn w:val="1866"/>
    <w:qFormat/>
    <w:uiPriority w:val="0"/>
    <w:pPr>
      <w:tabs>
        <w:tab w:val="clear" w:pos="0"/>
      </w:tabs>
      <w:adjustRightInd/>
      <w:snapToGrid/>
      <w:spacing w:line="240" w:lineRule="auto"/>
      <w:ind w:firstLine="0" w:firstLineChars="0"/>
      <w:textAlignment w:val="auto"/>
    </w:pPr>
    <w:rPr>
      <w:snapToGrid/>
      <w:kern w:val="2"/>
      <w:sz w:val="21"/>
      <w:szCs w:val="24"/>
    </w:rPr>
  </w:style>
  <w:style w:type="paragraph" w:customStyle="1" w:styleId="2463">
    <w:name w:val="标题 31"/>
    <w:basedOn w:val="1"/>
    <w:next w:val="1"/>
    <w:qFormat/>
    <w:uiPriority w:val="0"/>
    <w:pPr>
      <w:keepNext/>
      <w:keepLines/>
      <w:widowControl w:val="0"/>
      <w:tabs>
        <w:tab w:val="left" w:pos="720"/>
      </w:tabs>
      <w:spacing w:before="260" w:after="260" w:line="416" w:lineRule="auto"/>
      <w:ind w:left="720" w:hanging="720"/>
    </w:pPr>
    <w:rPr>
      <w:rFonts w:eastAsia="宋体"/>
      <w:b/>
      <w:bCs/>
      <w:sz w:val="32"/>
      <w:szCs w:val="32"/>
    </w:rPr>
  </w:style>
  <w:style w:type="paragraph" w:customStyle="1" w:styleId="2464">
    <w:name w:val="新标题4"/>
    <w:basedOn w:val="6"/>
    <w:next w:val="1"/>
    <w:semiHidden/>
    <w:qFormat/>
    <w:uiPriority w:val="0"/>
    <w:pPr>
      <w:tabs>
        <w:tab w:val="left" w:pos="864"/>
      </w:tabs>
      <w:snapToGrid w:val="0"/>
      <w:spacing w:line="360" w:lineRule="auto"/>
      <w:ind w:left="864" w:hanging="864"/>
    </w:pPr>
    <w:rPr>
      <w:rFonts w:eastAsia="宋体" w:cs="Times New Roman"/>
      <w:b/>
    </w:rPr>
  </w:style>
  <w:style w:type="paragraph" w:customStyle="1" w:styleId="2465">
    <w:name w:val="ee"/>
    <w:basedOn w:val="1"/>
    <w:semiHidden/>
    <w:qFormat/>
    <w:uiPriority w:val="0"/>
    <w:pPr>
      <w:spacing w:before="100" w:beforeAutospacing="1" w:after="100" w:afterAutospacing="1" w:line="270" w:lineRule="atLeast"/>
      <w:jc w:val="left"/>
    </w:pPr>
    <w:rPr>
      <w:rFonts w:ascii="宋体" w:hAnsi="宋体" w:eastAsia="宋体" w:cs="宋体"/>
      <w:color w:val="000000"/>
      <w:kern w:val="0"/>
      <w:sz w:val="18"/>
      <w:szCs w:val="18"/>
    </w:rPr>
  </w:style>
  <w:style w:type="paragraph" w:customStyle="1" w:styleId="2466">
    <w:name w:val="修订11"/>
    <w:semiHidden/>
    <w:qFormat/>
    <w:uiPriority w:val="99"/>
    <w:rPr>
      <w:rFonts w:ascii="Times New Roman" w:hAnsi="Times New Roman" w:eastAsia="宋体" w:cs="Times New Roman"/>
      <w:kern w:val="24"/>
      <w:sz w:val="24"/>
      <w:szCs w:val="24"/>
      <w:lang w:val="en-US" w:eastAsia="zh-CN" w:bidi="ar-SA"/>
    </w:rPr>
  </w:style>
  <w:style w:type="paragraph" w:customStyle="1" w:styleId="2467">
    <w:name w:val="文本框内字"/>
    <w:qFormat/>
    <w:uiPriority w:val="99"/>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2468">
    <w:name w:val="Char Char3 Char Char Char Char Char Char Char Char Char Char"/>
    <w:basedOn w:val="1"/>
    <w:semiHidden/>
    <w:qFormat/>
    <w:uiPriority w:val="0"/>
    <w:pPr>
      <w:widowControl w:val="0"/>
      <w:tabs>
        <w:tab w:val="left" w:pos="432"/>
      </w:tabs>
      <w:spacing w:line="240" w:lineRule="auto"/>
      <w:ind w:left="810" w:firstLine="480"/>
    </w:pPr>
    <w:rPr>
      <w:rFonts w:eastAsia="宋体"/>
      <w:sz w:val="21"/>
      <w:szCs w:val="24"/>
    </w:rPr>
  </w:style>
  <w:style w:type="paragraph" w:customStyle="1" w:styleId="2469">
    <w:name w:val="编号（缩进）"/>
    <w:basedOn w:val="211"/>
    <w:qFormat/>
    <w:uiPriority w:val="0"/>
    <w:pPr>
      <w:widowControl w:val="0"/>
    </w:pPr>
    <w:rPr>
      <w:rFonts w:ascii="Times New Roman" w:hAnsi="Times New Roman" w:cs="Times New Roman"/>
      <w:sz w:val="24"/>
      <w:szCs w:val="24"/>
    </w:rPr>
  </w:style>
  <w:style w:type="paragraph" w:customStyle="1" w:styleId="2470">
    <w:name w:val="Revision3"/>
    <w:semiHidden/>
    <w:qFormat/>
    <w:uiPriority w:val="0"/>
    <w:rPr>
      <w:rFonts w:ascii="Times New Roman" w:hAnsi="Times New Roman" w:eastAsia="宋体" w:cs="Times New Roman"/>
      <w:snapToGrid w:val="0"/>
      <w:kern w:val="24"/>
      <w:sz w:val="24"/>
      <w:szCs w:val="24"/>
      <w:lang w:val="en-US" w:eastAsia="zh-CN" w:bidi="ar-SA"/>
    </w:rPr>
  </w:style>
  <w:style w:type="paragraph" w:customStyle="1" w:styleId="2471">
    <w:name w:val="项目四级编号"/>
    <w:basedOn w:val="6"/>
    <w:qFormat/>
    <w:uiPriority w:val="0"/>
    <w:pPr>
      <w:tabs>
        <w:tab w:val="left" w:pos="851"/>
        <w:tab w:val="left" w:pos="960"/>
        <w:tab w:val="left" w:pos="1440"/>
      </w:tabs>
      <w:spacing w:line="360" w:lineRule="auto"/>
      <w:ind w:left="851" w:hanging="851" w:firstLineChars="200"/>
    </w:pPr>
    <w:rPr>
      <w:rFonts w:eastAsia="宋体" w:cs="Times New Roman"/>
      <w:szCs w:val="24"/>
    </w:rPr>
  </w:style>
  <w:style w:type="paragraph" w:customStyle="1" w:styleId="2472">
    <w:name w:val="小标题2"/>
    <w:basedOn w:val="1"/>
    <w:qFormat/>
    <w:uiPriority w:val="0"/>
    <w:pPr>
      <w:widowControl w:val="0"/>
      <w:tabs>
        <w:tab w:val="left" w:pos="5400"/>
      </w:tabs>
      <w:overflowPunct w:val="0"/>
      <w:spacing w:line="336" w:lineRule="auto"/>
      <w:ind w:firstLine="480" w:firstLineChars="200"/>
    </w:pPr>
    <w:rPr>
      <w:rFonts w:eastAsia="宋体"/>
      <w:szCs w:val="24"/>
    </w:rPr>
  </w:style>
  <w:style w:type="paragraph" w:customStyle="1" w:styleId="2473">
    <w:name w:val="样式 标题 3 + (西文) Times New Roman (中文) 宋体 小四 左 段前: 12 磅 段后: 2 ..."/>
    <w:basedOn w:val="5"/>
    <w:qFormat/>
    <w:uiPriority w:val="0"/>
    <w:pPr>
      <w:keepNext w:val="0"/>
      <w:widowControl w:val="0"/>
      <w:tabs>
        <w:tab w:val="left" w:pos="0"/>
      </w:tabs>
      <w:adjustRightInd w:val="0"/>
      <w:snapToGrid w:val="0"/>
      <w:spacing w:before="0" w:after="0" w:line="360" w:lineRule="auto"/>
      <w:ind w:firstLine="468" w:firstLineChars="195"/>
      <w:jc w:val="left"/>
      <w:textAlignment w:val="baseline"/>
    </w:pPr>
    <w:rPr>
      <w:rFonts w:ascii="宋体" w:hAnsi="宋体" w:eastAsia="宋体" w:cs="宋体"/>
      <w:b w:val="0"/>
      <w:kern w:val="0"/>
      <w:sz w:val="24"/>
      <w:szCs w:val="24"/>
    </w:rPr>
  </w:style>
  <w:style w:type="paragraph" w:customStyle="1" w:styleId="2474">
    <w:name w:val="项目三级编号"/>
    <w:basedOn w:val="5"/>
    <w:next w:val="1"/>
    <w:qFormat/>
    <w:uiPriority w:val="0"/>
    <w:pPr>
      <w:widowControl w:val="0"/>
      <w:tabs>
        <w:tab w:val="left" w:pos="851"/>
        <w:tab w:val="left" w:pos="1800"/>
      </w:tabs>
      <w:spacing w:before="0" w:after="0" w:line="360" w:lineRule="auto"/>
      <w:ind w:left="1800" w:hanging="420"/>
      <w:jc w:val="left"/>
    </w:pPr>
    <w:rPr>
      <w:rFonts w:eastAsia="宋体"/>
      <w:b w:val="0"/>
      <w:kern w:val="44"/>
      <w:sz w:val="24"/>
      <w:szCs w:val="24"/>
    </w:rPr>
  </w:style>
  <w:style w:type="paragraph" w:customStyle="1" w:styleId="2475">
    <w:name w:val="字元 字元2"/>
    <w:basedOn w:val="1"/>
    <w:qFormat/>
    <w:uiPriority w:val="0"/>
    <w:pPr>
      <w:widowControl w:val="0"/>
      <w:spacing w:line="240" w:lineRule="auto"/>
    </w:pPr>
    <w:rPr>
      <w:rFonts w:eastAsia="宋体"/>
      <w:szCs w:val="24"/>
    </w:rPr>
  </w:style>
  <w:style w:type="paragraph" w:customStyle="1" w:styleId="2476">
    <w:name w:val="样式 表格内容 + (中文) 宋体 居中"/>
    <w:basedOn w:val="1"/>
    <w:qFormat/>
    <w:uiPriority w:val="0"/>
    <w:pPr>
      <w:widowControl w:val="0"/>
      <w:overflowPunct w:val="0"/>
      <w:adjustRightInd w:val="0"/>
      <w:snapToGrid w:val="0"/>
      <w:spacing w:after="120" w:line="440" w:lineRule="exact"/>
      <w:jc w:val="center"/>
      <w:textAlignment w:val="baseline"/>
    </w:pPr>
    <w:rPr>
      <w:rFonts w:ascii="Arial" w:hAnsi="Arial" w:eastAsia="宋体"/>
      <w:kern w:val="0"/>
      <w:sz w:val="21"/>
      <w:szCs w:val="21"/>
    </w:rPr>
  </w:style>
  <w:style w:type="paragraph" w:customStyle="1" w:styleId="2477">
    <w:name w:val="articlecontent"/>
    <w:basedOn w:val="1"/>
    <w:qFormat/>
    <w:uiPriority w:val="0"/>
    <w:pPr>
      <w:spacing w:line="432" w:lineRule="auto"/>
      <w:jc w:val="left"/>
    </w:pPr>
    <w:rPr>
      <w:rFonts w:ascii="宋体" w:hAnsi="宋体" w:eastAsia="宋体" w:cs="宋体"/>
      <w:kern w:val="0"/>
      <w:sz w:val="21"/>
      <w:szCs w:val="21"/>
    </w:rPr>
  </w:style>
  <w:style w:type="paragraph" w:customStyle="1" w:styleId="2478">
    <w:name w:val="BIG BOLD"/>
    <w:basedOn w:val="1"/>
    <w:qFormat/>
    <w:uiPriority w:val="0"/>
    <w:pPr>
      <w:widowControl w:val="0"/>
      <w:tabs>
        <w:tab w:val="left" w:leader="underscore" w:pos="1134"/>
      </w:tabs>
      <w:spacing w:line="240" w:lineRule="auto"/>
    </w:pPr>
    <w:rPr>
      <w:rFonts w:eastAsia="宋体"/>
      <w:sz w:val="21"/>
      <w:szCs w:val="20"/>
    </w:rPr>
  </w:style>
  <w:style w:type="paragraph" w:customStyle="1" w:styleId="2479">
    <w:name w:val="文-7"/>
    <w:basedOn w:val="2314"/>
    <w:qFormat/>
    <w:uiPriority w:val="0"/>
  </w:style>
  <w:style w:type="paragraph" w:customStyle="1" w:styleId="2480">
    <w:name w:val="In Table"/>
    <w:basedOn w:val="1"/>
    <w:qFormat/>
    <w:uiPriority w:val="0"/>
    <w:pPr>
      <w:widowControl w:val="0"/>
      <w:tabs>
        <w:tab w:val="left" w:pos="2200"/>
        <w:tab w:val="left" w:pos="3960"/>
        <w:tab w:val="left" w:pos="5280"/>
      </w:tabs>
      <w:spacing w:before="96" w:after="96" w:line="0" w:lineRule="atLeast"/>
      <w:jc w:val="center"/>
    </w:pPr>
    <w:rPr>
      <w:rFonts w:ascii="Tahoma" w:hAnsi="Tahoma" w:eastAsia="华文中宋"/>
      <w:sz w:val="21"/>
      <w:szCs w:val="20"/>
    </w:rPr>
  </w:style>
  <w:style w:type="paragraph" w:customStyle="1" w:styleId="2481">
    <w:name w:val="样式 正文 + 左侧:  0 厘米 悬挂缩进: 2 字符"/>
    <w:basedOn w:val="1"/>
    <w:qFormat/>
    <w:uiPriority w:val="0"/>
    <w:pPr>
      <w:spacing w:after="120" w:line="440" w:lineRule="exact"/>
      <w:ind w:left="851" w:firstLine="200" w:firstLineChars="200"/>
      <w:jc w:val="left"/>
    </w:pPr>
    <w:rPr>
      <w:rFonts w:ascii="Arial" w:hAnsi="Arial" w:eastAsia="宋体"/>
      <w:kern w:val="0"/>
      <w:szCs w:val="24"/>
    </w:rPr>
  </w:style>
  <w:style w:type="paragraph" w:customStyle="1" w:styleId="2482">
    <w:name w:val="修订23"/>
    <w:semiHidden/>
    <w:qFormat/>
    <w:uiPriority w:val="99"/>
    <w:rPr>
      <w:rFonts w:ascii="Times New Roman" w:hAnsi="Times New Roman" w:eastAsia="宋体" w:cs="Times New Roman"/>
      <w:snapToGrid w:val="0"/>
      <w:kern w:val="24"/>
      <w:sz w:val="24"/>
      <w:szCs w:val="24"/>
      <w:lang w:val="en-US" w:eastAsia="zh-CN" w:bidi="ar-SA"/>
    </w:rPr>
  </w:style>
  <w:style w:type="paragraph" w:customStyle="1" w:styleId="2483">
    <w:name w:val="样式 标题 4 + 黑体 黑色"/>
    <w:basedOn w:val="6"/>
    <w:qFormat/>
    <w:uiPriority w:val="0"/>
    <w:pPr>
      <w:keepNext w:val="0"/>
      <w:keepLines w:val="0"/>
      <w:tabs>
        <w:tab w:val="left" w:pos="864"/>
      </w:tabs>
      <w:adjustRightInd w:val="0"/>
      <w:snapToGrid w:val="0"/>
      <w:spacing w:line="520" w:lineRule="exact"/>
      <w:ind w:left="864" w:hanging="864" w:firstLineChars="200"/>
      <w:jc w:val="left"/>
    </w:pPr>
    <w:rPr>
      <w:rFonts w:ascii="黑体" w:hAnsi="黑体" w:eastAsia="仿宋_GB2312" w:cs="Times New Roman"/>
      <w:b/>
      <w:bCs w:val="0"/>
      <w:color w:val="000000"/>
      <w:kern w:val="24"/>
      <w:szCs w:val="20"/>
    </w:rPr>
  </w:style>
  <w:style w:type="paragraph" w:customStyle="1" w:styleId="2484">
    <w:name w:val="Normal Indent7"/>
    <w:basedOn w:val="1"/>
    <w:qFormat/>
    <w:uiPriority w:val="0"/>
    <w:pPr>
      <w:widowControl w:val="0"/>
      <w:spacing w:line="240" w:lineRule="auto"/>
      <w:ind w:firstLine="420" w:firstLineChars="200"/>
    </w:pPr>
    <w:rPr>
      <w:rFonts w:hint="eastAsia" w:eastAsia="宋体"/>
      <w:sz w:val="21"/>
      <w:szCs w:val="24"/>
    </w:rPr>
  </w:style>
  <w:style w:type="paragraph" w:customStyle="1" w:styleId="2485">
    <w:name w:val="Normal Indent8"/>
    <w:basedOn w:val="1"/>
    <w:semiHidden/>
    <w:qFormat/>
    <w:uiPriority w:val="0"/>
    <w:pPr>
      <w:widowControl w:val="0"/>
      <w:spacing w:line="240" w:lineRule="auto"/>
      <w:ind w:firstLine="420" w:firstLineChars="200"/>
    </w:pPr>
    <w:rPr>
      <w:rFonts w:hint="eastAsia" w:eastAsia="宋体"/>
      <w:sz w:val="21"/>
      <w:szCs w:val="24"/>
    </w:rPr>
  </w:style>
  <w:style w:type="paragraph" w:customStyle="1" w:styleId="2486">
    <w:name w:val="List Paragraph2"/>
    <w:basedOn w:val="1"/>
    <w:semiHidden/>
    <w:qFormat/>
    <w:uiPriority w:val="0"/>
    <w:pPr>
      <w:spacing w:after="200" w:line="276" w:lineRule="auto"/>
      <w:ind w:left="720"/>
      <w:contextualSpacing/>
      <w:jc w:val="left"/>
    </w:pPr>
    <w:rPr>
      <w:rFonts w:ascii="Calibri" w:hAnsi="Calibri" w:eastAsia="宋体" w:cs="Arial"/>
      <w:kern w:val="0"/>
      <w:sz w:val="22"/>
    </w:rPr>
  </w:style>
  <w:style w:type="paragraph" w:customStyle="1" w:styleId="2487">
    <w:name w:val="表格文字0"/>
    <w:basedOn w:val="36"/>
    <w:qFormat/>
    <w:uiPriority w:val="0"/>
    <w:pPr>
      <w:widowControl w:val="0"/>
      <w:spacing w:after="0"/>
      <w:ind w:left="0" w:leftChars="0"/>
    </w:pPr>
    <w:rPr>
      <w:rFonts w:eastAsia="仿宋_GB2312"/>
    </w:rPr>
  </w:style>
  <w:style w:type="paragraph" w:customStyle="1" w:styleId="2488">
    <w:name w:val="文本框内小字"/>
    <w:basedOn w:val="1"/>
    <w:semiHidden/>
    <w:qFormat/>
    <w:uiPriority w:val="0"/>
    <w:pPr>
      <w:widowControl w:val="0"/>
      <w:adjustRightInd w:val="0"/>
      <w:snapToGrid w:val="0"/>
      <w:spacing w:line="240" w:lineRule="auto"/>
      <w:ind w:firstLine="200" w:firstLineChars="200"/>
      <w:jc w:val="center"/>
    </w:pPr>
    <w:rPr>
      <w:rFonts w:eastAsia="宋体"/>
      <w:snapToGrid w:val="0"/>
      <w:kern w:val="24"/>
      <w:sz w:val="18"/>
      <w:szCs w:val="21"/>
    </w:rPr>
  </w:style>
  <w:style w:type="paragraph" w:customStyle="1" w:styleId="2489">
    <w:name w:val="样式 标题 2 + 段前: 0 磅"/>
    <w:basedOn w:val="4"/>
    <w:semiHidden/>
    <w:qFormat/>
    <w:uiPriority w:val="0"/>
    <w:pPr>
      <w:widowControl w:val="0"/>
      <w:spacing w:before="0" w:after="120" w:line="520" w:lineRule="exact"/>
      <w:jc w:val="left"/>
    </w:pPr>
    <w:rPr>
      <w:rFonts w:ascii="Arial" w:hAnsi="Arial" w:eastAsia="宋体"/>
      <w:bCs w:val="0"/>
      <w:color w:val="000000"/>
      <w:sz w:val="24"/>
      <w:szCs w:val="24"/>
    </w:rPr>
  </w:style>
  <w:style w:type="paragraph" w:customStyle="1" w:styleId="2490">
    <w:name w:val="环保局规定标题3级"/>
    <w:basedOn w:val="5"/>
    <w:semiHidden/>
    <w:qFormat/>
    <w:uiPriority w:val="0"/>
    <w:pPr>
      <w:tabs>
        <w:tab w:val="left" w:pos="1800"/>
      </w:tabs>
      <w:adjustRightInd w:val="0"/>
      <w:snapToGrid w:val="0"/>
      <w:spacing w:before="0" w:after="0" w:line="360" w:lineRule="auto"/>
      <w:ind w:firstLine="200" w:firstLineChars="200"/>
      <w:jc w:val="left"/>
    </w:pPr>
    <w:rPr>
      <w:rFonts w:hAnsi="宋体" w:eastAsia="宋体" w:cs="宋体"/>
      <w:bCs w:val="0"/>
      <w:snapToGrid w:val="0"/>
      <w:kern w:val="24"/>
      <w:sz w:val="24"/>
      <w:szCs w:val="24"/>
    </w:rPr>
  </w:style>
  <w:style w:type="paragraph" w:customStyle="1" w:styleId="2491">
    <w:name w:val="环保正文5"/>
    <w:basedOn w:val="1837"/>
    <w:semiHidden/>
    <w:qFormat/>
    <w:uiPriority w:val="0"/>
    <w:pPr>
      <w:spacing w:before="0"/>
      <w:ind w:firstLine="480"/>
    </w:pPr>
    <w:rPr>
      <w:rFonts w:ascii="宋体" w:hAnsi="宋体" w:eastAsia="宋体" w:cs="宋体"/>
      <w:b w:val="0"/>
      <w:szCs w:val="20"/>
    </w:rPr>
  </w:style>
  <w:style w:type="paragraph" w:customStyle="1" w:styleId="2492">
    <w:name w:val="Plain Text10"/>
    <w:basedOn w:val="1"/>
    <w:semiHidden/>
    <w:qFormat/>
    <w:uiPriority w:val="0"/>
    <w:pPr>
      <w:widowControl w:val="0"/>
      <w:adjustRightInd w:val="0"/>
      <w:spacing w:line="240" w:lineRule="auto"/>
      <w:ind w:firstLine="200" w:firstLineChars="200"/>
    </w:pPr>
    <w:rPr>
      <w:rFonts w:ascii="宋体" w:hAnsi="Courier New" w:eastAsia="宋体"/>
      <w:sz w:val="21"/>
      <w:szCs w:val="24"/>
    </w:rPr>
  </w:style>
  <w:style w:type="paragraph" w:customStyle="1" w:styleId="2493">
    <w:name w:val="竹本油脂图 带文本框文字"/>
    <w:qFormat/>
    <w:uiPriority w:val="99"/>
    <w:pPr>
      <w:adjustRightInd w:val="0"/>
      <w:snapToGrid w:val="0"/>
      <w:jc w:val="center"/>
    </w:pPr>
    <w:rPr>
      <w:rFonts w:ascii="Times New Roman" w:hAnsi="Times New Roman" w:eastAsia="宋体" w:cs="Times New Roman"/>
      <w:snapToGrid w:val="0"/>
      <w:kern w:val="21"/>
      <w:sz w:val="21"/>
      <w:szCs w:val="21"/>
      <w:lang w:val="en-US" w:eastAsia="zh-CN" w:bidi="ar-SA"/>
    </w:rPr>
  </w:style>
  <w:style w:type="paragraph" w:customStyle="1" w:styleId="2494">
    <w:name w:val="表样式1"/>
    <w:basedOn w:val="1"/>
    <w:qFormat/>
    <w:uiPriority w:val="99"/>
    <w:pPr>
      <w:widowControl w:val="0"/>
      <w:spacing w:line="400" w:lineRule="exact"/>
      <w:ind w:left="-67" w:leftChars="-32"/>
      <w:jc w:val="center"/>
    </w:pPr>
    <w:rPr>
      <w:rFonts w:ascii="宋体" w:hAnsi="宋体" w:eastAsia="宋体"/>
      <w:color w:val="000000"/>
      <w:sz w:val="21"/>
      <w:szCs w:val="20"/>
    </w:rPr>
  </w:style>
  <w:style w:type="paragraph" w:customStyle="1" w:styleId="2495">
    <w:name w:val="样式 正文首行缩进 + 首行缩进:  1 字符"/>
    <w:basedOn w:val="87"/>
    <w:qFormat/>
    <w:uiPriority w:val="99"/>
    <w:pPr>
      <w:widowControl w:val="0"/>
      <w:spacing w:before="60" w:beforeAutospacing="0" w:line="300" w:lineRule="auto"/>
      <w:ind w:firstLine="480" w:firstLineChars="200"/>
    </w:pPr>
    <w:rPr>
      <w:color w:val="000000"/>
      <w:sz w:val="24"/>
      <w:szCs w:val="24"/>
    </w:rPr>
  </w:style>
  <w:style w:type="paragraph" w:customStyle="1" w:styleId="2496">
    <w:name w:val="附录五级条标题"/>
    <w:basedOn w:val="1"/>
    <w:next w:val="1"/>
    <w:qFormat/>
    <w:uiPriority w:val="99"/>
    <w:pPr>
      <w:tabs>
        <w:tab w:val="left" w:pos="435"/>
        <w:tab w:val="left" w:pos="825"/>
        <w:tab w:val="left" w:pos="960"/>
        <w:tab w:val="left" w:pos="1068"/>
        <w:tab w:val="left" w:pos="1680"/>
        <w:tab w:val="left" w:pos="1740"/>
        <w:tab w:val="left" w:pos="2100"/>
        <w:tab w:val="left" w:pos="2160"/>
        <w:tab w:val="left" w:pos="2520"/>
        <w:tab w:val="left" w:pos="2580"/>
        <w:tab w:val="left" w:pos="2940"/>
        <w:tab w:val="left" w:pos="3420"/>
      </w:tabs>
      <w:wordWrap w:val="0"/>
      <w:overflowPunct w:val="0"/>
      <w:autoSpaceDE w:val="0"/>
      <w:autoSpaceDN w:val="0"/>
      <w:spacing w:line="240" w:lineRule="auto"/>
      <w:ind w:left="435" w:hanging="165"/>
      <w:textAlignment w:val="baseline"/>
      <w:outlineLvl w:val="6"/>
    </w:pPr>
    <w:rPr>
      <w:rFonts w:ascii="黑体" w:eastAsia="黑体"/>
      <w:kern w:val="21"/>
      <w:sz w:val="21"/>
      <w:szCs w:val="20"/>
    </w:rPr>
  </w:style>
  <w:style w:type="paragraph" w:customStyle="1" w:styleId="2497">
    <w:name w:val="正文12"/>
    <w:basedOn w:val="1"/>
    <w:qFormat/>
    <w:uiPriority w:val="99"/>
    <w:pPr>
      <w:widowControl w:val="0"/>
      <w:adjustRightInd w:val="0"/>
      <w:snapToGrid w:val="0"/>
      <w:ind w:firstLine="200" w:firstLineChars="200"/>
      <w:jc w:val="center"/>
      <w:textAlignment w:val="baseline"/>
    </w:pPr>
    <w:rPr>
      <w:rFonts w:eastAsia="宋体"/>
      <w:snapToGrid w:val="0"/>
      <w:color w:val="000000"/>
      <w:kern w:val="21"/>
      <w:szCs w:val="21"/>
    </w:rPr>
  </w:style>
  <w:style w:type="paragraph" w:customStyle="1" w:styleId="2498">
    <w:name w:val="Heading4"/>
    <w:basedOn w:val="1"/>
    <w:qFormat/>
    <w:uiPriority w:val="99"/>
    <w:pPr>
      <w:overflowPunct w:val="0"/>
      <w:autoSpaceDE w:val="0"/>
      <w:autoSpaceDN w:val="0"/>
      <w:spacing w:after="240" w:line="264" w:lineRule="auto"/>
      <w:jc w:val="left"/>
      <w:textAlignment w:val="baseline"/>
    </w:pPr>
    <w:rPr>
      <w:rFonts w:ascii="Book Antiqua" w:hAnsi="Book Antiqua" w:eastAsia="宋体"/>
      <w:i/>
      <w:kern w:val="0"/>
      <w:sz w:val="22"/>
      <w:szCs w:val="20"/>
      <w:lang w:val="en-GB"/>
    </w:rPr>
  </w:style>
  <w:style w:type="paragraph" w:customStyle="1" w:styleId="2499">
    <w:name w:val="Char Char1 Char Char Char Char Char Char Char Char Char Char Char Char1 Char1"/>
    <w:basedOn w:val="1"/>
    <w:semiHidden/>
    <w:qFormat/>
    <w:uiPriority w:val="99"/>
    <w:pPr>
      <w:widowControl w:val="0"/>
      <w:tabs>
        <w:tab w:val="left" w:pos="794"/>
        <w:tab w:val="left" w:pos="1191"/>
        <w:tab w:val="left" w:pos="1588"/>
        <w:tab w:val="left" w:pos="1985"/>
      </w:tabs>
      <w:autoSpaceDE w:val="0"/>
      <w:autoSpaceDN w:val="0"/>
      <w:adjustRightInd w:val="0"/>
      <w:spacing w:before="136" w:line="240" w:lineRule="auto"/>
    </w:pPr>
    <w:rPr>
      <w:rFonts w:ascii="Tahoma" w:hAnsi="Tahoma" w:eastAsia="宋体"/>
      <w:szCs w:val="24"/>
      <w:lang w:val="en-GB"/>
    </w:rPr>
  </w:style>
  <w:style w:type="paragraph" w:customStyle="1" w:styleId="2500">
    <w:name w:val="Char Char31"/>
    <w:basedOn w:val="1"/>
    <w:semiHidden/>
    <w:qFormat/>
    <w:uiPriority w:val="99"/>
    <w:pPr>
      <w:widowControl w:val="0"/>
      <w:spacing w:line="240" w:lineRule="auto"/>
    </w:pPr>
    <w:rPr>
      <w:rFonts w:ascii="宋体" w:hAnsi="宋体" w:eastAsia="宋体" w:cs="宋体"/>
      <w:szCs w:val="24"/>
    </w:rPr>
  </w:style>
  <w:style w:type="paragraph" w:customStyle="1" w:styleId="2501">
    <w:name w:val="Char Char6 Char Char"/>
    <w:basedOn w:val="1"/>
    <w:semiHidden/>
    <w:qFormat/>
    <w:uiPriority w:val="99"/>
    <w:pPr>
      <w:widowControl w:val="0"/>
      <w:spacing w:line="240" w:lineRule="auto"/>
    </w:pPr>
    <w:rPr>
      <w:rFonts w:ascii="宋体" w:hAnsi="宋体" w:eastAsia="宋体" w:cs="宋体"/>
    </w:rPr>
  </w:style>
  <w:style w:type="paragraph" w:customStyle="1" w:styleId="2502">
    <w:name w:val="内容摘要"/>
    <w:basedOn w:val="1"/>
    <w:qFormat/>
    <w:uiPriority w:val="99"/>
    <w:pPr>
      <w:widowControl w:val="0"/>
    </w:pPr>
    <w:rPr>
      <w:rFonts w:ascii="楷体_GB2312" w:eastAsia="楷体_GB2312"/>
      <w:bCs/>
      <w:kern w:val="0"/>
      <w:sz w:val="21"/>
    </w:rPr>
  </w:style>
  <w:style w:type="paragraph" w:customStyle="1" w:styleId="2503">
    <w:name w:val="aa"/>
    <w:basedOn w:val="1"/>
    <w:qFormat/>
    <w:uiPriority w:val="99"/>
    <w:rPr>
      <w:rFonts w:eastAsia="宋体"/>
      <w:kern w:val="0"/>
    </w:rPr>
  </w:style>
  <w:style w:type="paragraph" w:customStyle="1" w:styleId="2504">
    <w:name w:val="Char Char210"/>
    <w:basedOn w:val="1"/>
    <w:qFormat/>
    <w:uiPriority w:val="99"/>
    <w:pPr>
      <w:widowControl w:val="0"/>
      <w:textAlignment w:val="baseline"/>
    </w:pPr>
    <w:rPr>
      <w:rFonts w:eastAsia="宋体"/>
      <w:kern w:val="0"/>
      <w:szCs w:val="20"/>
    </w:rPr>
  </w:style>
  <w:style w:type="paragraph" w:customStyle="1" w:styleId="2505">
    <w:name w:val="Graphics Text"/>
    <w:basedOn w:val="1"/>
    <w:qFormat/>
    <w:uiPriority w:val="99"/>
    <w:pPr>
      <w:overflowPunct w:val="0"/>
      <w:autoSpaceDE w:val="0"/>
      <w:autoSpaceDN w:val="0"/>
      <w:spacing w:line="264" w:lineRule="auto"/>
      <w:jc w:val="left"/>
      <w:textAlignment w:val="baseline"/>
    </w:pPr>
    <w:rPr>
      <w:rFonts w:ascii="Arial Narrow" w:hAnsi="Arial Narrow" w:eastAsia="宋体"/>
      <w:kern w:val="0"/>
      <w:sz w:val="18"/>
      <w:szCs w:val="20"/>
      <w:lang w:val="en-GB"/>
    </w:rPr>
  </w:style>
  <w:style w:type="paragraph" w:customStyle="1" w:styleId="2506">
    <w:name w:val="报告标题10.1"/>
    <w:basedOn w:val="4"/>
    <w:qFormat/>
    <w:uiPriority w:val="99"/>
    <w:pPr>
      <w:keepNext w:val="0"/>
      <w:keepLines w:val="0"/>
      <w:widowControl w:val="0"/>
      <w:tabs>
        <w:tab w:val="left" w:pos="0"/>
      </w:tabs>
      <w:spacing w:before="0" w:after="0" w:line="240" w:lineRule="auto"/>
    </w:pPr>
    <w:rPr>
      <w:rFonts w:ascii="Times New Roman" w:hAnsi="Times New Roman" w:eastAsia="黑体"/>
      <w:bCs w:val="0"/>
      <w:szCs w:val="20"/>
    </w:rPr>
  </w:style>
  <w:style w:type="paragraph" w:customStyle="1" w:styleId="2507">
    <w:name w:val="表名1"/>
    <w:basedOn w:val="1747"/>
    <w:qFormat/>
    <w:uiPriority w:val="99"/>
    <w:pPr>
      <w:overflowPunct/>
      <w:autoSpaceDE/>
      <w:autoSpaceDN/>
      <w:adjustRightInd/>
      <w:spacing w:beforeLines="0" w:afterLines="0" w:line="480" w:lineRule="exact"/>
      <w:ind w:right="0" w:rightChars="0" w:firstLine="0" w:firstLineChars="0"/>
      <w:jc w:val="center"/>
      <w:textAlignment w:val="baseline"/>
    </w:pPr>
    <w:rPr>
      <w:rFonts w:ascii="宋体"/>
      <w:b/>
    </w:rPr>
  </w:style>
  <w:style w:type="paragraph" w:customStyle="1" w:styleId="2508">
    <w:name w:val="xl180"/>
    <w:basedOn w:val="1"/>
    <w:qFormat/>
    <w:uiPriority w:val="99"/>
    <w:pPr>
      <w:pBdr>
        <w:left w:val="single" w:color="auto" w:sz="4" w:space="0"/>
        <w:right w:val="single" w:color="auto" w:sz="4" w:space="0"/>
      </w:pBdr>
      <w:shd w:val="clear" w:color="000000" w:fill="FCD5B4"/>
      <w:spacing w:before="100" w:beforeAutospacing="1" w:after="100" w:afterAutospacing="1" w:line="240" w:lineRule="auto"/>
      <w:jc w:val="center"/>
    </w:pPr>
    <w:rPr>
      <w:rFonts w:ascii="宋体" w:hAnsi="宋体" w:eastAsia="宋体" w:cs="宋体"/>
      <w:kern w:val="0"/>
    </w:rPr>
  </w:style>
  <w:style w:type="paragraph" w:customStyle="1" w:styleId="2509">
    <w:name w:val="005表、图格式刷"/>
    <w:basedOn w:val="1"/>
    <w:qFormat/>
    <w:uiPriority w:val="99"/>
    <w:pPr>
      <w:widowControl w:val="0"/>
      <w:spacing w:line="240" w:lineRule="auto"/>
      <w:jc w:val="center"/>
    </w:pPr>
    <w:rPr>
      <w:rFonts w:eastAsia="Times New Roman"/>
      <w:b/>
      <w:kern w:val="0"/>
    </w:rPr>
  </w:style>
  <w:style w:type="paragraph" w:customStyle="1" w:styleId="2510">
    <w:name w:val="表边框"/>
    <w:basedOn w:val="1"/>
    <w:qFormat/>
    <w:uiPriority w:val="99"/>
    <w:pPr>
      <w:widowControl w:val="0"/>
      <w:spacing w:line="440" w:lineRule="exact"/>
      <w:jc w:val="center"/>
    </w:pPr>
    <w:rPr>
      <w:rFonts w:ascii="宋体" w:eastAsia="宋体"/>
      <w:b/>
      <w:kern w:val="0"/>
      <w:szCs w:val="20"/>
    </w:rPr>
  </w:style>
  <w:style w:type="paragraph" w:customStyle="1" w:styleId="2511">
    <w:name w:val="偶页脚样式"/>
    <w:basedOn w:val="56"/>
    <w:qFormat/>
    <w:uiPriority w:val="99"/>
    <w:pPr>
      <w:widowControl w:val="0"/>
      <w:pBdr>
        <w:top w:val="single" w:color="auto" w:sz="4" w:space="1"/>
        <w:bottom w:val="single" w:color="auto" w:sz="6" w:space="1"/>
      </w:pBdr>
      <w:spacing w:before="600"/>
      <w:ind w:firstLine="482"/>
      <w:jc w:val="both"/>
    </w:pPr>
    <w:rPr>
      <w:rFonts w:ascii="Calibri" w:hAnsi="Calibri" w:eastAsia="宋体"/>
      <w:b/>
      <w:szCs w:val="20"/>
    </w:rPr>
  </w:style>
  <w:style w:type="paragraph" w:customStyle="1" w:styleId="2512">
    <w:name w:val="Char Char Char Char Char Char Char Char Char Char Char Char Char Char"/>
    <w:basedOn w:val="1"/>
    <w:next w:val="1"/>
    <w:qFormat/>
    <w:uiPriority w:val="99"/>
    <w:pPr>
      <w:widowControl w:val="0"/>
      <w:spacing w:line="336" w:lineRule="auto"/>
    </w:pPr>
    <w:rPr>
      <w:rFonts w:ascii="宋体" w:hAnsi="宋体" w:eastAsia="汉鼎简书宋"/>
      <w:spacing w:val="4"/>
      <w:szCs w:val="20"/>
    </w:rPr>
  </w:style>
  <w:style w:type="paragraph" w:customStyle="1" w:styleId="2513">
    <w:name w:val="CM49"/>
    <w:basedOn w:val="251"/>
    <w:next w:val="251"/>
    <w:qFormat/>
    <w:uiPriority w:val="99"/>
    <w:pPr>
      <w:spacing w:after="120"/>
    </w:pPr>
    <w:rPr>
      <w:rFonts w:ascii="Arial Unicode MS" w:hAnsi="Calibri" w:eastAsia="Arial Unicode MS" w:cs="Times New Roman"/>
      <w:color w:val="auto"/>
      <w:kern w:val="2"/>
    </w:rPr>
  </w:style>
  <w:style w:type="paragraph" w:customStyle="1" w:styleId="2514">
    <w:name w:val="xl179"/>
    <w:basedOn w:val="1"/>
    <w:qFormat/>
    <w:uiPriority w:val="99"/>
    <w:pPr>
      <w:pBdr>
        <w:left w:val="single" w:color="auto" w:sz="4" w:space="0"/>
        <w:right w:val="single" w:color="auto" w:sz="4" w:space="0"/>
      </w:pBdr>
      <w:shd w:val="clear" w:color="000000" w:fill="FCD5B4"/>
      <w:spacing w:before="100" w:beforeAutospacing="1" w:after="100" w:afterAutospacing="1" w:line="240" w:lineRule="auto"/>
      <w:jc w:val="center"/>
    </w:pPr>
    <w:rPr>
      <w:rFonts w:ascii="宋体" w:hAnsi="宋体" w:eastAsia="宋体" w:cs="宋体"/>
      <w:color w:val="FF0000"/>
      <w:kern w:val="0"/>
    </w:rPr>
  </w:style>
  <w:style w:type="paragraph" w:customStyle="1" w:styleId="2515">
    <w:name w:val="SCIDI环评正文"/>
    <w:basedOn w:val="1"/>
    <w:qFormat/>
    <w:uiPriority w:val="99"/>
    <w:pPr>
      <w:widowControl w:val="0"/>
      <w:ind w:firstLine="480"/>
      <w:textAlignment w:val="baseline"/>
    </w:pPr>
    <w:rPr>
      <w:rFonts w:eastAsia="宋体"/>
      <w:kern w:val="0"/>
    </w:rPr>
  </w:style>
  <w:style w:type="paragraph" w:customStyle="1" w:styleId="2516">
    <w:name w:val="工程分析专题"/>
    <w:basedOn w:val="1"/>
    <w:qFormat/>
    <w:uiPriority w:val="99"/>
    <w:pPr>
      <w:widowControl w:val="0"/>
      <w:spacing w:line="440" w:lineRule="exact"/>
    </w:pPr>
    <w:rPr>
      <w:rFonts w:eastAsia="仿宋_GB2312" w:cs="宋体"/>
      <w:b/>
      <w:bCs/>
      <w:kern w:val="0"/>
      <w:sz w:val="36"/>
      <w:szCs w:val="20"/>
    </w:rPr>
  </w:style>
  <w:style w:type="paragraph" w:customStyle="1" w:styleId="2517">
    <w:name w:val="ÑùÊ½1"/>
    <w:basedOn w:val="1"/>
    <w:qFormat/>
    <w:uiPriority w:val="99"/>
    <w:pPr>
      <w:widowControl w:val="0"/>
      <w:overflowPunct w:val="0"/>
      <w:autoSpaceDE w:val="0"/>
      <w:autoSpaceDN w:val="0"/>
      <w:spacing w:line="240" w:lineRule="auto"/>
    </w:pPr>
    <w:rPr>
      <w:rFonts w:eastAsia="宋体"/>
      <w:szCs w:val="20"/>
    </w:rPr>
  </w:style>
  <w:style w:type="paragraph" w:customStyle="1" w:styleId="2518">
    <w:name w:val="样式 样式 首行缩进:  2 字符5 + 首行缩进:  2 字符1"/>
    <w:basedOn w:val="1"/>
    <w:qFormat/>
    <w:uiPriority w:val="99"/>
    <w:pPr>
      <w:widowControl w:val="0"/>
      <w:ind w:firstLine="514"/>
    </w:pPr>
    <w:rPr>
      <w:rFonts w:eastAsia="宋体" w:cs="宋体"/>
      <w:szCs w:val="20"/>
    </w:rPr>
  </w:style>
  <w:style w:type="paragraph" w:customStyle="1" w:styleId="2519">
    <w:name w:val="样式17"/>
    <w:basedOn w:val="1"/>
    <w:qFormat/>
    <w:uiPriority w:val="99"/>
    <w:pPr>
      <w:widowControl w:val="0"/>
      <w:spacing w:line="400" w:lineRule="exact"/>
    </w:pPr>
    <w:rPr>
      <w:rFonts w:eastAsia="宋体"/>
      <w:spacing w:val="20"/>
      <w:szCs w:val="20"/>
    </w:rPr>
  </w:style>
  <w:style w:type="paragraph" w:customStyle="1" w:styleId="2520">
    <w:name w:val="Char Char Char Char Char Char Char Char Char Char1 Char Char Char Char Char Char Char Char Char Char Char Char Char Char Char Char Char Char Char Char Char Char Char Char Char"/>
    <w:basedOn w:val="1"/>
    <w:qFormat/>
    <w:uiPriority w:val="99"/>
    <w:pPr>
      <w:widowControl w:val="0"/>
      <w:spacing w:line="240" w:lineRule="auto"/>
    </w:pPr>
    <w:rPr>
      <w:rFonts w:eastAsia="宋体"/>
      <w:sz w:val="21"/>
    </w:rPr>
  </w:style>
  <w:style w:type="paragraph" w:customStyle="1" w:styleId="2521">
    <w:name w:val="样式16"/>
    <w:basedOn w:val="1"/>
    <w:qFormat/>
    <w:uiPriority w:val="99"/>
    <w:pPr>
      <w:widowControl w:val="0"/>
      <w:spacing w:line="400" w:lineRule="exact"/>
      <w:ind w:firstLine="560"/>
    </w:pPr>
    <w:rPr>
      <w:rFonts w:ascii="宋体" w:hAnsi="宋体" w:eastAsia="宋体"/>
      <w:b/>
      <w:spacing w:val="20"/>
    </w:rPr>
  </w:style>
  <w:style w:type="paragraph" w:customStyle="1" w:styleId="2522">
    <w:name w:val="纯文本21"/>
    <w:basedOn w:val="1"/>
    <w:semiHidden/>
    <w:qFormat/>
    <w:uiPriority w:val="99"/>
    <w:pPr>
      <w:widowControl w:val="0"/>
      <w:spacing w:line="240" w:lineRule="auto"/>
    </w:pPr>
    <w:rPr>
      <w:rFonts w:ascii="宋体" w:hAnsi="Courier New" w:eastAsia="宋体"/>
      <w:sz w:val="21"/>
    </w:rPr>
  </w:style>
  <w:style w:type="paragraph" w:customStyle="1" w:styleId="2523">
    <w:name w:val="样式 正文文本缩进 + 首行缩进:  2.25 字符"/>
    <w:basedOn w:val="36"/>
    <w:qFormat/>
    <w:uiPriority w:val="99"/>
    <w:pPr>
      <w:widowControl w:val="0"/>
      <w:spacing w:after="0" w:line="360" w:lineRule="auto"/>
      <w:ind w:left="0" w:leftChars="0" w:firstLine="540" w:firstLineChars="225"/>
      <w:textAlignment w:val="baseline"/>
    </w:pPr>
    <w:rPr>
      <w:rFonts w:ascii="Calibri" w:hAnsi="Calibri" w:cs="宋体"/>
      <w:kern w:val="0"/>
      <w:sz w:val="24"/>
      <w:szCs w:val="20"/>
    </w:rPr>
  </w:style>
  <w:style w:type="paragraph" w:customStyle="1" w:styleId="2524">
    <w:name w:val="Char Char Char1 Char Char Char1 Char Char Char Char"/>
    <w:basedOn w:val="1"/>
    <w:qFormat/>
    <w:uiPriority w:val="99"/>
    <w:pPr>
      <w:widowControl w:val="0"/>
      <w:spacing w:line="240" w:lineRule="auto"/>
    </w:pPr>
    <w:rPr>
      <w:rFonts w:eastAsia="宋体"/>
      <w:sz w:val="21"/>
      <w:szCs w:val="20"/>
    </w:rPr>
  </w:style>
  <w:style w:type="paragraph" w:customStyle="1" w:styleId="2525">
    <w:name w:val="样式 楷体_GB2312 居中"/>
    <w:basedOn w:val="1"/>
    <w:qFormat/>
    <w:uiPriority w:val="99"/>
    <w:pPr>
      <w:widowControl w:val="0"/>
      <w:jc w:val="center"/>
    </w:pPr>
    <w:rPr>
      <w:rFonts w:hint="eastAsia" w:ascii="楷体_GB2312" w:eastAsia="楷体_GB2312"/>
      <w:sz w:val="21"/>
      <w:szCs w:val="20"/>
    </w:rPr>
  </w:style>
  <w:style w:type="paragraph" w:customStyle="1" w:styleId="2526">
    <w:name w:val="样式 标题 1标题 1 Char + 两端对齐"/>
    <w:basedOn w:val="3"/>
    <w:qFormat/>
    <w:uiPriority w:val="99"/>
    <w:pPr>
      <w:widowControl w:val="0"/>
      <w:tabs>
        <w:tab w:val="left" w:pos="0"/>
      </w:tabs>
      <w:spacing w:before="0" w:beforeLines="50" w:after="0" w:afterLines="100" w:line="360" w:lineRule="auto"/>
    </w:pPr>
    <w:rPr>
      <w:rFonts w:eastAsia="黑体" w:cs="宋体"/>
      <w:b w:val="0"/>
      <w:kern w:val="2"/>
      <w:sz w:val="30"/>
      <w:szCs w:val="24"/>
    </w:rPr>
  </w:style>
  <w:style w:type="paragraph" w:customStyle="1" w:styleId="2527">
    <w:name w:val="標題一"/>
    <w:basedOn w:val="1"/>
    <w:qFormat/>
    <w:uiPriority w:val="99"/>
    <w:pPr>
      <w:widowControl w:val="0"/>
      <w:spacing w:before="180" w:line="420" w:lineRule="exact"/>
      <w:textAlignment w:val="baseline"/>
    </w:pPr>
    <w:rPr>
      <w:rFonts w:ascii="華康仿宋體" w:eastAsia="華康仿宋體"/>
      <w:b/>
      <w:spacing w:val="20"/>
      <w:kern w:val="0"/>
      <w:sz w:val="28"/>
      <w:szCs w:val="20"/>
      <w:lang w:eastAsia="zh-TW"/>
    </w:rPr>
  </w:style>
  <w:style w:type="paragraph" w:customStyle="1" w:styleId="2528">
    <w:name w:val="Char Char Char Char Char Char Char Char Char Char Char Char Char Char Char Char Char Char Char Char1 Char Char"/>
    <w:basedOn w:val="1"/>
    <w:qFormat/>
    <w:uiPriority w:val="99"/>
    <w:pPr>
      <w:spacing w:after="160" w:line="240" w:lineRule="exact"/>
      <w:jc w:val="left"/>
    </w:pPr>
    <w:rPr>
      <w:rFonts w:ascii="Verdana" w:hAnsi="Verdana" w:eastAsia="宋体"/>
      <w:kern w:val="0"/>
      <w:sz w:val="20"/>
      <w:szCs w:val="20"/>
      <w:lang w:eastAsia="en-US"/>
    </w:rPr>
  </w:style>
  <w:style w:type="paragraph" w:customStyle="1" w:styleId="2529">
    <w:name w:val="助剂表格"/>
    <w:basedOn w:val="1"/>
    <w:qFormat/>
    <w:uiPriority w:val="99"/>
    <w:pPr>
      <w:widowControl w:val="0"/>
      <w:spacing w:line="240" w:lineRule="auto"/>
      <w:jc w:val="left"/>
    </w:pPr>
    <w:rPr>
      <w:rFonts w:hAnsi="宋体" w:eastAsia="仿宋_GB2312"/>
      <w:sz w:val="21"/>
    </w:rPr>
  </w:style>
  <w:style w:type="paragraph" w:customStyle="1" w:styleId="2530">
    <w:name w:val="节标签"/>
    <w:basedOn w:val="1"/>
    <w:next w:val="1"/>
    <w:qFormat/>
    <w:uiPriority w:val="99"/>
    <w:pPr>
      <w:widowControl w:val="0"/>
      <w:spacing w:before="400" w:after="440" w:line="240" w:lineRule="auto"/>
      <w:ind w:firstLine="482"/>
    </w:pPr>
    <w:rPr>
      <w:rFonts w:eastAsia="宋体"/>
      <w:spacing w:val="-30"/>
      <w:kern w:val="0"/>
      <w:sz w:val="60"/>
      <w:szCs w:val="20"/>
    </w:rPr>
  </w:style>
  <w:style w:type="paragraph" w:customStyle="1" w:styleId="2531">
    <w:name w:val="样式 样式 正文缩进 + 小四 首行缩进:  2 字符 + 首行缩进:  2 字符 + 首行缩进:  2 字符"/>
    <w:basedOn w:val="1"/>
    <w:qFormat/>
    <w:uiPriority w:val="99"/>
    <w:pPr>
      <w:widowControl w:val="0"/>
      <w:spacing w:line="324" w:lineRule="auto"/>
    </w:pPr>
    <w:rPr>
      <w:rFonts w:eastAsia="宋体"/>
      <w:szCs w:val="20"/>
    </w:rPr>
  </w:style>
  <w:style w:type="paragraph" w:customStyle="1" w:styleId="2532">
    <w:name w:val="xl190"/>
    <w:basedOn w:val="1"/>
    <w:qFormat/>
    <w:uiPriority w:val="99"/>
    <w:pPr>
      <w:pBdr>
        <w:top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533">
    <w:name w:val="字元 字元 字元"/>
    <w:basedOn w:val="1"/>
    <w:semiHidden/>
    <w:qFormat/>
    <w:uiPriority w:val="99"/>
    <w:pPr>
      <w:keepNext/>
      <w:keepLines/>
      <w:widowControl w:val="0"/>
      <w:ind w:firstLine="214" w:firstLineChars="214"/>
    </w:pPr>
    <w:rPr>
      <w:rFonts w:ascii="宋体" w:hAnsi="宋体" w:eastAsia="宋体" w:cs="宋体"/>
      <w:szCs w:val="28"/>
    </w:rPr>
  </w:style>
  <w:style w:type="paragraph" w:customStyle="1" w:styleId="2534">
    <w:name w:val="正文带编号"/>
    <w:basedOn w:val="1"/>
    <w:qFormat/>
    <w:uiPriority w:val="99"/>
    <w:pPr>
      <w:widowControl w:val="0"/>
      <w:tabs>
        <w:tab w:val="left" w:pos="425"/>
      </w:tabs>
      <w:spacing w:before="60" w:line="288" w:lineRule="auto"/>
      <w:ind w:left="425" w:hanging="425"/>
    </w:pPr>
    <w:rPr>
      <w:rFonts w:ascii="宋体" w:eastAsia="宋体"/>
    </w:rPr>
  </w:style>
  <w:style w:type="paragraph" w:customStyle="1" w:styleId="2535">
    <w:name w:val="4级标题"/>
    <w:qFormat/>
    <w:uiPriority w:val="99"/>
    <w:pPr>
      <w:tabs>
        <w:tab w:val="left" w:pos="864"/>
      </w:tabs>
      <w:adjustRightInd w:val="0"/>
      <w:snapToGrid w:val="0"/>
      <w:spacing w:line="360" w:lineRule="auto"/>
      <w:ind w:left="100" w:leftChars="100" w:right="100" w:rightChars="100"/>
      <w:jc w:val="both"/>
      <w:outlineLvl w:val="3"/>
    </w:pPr>
    <w:rPr>
      <w:rFonts w:ascii="黑体" w:hAnsi="黑体" w:eastAsia="黑体" w:cs="Times New Roman"/>
      <w:b/>
      <w:kern w:val="2"/>
      <w:sz w:val="24"/>
      <w:szCs w:val="24"/>
      <w:lang w:val="en-US" w:eastAsia="zh-CN" w:bidi="ar-SA"/>
    </w:rPr>
  </w:style>
  <w:style w:type="paragraph" w:customStyle="1" w:styleId="2536">
    <w:name w:val="xl183"/>
    <w:basedOn w:val="1"/>
    <w:qFormat/>
    <w:uiPriority w:val="99"/>
    <w:pPr>
      <w:pBdr>
        <w:left w:val="single" w:color="auto" w:sz="4" w:space="0"/>
        <w:right w:val="single" w:color="auto" w:sz="4" w:space="0"/>
      </w:pBdr>
      <w:spacing w:before="100" w:beforeAutospacing="1" w:after="100" w:afterAutospacing="1" w:line="240" w:lineRule="auto"/>
      <w:jc w:val="left"/>
    </w:pPr>
    <w:rPr>
      <w:rFonts w:ascii="宋体" w:hAnsi="宋体" w:eastAsia="宋体" w:cs="宋体"/>
      <w:kern w:val="0"/>
    </w:rPr>
  </w:style>
  <w:style w:type="paragraph" w:customStyle="1" w:styleId="2537">
    <w:name w:val="表格001"/>
    <w:basedOn w:val="1"/>
    <w:qFormat/>
    <w:uiPriority w:val="99"/>
    <w:pPr>
      <w:widowControl w:val="0"/>
      <w:spacing w:line="240" w:lineRule="auto"/>
      <w:jc w:val="center"/>
    </w:pPr>
    <w:rPr>
      <w:rFonts w:eastAsia="宋体"/>
      <w:sz w:val="21"/>
      <w:szCs w:val="20"/>
    </w:rPr>
  </w:style>
  <w:style w:type="paragraph" w:customStyle="1" w:styleId="2538">
    <w:name w:val="正文（3仿）"/>
    <w:qFormat/>
    <w:uiPriority w:val="99"/>
    <w:pPr>
      <w:spacing w:line="500" w:lineRule="exact"/>
      <w:ind w:firstLine="510"/>
      <w:jc w:val="both"/>
    </w:pPr>
    <w:rPr>
      <w:rFonts w:ascii="Calibri" w:hAnsi="Calibri" w:eastAsia="仿宋_GB2312" w:cs="Times New Roman"/>
      <w:kern w:val="2"/>
      <w:sz w:val="32"/>
      <w:szCs w:val="22"/>
      <w:lang w:val="en-US" w:eastAsia="zh-CN" w:bidi="ar-SA"/>
    </w:rPr>
  </w:style>
  <w:style w:type="paragraph" w:customStyle="1" w:styleId="2539">
    <w:name w:val="样式 小四 行距: 1.5 倍行距1"/>
    <w:basedOn w:val="1"/>
    <w:qFormat/>
    <w:uiPriority w:val="99"/>
    <w:pPr>
      <w:widowControl w:val="0"/>
      <w:ind w:firstLine="480"/>
    </w:pPr>
    <w:rPr>
      <w:rFonts w:eastAsia="宋体" w:cs="宋体"/>
      <w:szCs w:val="20"/>
    </w:rPr>
  </w:style>
  <w:style w:type="paragraph" w:customStyle="1" w:styleId="2540">
    <w:name w:val="图目"/>
    <w:basedOn w:val="1"/>
    <w:qFormat/>
    <w:uiPriority w:val="99"/>
    <w:pPr>
      <w:widowControl w:val="0"/>
      <w:spacing w:line="0" w:lineRule="atLeast"/>
      <w:jc w:val="center"/>
      <w:textAlignment w:val="baseline"/>
    </w:pPr>
    <w:rPr>
      <w:rFonts w:ascii="Arial" w:hAnsi="Arial" w:eastAsia="宋体" w:cs="Arial"/>
      <w:sz w:val="21"/>
      <w:szCs w:val="20"/>
    </w:rPr>
  </w:style>
  <w:style w:type="paragraph" w:customStyle="1" w:styleId="2541">
    <w:name w:val="样式 标题 2标题 2 Char节节标题 1.11.1标题 21.1_Heading 21标21.1标题2h..."/>
    <w:basedOn w:val="4"/>
    <w:qFormat/>
    <w:uiPriority w:val="99"/>
    <w:pPr>
      <w:widowControl w:val="0"/>
      <w:tabs>
        <w:tab w:val="left" w:pos="0"/>
        <w:tab w:val="left" w:pos="362"/>
      </w:tabs>
      <w:spacing w:before="0" w:after="0" w:line="360" w:lineRule="auto"/>
      <w:ind w:left="-120" w:firstLine="480"/>
    </w:pPr>
    <w:rPr>
      <w:rFonts w:ascii="Times New Roman" w:hAnsi="Times New Roman" w:eastAsia="黑体"/>
      <w:bCs w:val="0"/>
      <w:color w:val="0000FF"/>
      <w:kern w:val="0"/>
      <w:szCs w:val="24"/>
    </w:rPr>
  </w:style>
  <w:style w:type="paragraph" w:customStyle="1" w:styleId="2542">
    <w:name w:val="样式 段前: 0.5 行1"/>
    <w:basedOn w:val="1"/>
    <w:qFormat/>
    <w:uiPriority w:val="99"/>
    <w:pPr>
      <w:widowControl w:val="0"/>
      <w:spacing w:beforeLines="50" w:line="300" w:lineRule="auto"/>
    </w:pPr>
    <w:rPr>
      <w:rFonts w:eastAsia="仿宋_GB2312" w:cs="宋体"/>
      <w:szCs w:val="20"/>
    </w:rPr>
  </w:style>
  <w:style w:type="paragraph" w:customStyle="1" w:styleId="2543">
    <w:name w:val="标题4B"/>
    <w:basedOn w:val="2544"/>
    <w:qFormat/>
    <w:uiPriority w:val="99"/>
    <w:pPr>
      <w:tabs>
        <w:tab w:val="left" w:pos="864"/>
        <w:tab w:val="left" w:pos="1104"/>
      </w:tabs>
      <w:spacing w:beforeLines="20" w:afterLines="0"/>
      <w:ind w:left="862" w:hanging="862"/>
    </w:pPr>
  </w:style>
  <w:style w:type="paragraph" w:customStyle="1" w:styleId="2544">
    <w:name w:val="样式 标题 4L4Minor HeadingH4H41款标题1.1.1.11.1.1.1标题 441.1.1.1..."/>
    <w:basedOn w:val="6"/>
    <w:qFormat/>
    <w:uiPriority w:val="99"/>
    <w:pPr>
      <w:tabs>
        <w:tab w:val="left" w:pos="864"/>
        <w:tab w:val="left" w:pos="1104"/>
      </w:tabs>
      <w:spacing w:afterLines="20" w:line="300" w:lineRule="auto"/>
      <w:ind w:left="864" w:hanging="864"/>
      <w:textAlignment w:val="baseline"/>
    </w:pPr>
    <w:rPr>
      <w:rFonts w:eastAsia="宋体" w:cs="Times New Roman"/>
      <w:b/>
      <w:color w:val="000000"/>
      <w:sz w:val="21"/>
    </w:rPr>
  </w:style>
  <w:style w:type="paragraph" w:customStyle="1" w:styleId="2545">
    <w:name w:val="偶页页眉样式"/>
    <w:basedOn w:val="58"/>
    <w:qFormat/>
    <w:uiPriority w:val="99"/>
    <w:pPr>
      <w:widowControl w:val="0"/>
      <w:spacing w:before="120" w:line="360" w:lineRule="auto"/>
      <w:ind w:firstLine="482"/>
    </w:pPr>
    <w:rPr>
      <w:rFonts w:ascii="Calibri" w:hAnsi="Calibri" w:eastAsia="宋体"/>
      <w:szCs w:val="20"/>
    </w:rPr>
  </w:style>
  <w:style w:type="paragraph" w:customStyle="1" w:styleId="2546">
    <w:name w:val="Style Heading 2§1.1§1.1.H21标题 2 Char Char节标题 1.1（一）Underrub...1"/>
    <w:basedOn w:val="4"/>
    <w:qFormat/>
    <w:uiPriority w:val="99"/>
    <w:pPr>
      <w:widowControl w:val="0"/>
      <w:tabs>
        <w:tab w:val="left" w:pos="-1418"/>
        <w:tab w:val="left" w:pos="0"/>
        <w:tab w:val="left" w:pos="2835"/>
      </w:tabs>
      <w:overflowPunct w:val="0"/>
      <w:autoSpaceDE w:val="0"/>
      <w:autoSpaceDN w:val="0"/>
      <w:spacing w:before="0" w:line="264" w:lineRule="auto"/>
      <w:ind w:hanging="1411"/>
      <w:textAlignment w:val="baseline"/>
    </w:pPr>
    <w:rPr>
      <w:rFonts w:ascii="Book Antiqua" w:hAnsi="Book Antiqua" w:eastAsia="宋体"/>
      <w:i/>
      <w:iCs/>
      <w:smallCaps/>
      <w:kern w:val="28"/>
      <w:sz w:val="24"/>
      <w:szCs w:val="24"/>
    </w:rPr>
  </w:style>
  <w:style w:type="paragraph" w:customStyle="1" w:styleId="2547">
    <w:name w:val="head4"/>
    <w:basedOn w:val="1"/>
    <w:qFormat/>
    <w:uiPriority w:val="99"/>
    <w:pPr>
      <w:widowControl w:val="0"/>
      <w:autoSpaceDE w:val="0"/>
      <w:autoSpaceDN w:val="0"/>
      <w:ind w:firstLine="482"/>
    </w:pPr>
    <w:rPr>
      <w:rFonts w:eastAsia="宋体" w:cs="宋体"/>
      <w:b/>
      <w:bCs/>
      <w:szCs w:val="20"/>
    </w:rPr>
  </w:style>
  <w:style w:type="paragraph" w:customStyle="1" w:styleId="2548">
    <w:name w:val="xl170"/>
    <w:basedOn w:val="1"/>
    <w:qFormat/>
    <w:uiPriority w:val="99"/>
    <w:pPr>
      <w:pBdr>
        <w:left w:val="single" w:color="auto" w:sz="4" w:space="0"/>
        <w:bottom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549">
    <w:name w:val="表格02左"/>
    <w:basedOn w:val="1"/>
    <w:qFormat/>
    <w:uiPriority w:val="99"/>
    <w:pPr>
      <w:widowControl w:val="0"/>
      <w:spacing w:line="400" w:lineRule="exact"/>
      <w:jc w:val="left"/>
    </w:pPr>
    <w:rPr>
      <w:rFonts w:eastAsia="宋体"/>
      <w:kern w:val="0"/>
      <w:lang w:val="en-GB"/>
    </w:rPr>
  </w:style>
  <w:style w:type="paragraph" w:customStyle="1" w:styleId="2550">
    <w:name w:val="reader-word-layer reader-word-s4-17"/>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51">
    <w:name w:val="xl191"/>
    <w:basedOn w:val="1"/>
    <w:qFormat/>
    <w:uiPriority w:val="99"/>
    <w:pPr>
      <w:spacing w:before="100" w:beforeAutospacing="1" w:after="100" w:afterAutospacing="1" w:line="240" w:lineRule="auto"/>
      <w:jc w:val="center"/>
    </w:pPr>
    <w:rPr>
      <w:rFonts w:ascii="宋体" w:hAnsi="宋体" w:eastAsia="宋体" w:cs="宋体"/>
      <w:kern w:val="0"/>
    </w:rPr>
  </w:style>
  <w:style w:type="paragraph" w:customStyle="1" w:styleId="2552">
    <w:name w:val="题目封页"/>
    <w:basedOn w:val="1"/>
    <w:next w:val="1"/>
    <w:qFormat/>
    <w:uiPriority w:val="99"/>
    <w:pPr>
      <w:keepNext/>
      <w:keepLines/>
      <w:widowControl w:val="0"/>
      <w:spacing w:before="1800" w:line="240" w:lineRule="atLeast"/>
      <w:ind w:firstLine="482"/>
    </w:pPr>
    <w:rPr>
      <w:rFonts w:ascii="Arial" w:hAnsi="Arial" w:eastAsia="宋体"/>
      <w:b/>
      <w:spacing w:val="-48"/>
      <w:kern w:val="28"/>
      <w:sz w:val="72"/>
      <w:szCs w:val="20"/>
    </w:rPr>
  </w:style>
  <w:style w:type="paragraph" w:customStyle="1" w:styleId="2553">
    <w:name w:val="Head4"/>
    <w:basedOn w:val="810"/>
    <w:qFormat/>
    <w:uiPriority w:val="99"/>
    <w:pPr>
      <w:ind w:firstLine="482"/>
      <w:outlineLvl w:val="3"/>
    </w:pPr>
    <w:rPr>
      <w:b/>
      <w:bCs/>
    </w:rPr>
  </w:style>
  <w:style w:type="paragraph" w:customStyle="1" w:styleId="2554">
    <w:name w:val="专题设置"/>
    <w:qFormat/>
    <w:uiPriority w:val="99"/>
    <w:pPr>
      <w:spacing w:beforeLines="50" w:afterLines="50" w:line="360" w:lineRule="auto"/>
      <w:ind w:firstLine="482" w:firstLineChars="200"/>
      <w:jc w:val="both"/>
    </w:pPr>
    <w:rPr>
      <w:rFonts w:ascii="Calibri" w:hAnsi="Calibri" w:eastAsia="宋体" w:cs="Times New Roman"/>
      <w:b/>
      <w:kern w:val="2"/>
      <w:sz w:val="24"/>
      <w:szCs w:val="22"/>
      <w:lang w:val="en-US" w:eastAsia="zh-CN" w:bidi="ar-SA"/>
    </w:rPr>
  </w:style>
  <w:style w:type="paragraph" w:customStyle="1" w:styleId="2555">
    <w:name w:val="表格W"/>
    <w:basedOn w:val="1"/>
    <w:qFormat/>
    <w:uiPriority w:val="99"/>
    <w:pPr>
      <w:widowControl w:val="0"/>
      <w:spacing w:line="300" w:lineRule="auto"/>
      <w:ind w:firstLine="454"/>
      <w:textAlignment w:val="baseline"/>
    </w:pPr>
    <w:rPr>
      <w:rFonts w:eastAsia="宋体"/>
      <w:kern w:val="0"/>
    </w:rPr>
  </w:style>
  <w:style w:type="paragraph" w:customStyle="1" w:styleId="2556">
    <w:name w:val="xl176"/>
    <w:basedOn w:val="1"/>
    <w:qFormat/>
    <w:uiPriority w:val="99"/>
    <w:pPr>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pPr>
    <w:rPr>
      <w:rFonts w:ascii="宋体" w:hAnsi="宋体" w:eastAsia="宋体" w:cs="宋体"/>
      <w:color w:val="00B050"/>
      <w:kern w:val="0"/>
    </w:rPr>
  </w:style>
  <w:style w:type="paragraph" w:customStyle="1" w:styleId="2557">
    <w:name w:val="图表标题wj"/>
    <w:basedOn w:val="1"/>
    <w:qFormat/>
    <w:uiPriority w:val="99"/>
    <w:pPr>
      <w:widowControl w:val="0"/>
      <w:ind w:firstLine="482"/>
      <w:jc w:val="center"/>
    </w:pPr>
    <w:rPr>
      <w:rFonts w:ascii="黑体" w:eastAsia="黑体"/>
      <w:b/>
    </w:rPr>
  </w:style>
  <w:style w:type="paragraph" w:customStyle="1" w:styleId="2558">
    <w:name w:val="表头 + 首行缩进"/>
    <w:basedOn w:val="1"/>
    <w:qFormat/>
    <w:uiPriority w:val="99"/>
    <w:pPr>
      <w:widowControl w:val="0"/>
      <w:jc w:val="center"/>
      <w:textAlignment w:val="baseline"/>
    </w:pPr>
    <w:rPr>
      <w:rFonts w:hAnsi="宋体" w:eastAsia="宋体"/>
      <w:b/>
      <w:bCs/>
    </w:rPr>
  </w:style>
  <w:style w:type="paragraph" w:customStyle="1" w:styleId="2559">
    <w:name w:val="CM186"/>
    <w:basedOn w:val="1"/>
    <w:next w:val="1"/>
    <w:qFormat/>
    <w:uiPriority w:val="99"/>
    <w:pPr>
      <w:widowControl w:val="0"/>
      <w:autoSpaceDE w:val="0"/>
      <w:autoSpaceDN w:val="0"/>
      <w:spacing w:after="165" w:line="240" w:lineRule="auto"/>
      <w:jc w:val="left"/>
    </w:pPr>
    <w:rPr>
      <w:rFonts w:ascii="黑体" w:eastAsia="黑体"/>
      <w:kern w:val="0"/>
    </w:rPr>
  </w:style>
  <w:style w:type="paragraph" w:customStyle="1" w:styleId="2560">
    <w:name w:val="-"/>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61">
    <w:name w:val="Style Heading 1一、1.标题 1PAGE HEADING1.标题 1 Char标题 1（修改）标题 1 1..."/>
    <w:basedOn w:val="3"/>
    <w:qFormat/>
    <w:uiPriority w:val="99"/>
    <w:pPr>
      <w:widowControl w:val="0"/>
      <w:tabs>
        <w:tab w:val="left" w:pos="0"/>
      </w:tabs>
      <w:spacing w:before="0" w:after="0" w:line="360" w:lineRule="auto"/>
      <w:ind w:left="432" w:hanging="432"/>
    </w:pPr>
    <w:rPr>
      <w:rFonts w:eastAsia="黑体" w:cs="宋体"/>
      <w:kern w:val="2"/>
      <w:sz w:val="30"/>
      <w:szCs w:val="20"/>
    </w:rPr>
  </w:style>
  <w:style w:type="paragraph" w:customStyle="1" w:styleId="2562">
    <w:name w:val="style41 style56"/>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63">
    <w:name w:val="Char Char Char Char Char Char Char Char2 Char Char Char Char Char Char Char Char Char"/>
    <w:basedOn w:val="1"/>
    <w:next w:val="1"/>
    <w:qFormat/>
    <w:uiPriority w:val="99"/>
    <w:pPr>
      <w:widowControl w:val="0"/>
      <w:spacing w:line="336" w:lineRule="auto"/>
    </w:pPr>
    <w:rPr>
      <w:rFonts w:ascii="宋体" w:hAnsi="宋体" w:eastAsia="汉鼎简书宋"/>
      <w:spacing w:val="4"/>
      <w:szCs w:val="20"/>
    </w:rPr>
  </w:style>
  <w:style w:type="paragraph" w:customStyle="1" w:styleId="2564">
    <w:name w:val="表格单位"/>
    <w:basedOn w:val="1"/>
    <w:qFormat/>
    <w:uiPriority w:val="99"/>
    <w:pPr>
      <w:widowControl w:val="0"/>
      <w:spacing w:line="240" w:lineRule="atLeast"/>
      <w:jc w:val="right"/>
    </w:pPr>
    <w:rPr>
      <w:rFonts w:eastAsia="仿宋_GB2312"/>
      <w:sz w:val="18"/>
    </w:rPr>
  </w:style>
  <w:style w:type="paragraph" w:customStyle="1" w:styleId="2565">
    <w:name w:val="批注框文本 Char Char"/>
    <w:basedOn w:val="1"/>
    <w:qFormat/>
    <w:uiPriority w:val="99"/>
    <w:pPr>
      <w:widowControl w:val="0"/>
      <w:spacing w:line="240" w:lineRule="auto"/>
    </w:pPr>
    <w:rPr>
      <w:rFonts w:eastAsia="宋体"/>
      <w:sz w:val="18"/>
      <w:szCs w:val="20"/>
    </w:rPr>
  </w:style>
  <w:style w:type="paragraph" w:customStyle="1" w:styleId="2566">
    <w:name w:val="Char Char Char Char Char Char Char Char Char Char Char Char1 Char Char Char Char Char Char Char Char Char"/>
    <w:basedOn w:val="1"/>
    <w:next w:val="1"/>
    <w:qFormat/>
    <w:uiPriority w:val="99"/>
    <w:pPr>
      <w:widowControl w:val="0"/>
      <w:spacing w:line="336" w:lineRule="auto"/>
    </w:pPr>
    <w:rPr>
      <w:rFonts w:hint="eastAsia" w:ascii="宋体" w:hAnsi="宋体" w:eastAsia="汉鼎简书宋"/>
      <w:szCs w:val="20"/>
    </w:rPr>
  </w:style>
  <w:style w:type="paragraph" w:customStyle="1" w:styleId="2567">
    <w:name w:val="样式 标题 2节标题2H2h2第一层条二级 标题 2标题 2 Char节标题1MVA21 Char标题 ...2"/>
    <w:basedOn w:val="4"/>
    <w:qFormat/>
    <w:uiPriority w:val="99"/>
    <w:pPr>
      <w:keepNext w:val="0"/>
      <w:keepLines w:val="0"/>
      <w:widowControl w:val="0"/>
      <w:tabs>
        <w:tab w:val="left" w:pos="0"/>
        <w:tab w:val="left" w:pos="502"/>
        <w:tab w:val="left" w:pos="576"/>
      </w:tabs>
      <w:spacing w:before="120" w:after="0" w:line="360" w:lineRule="auto"/>
      <w:ind w:left="576" w:hanging="560"/>
      <w:textAlignment w:val="baseline"/>
    </w:pPr>
    <w:rPr>
      <w:rFonts w:ascii="Times New Roman" w:hAnsi="Times New Roman" w:eastAsia="黑体" w:cs="宋体"/>
      <w:kern w:val="0"/>
      <w:sz w:val="24"/>
      <w:szCs w:val="20"/>
    </w:rPr>
  </w:style>
  <w:style w:type="paragraph" w:customStyle="1" w:styleId="2568">
    <w:name w:val="编号1"/>
    <w:basedOn w:val="22"/>
    <w:qFormat/>
    <w:uiPriority w:val="99"/>
    <w:pPr>
      <w:widowControl w:val="0"/>
      <w:ind w:left="-27" w:firstLine="0"/>
    </w:pPr>
    <w:rPr>
      <w:rFonts w:ascii="Calibri" w:hAnsi="Calibri" w:eastAsia="宋体"/>
      <w:spacing w:val="20"/>
      <w:szCs w:val="22"/>
    </w:rPr>
  </w:style>
  <w:style w:type="paragraph" w:customStyle="1" w:styleId="2569">
    <w:name w:val="表格的文字"/>
    <w:basedOn w:val="1"/>
    <w:qFormat/>
    <w:uiPriority w:val="99"/>
    <w:pPr>
      <w:widowControl w:val="0"/>
      <w:spacing w:line="300" w:lineRule="exact"/>
      <w:jc w:val="center"/>
    </w:pPr>
    <w:rPr>
      <w:rFonts w:ascii="仿宋_GB2312" w:hAnsi="宋体" w:eastAsia="仿宋_GB2312"/>
      <w:color w:val="000000"/>
      <w:sz w:val="21"/>
      <w:szCs w:val="20"/>
    </w:rPr>
  </w:style>
  <w:style w:type="paragraph" w:customStyle="1" w:styleId="2570">
    <w:name w:val="专题"/>
    <w:basedOn w:val="1"/>
    <w:qFormat/>
    <w:uiPriority w:val="99"/>
    <w:pPr>
      <w:widowControl w:val="0"/>
      <w:spacing w:line="600" w:lineRule="auto"/>
    </w:pPr>
    <w:rPr>
      <w:rFonts w:eastAsia="楷体_GB2312" w:cs="宋体"/>
      <w:spacing w:val="30"/>
      <w:sz w:val="36"/>
      <w:szCs w:val="20"/>
    </w:rPr>
  </w:style>
  <w:style w:type="paragraph" w:customStyle="1" w:styleId="2571">
    <w:name w:val="xl171"/>
    <w:basedOn w:val="1"/>
    <w:qFormat/>
    <w:uiPriority w:val="99"/>
    <w:pPr>
      <w:pBdr>
        <w:bottom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2572">
    <w:name w:val="列出段落3"/>
    <w:basedOn w:val="1"/>
    <w:qFormat/>
    <w:uiPriority w:val="99"/>
    <w:pPr>
      <w:spacing w:after="200" w:line="276" w:lineRule="auto"/>
      <w:ind w:left="720"/>
      <w:contextualSpacing/>
      <w:jc w:val="left"/>
    </w:pPr>
    <w:rPr>
      <w:rFonts w:ascii="Calibri" w:hAnsi="Calibri" w:eastAsia="宋体" w:cs="Arial"/>
      <w:kern w:val="0"/>
      <w:sz w:val="22"/>
    </w:rPr>
  </w:style>
  <w:style w:type="paragraph" w:customStyle="1" w:styleId="2573">
    <w:name w:val="reader-word-layer reader-word-s4-16"/>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74">
    <w:name w:val="reader-word-layer reader-word-s4-5"/>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75">
    <w:name w:val="reader-word-layer reader-word-s4-7"/>
    <w:basedOn w:val="1"/>
    <w:qFormat/>
    <w:uiPriority w:val="99"/>
    <w:pPr>
      <w:spacing w:before="100" w:beforeAutospacing="1" w:after="100" w:afterAutospacing="1" w:line="240" w:lineRule="auto"/>
      <w:jc w:val="left"/>
    </w:pPr>
    <w:rPr>
      <w:rFonts w:ascii="宋体" w:hAnsi="宋体" w:eastAsia="宋体" w:cs="宋体"/>
      <w:kern w:val="0"/>
    </w:rPr>
  </w:style>
  <w:style w:type="paragraph" w:customStyle="1" w:styleId="2576">
    <w:name w:val="CoverMainTitle"/>
    <w:basedOn w:val="1"/>
    <w:next w:val="1"/>
    <w:qFormat/>
    <w:uiPriority w:val="99"/>
    <w:pPr>
      <w:overflowPunct w:val="0"/>
      <w:autoSpaceDE w:val="0"/>
      <w:autoSpaceDN w:val="0"/>
      <w:spacing w:before="480" w:line="264" w:lineRule="auto"/>
      <w:jc w:val="left"/>
      <w:textAlignment w:val="baseline"/>
    </w:pPr>
    <w:rPr>
      <w:rFonts w:ascii="Book Antiqua" w:hAnsi="Book Antiqua" w:eastAsia="宋体"/>
      <w:kern w:val="0"/>
      <w:sz w:val="28"/>
      <w:szCs w:val="20"/>
      <w:lang w:val="en-GB"/>
    </w:rPr>
  </w:style>
  <w:style w:type="paragraph" w:customStyle="1" w:styleId="2577">
    <w:name w:val="12"/>
    <w:basedOn w:val="1"/>
    <w:next w:val="82"/>
    <w:qFormat/>
    <w:uiPriority w:val="99"/>
    <w:pPr>
      <w:spacing w:before="100" w:beforeAutospacing="1" w:after="100" w:afterAutospacing="1" w:line="240" w:lineRule="auto"/>
      <w:jc w:val="left"/>
    </w:pPr>
    <w:rPr>
      <w:rFonts w:ascii="宋体" w:hAnsi="宋体" w:eastAsia="宋体"/>
      <w:color w:val="000066"/>
      <w:kern w:val="0"/>
      <w:szCs w:val="20"/>
    </w:rPr>
  </w:style>
  <w:style w:type="paragraph" w:customStyle="1" w:styleId="2578">
    <w:name w:val="CoverReverseHeader"/>
    <w:basedOn w:val="1"/>
    <w:next w:val="1991"/>
    <w:qFormat/>
    <w:uiPriority w:val="99"/>
    <w:pPr>
      <w:pBdr>
        <w:top w:val="single" w:color="auto" w:sz="6" w:space="0"/>
        <w:left w:val="single" w:color="auto" w:sz="6" w:space="0"/>
        <w:bottom w:val="single" w:color="auto" w:sz="6" w:space="0"/>
        <w:right w:val="single" w:color="auto" w:sz="6" w:space="0"/>
      </w:pBdr>
      <w:shd w:val="pct90" w:color="000000" w:fill="000000"/>
      <w:overflowPunct w:val="0"/>
      <w:autoSpaceDE w:val="0"/>
      <w:autoSpaceDN w:val="0"/>
      <w:spacing w:after="2280" w:line="264" w:lineRule="auto"/>
      <w:jc w:val="center"/>
      <w:textAlignment w:val="baseline"/>
    </w:pPr>
    <w:rPr>
      <w:rFonts w:ascii="Book Antiqua" w:hAnsi="Book Antiqua" w:eastAsia="宋体"/>
      <w:caps/>
      <w:color w:val="FFFFFF"/>
      <w:kern w:val="0"/>
      <w:sz w:val="22"/>
      <w:szCs w:val="20"/>
      <w:lang w:val="en-GB"/>
    </w:rPr>
  </w:style>
  <w:style w:type="paragraph" w:customStyle="1" w:styleId="2579">
    <w:name w:val="文本框文字格式"/>
    <w:basedOn w:val="1"/>
    <w:qFormat/>
    <w:uiPriority w:val="99"/>
    <w:pPr>
      <w:widowControl w:val="0"/>
      <w:spacing w:line="240" w:lineRule="auto"/>
      <w:jc w:val="center"/>
    </w:pPr>
    <w:rPr>
      <w:rFonts w:eastAsia="宋体"/>
    </w:rPr>
  </w:style>
  <w:style w:type="paragraph" w:customStyle="1" w:styleId="2580">
    <w:name w:val="样式W"/>
    <w:basedOn w:val="40"/>
    <w:qFormat/>
    <w:uiPriority w:val="99"/>
    <w:pPr>
      <w:adjustRightInd/>
      <w:snapToGrid/>
      <w:spacing w:line="300" w:lineRule="auto"/>
      <w:ind w:firstLine="200"/>
      <w:jc w:val="both"/>
    </w:pPr>
    <w:rPr>
      <w:rFonts w:ascii="宋体" w:hAnsi="宋体"/>
      <w:snapToGrid/>
      <w:kern w:val="2"/>
    </w:rPr>
  </w:style>
  <w:style w:type="paragraph" w:customStyle="1" w:styleId="2581">
    <w:name w:val="主体 + Centered"/>
    <w:basedOn w:val="1209"/>
    <w:qFormat/>
    <w:uiPriority w:val="99"/>
    <w:pPr>
      <w:ind w:firstLine="0" w:firstLineChars="0"/>
      <w:jc w:val="center"/>
    </w:pPr>
    <w:rPr>
      <w:rFonts w:cs="宋体"/>
      <w:bCs w:val="0"/>
      <w:szCs w:val="20"/>
    </w:rPr>
  </w:style>
  <w:style w:type="paragraph" w:customStyle="1" w:styleId="2582">
    <w:name w:val="副标题1"/>
    <w:basedOn w:val="1"/>
    <w:qFormat/>
    <w:uiPriority w:val="99"/>
    <w:pPr>
      <w:widowControl w:val="0"/>
      <w:spacing w:line="300" w:lineRule="auto"/>
      <w:ind w:firstLine="640"/>
      <w:jc w:val="center"/>
    </w:pPr>
    <w:rPr>
      <w:rFonts w:eastAsia="宋体"/>
      <w:sz w:val="32"/>
      <w:szCs w:val="21"/>
    </w:rPr>
  </w:style>
  <w:style w:type="paragraph" w:customStyle="1" w:styleId="2583">
    <w:name w:val="样式 标题 4 + 黑色 左侧:  -0.01 厘米 首行缩进:  0.01 厘米"/>
    <w:basedOn w:val="6"/>
    <w:qFormat/>
    <w:uiPriority w:val="99"/>
    <w:pPr>
      <w:tabs>
        <w:tab w:val="left" w:pos="1080"/>
        <w:tab w:val="left" w:pos="1290"/>
      </w:tabs>
      <w:spacing w:beforeLines="50" w:line="312" w:lineRule="auto"/>
      <w:ind w:left="864" w:hanging="864" w:firstLineChars="200"/>
    </w:pPr>
    <w:rPr>
      <w:rFonts w:ascii="仿宋_GB2312" w:hAnsi="Arial" w:eastAsia="仿宋_GB2312" w:cs="Times New Roman"/>
      <w:b/>
      <w:color w:val="000000"/>
      <w:szCs w:val="20"/>
    </w:rPr>
  </w:style>
  <w:style w:type="paragraph" w:customStyle="1" w:styleId="2584">
    <w:name w:val="正文格式"/>
    <w:basedOn w:val="1"/>
    <w:qFormat/>
    <w:uiPriority w:val="99"/>
    <w:pPr>
      <w:widowControl w:val="0"/>
      <w:ind w:firstLine="544"/>
    </w:pPr>
    <w:rPr>
      <w:rFonts w:ascii="Calibri" w:hAnsi="Calibri" w:eastAsia="宋体"/>
      <w:kern w:val="0"/>
      <w:szCs w:val="20"/>
    </w:rPr>
  </w:style>
  <w:style w:type="paragraph" w:customStyle="1" w:styleId="2585">
    <w:name w:val="CM43"/>
    <w:basedOn w:val="251"/>
    <w:next w:val="251"/>
    <w:qFormat/>
    <w:uiPriority w:val="99"/>
    <w:pPr>
      <w:spacing w:after="253"/>
    </w:pPr>
    <w:rPr>
      <w:rFonts w:ascii="Times New Roman" w:hAnsi="Calibri" w:cs="Times New Roman"/>
      <w:color w:val="auto"/>
      <w:kern w:val="2"/>
    </w:rPr>
  </w:style>
  <w:style w:type="paragraph" w:customStyle="1" w:styleId="2586">
    <w:name w:val="Centered"/>
    <w:basedOn w:val="1"/>
    <w:qFormat/>
    <w:uiPriority w:val="99"/>
    <w:pPr>
      <w:widowControl w:val="0"/>
      <w:autoSpaceDE w:val="0"/>
      <w:autoSpaceDN w:val="0"/>
      <w:jc w:val="center"/>
    </w:pPr>
    <w:rPr>
      <w:rFonts w:eastAsia="宋体" w:cs="宋体"/>
      <w:szCs w:val="20"/>
    </w:rPr>
  </w:style>
  <w:style w:type="paragraph" w:customStyle="1" w:styleId="2587">
    <w:name w:val="South Sulige Main Text"/>
    <w:basedOn w:val="22"/>
    <w:qFormat/>
    <w:uiPriority w:val="99"/>
    <w:pPr>
      <w:spacing w:before="120" w:after="120" w:line="300" w:lineRule="auto"/>
      <w:ind w:firstLine="480"/>
      <w:jc w:val="left"/>
    </w:pPr>
    <w:rPr>
      <w:rFonts w:ascii="Calibri" w:hAnsi="宋体" w:eastAsia="宋体"/>
      <w:szCs w:val="24"/>
      <w:lang w:val="en-GB"/>
    </w:rPr>
  </w:style>
  <w:style w:type="paragraph" w:customStyle="1" w:styleId="2588">
    <w:name w:val="表格文字2wj"/>
    <w:basedOn w:val="1"/>
    <w:qFormat/>
    <w:uiPriority w:val="99"/>
    <w:pPr>
      <w:widowControl w:val="0"/>
      <w:spacing w:line="360" w:lineRule="atLeast"/>
      <w:jc w:val="center"/>
    </w:pPr>
    <w:rPr>
      <w:rFonts w:eastAsia="宋体"/>
      <w:kern w:val="0"/>
      <w:sz w:val="21"/>
      <w:szCs w:val="21"/>
    </w:rPr>
  </w:style>
  <w:style w:type="paragraph" w:customStyle="1" w:styleId="2589">
    <w:name w:val="SCIDI章标题"/>
    <w:basedOn w:val="4"/>
    <w:next w:val="1"/>
    <w:qFormat/>
    <w:uiPriority w:val="99"/>
    <w:pPr>
      <w:widowControl w:val="0"/>
      <w:tabs>
        <w:tab w:val="left" w:pos="0"/>
        <w:tab w:val="left" w:pos="1019"/>
      </w:tabs>
      <w:spacing w:line="360" w:lineRule="auto"/>
      <w:ind w:left="1019" w:hanging="420"/>
      <w:jc w:val="center"/>
    </w:pPr>
    <w:rPr>
      <w:rFonts w:ascii="Times New Roman" w:hAnsi="Times New Roman" w:eastAsia="仿宋_GB2312"/>
    </w:rPr>
  </w:style>
  <w:style w:type="paragraph" w:customStyle="1" w:styleId="2590">
    <w:name w:val="1 Char Char1 Char Char Char1"/>
    <w:basedOn w:val="1"/>
    <w:qFormat/>
    <w:uiPriority w:val="99"/>
    <w:pPr>
      <w:widowControl w:val="0"/>
      <w:spacing w:line="240" w:lineRule="auto"/>
    </w:pPr>
    <w:rPr>
      <w:rFonts w:eastAsia="宋体"/>
      <w:sz w:val="21"/>
      <w:szCs w:val="21"/>
    </w:rPr>
  </w:style>
  <w:style w:type="paragraph" w:customStyle="1" w:styleId="2591">
    <w:name w:val="1 Char Char1"/>
    <w:basedOn w:val="1"/>
    <w:qFormat/>
    <w:uiPriority w:val="99"/>
    <w:pPr>
      <w:widowControl w:val="0"/>
      <w:spacing w:line="240" w:lineRule="auto"/>
    </w:pPr>
    <w:rPr>
      <w:rFonts w:eastAsia="宋体"/>
      <w:sz w:val="21"/>
      <w:szCs w:val="21"/>
    </w:rPr>
  </w:style>
  <w:style w:type="paragraph" w:customStyle="1" w:styleId="2592">
    <w:name w:val="1 Char Char1 Char"/>
    <w:basedOn w:val="1"/>
    <w:qFormat/>
    <w:uiPriority w:val="99"/>
    <w:pPr>
      <w:widowControl w:val="0"/>
      <w:spacing w:line="240" w:lineRule="auto"/>
    </w:pPr>
    <w:rPr>
      <w:rFonts w:eastAsia="宋体"/>
      <w:sz w:val="21"/>
      <w:szCs w:val="21"/>
    </w:rPr>
  </w:style>
  <w:style w:type="paragraph" w:customStyle="1" w:styleId="2593">
    <w:name w:val="表中文字 + 首行缩进:  0.6 字符"/>
    <w:basedOn w:val="292"/>
    <w:qFormat/>
    <w:uiPriority w:val="99"/>
    <w:pPr>
      <w:widowControl w:val="0"/>
      <w:adjustRightInd/>
      <w:snapToGrid/>
      <w:spacing w:line="240" w:lineRule="auto"/>
      <w:ind w:firstLine="126" w:firstLineChars="60"/>
      <w:jc w:val="both"/>
    </w:pPr>
    <w:rPr>
      <w:rFonts w:ascii="Times New Roman" w:hAnsi="Times New Roman" w:cs="宋体"/>
      <w:b w:val="0"/>
      <w:kern w:val="2"/>
      <w:szCs w:val="21"/>
    </w:rPr>
  </w:style>
  <w:style w:type="paragraph" w:customStyle="1" w:styleId="2594">
    <w:name w:val="Char14"/>
    <w:basedOn w:val="1"/>
    <w:semiHidden/>
    <w:qFormat/>
    <w:uiPriority w:val="99"/>
    <w:pPr>
      <w:widowControl w:val="0"/>
      <w:spacing w:line="240" w:lineRule="auto"/>
    </w:pPr>
    <w:rPr>
      <w:rFonts w:ascii="宋体" w:hAnsi="宋体" w:eastAsia="宋体" w:cs="宋体"/>
      <w:b/>
      <w:kern w:val="0"/>
      <w:sz w:val="28"/>
      <w:szCs w:val="28"/>
    </w:rPr>
  </w:style>
  <w:style w:type="paragraph" w:customStyle="1" w:styleId="2595">
    <w:name w:val="Char Char Char Char Char Char Char Char Char Char Char Char Char Char Char4"/>
    <w:basedOn w:val="1"/>
    <w:semiHidden/>
    <w:qFormat/>
    <w:uiPriority w:val="99"/>
    <w:pPr>
      <w:widowControl w:val="0"/>
      <w:spacing w:line="240" w:lineRule="auto"/>
    </w:pPr>
    <w:rPr>
      <w:rFonts w:ascii="宋体" w:hAnsi="宋体" w:eastAsia="宋体" w:cs="宋体"/>
    </w:rPr>
  </w:style>
  <w:style w:type="paragraph" w:customStyle="1" w:styleId="2596">
    <w:name w:val="Char6"/>
    <w:basedOn w:val="1"/>
    <w:qFormat/>
    <w:uiPriority w:val="99"/>
    <w:pPr>
      <w:widowControl w:val="0"/>
      <w:tabs>
        <w:tab w:val="left" w:pos="0"/>
      </w:tabs>
      <w:spacing w:line="240" w:lineRule="auto"/>
    </w:pPr>
    <w:rPr>
      <w:rFonts w:eastAsia="宋体"/>
      <w:sz w:val="21"/>
    </w:rPr>
  </w:style>
  <w:style w:type="paragraph" w:customStyle="1" w:styleId="2597">
    <w:name w:val="Char Char1 Char Char Char Char Char Char Char Char Char Char Char Char Char Char Char Char Char Char Char Char1 Char3"/>
    <w:basedOn w:val="1"/>
    <w:qFormat/>
    <w:uiPriority w:val="99"/>
    <w:pPr>
      <w:widowControl w:val="0"/>
      <w:jc w:val="left"/>
    </w:pPr>
    <w:rPr>
      <w:rFonts w:ascii="宋体" w:hAnsi="宋体" w:eastAsia="宋体" w:cs="宋体"/>
      <w:sz w:val="28"/>
    </w:rPr>
  </w:style>
  <w:style w:type="paragraph" w:customStyle="1" w:styleId="2598">
    <w:name w:val="Char Char114"/>
    <w:basedOn w:val="1"/>
    <w:semiHidden/>
    <w:qFormat/>
    <w:uiPriority w:val="99"/>
    <w:pPr>
      <w:widowControl w:val="0"/>
      <w:spacing w:line="240" w:lineRule="auto"/>
    </w:pPr>
    <w:rPr>
      <w:rFonts w:eastAsia="宋体"/>
      <w:sz w:val="21"/>
    </w:rPr>
  </w:style>
  <w:style w:type="paragraph" w:customStyle="1" w:styleId="2599">
    <w:name w:val="Char Char Char Char Char Char1 Char Char4 Char3"/>
    <w:basedOn w:val="1"/>
    <w:next w:val="1"/>
    <w:semiHidden/>
    <w:qFormat/>
    <w:uiPriority w:val="99"/>
    <w:pPr>
      <w:widowControl w:val="0"/>
      <w:spacing w:line="336" w:lineRule="auto"/>
    </w:pPr>
    <w:rPr>
      <w:rFonts w:ascii="宋体" w:hAnsi="宋体" w:eastAsia="汉鼎简书宋" w:cs="宋体"/>
      <w:spacing w:val="4"/>
    </w:rPr>
  </w:style>
  <w:style w:type="paragraph" w:customStyle="1" w:styleId="2600">
    <w:name w:val="Char Char Char3"/>
    <w:basedOn w:val="1"/>
    <w:qFormat/>
    <w:uiPriority w:val="99"/>
    <w:pPr>
      <w:spacing w:line="240" w:lineRule="auto"/>
      <w:jc w:val="left"/>
    </w:pPr>
    <w:rPr>
      <w:rFonts w:eastAsia="宋体"/>
      <w:kern w:val="0"/>
      <w:sz w:val="20"/>
      <w:szCs w:val="20"/>
    </w:rPr>
  </w:style>
  <w:style w:type="paragraph" w:customStyle="1" w:styleId="2601">
    <w:name w:val="Char Char6 Char Char2"/>
    <w:basedOn w:val="1"/>
    <w:semiHidden/>
    <w:qFormat/>
    <w:uiPriority w:val="99"/>
    <w:pPr>
      <w:widowControl w:val="0"/>
      <w:spacing w:line="240" w:lineRule="auto"/>
    </w:pPr>
    <w:rPr>
      <w:rFonts w:ascii="宋体" w:hAnsi="宋体" w:eastAsia="宋体" w:cs="宋体"/>
    </w:rPr>
  </w:style>
  <w:style w:type="paragraph" w:customStyle="1" w:styleId="2602">
    <w:name w:val="Char Char62"/>
    <w:basedOn w:val="1"/>
    <w:semiHidden/>
    <w:qFormat/>
    <w:uiPriority w:val="99"/>
    <w:pPr>
      <w:widowControl w:val="0"/>
      <w:spacing w:line="240" w:lineRule="auto"/>
    </w:pPr>
    <w:rPr>
      <w:rFonts w:ascii="宋体" w:hAnsi="宋体" w:eastAsia="宋体" w:cs="宋体"/>
    </w:rPr>
  </w:style>
  <w:style w:type="paragraph" w:customStyle="1" w:styleId="2603">
    <w:name w:val="Char Char Char Char Char Char6"/>
    <w:basedOn w:val="1"/>
    <w:next w:val="1"/>
    <w:qFormat/>
    <w:uiPriority w:val="99"/>
    <w:pPr>
      <w:widowControl w:val="0"/>
      <w:spacing w:line="240" w:lineRule="auto"/>
    </w:pPr>
    <w:rPr>
      <w:rFonts w:eastAsia="宋体"/>
      <w:b/>
    </w:rPr>
  </w:style>
  <w:style w:type="paragraph" w:customStyle="1" w:styleId="2604">
    <w:name w:val="列出段落4"/>
    <w:basedOn w:val="1"/>
    <w:qFormat/>
    <w:uiPriority w:val="99"/>
    <w:pPr>
      <w:widowControl w:val="0"/>
      <w:ind w:firstLine="420"/>
    </w:pPr>
    <w:rPr>
      <w:rFonts w:eastAsia="宋体"/>
      <w:kern w:val="0"/>
      <w:szCs w:val="20"/>
    </w:rPr>
  </w:style>
  <w:style w:type="paragraph" w:customStyle="1" w:styleId="2605">
    <w:name w:val="修订4"/>
    <w:semiHidden/>
    <w:qFormat/>
    <w:uiPriority w:val="99"/>
    <w:pPr>
      <w:spacing w:line="360" w:lineRule="auto"/>
      <w:jc w:val="both"/>
    </w:pPr>
    <w:rPr>
      <w:rFonts w:ascii="Calibri" w:hAnsi="Calibri" w:eastAsia="宋体" w:cs="Times New Roman"/>
      <w:snapToGrid w:val="0"/>
      <w:kern w:val="24"/>
      <w:sz w:val="24"/>
      <w:szCs w:val="24"/>
      <w:lang w:val="en-US" w:eastAsia="zh-CN" w:bidi="ar-SA"/>
    </w:rPr>
  </w:style>
  <w:style w:type="paragraph" w:customStyle="1" w:styleId="2606">
    <w:name w:val="正文6"/>
    <w:qFormat/>
    <w:uiPriority w:val="99"/>
    <w:pPr>
      <w:widowControl w:val="0"/>
      <w:tabs>
        <w:tab w:val="left" w:pos="567"/>
      </w:tabs>
      <w:adjustRightInd w:val="0"/>
      <w:spacing w:line="360" w:lineRule="atLeast"/>
      <w:jc w:val="both"/>
      <w:textAlignment w:val="baseline"/>
    </w:pPr>
    <w:rPr>
      <w:rFonts w:ascii="Calibri" w:hAnsi="Courier" w:eastAsia="PMingLiU" w:cs="Times New Roman"/>
      <w:kern w:val="2"/>
      <w:sz w:val="24"/>
      <w:szCs w:val="22"/>
      <w:lang w:val="en-US" w:eastAsia="zh-TW" w:bidi="ar-SA"/>
    </w:rPr>
  </w:style>
  <w:style w:type="paragraph" w:customStyle="1" w:styleId="2607">
    <w:name w:val="Char Char Char Char3"/>
    <w:basedOn w:val="1"/>
    <w:qFormat/>
    <w:uiPriority w:val="99"/>
    <w:pPr>
      <w:widowControl w:val="0"/>
      <w:spacing w:line="240" w:lineRule="auto"/>
    </w:pPr>
    <w:rPr>
      <w:rFonts w:eastAsia="宋体"/>
      <w:sz w:val="21"/>
    </w:rPr>
  </w:style>
  <w:style w:type="paragraph" w:customStyle="1" w:styleId="2608">
    <w:name w:val="Char42"/>
    <w:basedOn w:val="1"/>
    <w:qFormat/>
    <w:uiPriority w:val="99"/>
    <w:pPr>
      <w:widowControl w:val="0"/>
    </w:pPr>
    <w:rPr>
      <w:rFonts w:ascii="宋体" w:hAnsi="宋体" w:eastAsia="宋体" w:cs="宋体"/>
    </w:rPr>
  </w:style>
  <w:style w:type="paragraph" w:customStyle="1" w:styleId="2609">
    <w:name w:val="粗字表"/>
    <w:basedOn w:val="1"/>
    <w:qFormat/>
    <w:uiPriority w:val="99"/>
    <w:pPr>
      <w:widowControl w:val="0"/>
      <w:tabs>
        <w:tab w:val="left" w:pos="907"/>
      </w:tabs>
      <w:autoSpaceDE w:val="0"/>
      <w:autoSpaceDN w:val="0"/>
      <w:adjustRightInd w:val="0"/>
      <w:snapToGrid w:val="0"/>
      <w:spacing w:line="240" w:lineRule="auto"/>
      <w:jc w:val="center"/>
      <w:outlineLvl w:val="7"/>
    </w:pPr>
    <w:rPr>
      <w:rFonts w:ascii="Arial" w:hAnsi="Arial" w:eastAsia="仿宋_GB2312"/>
      <w:bCs/>
      <w:color w:val="000000"/>
      <w:kern w:val="0"/>
      <w:sz w:val="21"/>
      <w:szCs w:val="18"/>
    </w:rPr>
  </w:style>
  <w:style w:type="paragraph" w:customStyle="1" w:styleId="2610">
    <w:name w:val="附录三级条标题"/>
    <w:basedOn w:val="2611"/>
    <w:next w:val="1"/>
    <w:qFormat/>
    <w:uiPriority w:val="99"/>
    <w:pPr>
      <w:tabs>
        <w:tab w:val="left" w:pos="360"/>
        <w:tab w:val="left" w:pos="825"/>
        <w:tab w:val="left" w:pos="1068"/>
        <w:tab w:val="left" w:pos="1260"/>
        <w:tab w:val="left" w:pos="1680"/>
        <w:tab w:val="left" w:pos="2100"/>
      </w:tabs>
      <w:ind w:left="1068"/>
      <w:outlineLvl w:val="4"/>
    </w:pPr>
  </w:style>
  <w:style w:type="paragraph" w:customStyle="1" w:styleId="2611">
    <w:name w:val="附录二级条标题"/>
    <w:basedOn w:val="2612"/>
    <w:next w:val="1"/>
    <w:qFormat/>
    <w:uiPriority w:val="99"/>
    <w:pPr>
      <w:tabs>
        <w:tab w:val="left" w:pos="360"/>
        <w:tab w:val="left" w:pos="825"/>
        <w:tab w:val="left" w:pos="1260"/>
        <w:tab w:val="left" w:pos="1680"/>
      </w:tabs>
      <w:ind w:left="360" w:hanging="360"/>
      <w:outlineLvl w:val="3"/>
    </w:pPr>
  </w:style>
  <w:style w:type="paragraph" w:customStyle="1" w:styleId="2612">
    <w:name w:val="附录一级条标题"/>
    <w:basedOn w:val="1969"/>
    <w:next w:val="1"/>
    <w:qFormat/>
    <w:uiPriority w:val="99"/>
    <w:pPr>
      <w:tabs>
        <w:tab w:val="left" w:pos="828"/>
        <w:tab w:val="left" w:pos="1260"/>
        <w:tab w:val="clear" w:pos="360"/>
      </w:tabs>
      <w:autoSpaceDN w:val="0"/>
      <w:spacing w:beforeLines="0" w:afterLines="0" w:line="240" w:lineRule="auto"/>
      <w:ind w:left="828" w:hanging="240" w:firstLineChars="0"/>
      <w:outlineLvl w:val="2"/>
    </w:pPr>
    <w:rPr>
      <w:rFonts w:hAnsi="Times New Roman"/>
      <w:szCs w:val="20"/>
    </w:rPr>
  </w:style>
  <w:style w:type="paragraph" w:customStyle="1" w:styleId="2613">
    <w:name w:val="附录标识"/>
    <w:basedOn w:val="1"/>
    <w:qFormat/>
    <w:uiPriority w:val="99"/>
    <w:pPr>
      <w:shd w:val="clear" w:color="FFFFFF" w:fill="FFFFFF"/>
      <w:tabs>
        <w:tab w:val="left" w:pos="720"/>
        <w:tab w:val="left" w:pos="825"/>
        <w:tab w:val="left" w:pos="6405"/>
      </w:tabs>
      <w:spacing w:before="640" w:after="200" w:line="240" w:lineRule="auto"/>
      <w:ind w:left="720" w:hanging="720"/>
      <w:jc w:val="center"/>
      <w:outlineLvl w:val="0"/>
    </w:pPr>
    <w:rPr>
      <w:rFonts w:ascii="黑体" w:eastAsia="黑体"/>
      <w:kern w:val="0"/>
      <w:sz w:val="21"/>
      <w:szCs w:val="20"/>
    </w:rPr>
  </w:style>
  <w:style w:type="paragraph" w:customStyle="1" w:styleId="2614">
    <w:name w:val="BG2"/>
    <w:basedOn w:val="1"/>
    <w:qFormat/>
    <w:uiPriority w:val="99"/>
    <w:pPr>
      <w:widowControl w:val="0"/>
      <w:tabs>
        <w:tab w:val="left" w:pos="0"/>
        <w:tab w:val="left" w:pos="1332"/>
        <w:tab w:val="left" w:pos="8220"/>
        <w:tab w:val="left" w:pos="8260"/>
        <w:tab w:val="left" w:pos="9388"/>
      </w:tabs>
      <w:snapToGrid w:val="0"/>
      <w:spacing w:line="240" w:lineRule="auto"/>
      <w:jc w:val="center"/>
    </w:pPr>
    <w:rPr>
      <w:rFonts w:eastAsia="宋体"/>
      <w:snapToGrid w:val="0"/>
      <w:spacing w:val="-10"/>
      <w:kern w:val="0"/>
      <w:sz w:val="21"/>
      <w:szCs w:val="21"/>
      <w:lang w:val="de-DE"/>
    </w:rPr>
  </w:style>
  <w:style w:type="paragraph" w:customStyle="1" w:styleId="2615">
    <w:name w:val="BG3"/>
    <w:basedOn w:val="548"/>
    <w:qFormat/>
    <w:uiPriority w:val="99"/>
    <w:pPr>
      <w:tabs>
        <w:tab w:val="left" w:pos="0"/>
        <w:tab w:val="left" w:pos="1332"/>
        <w:tab w:val="left" w:pos="8220"/>
        <w:tab w:val="left" w:pos="8260"/>
        <w:tab w:val="left" w:pos="9388"/>
      </w:tabs>
      <w:adjustRightInd w:val="0"/>
      <w:snapToGrid w:val="0"/>
      <w:spacing w:line="240" w:lineRule="auto"/>
    </w:pPr>
    <w:rPr>
      <w:rFonts w:eastAsia="仿宋_GB2312"/>
      <w:snapToGrid w:val="0"/>
      <w:color w:val="auto"/>
      <w:kern w:val="0"/>
      <w:sz w:val="21"/>
      <w:szCs w:val="21"/>
      <w:lang w:val="en-GB"/>
    </w:rPr>
  </w:style>
  <w:style w:type="paragraph" w:customStyle="1" w:styleId="2616">
    <w:name w:val="样式 (符号) 宋体 小四 段前: 6 磅 行距: 多倍行距 1.25 字行 首行缩进:  2 字符"/>
    <w:basedOn w:val="1"/>
    <w:qFormat/>
    <w:uiPriority w:val="99"/>
    <w:pPr>
      <w:widowControl w:val="0"/>
      <w:spacing w:before="120" w:line="300" w:lineRule="auto"/>
      <w:ind w:firstLine="480" w:firstLineChars="200"/>
    </w:pPr>
    <w:rPr>
      <w:rFonts w:hAnsi="宋体" w:eastAsia="宋体" w:cs="宋体"/>
      <w:szCs w:val="20"/>
    </w:rPr>
  </w:style>
  <w:style w:type="paragraph" w:customStyle="1" w:styleId="2617">
    <w:name w:val="基准标题"/>
    <w:basedOn w:val="35"/>
    <w:next w:val="35"/>
    <w:qFormat/>
    <w:uiPriority w:val="99"/>
    <w:pPr>
      <w:spacing w:line="300" w:lineRule="exact"/>
    </w:pPr>
    <w:rPr>
      <w:rFonts w:ascii="宋体" w:hAnsi="宋体"/>
      <w:kern w:val="0"/>
      <w:szCs w:val="20"/>
    </w:rPr>
  </w:style>
  <w:style w:type="paragraph" w:customStyle="1" w:styleId="2618">
    <w:name w:val="文章中正文"/>
    <w:basedOn w:val="1"/>
    <w:qFormat/>
    <w:uiPriority w:val="99"/>
    <w:pPr>
      <w:widowControl w:val="0"/>
      <w:adjustRightInd w:val="0"/>
      <w:snapToGrid w:val="0"/>
      <w:ind w:firstLine="200" w:firstLineChars="200"/>
    </w:pPr>
    <w:rPr>
      <w:rFonts w:eastAsia="宋体"/>
      <w:snapToGrid w:val="0"/>
      <w:kern w:val="0"/>
      <w:szCs w:val="28"/>
    </w:rPr>
  </w:style>
  <w:style w:type="paragraph" w:customStyle="1" w:styleId="2619">
    <w:name w:val="样式 标题 1 + 小三"/>
    <w:basedOn w:val="3"/>
    <w:qFormat/>
    <w:uiPriority w:val="99"/>
    <w:pPr>
      <w:widowControl w:val="0"/>
      <w:tabs>
        <w:tab w:val="left" w:pos="0"/>
      </w:tabs>
      <w:spacing w:before="0" w:after="0" w:line="360" w:lineRule="auto"/>
      <w:ind w:firstLine="480"/>
    </w:pPr>
    <w:rPr>
      <w:rFonts w:eastAsia="宋体"/>
      <w:sz w:val="30"/>
      <w:szCs w:val="30"/>
    </w:rPr>
  </w:style>
  <w:style w:type="paragraph" w:customStyle="1" w:styleId="2620">
    <w:name w:val="Char Char Char Char Char Char Char Char Char Char Char Char Char Char Char3"/>
    <w:basedOn w:val="1"/>
    <w:semiHidden/>
    <w:qFormat/>
    <w:uiPriority w:val="99"/>
    <w:pPr>
      <w:widowControl w:val="0"/>
      <w:spacing w:line="240" w:lineRule="auto"/>
    </w:pPr>
    <w:rPr>
      <w:rFonts w:ascii="宋体" w:hAnsi="宋体" w:eastAsia="宋体" w:cs="宋体"/>
      <w:szCs w:val="24"/>
    </w:rPr>
  </w:style>
  <w:style w:type="paragraph" w:customStyle="1" w:styleId="2621">
    <w:name w:val="表内1号"/>
    <w:qFormat/>
    <w:uiPriority w:val="99"/>
    <w:pPr>
      <w:jc w:val="center"/>
    </w:pPr>
    <w:rPr>
      <w:rFonts w:ascii="Times New Roman" w:hAnsi="Times New Roman" w:eastAsia="仿宋_GB2312" w:cs="Times New Roman"/>
      <w:sz w:val="21"/>
      <w:szCs w:val="21"/>
      <w:lang w:val="en-US" w:eastAsia="zh-CN" w:bidi="ar-SA"/>
    </w:rPr>
  </w:style>
  <w:style w:type="paragraph" w:customStyle="1" w:styleId="2622">
    <w:name w:val="_Style 122"/>
    <w:qFormat/>
    <w:uiPriority w:val="99"/>
    <w:pPr>
      <w:widowControl w:val="0"/>
      <w:adjustRightInd w:val="0"/>
      <w:snapToGrid w:val="0"/>
      <w:spacing w:line="360" w:lineRule="auto"/>
      <w:ind w:firstLine="200" w:firstLineChars="200"/>
      <w:jc w:val="both"/>
    </w:pPr>
    <w:rPr>
      <w:rFonts w:ascii="Times New Roman" w:hAnsi="Times New Roman" w:eastAsia="宋体" w:cs="Times New Roman"/>
      <w:snapToGrid w:val="0"/>
      <w:kern w:val="24"/>
      <w:sz w:val="24"/>
      <w:szCs w:val="24"/>
      <w:lang w:val="en-US" w:eastAsia="zh-CN" w:bidi="ar-SA"/>
    </w:rPr>
  </w:style>
  <w:style w:type="paragraph" w:customStyle="1" w:styleId="2623">
    <w:name w:val="Char Char36"/>
    <w:basedOn w:val="1"/>
    <w:semiHidden/>
    <w:qFormat/>
    <w:uiPriority w:val="99"/>
    <w:pPr>
      <w:widowControl w:val="0"/>
      <w:spacing w:line="240" w:lineRule="auto"/>
    </w:pPr>
    <w:rPr>
      <w:rFonts w:ascii="宋体" w:hAnsi="宋体" w:eastAsia="宋体" w:cs="宋体"/>
      <w:szCs w:val="24"/>
    </w:rPr>
  </w:style>
  <w:style w:type="paragraph" w:customStyle="1" w:styleId="2624">
    <w:name w:val="修订5"/>
    <w:semiHidden/>
    <w:qFormat/>
    <w:uiPriority w:val="99"/>
    <w:rPr>
      <w:rFonts w:ascii="Times New Roman" w:hAnsi="Times New Roman" w:eastAsia="宋体" w:cs="Times New Roman"/>
      <w:snapToGrid w:val="0"/>
      <w:kern w:val="24"/>
      <w:sz w:val="24"/>
      <w:szCs w:val="24"/>
      <w:lang w:val="en-US" w:eastAsia="zh-CN" w:bidi="ar-SA"/>
    </w:rPr>
  </w:style>
  <w:style w:type="paragraph" w:customStyle="1" w:styleId="2625">
    <w:name w:val="Char Char Char Char Char Char Char Char Char Char Char1 Char Char Char Char2 Char"/>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626">
    <w:name w:val="列出段落5"/>
    <w:basedOn w:val="1"/>
    <w:qFormat/>
    <w:uiPriority w:val="99"/>
    <w:pPr>
      <w:spacing w:after="200" w:line="276" w:lineRule="auto"/>
      <w:ind w:firstLine="420" w:firstLineChars="200"/>
      <w:jc w:val="left"/>
    </w:pPr>
    <w:rPr>
      <w:rFonts w:ascii="Arial" w:hAnsi="Arial" w:eastAsia="黑体" w:cs="Cordia New"/>
      <w:kern w:val="0"/>
      <w:sz w:val="21"/>
      <w:szCs w:val="28"/>
      <w:lang w:bidi="th-TH"/>
    </w:rPr>
  </w:style>
  <w:style w:type="paragraph" w:customStyle="1" w:styleId="2627">
    <w:name w:val="Char13"/>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628">
    <w:name w:val="正文缩进5"/>
    <w:basedOn w:val="1"/>
    <w:semiHidden/>
    <w:qFormat/>
    <w:uiPriority w:val="99"/>
    <w:pPr>
      <w:widowControl w:val="0"/>
      <w:spacing w:line="240" w:lineRule="auto"/>
      <w:ind w:firstLine="420" w:firstLineChars="200"/>
    </w:pPr>
    <w:rPr>
      <w:rFonts w:hint="eastAsia" w:eastAsia="宋体"/>
      <w:sz w:val="21"/>
      <w:szCs w:val="24"/>
    </w:rPr>
  </w:style>
  <w:style w:type="paragraph" w:customStyle="1" w:styleId="2629">
    <w:name w:val="CM15"/>
    <w:basedOn w:val="251"/>
    <w:next w:val="251"/>
    <w:qFormat/>
    <w:uiPriority w:val="99"/>
    <w:pPr>
      <w:spacing w:after="85" w:line="240" w:lineRule="auto"/>
      <w:jc w:val="left"/>
    </w:pPr>
    <w:rPr>
      <w:rFonts w:ascii="黑体" w:eastAsia="黑体" w:cs="Times New Roman"/>
      <w:color w:val="auto"/>
    </w:rPr>
  </w:style>
  <w:style w:type="paragraph" w:customStyle="1" w:styleId="2630">
    <w:name w:val="样式 首行缩进:  2 字符1"/>
    <w:basedOn w:val="1"/>
    <w:next w:val="1"/>
    <w:qFormat/>
    <w:uiPriority w:val="99"/>
    <w:pPr>
      <w:widowControl w:val="0"/>
      <w:adjustRightInd w:val="0"/>
      <w:snapToGrid w:val="0"/>
      <w:ind w:firstLine="480" w:firstLineChars="200"/>
    </w:pPr>
    <w:rPr>
      <w:rFonts w:eastAsia="宋体" w:cs="宋体"/>
      <w:snapToGrid w:val="0"/>
      <w:kern w:val="24"/>
      <w:szCs w:val="20"/>
    </w:rPr>
  </w:style>
  <w:style w:type="paragraph" w:customStyle="1" w:styleId="2631">
    <w:name w:val="CM14"/>
    <w:basedOn w:val="251"/>
    <w:next w:val="251"/>
    <w:qFormat/>
    <w:uiPriority w:val="99"/>
    <w:pPr>
      <w:spacing w:after="218" w:line="240" w:lineRule="auto"/>
      <w:jc w:val="left"/>
    </w:pPr>
    <w:rPr>
      <w:rFonts w:ascii="黑体" w:eastAsia="黑体" w:cs="Times New Roman"/>
      <w:color w:val="auto"/>
    </w:rPr>
  </w:style>
  <w:style w:type="paragraph" w:customStyle="1" w:styleId="2632">
    <w:name w:val="Char Char Char Char Char Char1 Char1"/>
    <w:basedOn w:val="1"/>
    <w:qFormat/>
    <w:uiPriority w:val="99"/>
    <w:pPr>
      <w:widowControl w:val="0"/>
      <w:spacing w:line="240" w:lineRule="auto"/>
    </w:pPr>
    <w:rPr>
      <w:rFonts w:eastAsia="宋体"/>
      <w:sz w:val="21"/>
      <w:szCs w:val="24"/>
    </w:rPr>
  </w:style>
  <w:style w:type="paragraph" w:customStyle="1" w:styleId="2633">
    <w:name w:val="tgt2"/>
    <w:basedOn w:val="1"/>
    <w:qFormat/>
    <w:uiPriority w:val="99"/>
    <w:pPr>
      <w:spacing w:after="100"/>
      <w:jc w:val="left"/>
    </w:pPr>
    <w:rPr>
      <w:rFonts w:ascii="宋体" w:hAnsi="宋体" w:eastAsia="宋体" w:cs="宋体"/>
      <w:b/>
      <w:bCs/>
      <w:kern w:val="0"/>
      <w:sz w:val="36"/>
      <w:szCs w:val="36"/>
    </w:rPr>
  </w:style>
  <w:style w:type="paragraph" w:customStyle="1" w:styleId="2634">
    <w:name w:val="Char Char Char Char Char Char5"/>
    <w:basedOn w:val="1"/>
    <w:qFormat/>
    <w:uiPriority w:val="99"/>
    <w:pPr>
      <w:widowControl w:val="0"/>
      <w:ind w:firstLine="200" w:firstLineChars="200"/>
    </w:pPr>
    <w:rPr>
      <w:rFonts w:ascii="宋体" w:hAnsi="宋体" w:eastAsia="宋体"/>
      <w:szCs w:val="20"/>
    </w:rPr>
  </w:style>
  <w:style w:type="paragraph" w:customStyle="1" w:styleId="2635">
    <w:name w:val="nomal"/>
    <w:basedOn w:val="1"/>
    <w:qFormat/>
    <w:uiPriority w:val="99"/>
    <w:pPr>
      <w:widowControl w:val="0"/>
      <w:spacing w:before="60" w:after="60"/>
      <w:ind w:right="200" w:rightChars="200" w:firstLine="400" w:firstLineChars="400"/>
      <w:jc w:val="left"/>
    </w:pPr>
    <w:rPr>
      <w:rFonts w:ascii="Arial" w:hAnsi="Arial" w:eastAsia="宋体" w:cs="宋体"/>
      <w:sz w:val="20"/>
      <w:szCs w:val="20"/>
    </w:rPr>
  </w:style>
  <w:style w:type="paragraph" w:customStyle="1" w:styleId="2636">
    <w:name w:val="小4号粗文本框"/>
    <w:basedOn w:val="1"/>
    <w:qFormat/>
    <w:uiPriority w:val="99"/>
    <w:pPr>
      <w:widowControl w:val="0"/>
      <w:adjustRightInd w:val="0"/>
      <w:snapToGrid w:val="0"/>
      <w:spacing w:line="240" w:lineRule="auto"/>
      <w:jc w:val="center"/>
      <w:textAlignment w:val="center"/>
    </w:pPr>
    <w:rPr>
      <w:rFonts w:eastAsia="宋体"/>
      <w:b/>
      <w:snapToGrid w:val="0"/>
      <w:kern w:val="24"/>
      <w:szCs w:val="24"/>
    </w:rPr>
  </w:style>
  <w:style w:type="paragraph" w:customStyle="1" w:styleId="2637">
    <w:name w:val="Char Char1 Char Char Char Char Char Char Char Char Char Char Char Char Char Char Char Char Char Char Char Char1 Char2"/>
    <w:basedOn w:val="1"/>
    <w:qFormat/>
    <w:uiPriority w:val="99"/>
    <w:pPr>
      <w:widowControl w:val="0"/>
      <w:jc w:val="left"/>
    </w:pPr>
    <w:rPr>
      <w:rFonts w:ascii="宋体" w:hAnsi="宋体" w:eastAsia="宋体" w:cs="宋体"/>
      <w:sz w:val="28"/>
      <w:szCs w:val="24"/>
    </w:rPr>
  </w:style>
  <w:style w:type="paragraph" w:customStyle="1" w:styleId="2638">
    <w:name w:val="Char Char211"/>
    <w:basedOn w:val="1"/>
    <w:qFormat/>
    <w:uiPriority w:val="99"/>
    <w:pPr>
      <w:widowControl w:val="0"/>
      <w:adjustRightInd w:val="0"/>
      <w:textAlignment w:val="baseline"/>
    </w:pPr>
    <w:rPr>
      <w:rFonts w:eastAsia="宋体"/>
      <w:kern w:val="0"/>
      <w:szCs w:val="20"/>
    </w:rPr>
  </w:style>
  <w:style w:type="paragraph" w:customStyle="1" w:styleId="2639">
    <w:name w:val="Char Char Char Char Char Char Char Char Char Char Char1 Char Char Char Char2 Char1"/>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640">
    <w:name w:val="样式 表格内字体用"/>
    <w:basedOn w:val="1"/>
    <w:qFormat/>
    <w:uiPriority w:val="99"/>
    <w:pPr>
      <w:widowControl w:val="0"/>
      <w:adjustRightInd w:val="0"/>
      <w:snapToGrid w:val="0"/>
      <w:spacing w:line="240" w:lineRule="auto"/>
      <w:jc w:val="center"/>
    </w:pPr>
    <w:rPr>
      <w:rFonts w:eastAsia="仿宋_GB2312" w:cs="宋体"/>
      <w:snapToGrid w:val="0"/>
      <w:kern w:val="0"/>
      <w:sz w:val="21"/>
      <w:szCs w:val="20"/>
    </w:rPr>
  </w:style>
  <w:style w:type="paragraph" w:customStyle="1" w:styleId="2641">
    <w:name w:val="CM18"/>
    <w:basedOn w:val="251"/>
    <w:next w:val="251"/>
    <w:qFormat/>
    <w:uiPriority w:val="99"/>
    <w:pPr>
      <w:spacing w:after="318" w:line="240" w:lineRule="auto"/>
      <w:jc w:val="left"/>
    </w:pPr>
    <w:rPr>
      <w:rFonts w:ascii="黑体" w:eastAsia="黑体" w:cs="Times New Roman"/>
      <w:color w:val="auto"/>
    </w:rPr>
  </w:style>
  <w:style w:type="paragraph" w:customStyle="1" w:styleId="2642">
    <w:name w:val="ljw正文"/>
    <w:basedOn w:val="1"/>
    <w:qFormat/>
    <w:uiPriority w:val="99"/>
    <w:pPr>
      <w:widowControl w:val="0"/>
      <w:adjustRightInd w:val="0"/>
      <w:snapToGrid w:val="0"/>
      <w:spacing w:afterLines="50" w:line="300" w:lineRule="auto"/>
      <w:ind w:firstLine="480" w:firstLineChars="200"/>
    </w:pPr>
    <w:rPr>
      <w:rFonts w:ascii="宋体" w:hAnsi="宋体" w:eastAsia="宋体" w:cs="宋体"/>
      <w:szCs w:val="24"/>
    </w:rPr>
  </w:style>
  <w:style w:type="paragraph" w:customStyle="1" w:styleId="2643">
    <w:name w:val="_Style 13"/>
    <w:basedOn w:val="1"/>
    <w:qFormat/>
    <w:uiPriority w:val="99"/>
    <w:pPr>
      <w:widowControl w:val="0"/>
      <w:ind w:firstLine="200" w:firstLineChars="200"/>
    </w:pPr>
    <w:rPr>
      <w:rFonts w:eastAsia="宋体"/>
      <w:snapToGrid w:val="0"/>
      <w:kern w:val="24"/>
      <w:szCs w:val="20"/>
    </w:rPr>
  </w:style>
  <w:style w:type="paragraph" w:customStyle="1" w:styleId="2644">
    <w:name w:val="Char Char Char Char Char Char1 Char Char4 Char2"/>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645">
    <w:name w:val="FMS正文"/>
    <w:basedOn w:val="1"/>
    <w:qFormat/>
    <w:uiPriority w:val="99"/>
    <w:pPr>
      <w:widowControl w:val="0"/>
      <w:adjustRightInd w:val="0"/>
      <w:snapToGrid w:val="0"/>
      <w:ind w:firstLine="480" w:firstLineChars="200"/>
    </w:pPr>
    <w:rPr>
      <w:rFonts w:eastAsia="宋体" w:cs="宋体"/>
      <w:snapToGrid w:val="0"/>
      <w:kern w:val="24"/>
      <w:szCs w:val="20"/>
    </w:rPr>
  </w:style>
  <w:style w:type="paragraph" w:customStyle="1" w:styleId="2646">
    <w:name w:val="字元 字元1 Char Char1"/>
    <w:basedOn w:val="1"/>
    <w:qFormat/>
    <w:uiPriority w:val="99"/>
    <w:pPr>
      <w:widowControl w:val="0"/>
      <w:spacing w:line="240" w:lineRule="auto"/>
    </w:pPr>
    <w:rPr>
      <w:rFonts w:ascii="宋体" w:hAnsi="宋体" w:eastAsia="宋体" w:cs="宋体"/>
      <w:szCs w:val="24"/>
    </w:rPr>
  </w:style>
  <w:style w:type="paragraph" w:customStyle="1" w:styleId="2647">
    <w:name w:val="正文7"/>
    <w:qFormat/>
    <w:uiPriority w:val="99"/>
    <w:pPr>
      <w:jc w:val="both"/>
    </w:pPr>
    <w:rPr>
      <w:rFonts w:ascii="Calibri" w:hAnsi="Calibri" w:eastAsia="宋体" w:cs="宋体"/>
      <w:kern w:val="2"/>
      <w:sz w:val="21"/>
      <w:szCs w:val="21"/>
      <w:lang w:val="en-US" w:eastAsia="zh-CN" w:bidi="ar-SA"/>
    </w:rPr>
  </w:style>
  <w:style w:type="paragraph" w:customStyle="1" w:styleId="2648">
    <w:name w:val="font18"/>
    <w:basedOn w:val="1"/>
    <w:qFormat/>
    <w:uiPriority w:val="99"/>
    <w:pPr>
      <w:spacing w:before="100" w:beforeAutospacing="1" w:after="100" w:afterAutospacing="1" w:line="240" w:lineRule="auto"/>
      <w:jc w:val="left"/>
    </w:pPr>
    <w:rPr>
      <w:rFonts w:ascii="宋体" w:hAnsi="宋体" w:eastAsia="宋体" w:cs="宋体"/>
      <w:kern w:val="0"/>
      <w:sz w:val="20"/>
      <w:szCs w:val="20"/>
    </w:rPr>
  </w:style>
  <w:style w:type="paragraph" w:customStyle="1" w:styleId="2649">
    <w:name w:val="font19"/>
    <w:basedOn w:val="1"/>
    <w:qFormat/>
    <w:uiPriority w:val="99"/>
    <w:pPr>
      <w:spacing w:before="100" w:beforeAutospacing="1" w:after="100" w:afterAutospacing="1" w:line="240" w:lineRule="auto"/>
      <w:jc w:val="left"/>
    </w:pPr>
    <w:rPr>
      <w:rFonts w:ascii="宋体" w:hAnsi="宋体" w:eastAsia="宋体" w:cs="宋体"/>
      <w:kern w:val="0"/>
      <w:sz w:val="16"/>
      <w:szCs w:val="16"/>
    </w:rPr>
  </w:style>
  <w:style w:type="paragraph" w:customStyle="1" w:styleId="2650">
    <w:name w:val="font20"/>
    <w:basedOn w:val="1"/>
    <w:qFormat/>
    <w:uiPriority w:val="99"/>
    <w:pPr>
      <w:spacing w:before="100" w:beforeAutospacing="1" w:after="100" w:afterAutospacing="1" w:line="240" w:lineRule="auto"/>
      <w:jc w:val="left"/>
    </w:pPr>
    <w:rPr>
      <w:rFonts w:ascii="宋体" w:hAnsi="宋体" w:eastAsia="宋体" w:cs="宋体"/>
      <w:color w:val="000000"/>
      <w:kern w:val="0"/>
      <w:sz w:val="18"/>
      <w:szCs w:val="18"/>
    </w:rPr>
  </w:style>
  <w:style w:type="paragraph" w:customStyle="1" w:styleId="2651">
    <w:name w:val="！正文"/>
    <w:basedOn w:val="1"/>
    <w:next w:val="1"/>
    <w:qFormat/>
    <w:uiPriority w:val="99"/>
    <w:pPr>
      <w:tabs>
        <w:tab w:val="left" w:pos="845"/>
      </w:tabs>
      <w:adjustRightInd w:val="0"/>
      <w:snapToGrid w:val="0"/>
      <w:ind w:firstLine="420" w:firstLineChars="200"/>
    </w:pPr>
    <w:rPr>
      <w:rFonts w:eastAsia="宋体"/>
      <w:bCs/>
      <w:snapToGrid w:val="0"/>
      <w:kern w:val="4"/>
      <w:szCs w:val="21"/>
    </w:rPr>
  </w:style>
  <w:style w:type="paragraph" w:customStyle="1" w:styleId="2652">
    <w:name w:val="3级标题"/>
    <w:qFormat/>
    <w:uiPriority w:val="99"/>
    <w:pPr>
      <w:spacing w:beforeLines="50" w:line="360" w:lineRule="auto"/>
      <w:contextualSpacing/>
    </w:pPr>
    <w:rPr>
      <w:rFonts w:ascii="Times New Roman" w:hAnsi="Times New Roman" w:eastAsia="宋体" w:cs="Times New Roman"/>
      <w:b/>
      <w:bCs/>
      <w:color w:val="993366"/>
      <w:kern w:val="2"/>
      <w:sz w:val="28"/>
      <w:szCs w:val="28"/>
      <w:lang w:val="en-US" w:eastAsia="zh-CN" w:bidi="ar-SA"/>
    </w:rPr>
  </w:style>
  <w:style w:type="paragraph" w:customStyle="1" w:styleId="2653">
    <w:name w:val="2级标题"/>
    <w:basedOn w:val="4"/>
    <w:qFormat/>
    <w:uiPriority w:val="99"/>
    <w:pPr>
      <w:tabs>
        <w:tab w:val="left" w:pos="1320"/>
      </w:tabs>
      <w:adjustRightInd w:val="0"/>
      <w:snapToGrid w:val="0"/>
      <w:spacing w:before="0" w:beforeLines="100" w:after="0" w:afterLines="50" w:line="360" w:lineRule="auto"/>
      <w:ind w:left="1320" w:hanging="420"/>
      <w:contextualSpacing/>
      <w:jc w:val="left"/>
    </w:pPr>
    <w:rPr>
      <w:rFonts w:ascii="Times New Roman" w:hAnsi="Times New Roman" w:eastAsia="宋体"/>
      <w:snapToGrid w:val="0"/>
      <w:color w:val="993366"/>
      <w:kern w:val="24"/>
      <w:sz w:val="30"/>
      <w:szCs w:val="30"/>
    </w:rPr>
  </w:style>
  <w:style w:type="paragraph" w:customStyle="1" w:styleId="2654">
    <w:name w:val="CM45"/>
    <w:basedOn w:val="251"/>
    <w:next w:val="251"/>
    <w:semiHidden/>
    <w:qFormat/>
    <w:uiPriority w:val="99"/>
    <w:pPr>
      <w:spacing w:line="543" w:lineRule="atLeast"/>
      <w:jc w:val="left"/>
    </w:pPr>
    <w:rPr>
      <w:rFonts w:ascii="黑体" w:eastAsia="黑体" w:cs="Times New Roman"/>
      <w:color w:val="auto"/>
      <w:sz w:val="20"/>
    </w:rPr>
  </w:style>
  <w:style w:type="paragraph" w:customStyle="1" w:styleId="2655">
    <w:name w:val="助剂二级标题"/>
    <w:basedOn w:val="4"/>
    <w:semiHidden/>
    <w:qFormat/>
    <w:uiPriority w:val="99"/>
    <w:pPr>
      <w:widowControl w:val="0"/>
      <w:adjustRightInd w:val="0"/>
      <w:snapToGrid w:val="0"/>
      <w:spacing w:before="0" w:after="0" w:line="360" w:lineRule="auto"/>
    </w:pPr>
    <w:rPr>
      <w:rFonts w:ascii="Arial" w:hAnsi="Arial" w:eastAsia="宋体"/>
      <w:sz w:val="24"/>
    </w:rPr>
  </w:style>
  <w:style w:type="paragraph" w:customStyle="1" w:styleId="2656">
    <w:name w:val="CM75"/>
    <w:basedOn w:val="1"/>
    <w:next w:val="1"/>
    <w:qFormat/>
    <w:uiPriority w:val="99"/>
    <w:pPr>
      <w:widowControl w:val="0"/>
      <w:autoSpaceDE w:val="0"/>
      <w:autoSpaceDN w:val="0"/>
      <w:adjustRightInd w:val="0"/>
      <w:spacing w:after="60" w:line="240" w:lineRule="auto"/>
      <w:jc w:val="left"/>
    </w:pPr>
    <w:rPr>
      <w:rFonts w:ascii="Sim Sun+ 2" w:eastAsia="Sim Sun+ 2" w:cs="Sim Sun+ 2"/>
      <w:kern w:val="0"/>
      <w:szCs w:val="24"/>
    </w:rPr>
  </w:style>
  <w:style w:type="paragraph" w:customStyle="1" w:styleId="2657">
    <w:name w:val="unnamed2"/>
    <w:basedOn w:val="1"/>
    <w:qFormat/>
    <w:uiPriority w:val="99"/>
    <w:pPr>
      <w:spacing w:before="100" w:beforeAutospacing="1" w:after="100" w:afterAutospacing="1" w:line="288" w:lineRule="atLeast"/>
      <w:ind w:firstLine="384"/>
      <w:jc w:val="left"/>
    </w:pPr>
    <w:rPr>
      <w:rFonts w:ascii="宋体" w:hAnsi="宋体" w:eastAsia="宋体" w:cs="宋体"/>
      <w:color w:val="EFEFEF"/>
      <w:spacing w:val="12"/>
      <w:kern w:val="0"/>
      <w:sz w:val="18"/>
      <w:szCs w:val="18"/>
    </w:rPr>
  </w:style>
  <w:style w:type="table" w:customStyle="1" w:styleId="2658">
    <w:name w:val="网格型21"/>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9">
    <w:name w:val="网格型11"/>
    <w:basedOn w:val="89"/>
    <w:uiPriority w:val="0"/>
    <w:rPr>
      <w:rFonts w:ascii="Arial" w:hAnsi="Arial" w:eastAsia="黑体"/>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浅色底纹1"/>
    <w:basedOn w:val="89"/>
    <w:uiPriority w:val="0"/>
    <w:rPr>
      <w:rFonts w:ascii="Times New Roman" w:hAnsi="Times New Roman" w:eastAsia="宋体"/>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661">
    <w:name w:val="简明型 12"/>
    <w:basedOn w:val="89"/>
    <w:uiPriority w:val="0"/>
    <w:pPr>
      <w:widowControl w:val="0"/>
      <w:jc w:val="both"/>
    </w:pPr>
    <w:rPr>
      <w:rFonts w:ascii="Calibri" w:hAnsi="Calibri" w:eastAsia="宋体"/>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62">
    <w:name w:val="网格型模版4"/>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网格型模版21"/>
    <w:basedOn w:val="89"/>
    <w:uiPriority w:val="0"/>
    <w:pPr>
      <w:widowControl w:val="0"/>
      <w:adjustRightInd w:val="0"/>
      <w:snapToGrid w:val="0"/>
      <w:spacing w:line="240" w:lineRule="atLeast"/>
      <w:jc w:val="center"/>
    </w:pPr>
    <w:rPr>
      <w:rFonts w:ascii="Calibri" w:hAnsi="Calibri" w:eastAsia="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2664">
    <w:name w:val="网格型模版2"/>
    <w:basedOn w:val="89"/>
    <w:uiPriority w:val="0"/>
    <w:pPr>
      <w:widowControl w:val="0"/>
      <w:adjustRightInd w:val="0"/>
      <w:snapToGrid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5">
    <w:name w:val="简明型 21"/>
    <w:basedOn w:val="89"/>
    <w:unhideWhenUsed/>
    <w:uiPriority w:val="0"/>
    <w:pPr>
      <w:widowControl w:val="0"/>
      <w:adjustRightInd w:val="0"/>
      <w:snapToGrid w:val="0"/>
      <w:spacing w:line="360" w:lineRule="auto"/>
      <w:ind w:firstLine="200" w:firstLineChars="200"/>
      <w:jc w:val="both"/>
    </w:pPr>
    <w:rPr>
      <w:rFonts w:ascii="Times New Roman" w:hAnsi="Times New Roman" w:eastAsia="宋体"/>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66">
    <w:name w:val="网格型52"/>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网格型12"/>
    <w:basedOn w:val="89"/>
    <w:uiPriority w:val="0"/>
    <w:pPr>
      <w:widowControl w:val="0"/>
      <w:adjustRightInd w:val="0"/>
      <w:snapToGrid w:val="0"/>
      <w:spacing w:line="360" w:lineRule="auto"/>
      <w:ind w:firstLine="200" w:firstLineChars="20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网格型模版31"/>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9">
    <w:name w:val="表格主题1"/>
    <w:basedOn w:val="89"/>
    <w:uiPriority w:val="0"/>
    <w:pPr>
      <w:widowControl w:val="0"/>
      <w:adjustRightInd w:val="0"/>
      <w:snapToGrid w:val="0"/>
      <w:spacing w:line="360" w:lineRule="auto"/>
      <w:ind w:firstLine="200" w:firstLineChars="20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古典型 13"/>
    <w:basedOn w:val="89"/>
    <w:uiPriority w:val="0"/>
    <w:pPr>
      <w:widowControl w:val="0"/>
      <w:jc w:val="both"/>
    </w:pPr>
    <w:rPr>
      <w:rFonts w:ascii="Calibri" w:hAnsi="Calibri" w:eastAsia="宋体"/>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71">
    <w:name w:val="网格型c1"/>
    <w:basedOn w:val="89"/>
    <w:uiPriority w:val="0"/>
    <w:pPr>
      <w:widowControl w:val="0"/>
      <w:jc w:val="center"/>
    </w:pPr>
    <w:rPr>
      <w:rFonts w:ascii="Times New Roman" w:hAnsi="Times New Roman" w:eastAsia="仿宋"/>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2672">
    <w:name w:val="Table Normal"/>
    <w:qFormat/>
    <w:uiPriority w:val="2"/>
    <w:pPr>
      <w:widowControl w:val="0"/>
    </w:pPr>
    <w:rPr>
      <w:rFonts w:ascii="Calibri" w:hAnsi="Calibri" w:eastAsia="Times New Roman"/>
      <w:sz w:val="22"/>
      <w:lang w:eastAsia="en-US"/>
    </w:rPr>
    <w:tblPr>
      <w:tblCellMar>
        <w:top w:w="0" w:type="dxa"/>
        <w:left w:w="0" w:type="dxa"/>
        <w:bottom w:w="0" w:type="dxa"/>
        <w:right w:w="0" w:type="dxa"/>
      </w:tblCellMar>
    </w:tblPr>
  </w:style>
  <w:style w:type="table" w:customStyle="1" w:styleId="2673">
    <w:name w:val="网格型模版1"/>
    <w:basedOn w:val="89"/>
    <w:uiPriority w:val="0"/>
    <w:pPr>
      <w:widowControl w:val="0"/>
      <w:spacing w:line="360" w:lineRule="exact"/>
      <w:jc w:val="center"/>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网格型模版3"/>
    <w:basedOn w:val="89"/>
    <w:uiPriority w:val="0"/>
    <w:pPr>
      <w:widowControl w:val="0"/>
      <w:adjustRightInd w:val="0"/>
      <w:snapToGrid w:val="0"/>
      <w:spacing w:line="240" w:lineRule="atLeast"/>
      <w:jc w:val="center"/>
    </w:pPr>
    <w:rPr>
      <w:rFonts w:ascii="Calibri" w:hAnsi="Calibri" w:eastAsia="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2675">
    <w:name w:val="网格型模版11"/>
    <w:basedOn w:val="89"/>
    <w:uiPriority w:val="0"/>
    <w:pPr>
      <w:widowControl w:val="0"/>
      <w:adjustRightInd w:val="0"/>
      <w:snapToGrid w:val="0"/>
      <w:spacing w:line="240" w:lineRule="atLeast"/>
      <w:jc w:val="center"/>
    </w:pPr>
    <w:rPr>
      <w:rFonts w:ascii="Calibri" w:hAnsi="Calibri" w:eastAsia="宋体"/>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2676">
    <w:name w:val="网格型模版12"/>
    <w:basedOn w:val="89"/>
    <w:uiPriority w:val="0"/>
    <w:pPr>
      <w:widowControl w:val="0"/>
      <w:adjustRightInd w:val="0"/>
      <w:snapToGrid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7">
    <w:name w:val="网格型22"/>
    <w:basedOn w:val="89"/>
    <w:uiPriority w:val="0"/>
    <w:pPr>
      <w:widowControl w:val="0"/>
      <w:spacing w:line="360" w:lineRule="auto"/>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表格主题2"/>
    <w:basedOn w:val="89"/>
    <w:uiPriority w:val="0"/>
    <w:pPr>
      <w:widowControl w:val="0"/>
      <w:adjustRightInd w:val="0"/>
      <w:snapToGrid w:val="0"/>
      <w:spacing w:line="360" w:lineRule="auto"/>
      <w:ind w:firstLine="200" w:firstLineChars="20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三线表1"/>
    <w:basedOn w:val="89"/>
    <w:uiPriority w:val="0"/>
    <w:pPr>
      <w:jc w:val="center"/>
    </w:pPr>
    <w:rPr>
      <w:rFonts w:ascii="Calibri" w:hAnsi="Calibri" w:eastAsia="宋体"/>
    </w:rPr>
    <w:tblPr>
      <w:tblBorders>
        <w:top w:val="single" w:color="auto" w:sz="12" w:space="0"/>
        <w:bottom w:val="single" w:color="auto" w:sz="12" w:space="0"/>
        <w:insideH w:val="single" w:color="auto" w:sz="4" w:space="0"/>
        <w:insideV w:val="single" w:color="auto" w:sz="4" w:space="0"/>
      </w:tblBorders>
    </w:tblPr>
    <w:tcPr>
      <w:vAlign w:val="center"/>
    </w:tcPr>
    <w:tblStylePr w:type="firstRow">
      <w:rPr>
        <w:rFonts w:eastAsia="Bookman Old Style"/>
        <w:sz w:val="21"/>
      </w:rPr>
      <w:tcPr>
        <w:tcBorders>
          <w:top w:val="nil"/>
          <w:left w:val="nil"/>
          <w:bottom w:val="single" w:color="auto" w:sz="12" w:space="0"/>
          <w:right w:val="nil"/>
          <w:insideH w:val="nil"/>
          <w:insideV w:val="nil"/>
          <w:tl2br w:val="nil"/>
          <w:tr2bl w:val="nil"/>
        </w:tcBorders>
      </w:tcPr>
    </w:tblStylePr>
  </w:style>
  <w:style w:type="table" w:customStyle="1" w:styleId="2680">
    <w:name w:val="简明型 24"/>
    <w:basedOn w:val="89"/>
    <w:uiPriority w:val="0"/>
    <w:pPr>
      <w:widowControl w:val="0"/>
      <w:adjustRightInd w:val="0"/>
      <w:snapToGrid w:val="0"/>
      <w:spacing w:line="360" w:lineRule="auto"/>
      <w:ind w:firstLine="200" w:firstLineChars="200"/>
      <w:jc w:val="both"/>
    </w:pPr>
    <w:rPr>
      <w:rFonts w:ascii="Calibri" w:hAnsi="Calibri" w:eastAsia="宋体"/>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81">
    <w:name w:val="古典型 12"/>
    <w:basedOn w:val="89"/>
    <w:uiPriority w:val="0"/>
    <w:pPr>
      <w:widowControl w:val="0"/>
      <w:jc w:val="both"/>
    </w:pPr>
    <w:rPr>
      <w:rFonts w:ascii="Calibri" w:hAnsi="Calibri" w:eastAsia="宋体"/>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82">
    <w:name w:val="古典型 11"/>
    <w:basedOn w:val="89"/>
    <w:uiPriority w:val="0"/>
    <w:pPr>
      <w:widowControl w:val="0"/>
      <w:jc w:val="both"/>
    </w:pPr>
    <w:rPr>
      <w:rFonts w:ascii="Calibri" w:hAnsi="Calibri" w:eastAsia="宋体"/>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83">
    <w:name w:val="简明型 23"/>
    <w:basedOn w:val="89"/>
    <w:uiPriority w:val="0"/>
    <w:pPr>
      <w:widowControl w:val="0"/>
      <w:adjustRightInd w:val="0"/>
      <w:snapToGrid w:val="0"/>
      <w:spacing w:line="360" w:lineRule="auto"/>
      <w:ind w:firstLine="200" w:firstLineChars="200"/>
      <w:jc w:val="both"/>
    </w:pPr>
    <w:rPr>
      <w:rFonts w:ascii="Calibri" w:hAnsi="Calibri" w:eastAsia="宋体"/>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84">
    <w:name w:val="Table Grid1"/>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简明型 22"/>
    <w:basedOn w:val="89"/>
    <w:uiPriority w:val="0"/>
    <w:pPr>
      <w:widowControl w:val="0"/>
      <w:adjustRightInd w:val="0"/>
      <w:snapToGrid w:val="0"/>
      <w:spacing w:line="360" w:lineRule="auto"/>
      <w:ind w:firstLine="200" w:firstLineChars="200"/>
      <w:jc w:val="both"/>
    </w:pPr>
    <w:rPr>
      <w:rFonts w:ascii="Calibri" w:hAnsi="Calibri" w:eastAsia="宋体"/>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686">
    <w:name w:val="网格型51"/>
    <w:basedOn w:val="89"/>
    <w:uiPriority w:val="0"/>
    <w:pPr>
      <w:widowControl w:val="0"/>
      <w:jc w:val="both"/>
    </w:pPr>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简明型 11"/>
    <w:basedOn w:val="89"/>
    <w:uiPriority w:val="0"/>
    <w:pPr>
      <w:widowControl w:val="0"/>
      <w:jc w:val="both"/>
    </w:pPr>
    <w:rPr>
      <w:rFonts w:ascii="Calibri" w:hAnsi="Calibri" w:eastAsia="宋体"/>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character" w:customStyle="1" w:styleId="2688">
    <w:name w:val="标题2"/>
    <w:basedOn w:val="134"/>
    <w:uiPriority w:val="0"/>
  </w:style>
  <w:style w:type="character" w:customStyle="1" w:styleId="2689">
    <w:name w:val="Char Char262"/>
    <w:uiPriority w:val="0"/>
    <w:rPr>
      <w:rFonts w:eastAsia="宋体"/>
      <w:snapToGrid w:val="0"/>
      <w:kern w:val="24"/>
      <w:sz w:val="24"/>
      <w:szCs w:val="24"/>
      <w:lang w:val="en-US" w:eastAsia="zh-CN" w:bidi="ar-SA"/>
    </w:rPr>
  </w:style>
  <w:style w:type="character" w:customStyle="1" w:styleId="2690">
    <w:name w:val="Char Char183"/>
    <w:semiHidden/>
    <w:qFormat/>
    <w:uiPriority w:val="0"/>
    <w:rPr>
      <w:rFonts w:eastAsia="宋体"/>
      <w:snapToGrid w:val="0"/>
      <w:kern w:val="24"/>
      <w:sz w:val="24"/>
      <w:szCs w:val="24"/>
      <w:lang w:val="en-US" w:eastAsia="zh-CN" w:bidi="ar-SA"/>
    </w:rPr>
  </w:style>
  <w:style w:type="character" w:customStyle="1" w:styleId="2691">
    <w:name w:val="Char Char194"/>
    <w:semiHidden/>
    <w:qFormat/>
    <w:uiPriority w:val="0"/>
    <w:rPr>
      <w:rFonts w:eastAsia="宋体"/>
      <w:snapToGrid w:val="0"/>
      <w:kern w:val="24"/>
      <w:sz w:val="18"/>
      <w:szCs w:val="18"/>
      <w:lang w:val="en-US" w:eastAsia="zh-CN" w:bidi="ar-SA"/>
    </w:rPr>
  </w:style>
  <w:style w:type="character" w:customStyle="1" w:styleId="2692">
    <w:name w:val="Char Char213"/>
    <w:qFormat/>
    <w:uiPriority w:val="0"/>
    <w:rPr>
      <w:snapToGrid/>
      <w:kern w:val="24"/>
      <w:sz w:val="24"/>
      <w:szCs w:val="24"/>
    </w:rPr>
  </w:style>
  <w:style w:type="character" w:customStyle="1" w:styleId="2693">
    <w:name w:val="Char Char164"/>
    <w:semiHidden/>
    <w:qFormat/>
    <w:uiPriority w:val="0"/>
    <w:rPr>
      <w:rFonts w:eastAsia="宋体"/>
      <w:kern w:val="2"/>
      <w:sz w:val="21"/>
      <w:szCs w:val="24"/>
      <w:lang w:val="en-US" w:eastAsia="zh-CN" w:bidi="ar-SA"/>
    </w:rPr>
  </w:style>
  <w:style w:type="character" w:customStyle="1" w:styleId="2694">
    <w:name w:val="Char Char142"/>
    <w:semiHidden/>
    <w:qFormat/>
    <w:uiPriority w:val="0"/>
    <w:rPr>
      <w:rFonts w:eastAsia="宋体"/>
      <w:snapToGrid w:val="0"/>
      <w:kern w:val="24"/>
      <w:sz w:val="18"/>
      <w:szCs w:val="18"/>
      <w:lang w:val="en-US" w:eastAsia="zh-CN" w:bidi="ar-SA"/>
    </w:rPr>
  </w:style>
  <w:style w:type="paragraph" w:customStyle="1" w:styleId="2695">
    <w:name w:val="修订6"/>
    <w:semiHidden/>
    <w:qFormat/>
    <w:uiPriority w:val="99"/>
    <w:rPr>
      <w:rFonts w:ascii="Arial" w:hAnsi="Arial" w:eastAsia="仿宋_GB2312" w:cs="Times New Roman"/>
      <w:kern w:val="2"/>
      <w:sz w:val="24"/>
      <w:szCs w:val="24"/>
      <w:lang w:val="en-US" w:eastAsia="zh-CN" w:bidi="ar-SA"/>
    </w:rPr>
  </w:style>
  <w:style w:type="paragraph" w:customStyle="1" w:styleId="2696">
    <w:name w:val="Char Char Char Char Char Char Char Char Char Char Char Char Char Char Char Char Char Char Char Char Char Char Char Char4"/>
    <w:basedOn w:val="1"/>
    <w:qFormat/>
    <w:uiPriority w:val="99"/>
    <w:pPr>
      <w:widowControl w:val="0"/>
      <w:spacing w:line="240" w:lineRule="auto"/>
    </w:pPr>
    <w:rPr>
      <w:rFonts w:eastAsia="宋体"/>
      <w:sz w:val="21"/>
      <w:szCs w:val="24"/>
    </w:rPr>
  </w:style>
  <w:style w:type="paragraph" w:customStyle="1" w:styleId="2697">
    <w:name w:val="日期6"/>
    <w:basedOn w:val="1"/>
    <w:next w:val="1"/>
    <w:qFormat/>
    <w:uiPriority w:val="99"/>
    <w:pPr>
      <w:widowControl w:val="0"/>
      <w:adjustRightInd w:val="0"/>
      <w:spacing w:line="240" w:lineRule="auto"/>
      <w:textAlignment w:val="baseline"/>
    </w:pPr>
    <w:rPr>
      <w:rFonts w:eastAsia="宋体"/>
      <w:sz w:val="21"/>
      <w:szCs w:val="20"/>
    </w:rPr>
  </w:style>
  <w:style w:type="paragraph" w:customStyle="1" w:styleId="2698">
    <w:name w:val="Char15"/>
    <w:basedOn w:val="1"/>
    <w:semiHidden/>
    <w:qFormat/>
    <w:uiPriority w:val="99"/>
    <w:pPr>
      <w:widowControl w:val="0"/>
      <w:spacing w:line="240" w:lineRule="auto"/>
    </w:pPr>
    <w:rPr>
      <w:rFonts w:ascii="Tahoma" w:hAnsi="Tahoma" w:eastAsia="宋体"/>
      <w:szCs w:val="20"/>
    </w:rPr>
  </w:style>
  <w:style w:type="paragraph" w:customStyle="1" w:styleId="2699">
    <w:name w:val="Char Char50"/>
    <w:basedOn w:val="1"/>
    <w:qFormat/>
    <w:uiPriority w:val="99"/>
    <w:pPr>
      <w:widowControl w:val="0"/>
      <w:spacing w:line="240" w:lineRule="auto"/>
    </w:pPr>
    <w:rPr>
      <w:rFonts w:eastAsia="宋体"/>
      <w:sz w:val="21"/>
      <w:szCs w:val="24"/>
    </w:rPr>
  </w:style>
  <w:style w:type="paragraph" w:customStyle="1" w:styleId="2700">
    <w:name w:val="Char Char Char Char Char Char Char Char Char Char Char Char Char Char Char5"/>
    <w:basedOn w:val="1"/>
    <w:semiHidden/>
    <w:qFormat/>
    <w:uiPriority w:val="99"/>
    <w:pPr>
      <w:widowControl w:val="0"/>
      <w:spacing w:line="240" w:lineRule="auto"/>
    </w:pPr>
    <w:rPr>
      <w:rFonts w:ascii="宋体" w:hAnsi="宋体" w:eastAsia="宋体" w:cs="宋体"/>
      <w:szCs w:val="24"/>
    </w:rPr>
  </w:style>
  <w:style w:type="paragraph" w:customStyle="1" w:styleId="2701">
    <w:name w:val="Char Char Char Char Char Char1 Char Char4 Char4"/>
    <w:basedOn w:val="1"/>
    <w:next w:val="1"/>
    <w:semiHidden/>
    <w:qFormat/>
    <w:uiPriority w:val="99"/>
    <w:pPr>
      <w:widowControl w:val="0"/>
      <w:spacing w:line="336" w:lineRule="auto"/>
      <w:ind w:firstLine="200" w:firstLineChars="200"/>
    </w:pPr>
    <w:rPr>
      <w:rFonts w:ascii="宋体" w:hAnsi="宋体" w:eastAsia="汉鼎简书宋" w:cs="宋体"/>
      <w:spacing w:val="4"/>
      <w:szCs w:val="24"/>
    </w:rPr>
  </w:style>
  <w:style w:type="paragraph" w:customStyle="1" w:styleId="2702">
    <w:name w:val="Char Char1 Char Char Char Char Char Char Char Char Char Char Char Char Char Char Char Char Char Char Char Char1 Char4"/>
    <w:basedOn w:val="1"/>
    <w:qFormat/>
    <w:uiPriority w:val="99"/>
    <w:pPr>
      <w:widowControl w:val="0"/>
      <w:jc w:val="left"/>
    </w:pPr>
    <w:rPr>
      <w:rFonts w:ascii="宋体" w:hAnsi="宋体" w:eastAsia="宋体" w:cs="宋体"/>
      <w:sz w:val="28"/>
      <w:szCs w:val="24"/>
    </w:rPr>
  </w:style>
  <w:style w:type="paragraph" w:customStyle="1" w:styleId="2703">
    <w:name w:val="Char Char1 Char Char Char Char Char Char Char Char Char Char Char Char1 Char2"/>
    <w:basedOn w:val="1"/>
    <w:semiHidden/>
    <w:qFormat/>
    <w:uiPriority w:val="99"/>
    <w:pPr>
      <w:widowControl w:val="0"/>
      <w:tabs>
        <w:tab w:val="left" w:pos="794"/>
        <w:tab w:val="left" w:pos="1191"/>
        <w:tab w:val="left" w:pos="1588"/>
        <w:tab w:val="left" w:pos="1985"/>
      </w:tabs>
      <w:autoSpaceDE w:val="0"/>
      <w:autoSpaceDN w:val="0"/>
      <w:adjustRightInd w:val="0"/>
      <w:spacing w:before="136" w:line="240" w:lineRule="auto"/>
    </w:pPr>
    <w:rPr>
      <w:rFonts w:ascii="Tahoma" w:hAnsi="Tahoma" w:eastAsia="宋体"/>
      <w:szCs w:val="24"/>
      <w:lang w:val="en-GB"/>
    </w:rPr>
  </w:style>
  <w:style w:type="paragraph" w:customStyle="1" w:styleId="2704">
    <w:name w:val="编制依据-L"/>
    <w:basedOn w:val="250"/>
    <w:qFormat/>
    <w:uiPriority w:val="0"/>
    <w:pPr>
      <w:widowControl w:val="0"/>
      <w:numPr>
        <w:ilvl w:val="0"/>
        <w:numId w:val="9"/>
      </w:numPr>
      <w:adjustRightInd w:val="0"/>
      <w:snapToGrid w:val="0"/>
      <w:spacing w:line="440" w:lineRule="exact"/>
      <w:ind w:left="5242" w:firstLine="0"/>
    </w:pPr>
    <w:rPr>
      <w:rFonts w:eastAsia="宋体" w:cs="Arial"/>
      <w:szCs w:val="21"/>
    </w:rPr>
  </w:style>
  <w:style w:type="paragraph" w:customStyle="1" w:styleId="2705">
    <w:name w:val="我的正文"/>
    <w:basedOn w:val="1"/>
    <w:qFormat/>
    <w:uiPriority w:val="0"/>
    <w:pPr>
      <w:widowControl w:val="0"/>
      <w:adjustRightInd w:val="0"/>
      <w:snapToGrid w:val="0"/>
      <w:spacing w:line="500" w:lineRule="exact"/>
      <w:ind w:firstLine="200" w:firstLineChars="200"/>
    </w:pPr>
    <w:rPr>
      <w:rFonts w:eastAsia="宋体"/>
      <w:snapToGrid w:val="0"/>
      <w:kern w:val="24"/>
      <w:szCs w:val="24"/>
    </w:rPr>
  </w:style>
  <w:style w:type="character" w:customStyle="1" w:styleId="2706">
    <w:name w:val="表内字体111 Char"/>
    <w:link w:val="2707"/>
    <w:qFormat/>
    <w:uiPriority w:val="0"/>
    <w:rPr>
      <w:sz w:val="22"/>
      <w:szCs w:val="24"/>
    </w:rPr>
  </w:style>
  <w:style w:type="paragraph" w:customStyle="1" w:styleId="2707">
    <w:name w:val="表内字体111"/>
    <w:basedOn w:val="1"/>
    <w:link w:val="2706"/>
    <w:qFormat/>
    <w:uiPriority w:val="0"/>
    <w:pPr>
      <w:widowControl w:val="0"/>
      <w:adjustRightInd w:val="0"/>
      <w:snapToGrid w:val="0"/>
      <w:spacing w:line="240" w:lineRule="auto"/>
      <w:jc w:val="center"/>
    </w:pPr>
    <w:rPr>
      <w:rFonts w:ascii="等线" w:hAnsi="等线"/>
      <w:kern w:val="0"/>
      <w:sz w:val="22"/>
      <w:szCs w:val="24"/>
    </w:rPr>
  </w:style>
  <w:style w:type="character" w:customStyle="1" w:styleId="2708">
    <w:name w:val="标题 3 Char2"/>
    <w:qFormat/>
    <w:locked/>
    <w:uiPriority w:val="99"/>
    <w:rPr>
      <w:rFonts w:ascii="宋体" w:hAnsi="宋体"/>
      <w:b/>
      <w:kern w:val="21"/>
      <w:sz w:val="24"/>
      <w:szCs w:val="24"/>
    </w:rPr>
  </w:style>
  <w:style w:type="character" w:customStyle="1" w:styleId="2709">
    <w:name w:val="标题 1 Char1"/>
    <w:qFormat/>
    <w:locked/>
    <w:uiPriority w:val="0"/>
    <w:rPr>
      <w:b/>
      <w:kern w:val="30"/>
      <w:sz w:val="32"/>
      <w:szCs w:val="30"/>
    </w:rPr>
  </w:style>
  <w:style w:type="character" w:customStyle="1" w:styleId="2710">
    <w:name w:val="正文文本 Char1"/>
    <w:semiHidden/>
    <w:qFormat/>
    <w:uiPriority w:val="0"/>
    <w:rPr>
      <w:rFonts w:ascii="Times New Roman" w:hAnsi="Times New Roman" w:eastAsia="宋体" w:cs="Times New Roman"/>
      <w:snapToGrid w:val="0"/>
      <w:kern w:val="24"/>
      <w:sz w:val="24"/>
      <w:szCs w:val="24"/>
    </w:rPr>
  </w:style>
  <w:style w:type="paragraph" w:customStyle="1" w:styleId="2711">
    <w:name w:val="z-窗体顶端11"/>
    <w:basedOn w:val="1"/>
    <w:next w:val="1"/>
    <w:qFormat/>
    <w:uiPriority w:val="0"/>
    <w:pPr>
      <w:pBdr>
        <w:bottom w:val="single" w:color="auto" w:sz="6" w:space="1"/>
      </w:pBdr>
      <w:spacing w:line="240" w:lineRule="auto"/>
      <w:jc w:val="center"/>
    </w:pPr>
    <w:rPr>
      <w:rFonts w:ascii="Arial" w:hAnsi="Arial" w:eastAsia="宋体"/>
      <w:vanish/>
      <w:kern w:val="0"/>
      <w:sz w:val="16"/>
      <w:szCs w:val="16"/>
    </w:rPr>
  </w:style>
  <w:style w:type="paragraph" w:customStyle="1" w:styleId="2712">
    <w:name w:val="正文缩进2"/>
    <w:basedOn w:val="1"/>
    <w:semiHidden/>
    <w:qFormat/>
    <w:uiPriority w:val="0"/>
    <w:pPr>
      <w:widowControl w:val="0"/>
      <w:spacing w:line="240" w:lineRule="auto"/>
      <w:ind w:firstLine="420" w:firstLineChars="200"/>
    </w:pPr>
    <w:rPr>
      <w:rFonts w:ascii="Calibri" w:hAnsi="Calibri" w:eastAsia="宋体"/>
      <w:sz w:val="21"/>
      <w:szCs w:val="20"/>
    </w:rPr>
  </w:style>
  <w:style w:type="character" w:customStyle="1" w:styleId="2713">
    <w:name w:val="正文缩进1 Char"/>
    <w:semiHidden/>
    <w:qFormat/>
    <w:uiPriority w:val="0"/>
    <w:rPr>
      <w:rFonts w:eastAsia="宋体"/>
      <w:kern w:val="2"/>
      <w:sz w:val="24"/>
      <w:lang w:val="en-US" w:eastAsia="zh-CN"/>
    </w:rPr>
  </w:style>
  <w:style w:type="character" w:customStyle="1" w:styleId="2714">
    <w:name w:val="表标 Char"/>
    <w:link w:val="2715"/>
    <w:semiHidden/>
    <w:qFormat/>
    <w:locked/>
    <w:uiPriority w:val="0"/>
    <w:rPr>
      <w:rFonts w:ascii="Calibri" w:hAnsi="Calibri"/>
      <w:szCs w:val="21"/>
    </w:rPr>
  </w:style>
  <w:style w:type="paragraph" w:customStyle="1" w:styleId="2715">
    <w:name w:val="表标"/>
    <w:link w:val="2714"/>
    <w:semiHidden/>
    <w:qFormat/>
    <w:uiPriority w:val="0"/>
    <w:pPr>
      <w:widowControl w:val="0"/>
      <w:tabs>
        <w:tab w:val="left" w:pos="8207"/>
      </w:tabs>
      <w:adjustRightInd w:val="0"/>
      <w:snapToGrid w:val="0"/>
      <w:spacing w:beforeLines="50" w:afterLines="20"/>
      <w:jc w:val="center"/>
      <w:textAlignment w:val="baseline"/>
    </w:pPr>
    <w:rPr>
      <w:rFonts w:ascii="Calibri" w:hAnsi="Calibri" w:eastAsia="等线" w:cs="Times New Roman"/>
      <w:szCs w:val="21"/>
      <w:lang w:val="en-US" w:eastAsia="zh-CN" w:bidi="ar-SA"/>
    </w:rPr>
  </w:style>
  <w:style w:type="paragraph" w:customStyle="1" w:styleId="2716">
    <w:name w:val="二级标题"/>
    <w:basedOn w:val="1"/>
    <w:next w:val="1"/>
    <w:semiHidden/>
    <w:qFormat/>
    <w:uiPriority w:val="0"/>
    <w:pPr>
      <w:widowControl w:val="0"/>
      <w:tabs>
        <w:tab w:val="left" w:pos="851"/>
      </w:tabs>
      <w:spacing w:beforeLines="100" w:afterLines="50" w:line="500" w:lineRule="exact"/>
      <w:outlineLvl w:val="1"/>
    </w:pPr>
    <w:rPr>
      <w:rFonts w:eastAsia="宋体"/>
      <w:b/>
      <w:bCs/>
      <w:sz w:val="36"/>
      <w:szCs w:val="24"/>
    </w:rPr>
  </w:style>
  <w:style w:type="paragraph" w:customStyle="1" w:styleId="2717">
    <w:name w:val="一级标题"/>
    <w:basedOn w:val="1"/>
    <w:next w:val="2716"/>
    <w:semiHidden/>
    <w:qFormat/>
    <w:uiPriority w:val="0"/>
    <w:pPr>
      <w:widowControl w:val="0"/>
      <w:tabs>
        <w:tab w:val="left" w:pos="567"/>
      </w:tabs>
      <w:spacing w:beforeLines="50" w:afterLines="50" w:line="500" w:lineRule="exact"/>
      <w:outlineLvl w:val="0"/>
    </w:pPr>
    <w:rPr>
      <w:rFonts w:ascii="黑体" w:eastAsia="黑体" w:cs="宋体"/>
      <w:b/>
      <w:sz w:val="44"/>
      <w:szCs w:val="44"/>
    </w:rPr>
  </w:style>
  <w:style w:type="character" w:customStyle="1" w:styleId="2718">
    <w:name w:val="标题 5 Char1"/>
    <w:qFormat/>
    <w:uiPriority w:val="9"/>
    <w:rPr>
      <w:b/>
      <w:kern w:val="24"/>
      <w:sz w:val="24"/>
    </w:rPr>
  </w:style>
  <w:style w:type="character" w:customStyle="1" w:styleId="2719">
    <w:name w:val="标题 3 Char1"/>
    <w:qFormat/>
    <w:uiPriority w:val="99"/>
    <w:rPr>
      <w:b/>
      <w:kern w:val="24"/>
      <w:sz w:val="32"/>
    </w:rPr>
  </w:style>
  <w:style w:type="character" w:customStyle="1" w:styleId="2720">
    <w:name w:val="标题 7 Char1"/>
    <w:semiHidden/>
    <w:qFormat/>
    <w:uiPriority w:val="0"/>
    <w:rPr>
      <w:b/>
      <w:kern w:val="24"/>
      <w:sz w:val="24"/>
    </w:rPr>
  </w:style>
  <w:style w:type="paragraph" w:customStyle="1" w:styleId="2721">
    <w:name w:val="副标题 1"/>
    <w:basedOn w:val="3"/>
    <w:semiHidden/>
    <w:qFormat/>
    <w:uiPriority w:val="0"/>
    <w:pPr>
      <w:keepNext w:val="0"/>
      <w:widowControl w:val="0"/>
      <w:tabs>
        <w:tab w:val="left" w:pos="360"/>
        <w:tab w:val="left" w:pos="568"/>
      </w:tabs>
      <w:adjustRightInd w:val="0"/>
      <w:spacing w:before="0" w:beforeLines="50" w:after="0" w:line="400" w:lineRule="atLeast"/>
      <w:textAlignment w:val="baseline"/>
      <w:outlineLvl w:val="9"/>
    </w:pPr>
    <w:rPr>
      <w:rFonts w:ascii="仿宋_GB2312" w:eastAsia="仿宋_GB2312" w:cs="仿宋_GB2312"/>
      <w:bCs w:val="0"/>
      <w:sz w:val="28"/>
      <w:szCs w:val="28"/>
    </w:rPr>
  </w:style>
  <w:style w:type="paragraph" w:customStyle="1" w:styleId="2722">
    <w:name w:val="修订211"/>
    <w:semiHidden/>
    <w:qFormat/>
    <w:uiPriority w:val="99"/>
    <w:rPr>
      <w:rFonts w:ascii="Times New Roman" w:hAnsi="Times New Roman" w:eastAsia="宋体" w:cs="Times New Roman"/>
      <w:kern w:val="24"/>
      <w:sz w:val="24"/>
      <w:szCs w:val="24"/>
      <w:lang w:val="en-US" w:eastAsia="zh-CN" w:bidi="ar-SA"/>
    </w:rPr>
  </w:style>
  <w:style w:type="paragraph" w:customStyle="1" w:styleId="2723">
    <w:name w:val="样|||"/>
    <w:basedOn w:val="1"/>
    <w:semiHidden/>
    <w:qFormat/>
    <w:uiPriority w:val="99"/>
    <w:pPr>
      <w:widowControl w:val="0"/>
      <w:adjustRightInd w:val="0"/>
      <w:spacing w:line="500" w:lineRule="exact"/>
      <w:ind w:firstLine="200" w:firstLineChars="200"/>
      <w:textAlignment w:val="baseline"/>
    </w:pPr>
    <w:rPr>
      <w:rFonts w:ascii="宋体" w:hAnsi="Courier New" w:eastAsia="宋体"/>
      <w:kern w:val="0"/>
      <w:sz w:val="28"/>
      <w:szCs w:val="20"/>
    </w:rPr>
  </w:style>
  <w:style w:type="paragraph" w:customStyle="1" w:styleId="2724">
    <w:name w:val="环评报告正文"/>
    <w:basedOn w:val="1"/>
    <w:link w:val="2725"/>
    <w:qFormat/>
    <w:uiPriority w:val="0"/>
    <w:pPr>
      <w:widowControl w:val="0"/>
      <w:ind w:firstLine="480" w:firstLineChars="200"/>
    </w:pPr>
    <w:rPr>
      <w:rFonts w:eastAsia="宋体"/>
      <w:color w:val="000000"/>
      <w:kern w:val="0"/>
      <w:szCs w:val="24"/>
    </w:rPr>
  </w:style>
  <w:style w:type="character" w:customStyle="1" w:styleId="2725">
    <w:name w:val="环评报告正文 Char"/>
    <w:link w:val="2724"/>
    <w:qFormat/>
    <w:locked/>
    <w:uiPriority w:val="0"/>
    <w:rPr>
      <w:rFonts w:ascii="Times New Roman" w:hAnsi="Times New Roman" w:eastAsia="宋体"/>
      <w:color w:val="000000"/>
      <w:sz w:val="24"/>
      <w:szCs w:val="24"/>
    </w:rPr>
  </w:style>
  <w:style w:type="paragraph" w:customStyle="1" w:styleId="2726">
    <w:name w:val="正文文本缩进1"/>
    <w:basedOn w:val="1"/>
    <w:qFormat/>
    <w:uiPriority w:val="0"/>
    <w:pPr>
      <w:spacing w:after="120"/>
      <w:ind w:left="420" w:leftChars="200" w:firstLine="200" w:firstLineChars="200"/>
    </w:pPr>
    <w:rPr>
      <w:rFonts w:ascii="Calibri" w:hAnsi="Calibri" w:eastAsia="宋体"/>
      <w:kern w:val="0"/>
      <w:szCs w:val="24"/>
    </w:rPr>
  </w:style>
  <w:style w:type="character" w:customStyle="1" w:styleId="2727">
    <w:name w:val="表文 Char Char"/>
    <w:qFormat/>
    <w:locked/>
    <w:uiPriority w:val="0"/>
    <w:rPr>
      <w:rFonts w:ascii="黑体" w:hAnsi="宋体"/>
    </w:rPr>
  </w:style>
  <w:style w:type="paragraph" w:customStyle="1" w:styleId="2728">
    <w:name w:val="大标题"/>
    <w:basedOn w:val="3"/>
    <w:next w:val="1"/>
    <w:qFormat/>
    <w:uiPriority w:val="0"/>
    <w:pPr>
      <w:widowControl w:val="0"/>
      <w:tabs>
        <w:tab w:val="left" w:pos="568"/>
      </w:tabs>
      <w:spacing w:before="0"/>
      <w:ind w:firstLine="200" w:firstLineChars="200"/>
    </w:pPr>
    <w:rPr>
      <w:rFonts w:eastAsia="宋体"/>
      <w:sz w:val="36"/>
    </w:rPr>
  </w:style>
  <w:style w:type="paragraph" w:customStyle="1" w:styleId="2729">
    <w:name w:val="Char Char Char Char Char Char Char Char Char Char Char Char Char Char Char Char Char Char Char Char Char Char1"/>
    <w:basedOn w:val="1"/>
    <w:qFormat/>
    <w:uiPriority w:val="0"/>
    <w:pPr>
      <w:widowControl w:val="0"/>
      <w:spacing w:line="240" w:lineRule="auto"/>
    </w:pPr>
    <w:rPr>
      <w:rFonts w:ascii="宋体" w:hAnsi="宋体" w:eastAsia="仿宋_GB2312" w:cs="Courier New"/>
      <w:sz w:val="32"/>
      <w:szCs w:val="32"/>
    </w:rPr>
  </w:style>
  <w:style w:type="paragraph" w:customStyle="1" w:styleId="2730">
    <w:name w:val="5 表格"/>
    <w:basedOn w:val="2731"/>
    <w:qFormat/>
    <w:uiPriority w:val="0"/>
    <w:pPr>
      <w:tabs>
        <w:tab w:val="left" w:pos="360"/>
        <w:tab w:val="left" w:pos="540"/>
        <w:tab w:val="left" w:pos="720"/>
      </w:tabs>
      <w:spacing w:line="400" w:lineRule="exact"/>
      <w:ind w:firstLine="0" w:firstLineChars="0"/>
      <w:jc w:val="center"/>
    </w:pPr>
    <w:rPr>
      <w:sz w:val="21"/>
    </w:rPr>
  </w:style>
  <w:style w:type="paragraph" w:customStyle="1" w:styleId="2731">
    <w:name w:val="6 正文"/>
    <w:basedOn w:val="1"/>
    <w:qFormat/>
    <w:uiPriority w:val="99"/>
    <w:pPr>
      <w:tabs>
        <w:tab w:val="left" w:pos="360"/>
        <w:tab w:val="left" w:pos="540"/>
        <w:tab w:val="left" w:pos="720"/>
      </w:tabs>
      <w:spacing w:line="500" w:lineRule="exact"/>
      <w:ind w:firstLine="200" w:firstLineChars="200"/>
    </w:pPr>
    <w:rPr>
      <w:rFonts w:eastAsia="宋体"/>
      <w:szCs w:val="24"/>
    </w:rPr>
  </w:style>
  <w:style w:type="paragraph" w:customStyle="1" w:styleId="2732">
    <w:name w:val="环评标题3"/>
    <w:basedOn w:val="5"/>
    <w:next w:val="1"/>
    <w:qFormat/>
    <w:uiPriority w:val="0"/>
    <w:pPr>
      <w:widowControl w:val="0"/>
      <w:tabs>
        <w:tab w:val="left" w:pos="568"/>
      </w:tabs>
      <w:spacing w:before="0" w:after="0" w:line="500" w:lineRule="exact"/>
    </w:pPr>
    <w:rPr>
      <w:rFonts w:ascii="宋体" w:hAnsi="宋体" w:eastAsia="宋体"/>
      <w:bCs w:val="0"/>
      <w:sz w:val="24"/>
    </w:rPr>
  </w:style>
  <w:style w:type="paragraph" w:customStyle="1" w:styleId="2733">
    <w:name w:val="环评标题1"/>
    <w:basedOn w:val="3"/>
    <w:next w:val="1"/>
    <w:qFormat/>
    <w:uiPriority w:val="0"/>
    <w:pPr>
      <w:widowControl w:val="0"/>
      <w:tabs>
        <w:tab w:val="left" w:pos="568"/>
      </w:tabs>
      <w:spacing w:beforeLines="50" w:after="0" w:line="560" w:lineRule="exact"/>
    </w:pPr>
    <w:rPr>
      <w:rFonts w:eastAsia="宋体"/>
      <w:sz w:val="32"/>
    </w:rPr>
  </w:style>
  <w:style w:type="paragraph" w:customStyle="1" w:styleId="2734">
    <w:name w:val="Char Char Char Char Char Char Char Char Char Char Char Char Char Char Char Char Char Char Char Char Char Char2"/>
    <w:basedOn w:val="1"/>
    <w:qFormat/>
    <w:uiPriority w:val="0"/>
    <w:pPr>
      <w:widowControl w:val="0"/>
      <w:spacing w:line="240" w:lineRule="auto"/>
    </w:pPr>
    <w:rPr>
      <w:rFonts w:ascii="宋体" w:hAnsi="宋体" w:eastAsia="仿宋_GB2312" w:cs="Courier New"/>
      <w:sz w:val="32"/>
      <w:szCs w:val="32"/>
    </w:rPr>
  </w:style>
  <w:style w:type="paragraph" w:customStyle="1" w:styleId="2735">
    <w:name w:val="表格内格式"/>
    <w:basedOn w:val="1"/>
    <w:qFormat/>
    <w:uiPriority w:val="0"/>
    <w:pPr>
      <w:widowControl w:val="0"/>
      <w:autoSpaceDE w:val="0"/>
      <w:autoSpaceDN w:val="0"/>
      <w:adjustRightInd w:val="0"/>
      <w:spacing w:line="240" w:lineRule="exact"/>
      <w:jc w:val="center"/>
      <w:textAlignment w:val="baseline"/>
    </w:pPr>
    <w:rPr>
      <w:rFonts w:ascii="宋体" w:eastAsia="宋体"/>
      <w:kern w:val="21"/>
    </w:rPr>
  </w:style>
  <w:style w:type="character" w:customStyle="1" w:styleId="2736">
    <w:name w:val="标题2 Char1"/>
    <w:qFormat/>
    <w:uiPriority w:val="0"/>
    <w:rPr>
      <w:rFonts w:cs="Times New Roman"/>
      <w:b/>
      <w:kern w:val="2"/>
      <w:sz w:val="28"/>
      <w:szCs w:val="28"/>
    </w:rPr>
  </w:style>
  <w:style w:type="character" w:customStyle="1" w:styleId="2737">
    <w:name w:val="标题3 Char"/>
    <w:link w:val="212"/>
    <w:qFormat/>
    <w:locked/>
    <w:uiPriority w:val="0"/>
    <w:rPr>
      <w:rFonts w:ascii="Wingdings" w:hAnsi="Wingdings" w:eastAsia="宋体" w:cs="宋体"/>
      <w:b/>
      <w:bCs/>
      <w:kern w:val="2"/>
      <w:sz w:val="26"/>
      <w:szCs w:val="26"/>
    </w:rPr>
  </w:style>
  <w:style w:type="paragraph" w:customStyle="1" w:styleId="2738">
    <w:name w:val="表头11"/>
    <w:basedOn w:val="1"/>
    <w:link w:val="2739"/>
    <w:qFormat/>
    <w:uiPriority w:val="0"/>
    <w:pPr>
      <w:widowControl w:val="0"/>
      <w:adjustRightInd w:val="0"/>
      <w:snapToGrid w:val="0"/>
      <w:spacing w:beforeLines="30" w:afterLines="10" w:line="460" w:lineRule="exact"/>
      <w:jc w:val="center"/>
    </w:pPr>
    <w:rPr>
      <w:rFonts w:eastAsia="宋体"/>
      <w:b/>
      <w:snapToGrid w:val="0"/>
      <w:kern w:val="0"/>
      <w:szCs w:val="20"/>
    </w:rPr>
  </w:style>
  <w:style w:type="character" w:customStyle="1" w:styleId="2739">
    <w:name w:val="表头11 Char"/>
    <w:link w:val="2738"/>
    <w:qFormat/>
    <w:locked/>
    <w:uiPriority w:val="0"/>
    <w:rPr>
      <w:rFonts w:ascii="Times New Roman" w:hAnsi="Times New Roman" w:eastAsia="宋体"/>
      <w:b/>
      <w:snapToGrid w:val="0"/>
      <w:sz w:val="24"/>
    </w:rPr>
  </w:style>
  <w:style w:type="paragraph" w:customStyle="1" w:styleId="2740">
    <w:name w:val="Char Char1 Char Char Char Char Char Char Char"/>
    <w:basedOn w:val="1"/>
    <w:qFormat/>
    <w:uiPriority w:val="0"/>
    <w:pPr>
      <w:widowControl w:val="0"/>
    </w:pPr>
    <w:rPr>
      <w:rFonts w:eastAsia="宋体"/>
      <w:sz w:val="21"/>
      <w:szCs w:val="20"/>
    </w:rPr>
  </w:style>
  <w:style w:type="character" w:customStyle="1" w:styleId="2741">
    <w:name w:val="样式1 表格内容 Char Char Char"/>
    <w:link w:val="2742"/>
    <w:qFormat/>
    <w:locked/>
    <w:uiPriority w:val="99"/>
    <w:rPr>
      <w:rFonts w:ascii="宋体" w:eastAsia="宋体"/>
      <w:color w:val="FF0000"/>
    </w:rPr>
  </w:style>
  <w:style w:type="paragraph" w:customStyle="1" w:styleId="2742">
    <w:name w:val="样式1 表格内容"/>
    <w:basedOn w:val="1"/>
    <w:link w:val="2741"/>
    <w:qFormat/>
    <w:uiPriority w:val="99"/>
    <w:pPr>
      <w:widowControl w:val="0"/>
      <w:spacing w:line="340" w:lineRule="exact"/>
      <w:jc w:val="center"/>
    </w:pPr>
    <w:rPr>
      <w:rFonts w:ascii="宋体" w:hAnsi="等线" w:eastAsia="宋体"/>
      <w:color w:val="FF0000"/>
      <w:kern w:val="0"/>
      <w:sz w:val="20"/>
      <w:szCs w:val="20"/>
    </w:rPr>
  </w:style>
  <w:style w:type="character" w:customStyle="1" w:styleId="2743">
    <w:name w:val="style221"/>
    <w:qFormat/>
    <w:uiPriority w:val="99"/>
    <w:rPr>
      <w:rFonts w:ascii="Arial" w:hAnsi="Arial"/>
    </w:rPr>
  </w:style>
  <w:style w:type="paragraph" w:customStyle="1" w:styleId="2744">
    <w:name w:val="修订22"/>
    <w:semiHidden/>
    <w:qFormat/>
    <w:uiPriority w:val="99"/>
    <w:rPr>
      <w:rFonts w:ascii="Times New Roman" w:hAnsi="Times New Roman" w:eastAsia="宋体" w:cs="Times New Roman"/>
      <w:kern w:val="24"/>
      <w:sz w:val="24"/>
      <w:szCs w:val="24"/>
      <w:lang w:val="en-US" w:eastAsia="zh-CN" w:bidi="ar-SA"/>
    </w:rPr>
  </w:style>
  <w:style w:type="paragraph" w:customStyle="1" w:styleId="2745">
    <w:name w:val="样|||1"/>
    <w:basedOn w:val="1"/>
    <w:semiHidden/>
    <w:qFormat/>
    <w:uiPriority w:val="99"/>
    <w:pPr>
      <w:widowControl w:val="0"/>
      <w:adjustRightInd w:val="0"/>
      <w:spacing w:line="500" w:lineRule="exact"/>
      <w:ind w:firstLine="200" w:firstLineChars="200"/>
      <w:textAlignment w:val="baseline"/>
    </w:pPr>
    <w:rPr>
      <w:rFonts w:ascii="宋体" w:hAnsi="Courier New" w:eastAsia="宋体"/>
      <w:kern w:val="0"/>
      <w:sz w:val="28"/>
      <w:szCs w:val="20"/>
    </w:rPr>
  </w:style>
  <w:style w:type="character" w:customStyle="1" w:styleId="2746">
    <w:name w:val="xz"/>
    <w:qFormat/>
    <w:uiPriority w:val="99"/>
    <w:rPr>
      <w:rFonts w:cs="Times New Roman"/>
      <w:b/>
    </w:rPr>
  </w:style>
  <w:style w:type="paragraph" w:customStyle="1" w:styleId="2747">
    <w:name w:val="font2"/>
    <w:basedOn w:val="1"/>
    <w:qFormat/>
    <w:uiPriority w:val="0"/>
    <w:pPr>
      <w:spacing w:before="100" w:beforeAutospacing="1" w:after="100" w:afterAutospacing="1" w:line="240" w:lineRule="auto"/>
      <w:jc w:val="left"/>
    </w:pPr>
    <w:rPr>
      <w:rFonts w:ascii="宋体" w:hAnsi="宋体" w:eastAsia="宋体" w:cs="宋体"/>
      <w:color w:val="000000"/>
      <w:kern w:val="0"/>
      <w:sz w:val="18"/>
      <w:szCs w:val="18"/>
    </w:rPr>
  </w:style>
  <w:style w:type="paragraph" w:customStyle="1" w:styleId="2748">
    <w:name w:val="font3"/>
    <w:basedOn w:val="1"/>
    <w:qFormat/>
    <w:uiPriority w:val="0"/>
    <w:pPr>
      <w:spacing w:before="100" w:beforeAutospacing="1" w:after="100" w:afterAutospacing="1" w:line="240" w:lineRule="auto"/>
      <w:jc w:val="left"/>
    </w:pPr>
    <w:rPr>
      <w:rFonts w:ascii="宋体" w:hAnsi="宋体" w:eastAsia="宋体" w:cs="宋体"/>
      <w:color w:val="000000"/>
      <w:kern w:val="0"/>
      <w:sz w:val="18"/>
      <w:szCs w:val="18"/>
    </w:rPr>
  </w:style>
  <w:style w:type="paragraph" w:customStyle="1" w:styleId="2749">
    <w:name w:val="font4"/>
    <w:basedOn w:val="1"/>
    <w:qFormat/>
    <w:uiPriority w:val="0"/>
    <w:pPr>
      <w:spacing w:before="100" w:beforeAutospacing="1" w:after="100" w:afterAutospacing="1" w:line="240" w:lineRule="auto"/>
      <w:jc w:val="left"/>
    </w:pPr>
    <w:rPr>
      <w:rFonts w:ascii="MS Mincho" w:hAnsi="MS Mincho" w:eastAsia="MS Mincho" w:cs="宋体"/>
      <w:color w:val="000000"/>
      <w:kern w:val="0"/>
      <w:sz w:val="18"/>
      <w:szCs w:val="18"/>
    </w:rPr>
  </w:style>
  <w:style w:type="paragraph" w:customStyle="1" w:styleId="2750">
    <w:name w:val="et2"/>
    <w:basedOn w:val="1"/>
    <w:qFormat/>
    <w:uiPriority w:val="0"/>
    <w:pPr>
      <w:pBdr>
        <w:top w:val="single" w:color="000000" w:sz="12" w:space="0"/>
        <w:left w:val="single" w:color="000000" w:sz="12" w:space="0"/>
        <w:bottom w:val="single" w:color="000000" w:sz="12" w:space="0"/>
        <w:right w:val="single" w:color="000000" w:sz="8"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51">
    <w:name w:val="et3"/>
    <w:basedOn w:val="1"/>
    <w:qFormat/>
    <w:uiPriority w:val="0"/>
    <w:pPr>
      <w:pBdr>
        <w:top w:val="single" w:color="000000" w:sz="12" w:space="0"/>
        <w:left w:val="single" w:color="000000" w:sz="8" w:space="0"/>
        <w:bottom w:val="single" w:color="000000" w:sz="12" w:space="0"/>
        <w:right w:val="single" w:color="000000" w:sz="8"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52">
    <w:name w:val="et4"/>
    <w:basedOn w:val="1"/>
    <w:qFormat/>
    <w:uiPriority w:val="0"/>
    <w:pPr>
      <w:pBdr>
        <w:top w:val="single" w:color="000000" w:sz="12" w:space="0"/>
        <w:left w:val="single" w:color="000000" w:sz="8" w:space="0"/>
        <w:right w:val="single" w:color="000000" w:sz="8" w:space="0"/>
      </w:pBdr>
      <w:spacing w:before="100" w:beforeAutospacing="1" w:after="100" w:afterAutospacing="1" w:line="240" w:lineRule="auto"/>
      <w:jc w:val="center"/>
    </w:pPr>
    <w:rPr>
      <w:rFonts w:ascii="宋体" w:hAnsi="宋体" w:eastAsia="宋体" w:cs="宋体"/>
      <w:b/>
      <w:bCs/>
      <w:color w:val="000000"/>
      <w:kern w:val="0"/>
      <w:sz w:val="18"/>
      <w:szCs w:val="18"/>
    </w:rPr>
  </w:style>
  <w:style w:type="paragraph" w:customStyle="1" w:styleId="2753">
    <w:name w:val="et5"/>
    <w:basedOn w:val="1"/>
    <w:qFormat/>
    <w:uiPriority w:val="0"/>
    <w:pPr>
      <w:pBdr>
        <w:top w:val="single" w:color="000000" w:sz="12" w:space="0"/>
        <w:left w:val="single" w:color="000000" w:sz="8" w:space="0"/>
        <w:bottom w:val="single" w:color="000000" w:sz="12" w:space="0"/>
        <w:right w:val="single" w:color="000000" w:sz="8" w:space="0"/>
      </w:pBdr>
      <w:spacing w:before="100" w:beforeAutospacing="1" w:after="100" w:afterAutospacing="1" w:line="240" w:lineRule="auto"/>
      <w:jc w:val="center"/>
    </w:pPr>
    <w:rPr>
      <w:rFonts w:ascii="宋体" w:hAnsi="宋体" w:eastAsia="宋体" w:cs="宋体"/>
      <w:b/>
      <w:bCs/>
      <w:color w:val="000000"/>
      <w:kern w:val="0"/>
      <w:sz w:val="18"/>
      <w:szCs w:val="18"/>
    </w:rPr>
  </w:style>
  <w:style w:type="paragraph" w:customStyle="1" w:styleId="2754">
    <w:name w:val="et6"/>
    <w:basedOn w:val="1"/>
    <w:qFormat/>
    <w:uiPriority w:val="0"/>
    <w:pPr>
      <w:pBdr>
        <w:left w:val="single" w:color="000000" w:sz="8" w:space="0"/>
        <w:bottom w:val="single" w:color="000000" w:sz="12" w:space="0"/>
        <w:right w:val="single" w:color="000000" w:sz="8" w:space="0"/>
      </w:pBdr>
      <w:spacing w:before="100" w:beforeAutospacing="1" w:after="100" w:afterAutospacing="1" w:line="240" w:lineRule="auto"/>
      <w:jc w:val="center"/>
    </w:pPr>
    <w:rPr>
      <w:rFonts w:ascii="宋体" w:hAnsi="宋体" w:eastAsia="宋体" w:cs="宋体"/>
      <w:b/>
      <w:bCs/>
      <w:color w:val="000000"/>
      <w:kern w:val="0"/>
      <w:sz w:val="18"/>
      <w:szCs w:val="18"/>
    </w:rPr>
  </w:style>
  <w:style w:type="paragraph" w:customStyle="1" w:styleId="2755">
    <w:name w:val="et7"/>
    <w:basedOn w:val="1"/>
    <w:qFormat/>
    <w:uiPriority w:val="0"/>
    <w:pPr>
      <w:pBdr>
        <w:top w:val="single" w:color="000000" w:sz="8" w:space="0"/>
        <w:left w:val="single" w:color="000000" w:sz="12" w:space="0"/>
        <w:bottom w:val="single" w:color="000000" w:sz="8"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56">
    <w:name w:val="et8"/>
    <w:basedOn w:val="1"/>
    <w:qFormat/>
    <w:uiPriority w:val="0"/>
    <w:pPr>
      <w:pBdr>
        <w:top w:val="single" w:color="000000" w:sz="8" w:space="0"/>
        <w:bottom w:val="single" w:color="000000" w:sz="8"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57">
    <w:name w:val="et9"/>
    <w:basedOn w:val="1"/>
    <w:qFormat/>
    <w:uiPriority w:val="0"/>
    <w:pPr>
      <w:pBdr>
        <w:top w:val="single" w:color="000000" w:sz="8" w:space="0"/>
        <w:left w:val="single" w:color="000000" w:sz="12"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58">
    <w:name w:val="et10"/>
    <w:basedOn w:val="1"/>
    <w:qFormat/>
    <w:uiPriority w:val="0"/>
    <w:pPr>
      <w:pBdr>
        <w:top w:val="single" w:color="000000" w:sz="8" w:space="0"/>
        <w:lef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59">
    <w:name w:val="et11"/>
    <w:basedOn w:val="1"/>
    <w:qFormat/>
    <w:uiPriority w:val="0"/>
    <w:pPr>
      <w:pBdr>
        <w:top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0">
    <w:name w:val="et12"/>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1">
    <w:name w:val="et13"/>
    <w:basedOn w:val="1"/>
    <w:qFormat/>
    <w:uiPriority w:val="0"/>
    <w:pPr>
      <w:pBdr>
        <w:lef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2">
    <w:name w:val="et14"/>
    <w:basedOn w:val="1"/>
    <w:qFormat/>
    <w:uiPriority w:val="0"/>
    <w:pPr>
      <w:pBdr>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3">
    <w:name w:val="et15"/>
    <w:basedOn w:val="1"/>
    <w:qFormat/>
    <w:uiPriority w:val="0"/>
    <w:pPr>
      <w:spacing w:before="100" w:beforeAutospacing="1" w:after="100" w:afterAutospacing="1" w:line="240" w:lineRule="auto"/>
      <w:jc w:val="center"/>
    </w:pPr>
    <w:rPr>
      <w:rFonts w:ascii="宋体" w:hAnsi="宋体" w:eastAsia="宋体" w:cs="宋体"/>
      <w:color w:val="000000"/>
      <w:kern w:val="0"/>
      <w:sz w:val="18"/>
      <w:szCs w:val="18"/>
    </w:rPr>
  </w:style>
  <w:style w:type="paragraph" w:customStyle="1" w:styleId="2764">
    <w:name w:val="et16"/>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color w:val="000000"/>
      <w:kern w:val="0"/>
      <w:sz w:val="18"/>
      <w:szCs w:val="18"/>
    </w:rPr>
  </w:style>
  <w:style w:type="paragraph" w:customStyle="1" w:styleId="2765">
    <w:name w:val="et17"/>
    <w:basedOn w:val="1"/>
    <w:qFormat/>
    <w:uiPriority w:val="0"/>
    <w:pPr>
      <w:pBdr>
        <w:top w:val="single" w:color="000000" w:sz="12" w:space="0"/>
        <w:left w:val="single" w:color="000000" w:sz="8" w:space="0"/>
        <w:bottom w:val="single" w:color="000000" w:sz="12" w:space="0"/>
        <w:right w:val="single" w:color="000000" w:sz="12"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66">
    <w:name w:val="et18"/>
    <w:basedOn w:val="1"/>
    <w:qFormat/>
    <w:uiPriority w:val="0"/>
    <w:pPr>
      <w:pBdr>
        <w:top w:val="single" w:color="000000" w:sz="8" w:space="0"/>
        <w:bottom w:val="single" w:color="000000" w:sz="8" w:space="0"/>
        <w:right w:val="single" w:color="000000" w:sz="12" w:space="0"/>
      </w:pBdr>
      <w:spacing w:before="100" w:beforeAutospacing="1" w:after="100" w:afterAutospacing="1" w:line="240" w:lineRule="auto"/>
      <w:jc w:val="center"/>
    </w:pPr>
    <w:rPr>
      <w:rFonts w:ascii="宋体" w:hAnsi="宋体" w:eastAsia="宋体" w:cs="宋体"/>
      <w:b/>
      <w:bCs/>
      <w:kern w:val="0"/>
      <w:sz w:val="18"/>
      <w:szCs w:val="18"/>
    </w:rPr>
  </w:style>
  <w:style w:type="paragraph" w:customStyle="1" w:styleId="2767">
    <w:name w:val="et19"/>
    <w:basedOn w:val="1"/>
    <w:qFormat/>
    <w:uiPriority w:val="0"/>
    <w:pPr>
      <w:pBdr>
        <w:top w:val="single" w:color="000000" w:sz="8" w:space="0"/>
        <w:left w:val="single" w:color="000000" w:sz="8" w:space="0"/>
        <w:right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8">
    <w:name w:val="et20"/>
    <w:basedOn w:val="1"/>
    <w:qFormat/>
    <w:uiPriority w:val="0"/>
    <w:pPr>
      <w:pBdr>
        <w:left w:val="single" w:color="000000" w:sz="8" w:space="0"/>
        <w:right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69">
    <w:name w:val="et21"/>
    <w:basedOn w:val="1"/>
    <w:qFormat/>
    <w:uiPriority w:val="0"/>
    <w:pPr>
      <w:pBdr>
        <w:left w:val="single" w:color="000000" w:sz="8" w:space="0"/>
        <w:bottom w:val="single" w:color="000000" w:sz="8" w:space="0"/>
        <w:right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0">
    <w:name w:val="et22"/>
    <w:basedOn w:val="1"/>
    <w:qFormat/>
    <w:uiPriority w:val="0"/>
    <w:pPr>
      <w:pBdr>
        <w:left w:val="single" w:color="000000" w:sz="8" w:space="0"/>
        <w:bottom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1">
    <w:name w:val="et23"/>
    <w:basedOn w:val="1"/>
    <w:qFormat/>
    <w:uiPriority w:val="0"/>
    <w:pPr>
      <w:pBdr>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2">
    <w:name w:val="et24"/>
    <w:basedOn w:val="1"/>
    <w:qFormat/>
    <w:uiPriority w:val="0"/>
    <w:pPr>
      <w:pBdr>
        <w:top w:val="single" w:color="000000" w:sz="8" w:space="0"/>
        <w:left w:val="single" w:color="000000" w:sz="8" w:space="0"/>
        <w:bottom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3">
    <w:name w:val="et25"/>
    <w:basedOn w:val="1"/>
    <w:qFormat/>
    <w:uiPriority w:val="0"/>
    <w:pPr>
      <w:pBdr>
        <w:left w:val="single" w:color="000000" w:sz="8" w:space="0"/>
        <w:right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4">
    <w:name w:val="et2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5">
    <w:name w:val="et27"/>
    <w:basedOn w:val="1"/>
    <w:qFormat/>
    <w:uiPriority w:val="0"/>
    <w:pPr>
      <w:pBdr>
        <w:top w:val="single" w:color="000000" w:sz="8" w:space="0"/>
        <w:left w:val="single" w:color="000000" w:sz="8" w:space="0"/>
        <w:right w:val="single" w:color="000000" w:sz="8" w:space="0"/>
      </w:pBdr>
      <w:spacing w:before="100" w:beforeAutospacing="1" w:after="100" w:afterAutospacing="1" w:line="240" w:lineRule="auto"/>
      <w:ind w:firstLine="200" w:firstLineChars="200"/>
      <w:jc w:val="center"/>
    </w:pPr>
    <w:rPr>
      <w:rFonts w:ascii="宋体" w:hAnsi="宋体" w:eastAsia="宋体" w:cs="宋体"/>
      <w:color w:val="000000"/>
      <w:kern w:val="0"/>
      <w:sz w:val="18"/>
      <w:szCs w:val="18"/>
    </w:rPr>
  </w:style>
  <w:style w:type="paragraph" w:customStyle="1" w:styleId="2776">
    <w:name w:val="et28"/>
    <w:basedOn w:val="1"/>
    <w:qFormat/>
    <w:uiPriority w:val="0"/>
    <w:pPr>
      <w:pBdr>
        <w:top w:val="single" w:color="000000" w:sz="8" w:space="0"/>
        <w:left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7">
    <w:name w:val="et29"/>
    <w:basedOn w:val="1"/>
    <w:qFormat/>
    <w:uiPriority w:val="0"/>
    <w:pPr>
      <w:pBdr>
        <w:left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8">
    <w:name w:val="et30"/>
    <w:basedOn w:val="1"/>
    <w:qFormat/>
    <w:uiPriority w:val="0"/>
    <w:pPr>
      <w:pBdr>
        <w:top w:val="single" w:color="000000" w:sz="8" w:space="0"/>
        <w:left w:val="single" w:color="000000" w:sz="8" w:space="0"/>
        <w:bottom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79">
    <w:name w:val="et31"/>
    <w:basedOn w:val="1"/>
    <w:qFormat/>
    <w:uiPriority w:val="0"/>
    <w:pPr>
      <w:pBdr>
        <w:top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80">
    <w:name w:val="et32"/>
    <w:basedOn w:val="1"/>
    <w:qFormat/>
    <w:uiPriority w:val="0"/>
    <w:pPr>
      <w:pBdr>
        <w:top w:val="single" w:color="000000" w:sz="8" w:space="0"/>
        <w:left w:val="single" w:color="000000" w:sz="8" w:space="0"/>
        <w:bottom w:val="single" w:color="000000" w:sz="8" w:space="0"/>
        <w:right w:val="single" w:color="000000" w:sz="8" w:space="0"/>
      </w:pBdr>
      <w:shd w:val="clear" w:color="auto" w:fill="FFFF00"/>
      <w:spacing w:before="100" w:beforeAutospacing="1" w:after="100" w:afterAutospacing="1" w:line="240" w:lineRule="auto"/>
      <w:jc w:val="center"/>
    </w:pPr>
    <w:rPr>
      <w:rFonts w:ascii="宋体" w:hAnsi="宋体" w:eastAsia="宋体" w:cs="宋体"/>
      <w:kern w:val="0"/>
      <w:sz w:val="18"/>
      <w:szCs w:val="18"/>
    </w:rPr>
  </w:style>
  <w:style w:type="paragraph" w:customStyle="1" w:styleId="2781">
    <w:name w:val="et33"/>
    <w:basedOn w:val="1"/>
    <w:qFormat/>
    <w:uiPriority w:val="0"/>
    <w:pPr>
      <w:pBdr>
        <w:left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82">
    <w:name w:val="et34"/>
    <w:basedOn w:val="1"/>
    <w:qFormat/>
    <w:uiPriority w:val="0"/>
    <w:pPr>
      <w:pBdr>
        <w:left w:val="single" w:color="000000" w:sz="8" w:space="0"/>
        <w:bottom w:val="single" w:color="000000" w:sz="8" w:space="0"/>
        <w:right w:val="single" w:color="000000" w:sz="8" w:space="0"/>
      </w:pBdr>
      <w:spacing w:before="100" w:beforeAutospacing="1" w:after="100" w:afterAutospacing="1" w:line="240" w:lineRule="auto"/>
      <w:jc w:val="center"/>
    </w:pPr>
    <w:rPr>
      <w:rFonts w:ascii="宋体" w:hAnsi="宋体" w:eastAsia="宋体" w:cs="宋体"/>
      <w:color w:val="000000"/>
      <w:kern w:val="0"/>
      <w:sz w:val="18"/>
      <w:szCs w:val="18"/>
    </w:rPr>
  </w:style>
  <w:style w:type="paragraph" w:customStyle="1" w:styleId="2783">
    <w:name w:val="et35"/>
    <w:basedOn w:val="1"/>
    <w:qFormat/>
    <w:uiPriority w:val="0"/>
    <w:pPr>
      <w:pBdr>
        <w:left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84">
    <w:name w:val="et36"/>
    <w:basedOn w:val="1"/>
    <w:qFormat/>
    <w:uiPriority w:val="0"/>
    <w:pPr>
      <w:pBdr>
        <w:top w:val="single" w:color="000000" w:sz="8" w:space="0"/>
        <w:left w:val="single" w:color="000000" w:sz="8"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85">
    <w:name w:val="et40"/>
    <w:basedOn w:val="1"/>
    <w:qFormat/>
    <w:uiPriority w:val="0"/>
    <w:pPr>
      <w:pBdr>
        <w:left w:val="single" w:color="000000" w:sz="8" w:space="0"/>
        <w:bottom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86">
    <w:name w:val="et41"/>
    <w:basedOn w:val="1"/>
    <w:qFormat/>
    <w:uiPriority w:val="0"/>
    <w:pPr>
      <w:pBdr>
        <w:top w:val="single" w:color="000000" w:sz="8" w:space="0"/>
        <w:left w:val="single" w:color="000000" w:sz="12" w:space="0"/>
        <w:bottom w:val="single" w:color="000000" w:sz="8" w:space="0"/>
      </w:pBdr>
      <w:spacing w:before="100" w:beforeAutospacing="1" w:after="100" w:afterAutospacing="1" w:line="240" w:lineRule="auto"/>
      <w:jc w:val="left"/>
    </w:pPr>
    <w:rPr>
      <w:rFonts w:ascii="宋体" w:hAnsi="宋体" w:eastAsia="宋体" w:cs="宋体"/>
      <w:b/>
      <w:bCs/>
      <w:kern w:val="0"/>
      <w:sz w:val="18"/>
      <w:szCs w:val="18"/>
    </w:rPr>
  </w:style>
  <w:style w:type="paragraph" w:customStyle="1" w:styleId="2787">
    <w:name w:val="et42"/>
    <w:basedOn w:val="1"/>
    <w:qFormat/>
    <w:uiPriority w:val="0"/>
    <w:pPr>
      <w:pBdr>
        <w:top w:val="single" w:color="000000" w:sz="8" w:space="0"/>
        <w:bottom w:val="single" w:color="000000" w:sz="8" w:space="0"/>
      </w:pBdr>
      <w:spacing w:before="100" w:beforeAutospacing="1" w:after="100" w:afterAutospacing="1" w:line="240" w:lineRule="auto"/>
      <w:jc w:val="left"/>
    </w:pPr>
    <w:rPr>
      <w:rFonts w:ascii="宋体" w:hAnsi="宋体" w:eastAsia="宋体" w:cs="宋体"/>
      <w:b/>
      <w:bCs/>
      <w:kern w:val="0"/>
      <w:sz w:val="18"/>
      <w:szCs w:val="18"/>
    </w:rPr>
  </w:style>
  <w:style w:type="paragraph" w:customStyle="1" w:styleId="2788">
    <w:name w:val="et43"/>
    <w:basedOn w:val="1"/>
    <w:qFormat/>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jc w:val="center"/>
    </w:pPr>
    <w:rPr>
      <w:rFonts w:ascii="MS Mincho" w:hAnsi="MS Mincho" w:eastAsia="MS Mincho" w:cs="宋体"/>
      <w:kern w:val="0"/>
      <w:sz w:val="18"/>
      <w:szCs w:val="18"/>
    </w:rPr>
  </w:style>
  <w:style w:type="paragraph" w:customStyle="1" w:styleId="2789">
    <w:name w:val="et44"/>
    <w:basedOn w:val="1"/>
    <w:qFormat/>
    <w:uiPriority w:val="0"/>
    <w:pPr>
      <w:pBdr>
        <w:top w:val="single" w:color="000000" w:sz="8" w:space="0"/>
        <w:bottom w:val="single" w:color="000000" w:sz="8" w:space="0"/>
        <w:right w:val="single" w:color="000000" w:sz="12" w:space="0"/>
      </w:pBdr>
      <w:spacing w:before="100" w:beforeAutospacing="1" w:after="100" w:afterAutospacing="1" w:line="240" w:lineRule="auto"/>
      <w:jc w:val="left"/>
    </w:pPr>
    <w:rPr>
      <w:rFonts w:ascii="宋体" w:hAnsi="宋体" w:eastAsia="宋体" w:cs="宋体"/>
      <w:b/>
      <w:bCs/>
      <w:kern w:val="0"/>
      <w:sz w:val="18"/>
      <w:szCs w:val="18"/>
    </w:rPr>
  </w:style>
  <w:style w:type="paragraph" w:customStyle="1" w:styleId="2790">
    <w:name w:val="et4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left"/>
    </w:pPr>
    <w:rPr>
      <w:rFonts w:ascii="宋体" w:hAnsi="宋体" w:eastAsia="宋体" w:cs="宋体"/>
      <w:kern w:val="0"/>
      <w:sz w:val="20"/>
      <w:szCs w:val="20"/>
    </w:rPr>
  </w:style>
  <w:style w:type="paragraph" w:customStyle="1" w:styleId="2791">
    <w:name w:val="et46"/>
    <w:basedOn w:val="1"/>
    <w:qFormat/>
    <w:uiPriority w:val="0"/>
    <w:pPr>
      <w:pBdr>
        <w:left w:val="single" w:color="000000" w:sz="8" w:space="0"/>
        <w:bottom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92">
    <w:name w:val="et47"/>
    <w:basedOn w:val="1"/>
    <w:qFormat/>
    <w:uiPriority w:val="0"/>
    <w:pPr>
      <w:pBdr>
        <w:bottom w:val="single" w:color="000000" w:sz="12"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93">
    <w:name w:val="et48"/>
    <w:basedOn w:val="1"/>
    <w:qFormat/>
    <w:uiPriority w:val="0"/>
    <w:pPr>
      <w:pBdr>
        <w:top w:val="single" w:color="000000" w:sz="8" w:space="0"/>
        <w:left w:val="single" w:color="000000" w:sz="8" w:space="0"/>
        <w:bottom w:val="single" w:color="000000" w:sz="12" w:space="0"/>
        <w:right w:val="single" w:color="000000"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94">
    <w:name w:val="et49"/>
    <w:basedOn w:val="1"/>
    <w:qFormat/>
    <w:uiPriority w:val="0"/>
    <w:pPr>
      <w:pBdr>
        <w:top w:val="single" w:color="000000" w:sz="8" w:space="0"/>
        <w:left w:val="single" w:color="000000" w:sz="8" w:space="0"/>
        <w:bottom w:val="single" w:color="000000" w:sz="8" w:space="0"/>
        <w:right w:val="single" w:color="000000" w:sz="12"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2795">
    <w:name w:val="TOC 标题2"/>
    <w:basedOn w:val="3"/>
    <w:next w:val="1"/>
    <w:unhideWhenUsed/>
    <w:qFormat/>
    <w:uiPriority w:val="39"/>
    <w:pPr>
      <w:spacing w:before="0" w:after="0" w:line="276" w:lineRule="auto"/>
      <w:jc w:val="left"/>
      <w:outlineLvl w:val="9"/>
    </w:pPr>
    <w:rPr>
      <w:rFonts w:ascii="Cambria" w:hAnsi="Cambria" w:eastAsia="宋体"/>
      <w:color w:val="365F91"/>
      <w:kern w:val="0"/>
      <w:sz w:val="28"/>
      <w:szCs w:val="28"/>
    </w:rPr>
  </w:style>
  <w:style w:type="paragraph" w:customStyle="1" w:styleId="2796">
    <w:name w:val="TOC 标题3"/>
    <w:basedOn w:val="3"/>
    <w:next w:val="1"/>
    <w:qFormat/>
    <w:uiPriority w:val="39"/>
    <w:pPr>
      <w:spacing w:before="480" w:after="0" w:line="276" w:lineRule="auto"/>
      <w:jc w:val="left"/>
      <w:outlineLvl w:val="9"/>
    </w:pPr>
    <w:rPr>
      <w:rFonts w:ascii="Cambria" w:hAnsi="Cambria" w:eastAsia="宋体"/>
      <w:b w:val="0"/>
      <w:color w:val="365F91"/>
      <w:kern w:val="0"/>
      <w:sz w:val="28"/>
      <w:szCs w:val="28"/>
    </w:rPr>
  </w:style>
  <w:style w:type="character" w:customStyle="1" w:styleId="2797">
    <w:name w:val="正文文本缩进 字符1"/>
    <w:qFormat/>
    <w:uiPriority w:val="99"/>
    <w:rPr>
      <w:kern w:val="24"/>
      <w:sz w:val="24"/>
    </w:rPr>
  </w:style>
  <w:style w:type="paragraph" w:customStyle="1" w:styleId="2798">
    <w:name w:val="普通(网站)1"/>
    <w:basedOn w:val="1"/>
    <w:qFormat/>
    <w:uiPriority w:val="99"/>
    <w:pPr>
      <w:spacing w:before="100" w:beforeAutospacing="1" w:after="100" w:afterAutospacing="1" w:line="240" w:lineRule="auto"/>
      <w:jc w:val="left"/>
    </w:pPr>
    <w:rPr>
      <w:rFonts w:ascii="宋体" w:hAnsi="宋体" w:eastAsia="宋体" w:cs="宋体"/>
      <w:kern w:val="0"/>
      <w:szCs w:val="24"/>
    </w:rPr>
  </w:style>
  <w:style w:type="character" w:customStyle="1" w:styleId="2799">
    <w:name w:val="正文首行缩进 2 字符1"/>
    <w:basedOn w:val="2797"/>
    <w:qFormat/>
    <w:uiPriority w:val="99"/>
    <w:rPr>
      <w:kern w:val="24"/>
      <w:sz w:val="24"/>
    </w:rPr>
  </w:style>
  <w:style w:type="character" w:customStyle="1" w:styleId="2800">
    <w:name w:val="正文文本缩进 Char2"/>
    <w:qFormat/>
    <w:locked/>
    <w:uiPriority w:val="0"/>
    <w:rPr>
      <w:rFonts w:ascii="宋体" w:hAnsi="Times New Roman" w:eastAsia="宋体" w:cs="Times New Roman"/>
      <w:sz w:val="20"/>
      <w:szCs w:val="20"/>
    </w:rPr>
  </w:style>
  <w:style w:type="character" w:customStyle="1" w:styleId="2801">
    <w:name w:val="正文文本缩进 2 Char4"/>
    <w:qFormat/>
    <w:locked/>
    <w:uiPriority w:val="0"/>
    <w:rPr>
      <w:rFonts w:ascii="Calibri" w:hAnsi="Calibri" w:eastAsia="宋体" w:cs="Times New Roman"/>
      <w:snapToGrid w:val="0"/>
      <w:kern w:val="0"/>
      <w:sz w:val="20"/>
      <w:szCs w:val="20"/>
    </w:rPr>
  </w:style>
  <w:style w:type="character" w:customStyle="1" w:styleId="2802">
    <w:name w:val="批注框文本 Char5"/>
    <w:qFormat/>
    <w:locked/>
    <w:uiPriority w:val="0"/>
    <w:rPr>
      <w:rFonts w:ascii="Times New Roman" w:hAnsi="Times New Roman" w:eastAsia="宋体" w:cs="Times New Roman"/>
      <w:snapToGrid w:val="0"/>
      <w:kern w:val="24"/>
      <w:sz w:val="18"/>
      <w:szCs w:val="18"/>
    </w:rPr>
  </w:style>
  <w:style w:type="character" w:customStyle="1" w:styleId="2803">
    <w:name w:val="页脚 Char5"/>
    <w:qFormat/>
    <w:locked/>
    <w:uiPriority w:val="99"/>
    <w:rPr>
      <w:rFonts w:ascii="Times New Roman" w:hAnsi="Times New Roman" w:eastAsia="宋体" w:cs="Times New Roman"/>
      <w:snapToGrid w:val="0"/>
      <w:kern w:val="24"/>
      <w:sz w:val="18"/>
      <w:szCs w:val="18"/>
    </w:rPr>
  </w:style>
  <w:style w:type="character" w:customStyle="1" w:styleId="2804">
    <w:name w:val="正文首行缩进 Char5"/>
    <w:qFormat/>
    <w:locked/>
    <w:uiPriority w:val="0"/>
    <w:rPr>
      <w:rFonts w:ascii="Times New Roman" w:hAnsi="Times New Roman" w:eastAsia="宋体" w:cs="Times New Roman"/>
      <w:snapToGrid w:val="0"/>
      <w:kern w:val="24"/>
      <w:sz w:val="24"/>
      <w:szCs w:val="24"/>
    </w:rPr>
  </w:style>
  <w:style w:type="character" w:customStyle="1" w:styleId="2805">
    <w:name w:val="正文首行缩进 2 Char5"/>
    <w:qFormat/>
    <w:locked/>
    <w:uiPriority w:val="0"/>
    <w:rPr>
      <w:rFonts w:ascii="Times New Roman" w:hAnsi="Times New Roman" w:eastAsia="宋体" w:cs="Times New Roman"/>
      <w:snapToGrid w:val="0"/>
      <w:kern w:val="24"/>
      <w:sz w:val="24"/>
      <w:szCs w:val="24"/>
    </w:rPr>
  </w:style>
  <w:style w:type="character" w:customStyle="1" w:styleId="2806">
    <w:name w:val="列出段落 Char3"/>
    <w:qFormat/>
    <w:locked/>
    <w:uiPriority w:val="0"/>
    <w:rPr>
      <w:rFonts w:eastAsia="宋体"/>
      <w:sz w:val="24"/>
    </w:rPr>
  </w:style>
  <w:style w:type="character" w:customStyle="1" w:styleId="2807">
    <w:name w:val="正文首行缩进 字符2"/>
    <w:qFormat/>
    <w:locked/>
    <w:uiPriority w:val="99"/>
    <w:rPr>
      <w:rFonts w:ascii="Times New Roman" w:hAnsi="Times New Roman" w:eastAsia="宋体" w:cs="Times New Roman"/>
      <w:snapToGrid w:val="0"/>
      <w:kern w:val="24"/>
      <w:sz w:val="24"/>
      <w:szCs w:val="24"/>
    </w:rPr>
  </w:style>
  <w:style w:type="character" w:customStyle="1" w:styleId="2808">
    <w:name w:val="正文首行缩进 2 字符2"/>
    <w:qFormat/>
    <w:locked/>
    <w:uiPriority w:val="99"/>
    <w:rPr>
      <w:rFonts w:ascii="Times New Roman" w:hAnsi="Times New Roman" w:eastAsia="宋体" w:cs="Times New Roman"/>
      <w:snapToGrid w:val="0"/>
      <w:kern w:val="24"/>
      <w:sz w:val="24"/>
      <w:szCs w:val="24"/>
    </w:rPr>
  </w:style>
  <w:style w:type="character" w:customStyle="1" w:styleId="2809">
    <w:name w:val="标题 6 字符1"/>
    <w:qFormat/>
    <w:locked/>
    <w:uiPriority w:val="0"/>
    <w:rPr>
      <w:rFonts w:hint="default" w:ascii="Arial" w:hAnsi="Arial" w:eastAsia="黑体" w:cs="Arial"/>
      <w:b/>
      <w:bCs/>
      <w:kern w:val="2"/>
      <w:sz w:val="24"/>
      <w:szCs w:val="24"/>
      <w:lang w:val="zh-CN" w:eastAsia="zh-CN"/>
    </w:rPr>
  </w:style>
  <w:style w:type="character" w:customStyle="1" w:styleId="2810">
    <w:name w:val="标题 7 字符1"/>
    <w:qFormat/>
    <w:locked/>
    <w:uiPriority w:val="99"/>
    <w:rPr>
      <w:b/>
      <w:bCs/>
      <w:kern w:val="2"/>
      <w:sz w:val="24"/>
      <w:szCs w:val="24"/>
      <w:lang w:val="zh-CN" w:eastAsia="zh-CN"/>
    </w:rPr>
  </w:style>
  <w:style w:type="character" w:customStyle="1" w:styleId="2811">
    <w:name w:val="正文文本首行缩进 字符1"/>
    <w:basedOn w:val="538"/>
    <w:semiHidden/>
    <w:uiPriority w:val="99"/>
    <w:rPr>
      <w:rFonts w:ascii="Times New Roman" w:hAnsi="Times New Roman" w:cs="Times New Roman"/>
      <w:kern w:val="24"/>
      <w:sz w:val="24"/>
      <w:szCs w:val="24"/>
    </w:rPr>
  </w:style>
  <w:style w:type="character" w:customStyle="1" w:styleId="2812">
    <w:name w:val="正文文本首行缩进 2 字符1"/>
    <w:basedOn w:val="2797"/>
    <w:semiHidden/>
    <w:uiPriority w:val="99"/>
    <w:rPr>
      <w:kern w:val="24"/>
      <w:sz w:val="24"/>
      <w:szCs w:val="24"/>
    </w:rPr>
  </w:style>
  <w:style w:type="paragraph" w:customStyle="1" w:styleId="2813">
    <w:name w:val="表目录"/>
    <w:basedOn w:val="1"/>
    <w:qFormat/>
    <w:uiPriority w:val="0"/>
    <w:pPr>
      <w:widowControl w:val="0"/>
      <w:spacing w:line="240" w:lineRule="auto"/>
    </w:pPr>
    <w:rPr>
      <w:rFonts w:eastAsia="宋体"/>
      <w:sz w:val="21"/>
      <w:szCs w:val="24"/>
    </w:rPr>
  </w:style>
  <w:style w:type="character" w:customStyle="1" w:styleId="2814">
    <w:name w:val="不明显强调2"/>
    <w:qFormat/>
    <w:uiPriority w:val="19"/>
    <w:rPr>
      <w:i/>
      <w:iCs/>
      <w:color w:val="808080"/>
    </w:rPr>
  </w:style>
  <w:style w:type="character" w:customStyle="1" w:styleId="2815">
    <w:name w:val="明显强调2"/>
    <w:qFormat/>
    <w:uiPriority w:val="21"/>
    <w:rPr>
      <w:b/>
      <w:bCs/>
      <w:i/>
      <w:iCs/>
      <w:color w:val="4F81BD"/>
    </w:rPr>
  </w:style>
  <w:style w:type="character" w:customStyle="1" w:styleId="2816">
    <w:name w:val="不明显参考2"/>
    <w:qFormat/>
    <w:uiPriority w:val="31"/>
    <w:rPr>
      <w:smallCaps/>
      <w:color w:val="C0504D"/>
      <w:u w:val="single"/>
    </w:rPr>
  </w:style>
  <w:style w:type="character" w:customStyle="1" w:styleId="2817">
    <w:name w:val="明显参考21"/>
    <w:qFormat/>
    <w:uiPriority w:val="32"/>
    <w:rPr>
      <w:b/>
      <w:bCs/>
      <w:smallCaps/>
      <w:color w:val="C0504D"/>
      <w:spacing w:val="5"/>
      <w:u w:val="single"/>
    </w:rPr>
  </w:style>
  <w:style w:type="character" w:customStyle="1" w:styleId="2818">
    <w:name w:val="书籍标题21"/>
    <w:qFormat/>
    <w:uiPriority w:val="33"/>
    <w:rPr>
      <w:b/>
      <w:bCs/>
      <w:smallCaps/>
      <w:spacing w:val="5"/>
    </w:rPr>
  </w:style>
  <w:style w:type="character" w:customStyle="1" w:styleId="2819">
    <w:name w:val="结束语 字符1"/>
    <w:basedOn w:val="134"/>
    <w:semiHidden/>
    <w:qFormat/>
    <w:uiPriority w:val="99"/>
    <w:rPr>
      <w:kern w:val="24"/>
      <w:sz w:val="24"/>
      <w:szCs w:val="24"/>
    </w:rPr>
  </w:style>
  <w:style w:type="character" w:customStyle="1" w:styleId="2820">
    <w:name w:val="标题 5 字符1"/>
    <w:basedOn w:val="134"/>
    <w:qFormat/>
    <w:uiPriority w:val="0"/>
  </w:style>
  <w:style w:type="character" w:customStyle="1" w:styleId="2821">
    <w:name w:val="脚注文本 字符2"/>
    <w:semiHidden/>
    <w:qFormat/>
    <w:locked/>
    <w:uiPriority w:val="99"/>
    <w:rPr>
      <w:kern w:val="2"/>
      <w:sz w:val="18"/>
      <w:lang w:val="zh-CN" w:eastAsia="zh-CN"/>
    </w:rPr>
  </w:style>
  <w:style w:type="character" w:customStyle="1" w:styleId="2822">
    <w:name w:val="批注文字 字符2"/>
    <w:qFormat/>
    <w:locked/>
    <w:uiPriority w:val="99"/>
    <w:rPr>
      <w:kern w:val="2"/>
      <w:sz w:val="21"/>
      <w:lang w:val="zh-CN" w:eastAsia="zh-CN"/>
    </w:rPr>
  </w:style>
  <w:style w:type="character" w:customStyle="1" w:styleId="2823">
    <w:name w:val="尾注文本 字符2"/>
    <w:semiHidden/>
    <w:qFormat/>
    <w:locked/>
    <w:uiPriority w:val="99"/>
    <w:rPr>
      <w:kern w:val="2"/>
      <w:sz w:val="21"/>
      <w:lang w:val="zh-CN" w:eastAsia="zh-CN"/>
    </w:rPr>
  </w:style>
  <w:style w:type="character" w:customStyle="1" w:styleId="2824">
    <w:name w:val="宏文本 字符2"/>
    <w:semiHidden/>
    <w:qFormat/>
    <w:locked/>
    <w:uiPriority w:val="99"/>
    <w:rPr>
      <w:rFonts w:hint="default" w:ascii="Courier New" w:hAnsi="Courier New" w:cs="Courier New"/>
      <w:kern w:val="24"/>
      <w:sz w:val="24"/>
      <w:szCs w:val="24"/>
    </w:rPr>
  </w:style>
  <w:style w:type="character" w:customStyle="1" w:styleId="2825">
    <w:name w:val="结束语 字符2"/>
    <w:semiHidden/>
    <w:qFormat/>
    <w:locked/>
    <w:uiPriority w:val="0"/>
    <w:rPr>
      <w:kern w:val="2"/>
      <w:sz w:val="21"/>
      <w:szCs w:val="24"/>
      <w:lang w:val="zh-CN" w:eastAsia="zh-CN"/>
    </w:rPr>
  </w:style>
  <w:style w:type="character" w:customStyle="1" w:styleId="2826">
    <w:name w:val="签名 字符2"/>
    <w:semiHidden/>
    <w:qFormat/>
    <w:locked/>
    <w:uiPriority w:val="99"/>
    <w:rPr>
      <w:kern w:val="2"/>
      <w:sz w:val="21"/>
      <w:szCs w:val="24"/>
      <w:lang w:val="zh-CN" w:eastAsia="zh-CN"/>
    </w:rPr>
  </w:style>
  <w:style w:type="character" w:customStyle="1" w:styleId="2827">
    <w:name w:val="正文文本 字符2"/>
    <w:qFormat/>
    <w:locked/>
    <w:uiPriority w:val="99"/>
    <w:rPr>
      <w:kern w:val="2"/>
      <w:sz w:val="21"/>
      <w:szCs w:val="24"/>
      <w:lang w:val="zh-CN" w:eastAsia="zh-CN"/>
    </w:rPr>
  </w:style>
  <w:style w:type="character" w:customStyle="1" w:styleId="2828">
    <w:name w:val="信息标题 字符2"/>
    <w:semiHidden/>
    <w:qFormat/>
    <w:locked/>
    <w:uiPriority w:val="99"/>
    <w:rPr>
      <w:rFonts w:hint="default" w:ascii="Arial" w:hAnsi="Arial" w:cs="Arial"/>
      <w:kern w:val="2"/>
      <w:sz w:val="24"/>
      <w:szCs w:val="24"/>
      <w:shd w:val="pct20" w:color="auto" w:fill="auto"/>
      <w:lang w:val="zh-CN" w:eastAsia="zh-CN"/>
    </w:rPr>
  </w:style>
  <w:style w:type="character" w:customStyle="1" w:styleId="2829">
    <w:name w:val="称呼 字符2"/>
    <w:semiHidden/>
    <w:qFormat/>
    <w:locked/>
    <w:uiPriority w:val="99"/>
    <w:rPr>
      <w:kern w:val="2"/>
      <w:sz w:val="21"/>
      <w:szCs w:val="24"/>
      <w:lang w:val="zh-CN" w:eastAsia="zh-CN"/>
    </w:rPr>
  </w:style>
  <w:style w:type="character" w:customStyle="1" w:styleId="2830">
    <w:name w:val="日期 字符2"/>
    <w:semiHidden/>
    <w:qFormat/>
    <w:locked/>
    <w:uiPriority w:val="99"/>
    <w:rPr>
      <w:rFonts w:hint="eastAsia" w:ascii="宋体" w:hAnsi="宋体" w:eastAsia="宋体"/>
      <w:kern w:val="2"/>
      <w:sz w:val="24"/>
      <w:lang w:val="zh-CN" w:eastAsia="zh-CN"/>
    </w:rPr>
  </w:style>
  <w:style w:type="character" w:customStyle="1" w:styleId="2831">
    <w:name w:val="文本块 字符2"/>
    <w:qFormat/>
    <w:locked/>
    <w:uiPriority w:val="0"/>
    <w:rPr>
      <w:kern w:val="2"/>
      <w:sz w:val="21"/>
      <w:szCs w:val="24"/>
      <w:lang w:val="zh-CN" w:eastAsia="zh-CN"/>
    </w:rPr>
  </w:style>
  <w:style w:type="character" w:customStyle="1" w:styleId="2832">
    <w:name w:val="文档结构图 字符2"/>
    <w:semiHidden/>
    <w:qFormat/>
    <w:locked/>
    <w:uiPriority w:val="99"/>
    <w:rPr>
      <w:kern w:val="2"/>
      <w:sz w:val="21"/>
      <w:szCs w:val="24"/>
      <w:shd w:val="clear" w:color="auto" w:fill="000080"/>
      <w:lang w:val="zh-CN" w:eastAsia="zh-CN"/>
    </w:rPr>
  </w:style>
  <w:style w:type="character" w:customStyle="1" w:styleId="2833">
    <w:name w:val="电子邮件签名 字符2"/>
    <w:semiHidden/>
    <w:qFormat/>
    <w:locked/>
    <w:uiPriority w:val="99"/>
    <w:rPr>
      <w:kern w:val="2"/>
      <w:sz w:val="21"/>
      <w:szCs w:val="24"/>
      <w:lang w:val="zh-CN" w:eastAsia="zh-CN"/>
    </w:rPr>
  </w:style>
  <w:style w:type="character" w:customStyle="1" w:styleId="2834">
    <w:name w:val="批注主题 字符2"/>
    <w:semiHidden/>
    <w:qFormat/>
    <w:locked/>
    <w:uiPriority w:val="99"/>
    <w:rPr>
      <w:b/>
      <w:bCs/>
      <w:kern w:val="2"/>
      <w:sz w:val="21"/>
      <w:szCs w:val="24"/>
      <w:lang w:val="zh-CN" w:eastAsia="zh-CN"/>
    </w:rPr>
  </w:style>
  <w:style w:type="character" w:customStyle="1" w:styleId="2835">
    <w:name w:val="批注框文本 字符2"/>
    <w:qFormat/>
    <w:locked/>
    <w:uiPriority w:val="99"/>
    <w:rPr>
      <w:kern w:val="2"/>
      <w:sz w:val="18"/>
      <w:szCs w:val="18"/>
      <w:lang w:val="zh-CN" w:eastAsia="zh-CN"/>
    </w:rPr>
  </w:style>
  <w:style w:type="character" w:customStyle="1" w:styleId="2836">
    <w:name w:val="标题6"/>
    <w:basedOn w:val="134"/>
    <w:uiPriority w:val="0"/>
  </w:style>
  <w:style w:type="character" w:customStyle="1" w:styleId="2837">
    <w:name w:val="纯文本1 Char"/>
    <w:semiHidden/>
    <w:uiPriority w:val="0"/>
    <w:rPr>
      <w:rFonts w:hint="eastAsia" w:ascii="宋体" w:hAnsi="Courier New" w:eastAsia="宋体"/>
      <w:kern w:val="2"/>
      <w:sz w:val="21"/>
      <w:lang w:val="en-US" w:eastAsia="zh-CN" w:bidi="ar-SA"/>
    </w:rPr>
  </w:style>
  <w:style w:type="character" w:customStyle="1" w:styleId="2838">
    <w:name w:val="标题 5 字符2"/>
    <w:qFormat/>
    <w:locked/>
    <w:uiPriority w:val="0"/>
    <w:rPr>
      <w:b/>
      <w:bCs/>
      <w:kern w:val="2"/>
      <w:sz w:val="28"/>
      <w:szCs w:val="28"/>
      <w:lang w:val="zh-CN" w:eastAsia="zh-CN"/>
    </w:rPr>
  </w:style>
  <w:style w:type="character" w:customStyle="1" w:styleId="2839">
    <w:name w:val="HTML 预设格式 字符1"/>
    <w:semiHidden/>
    <w:qFormat/>
    <w:locked/>
    <w:uiPriority w:val="0"/>
    <w:rPr>
      <w:rFonts w:hint="eastAsia" w:ascii="黑体" w:hAnsi="Courier New" w:eastAsia="黑体"/>
      <w:lang w:val="zh-CN" w:eastAsia="zh-CN"/>
    </w:rPr>
  </w:style>
  <w:style w:type="character" w:customStyle="1" w:styleId="2840">
    <w:name w:val="HTML 地址 字符1"/>
    <w:semiHidden/>
    <w:qFormat/>
    <w:locked/>
    <w:uiPriority w:val="0"/>
    <w:rPr>
      <w:i/>
      <w:iCs/>
      <w:kern w:val="2"/>
      <w:sz w:val="21"/>
      <w:szCs w:val="24"/>
      <w:lang w:val="zh-CN" w:eastAsia="zh-CN"/>
    </w:rPr>
  </w:style>
  <w:style w:type="character" w:customStyle="1" w:styleId="2841">
    <w:name w:val="注释标题 字符1"/>
    <w:basedOn w:val="134"/>
    <w:semiHidden/>
    <w:qFormat/>
    <w:uiPriority w:val="99"/>
    <w:rPr>
      <w:kern w:val="24"/>
      <w:sz w:val="24"/>
      <w:szCs w:val="24"/>
    </w:rPr>
  </w:style>
  <w:style w:type="character" w:customStyle="1" w:styleId="2842">
    <w:name w:val="Plain Text Char3"/>
    <w:uiPriority w:val="99"/>
    <w:rPr>
      <w:rFonts w:hint="eastAsia" w:ascii="宋体" w:hAnsi="Courier New" w:eastAsia="宋体" w:cs="Courier New"/>
      <w:snapToGrid w:val="0"/>
      <w:kern w:val="24"/>
      <w:sz w:val="21"/>
      <w:szCs w:val="21"/>
    </w:rPr>
  </w:style>
  <w:style w:type="character" w:customStyle="1" w:styleId="2843">
    <w:name w:val="题注 字符"/>
    <w:qFormat/>
    <w:uiPriority w:val="0"/>
    <w:rPr>
      <w:rFonts w:hint="default" w:ascii="Cambria" w:hAnsi="Cambria" w:eastAsia="黑体"/>
      <w:kern w:val="2"/>
    </w:rPr>
  </w:style>
  <w:style w:type="character" w:customStyle="1" w:styleId="2844">
    <w:name w:val="引用 字符1"/>
    <w:basedOn w:val="134"/>
    <w:uiPriority w:val="29"/>
    <w:rPr>
      <w:i/>
      <w:iCs/>
      <w:color w:val="404040" w:themeColor="text1" w:themeTint="BF"/>
      <w:kern w:val="24"/>
      <w:sz w:val="24"/>
      <w:szCs w:val="24"/>
      <w14:textFill>
        <w14:solidFill>
          <w14:schemeClr w14:val="tx1">
            <w14:lumMod w14:val="75000"/>
            <w14:lumOff w14:val="25000"/>
          </w14:schemeClr>
        </w14:solidFill>
      </w14:textFill>
    </w:rPr>
  </w:style>
  <w:style w:type="paragraph" w:customStyle="1" w:styleId="2845">
    <w:name w:val="TOC 标题4"/>
    <w:basedOn w:val="3"/>
    <w:next w:val="1"/>
    <w:unhideWhenUsed/>
    <w:qFormat/>
    <w:uiPriority w:val="39"/>
    <w:pPr>
      <w:tabs>
        <w:tab w:val="left" w:pos="0"/>
        <w:tab w:val="left" w:pos="568"/>
      </w:tabs>
      <w:spacing w:before="480" w:after="0" w:line="276" w:lineRule="auto"/>
      <w:jc w:val="left"/>
      <w:outlineLvl w:val="9"/>
    </w:pPr>
    <w:rPr>
      <w:rFonts w:ascii="Cambria" w:hAnsi="Cambria" w:eastAsia="宋体"/>
      <w:color w:val="365F91"/>
      <w:kern w:val="0"/>
      <w:sz w:val="28"/>
      <w:szCs w:val="28"/>
    </w:rPr>
  </w:style>
  <w:style w:type="character" w:customStyle="1" w:styleId="2846">
    <w:name w:val="正文（首行缩进两字） Char Char Char Char Char Char Char Char1"/>
    <w:qFormat/>
    <w:locked/>
    <w:uiPriority w:val="0"/>
    <w:rPr>
      <w:rFonts w:ascii="Times New Roman" w:hAnsi="Times New Roman" w:eastAsia="宋体"/>
      <w:sz w:val="24"/>
    </w:rPr>
  </w:style>
  <w:style w:type="character" w:customStyle="1" w:styleId="2847">
    <w:name w:val="明显引用 Char5"/>
    <w:locked/>
    <w:uiPriority w:val="30"/>
    <w:rPr>
      <w:rFonts w:ascii="Calibri" w:hAnsi="Calibri" w:cs="Calibri"/>
      <w:b/>
      <w:bCs/>
      <w:i/>
      <w:iCs/>
      <w:color w:val="4F81BD"/>
      <w:lang w:val="zh-CN" w:eastAsia="zh-CN"/>
    </w:rPr>
  </w:style>
  <w:style w:type="character" w:customStyle="1" w:styleId="2848">
    <w:name w:val="标题 2 字符2"/>
    <w:qFormat/>
    <w:locked/>
    <w:uiPriority w:val="0"/>
    <w:rPr>
      <w:rFonts w:hAnsi="宋体"/>
      <w:b/>
      <w:bCs/>
      <w:kern w:val="24"/>
      <w:sz w:val="28"/>
      <w:szCs w:val="24"/>
    </w:rPr>
  </w:style>
  <w:style w:type="character" w:customStyle="1" w:styleId="2849">
    <w:name w:val="标题 1 字符2"/>
    <w:qFormat/>
    <w:locked/>
    <w:uiPriority w:val="99"/>
    <w:rPr>
      <w:b/>
      <w:kern w:val="30"/>
      <w:sz w:val="32"/>
      <w:szCs w:val="30"/>
    </w:rPr>
  </w:style>
  <w:style w:type="character" w:customStyle="1" w:styleId="2850">
    <w:name w:val="标题 3 字符2"/>
    <w:qFormat/>
    <w:locked/>
    <w:uiPriority w:val="99"/>
    <w:rPr>
      <w:rFonts w:ascii="宋体" w:hAnsi="宋体"/>
      <w:b/>
      <w:kern w:val="21"/>
      <w:sz w:val="24"/>
      <w:szCs w:val="24"/>
    </w:rPr>
  </w:style>
  <w:style w:type="character" w:customStyle="1" w:styleId="2851">
    <w:name w:val="标题 4 字符2"/>
    <w:qFormat/>
    <w:locked/>
    <w:uiPriority w:val="0"/>
    <w:rPr>
      <w:rFonts w:ascii="Cambria" w:hAnsi="Cambria" w:eastAsia="宋体" w:cs="Times New Roman"/>
      <w:b/>
      <w:snapToGrid w:val="0"/>
      <w:kern w:val="24"/>
      <w:sz w:val="28"/>
    </w:rPr>
  </w:style>
  <w:style w:type="character" w:customStyle="1" w:styleId="2852">
    <w:name w:val="标题 8 字符2"/>
    <w:qFormat/>
    <w:locked/>
    <w:uiPriority w:val="99"/>
    <w:rPr>
      <w:kern w:val="0"/>
      <w:sz w:val="24"/>
      <w:szCs w:val="20"/>
    </w:rPr>
  </w:style>
  <w:style w:type="character" w:customStyle="1" w:styleId="2853">
    <w:name w:val="标题 9 字符2"/>
    <w:qFormat/>
    <w:locked/>
    <w:uiPriority w:val="99"/>
    <w:rPr>
      <w:kern w:val="0"/>
      <w:sz w:val="24"/>
      <w:szCs w:val="20"/>
    </w:rPr>
  </w:style>
  <w:style w:type="character" w:customStyle="1" w:styleId="2854">
    <w:name w:val="正文文本 3 字符2"/>
    <w:semiHidden/>
    <w:qFormat/>
    <w:locked/>
    <w:uiPriority w:val="99"/>
    <w:rPr>
      <w:rFonts w:ascii="宋体" w:hAnsi="宋体" w:eastAsia="宋体" w:cs="Times New Roman"/>
      <w:b/>
      <w:bCs/>
      <w:snapToGrid w:val="0"/>
      <w:color w:val="FFCC00"/>
      <w:sz w:val="28"/>
      <w:szCs w:val="28"/>
    </w:rPr>
  </w:style>
  <w:style w:type="character" w:customStyle="1" w:styleId="2855">
    <w:name w:val="纯文本 字符2"/>
    <w:qFormat/>
    <w:locked/>
    <w:uiPriority w:val="0"/>
    <w:rPr>
      <w:rFonts w:ascii="宋体" w:hAnsi="Courier New" w:eastAsia="宋体" w:cs="Times New Roman"/>
      <w:color w:val="000000"/>
      <w:kern w:val="2"/>
      <w:sz w:val="24"/>
      <w:szCs w:val="24"/>
    </w:rPr>
  </w:style>
  <w:style w:type="character" w:customStyle="1" w:styleId="2856">
    <w:name w:val="页脚 字符2"/>
    <w:qFormat/>
    <w:locked/>
    <w:uiPriority w:val="0"/>
    <w:rPr>
      <w:rFonts w:ascii="Times New Roman" w:hAnsi="Times New Roman" w:eastAsia="宋体" w:cs="Times New Roman"/>
      <w:snapToGrid w:val="0"/>
      <w:kern w:val="24"/>
      <w:sz w:val="18"/>
      <w:szCs w:val="18"/>
    </w:rPr>
  </w:style>
  <w:style w:type="character" w:customStyle="1" w:styleId="2857">
    <w:name w:val="页眉 字符2"/>
    <w:qFormat/>
    <w:locked/>
    <w:uiPriority w:val="99"/>
    <w:rPr>
      <w:rFonts w:cs="Times New Roman"/>
      <w:sz w:val="18"/>
      <w:szCs w:val="18"/>
    </w:rPr>
  </w:style>
  <w:style w:type="character" w:customStyle="1" w:styleId="2858">
    <w:name w:val="正文文本缩进 3 字符2"/>
    <w:qFormat/>
    <w:locked/>
    <w:uiPriority w:val="99"/>
    <w:rPr>
      <w:rFonts w:ascii="Times New Roman" w:hAnsi="Times New Roman" w:eastAsia="宋体" w:cs="Times New Roman"/>
      <w:snapToGrid w:val="0"/>
      <w:color w:val="000000"/>
      <w:kern w:val="0"/>
      <w:sz w:val="24"/>
      <w:szCs w:val="24"/>
    </w:rPr>
  </w:style>
  <w:style w:type="character" w:customStyle="1" w:styleId="2859">
    <w:name w:val="正文文本 2 字符2"/>
    <w:semiHidden/>
    <w:qFormat/>
    <w:locked/>
    <w:uiPriority w:val="99"/>
    <w:rPr>
      <w:rFonts w:ascii="Times New Roman" w:hAnsi="Times New Roman" w:eastAsia="宋体" w:cs="Times New Roman"/>
      <w:snapToGrid w:val="0"/>
      <w:kern w:val="24"/>
      <w:sz w:val="24"/>
      <w:szCs w:val="24"/>
    </w:rPr>
  </w:style>
  <w:style w:type="character" w:customStyle="1" w:styleId="2860">
    <w:name w:val="正文缩进 字符2"/>
    <w:qFormat/>
    <w:locked/>
    <w:uiPriority w:val="99"/>
    <w:rPr>
      <w:rFonts w:ascii="Times New Roman" w:hAnsi="Times New Roman" w:eastAsia="宋体"/>
      <w:sz w:val="24"/>
    </w:rPr>
  </w:style>
  <w:style w:type="character" w:customStyle="1" w:styleId="2861">
    <w:name w:val="z-窗体顶端 Char5"/>
    <w:basedOn w:val="134"/>
    <w:semiHidden/>
    <w:uiPriority w:val="0"/>
    <w:rPr>
      <w:rFonts w:ascii="Arial" w:hAnsi="Arial" w:cs="Arial" w:eastAsiaTheme="minorEastAsia"/>
      <w:vanish/>
      <w:kern w:val="2"/>
      <w:sz w:val="16"/>
      <w:szCs w:val="16"/>
    </w:rPr>
  </w:style>
  <w:style w:type="character" w:customStyle="1" w:styleId="2862">
    <w:name w:val="z-窗体底端 Char6"/>
    <w:basedOn w:val="134"/>
    <w:semiHidden/>
    <w:uiPriority w:val="0"/>
    <w:rPr>
      <w:rFonts w:ascii="Arial" w:hAnsi="Arial" w:cs="Arial" w:eastAsiaTheme="minorEastAsia"/>
      <w:vanish/>
      <w:kern w:val="2"/>
      <w:sz w:val="16"/>
      <w:szCs w:val="16"/>
    </w:rPr>
  </w:style>
  <w:style w:type="paragraph" w:customStyle="1" w:styleId="2863">
    <w:name w:val="G样式1"/>
    <w:basedOn w:val="1"/>
    <w:qFormat/>
    <w:uiPriority w:val="0"/>
    <w:pPr>
      <w:widowControl w:val="0"/>
      <w:spacing w:line="480" w:lineRule="exact"/>
      <w:ind w:firstLine="200" w:firstLineChars="200"/>
    </w:pPr>
    <w:rPr>
      <w:rFonts w:eastAsia="宋体"/>
      <w:sz w:val="28"/>
      <w:szCs w:val="28"/>
    </w:rPr>
  </w:style>
  <w:style w:type="paragraph" w:customStyle="1" w:styleId="2864">
    <w:name w:val="Char Char1 Char Char Char Char Char Char Char1"/>
    <w:basedOn w:val="1"/>
    <w:qFormat/>
    <w:uiPriority w:val="0"/>
    <w:pPr>
      <w:widowControl w:val="0"/>
    </w:pPr>
    <w:rPr>
      <w:rFonts w:eastAsia="宋体"/>
      <w:sz w:val="21"/>
      <w:szCs w:val="20"/>
    </w:rPr>
  </w:style>
  <w:style w:type="paragraph" w:customStyle="1" w:styleId="2865">
    <w:name w:val="TOC 标题21"/>
    <w:basedOn w:val="3"/>
    <w:next w:val="1"/>
    <w:unhideWhenUsed/>
    <w:qFormat/>
    <w:uiPriority w:val="39"/>
    <w:pPr>
      <w:widowControl w:val="0"/>
      <w:spacing w:before="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2866">
    <w:name w:val="op_dict_text2"/>
    <w:basedOn w:val="134"/>
    <w:qFormat/>
    <w:uiPriority w:val="0"/>
  </w:style>
  <w:style w:type="paragraph" w:customStyle="1" w:styleId="2867">
    <w:name w:val="封面项目-L"/>
    <w:basedOn w:val="327"/>
    <w:qFormat/>
    <w:uiPriority w:val="0"/>
    <w:pPr>
      <w:suppressAutoHyphens/>
      <w:autoSpaceDN w:val="0"/>
      <w:adjustRightInd w:val="0"/>
      <w:snapToGrid w:val="0"/>
      <w:spacing w:beforeLines="50" w:afterLines="100" w:line="360" w:lineRule="auto"/>
      <w:ind w:left="120" w:leftChars="50" w:right="240" w:rightChars="100" w:firstLine="0"/>
      <w:jc w:val="center"/>
    </w:pPr>
    <w:rPr>
      <w:rFonts w:ascii="楷体" w:hAnsi="楷体" w:eastAsia="楷体"/>
      <w:color w:val="000000"/>
      <w:kern w:val="0"/>
      <w:sz w:val="48"/>
      <w:szCs w:val="52"/>
      <w:lang w:val="zh-CN"/>
    </w:rPr>
  </w:style>
  <w:style w:type="paragraph" w:customStyle="1" w:styleId="2868">
    <w:name w:val="封面类型-L"/>
    <w:basedOn w:val="1"/>
    <w:qFormat/>
    <w:uiPriority w:val="0"/>
    <w:pPr>
      <w:widowControl w:val="0"/>
      <w:spacing w:line="240" w:lineRule="auto"/>
      <w:jc w:val="center"/>
    </w:pPr>
    <w:rPr>
      <w:rFonts w:ascii="华文新魏" w:hAnsi="Calibri" w:eastAsia="华文新魏"/>
      <w:snapToGrid w:val="0"/>
      <w:kern w:val="24"/>
      <w:sz w:val="80"/>
      <w:szCs w:val="80"/>
    </w:rPr>
  </w:style>
  <w:style w:type="character" w:customStyle="1" w:styleId="2869">
    <w:name w:val="bsharetext"/>
    <w:basedOn w:val="134"/>
    <w:qFormat/>
    <w:uiPriority w:val="0"/>
  </w:style>
  <w:style w:type="character" w:customStyle="1" w:styleId="2870">
    <w:name w:val="普通(网站) 字符"/>
    <w:link w:val="82"/>
    <w:qFormat/>
    <w:uiPriority w:val="0"/>
    <w:rPr>
      <w:rFonts w:ascii="Times New Roman" w:hAnsi="Times New Roman"/>
      <w:kern w:val="2"/>
      <w:sz w:val="24"/>
      <w:szCs w:val="22"/>
    </w:rPr>
  </w:style>
  <w:style w:type="paragraph" w:customStyle="1" w:styleId="2871">
    <w:name w:val="正文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72">
    <w:name w:val="正文_25"/>
    <w:qFormat/>
    <w:uiPriority w:val="0"/>
    <w:pPr>
      <w:widowControl w:val="0"/>
      <w:jc w:val="both"/>
    </w:pPr>
    <w:rPr>
      <w:rFonts w:ascii="Calibri" w:hAnsi="Calibri" w:eastAsia="宋体" w:cs="Times New Roman"/>
      <w:kern w:val="2"/>
      <w:sz w:val="21"/>
      <w:lang w:val="en-US" w:eastAsia="zh-CN" w:bidi="ar-SA"/>
    </w:rPr>
  </w:style>
  <w:style w:type="paragraph" w:customStyle="1" w:styleId="2873">
    <w:name w:val="0图片样式"/>
    <w:basedOn w:val="522"/>
    <w:qFormat/>
    <w:uiPriority w:val="0"/>
    <w:pPr>
      <w:spacing w:beforeLines="50" w:afterLines="50" w:line="240" w:lineRule="auto"/>
    </w:pPr>
    <w:rPr>
      <w:rFonts w:ascii="Times New Roman" w:hAnsi="Times New Roman" w:eastAsia="宋体"/>
      <w:snapToGrid w:val="0"/>
    </w:rPr>
  </w:style>
  <w:style w:type="paragraph" w:customStyle="1" w:styleId="2874">
    <w:name w:val="msolistparagraph"/>
    <w:basedOn w:val="1"/>
    <w:qFormat/>
    <w:uiPriority w:val="0"/>
    <w:pPr>
      <w:widowControl w:val="0"/>
      <w:spacing w:line="500" w:lineRule="exact"/>
      <w:ind w:firstLine="420" w:firstLineChars="200"/>
      <w:jc w:val="left"/>
    </w:pPr>
    <w:rPr>
      <w:rFonts w:eastAsia="宋体"/>
      <w:szCs w:val="24"/>
    </w:rPr>
  </w:style>
  <w:style w:type="paragraph" w:customStyle="1" w:styleId="2875">
    <w:name w:val="0表格"/>
    <w:basedOn w:val="1"/>
    <w:qFormat/>
    <w:uiPriority w:val="0"/>
    <w:pPr>
      <w:widowControl w:val="0"/>
      <w:adjustRightInd w:val="0"/>
      <w:snapToGrid w:val="0"/>
      <w:spacing w:line="280" w:lineRule="exact"/>
      <w:jc w:val="center"/>
      <w:textAlignment w:val="center"/>
    </w:pPr>
    <w:rPr>
      <w:rFonts w:eastAsia="宋体"/>
      <w:snapToGrid w:val="0"/>
      <w:kern w:val="21"/>
      <w:sz w:val="18"/>
      <w:szCs w:val="20"/>
    </w:rPr>
  </w:style>
  <w:style w:type="paragraph" w:customStyle="1" w:styleId="2876">
    <w:name w:val="TOC Heading"/>
    <w:basedOn w:val="3"/>
    <w:next w:val="1"/>
    <w:semiHidden/>
    <w:unhideWhenUsed/>
    <w:qFormat/>
    <w:uiPriority w:val="39"/>
    <w:pPr>
      <w:spacing w:before="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877">
    <w:name w:val="Revision"/>
    <w:hidden/>
    <w:semiHidden/>
    <w:uiPriority w:val="99"/>
    <w:rPr>
      <w:rFonts w:ascii="Times New Roman" w:hAnsi="Times New Roman" w:eastAsiaTheme="minorEastAsia" w:cstheme="minorBidi"/>
      <w:kern w:val="2"/>
      <w:sz w:val="24"/>
      <w:szCs w:val="21"/>
      <w:lang w:val="en-US" w:eastAsia="zh-CN" w:bidi="ar-SA"/>
    </w:rPr>
  </w:style>
  <w:style w:type="character" w:customStyle="1" w:styleId="2878">
    <w:name w:val="表格 字符"/>
    <w:basedOn w:val="479"/>
    <w:uiPriority w:val="0"/>
    <w:rPr>
      <w:rFonts w:ascii="Times New Roman" w:hAnsi="Times New Roman" w:eastAsiaTheme="minorEastAsia" w:cstheme="minorBidi"/>
      <w:kern w:val="2"/>
      <w:sz w:val="18"/>
      <w:szCs w:val="21"/>
    </w:rPr>
  </w:style>
  <w:style w:type="character" w:customStyle="1" w:styleId="2879">
    <w:name w:val="0标题3样式 Char"/>
    <w:link w:val="2880"/>
    <w:uiPriority w:val="0"/>
    <w:rPr>
      <w:b/>
      <w:color w:val="000000"/>
      <w:kern w:val="2"/>
      <w:sz w:val="24"/>
      <w:szCs w:val="24"/>
    </w:rPr>
  </w:style>
  <w:style w:type="paragraph" w:customStyle="1" w:styleId="2880">
    <w:name w:val="0标题3样式"/>
    <w:basedOn w:val="1"/>
    <w:link w:val="2879"/>
    <w:qFormat/>
    <w:uiPriority w:val="0"/>
    <w:pPr>
      <w:keepNext/>
      <w:keepLines/>
      <w:spacing w:before="50" w:beforeLines="50" w:line="500" w:lineRule="exact"/>
      <w:jc w:val="left"/>
      <w:outlineLvl w:val="2"/>
    </w:pPr>
    <w:rPr>
      <w:rFonts w:ascii="等线" w:hAnsi="等线"/>
      <w:b/>
      <w:color w:val="000000"/>
      <w:szCs w:val="24"/>
    </w:rPr>
  </w:style>
  <w:style w:type="character" w:customStyle="1" w:styleId="2881">
    <w:name w:val="0标题2样式 Char"/>
    <w:link w:val="2882"/>
    <w:uiPriority w:val="0"/>
    <w:rPr>
      <w:rFonts w:ascii="宋体" w:hAnsi="Arial"/>
      <w:b/>
      <w:color w:val="000000"/>
      <w:sz w:val="28"/>
    </w:rPr>
  </w:style>
  <w:style w:type="paragraph" w:customStyle="1" w:styleId="2882">
    <w:name w:val="0标题2样式"/>
    <w:basedOn w:val="4"/>
    <w:link w:val="2881"/>
    <w:qFormat/>
    <w:uiPriority w:val="0"/>
    <w:pPr>
      <w:spacing w:before="120" w:beforeLines="50" w:after="0" w:line="500" w:lineRule="exact"/>
      <w:jc w:val="left"/>
    </w:pPr>
    <w:rPr>
      <w:rFonts w:ascii="宋体" w:hAnsi="Arial" w:eastAsia="等线"/>
      <w:bCs w:val="0"/>
      <w:color w:val="000000"/>
      <w:kern w:val="0"/>
      <w:sz w:val="28"/>
      <w:szCs w:val="20"/>
    </w:rPr>
  </w:style>
  <w:style w:type="paragraph" w:customStyle="1" w:styleId="2883">
    <w:name w:val="样式 样式 样式 四号 左侧:  1.53 厘米 + 首行缩进:  2 字符 + 居中 左侧:  2 字符 首行缩进:  2..."/>
    <w:basedOn w:val="1"/>
    <w:qFormat/>
    <w:uiPriority w:val="0"/>
    <w:pPr>
      <w:widowControl w:val="0"/>
      <w:adjustRightInd w:val="0"/>
      <w:spacing w:line="240" w:lineRule="auto"/>
      <w:ind w:left="200" w:leftChars="200"/>
      <w:jc w:val="center"/>
    </w:pPr>
    <w:rPr>
      <w:rFonts w:eastAsia="宋体"/>
      <w:w w:val="90"/>
      <w:sz w:val="28"/>
      <w:szCs w:val="20"/>
    </w:rPr>
  </w:style>
  <w:style w:type="paragraph" w:customStyle="1" w:styleId="2884">
    <w:name w:val="标题2-L"/>
    <w:basedOn w:val="4"/>
    <w:next w:val="1"/>
    <w:qFormat/>
    <w:uiPriority w:val="0"/>
    <w:pPr>
      <w:widowControl w:val="0"/>
      <w:numPr>
        <w:ilvl w:val="1"/>
        <w:numId w:val="10"/>
      </w:numPr>
      <w:adjustRightInd w:val="0"/>
      <w:snapToGrid w:val="0"/>
      <w:spacing w:before="50" w:beforeLines="50" w:after="0" w:line="500" w:lineRule="exact"/>
      <w:jc w:val="left"/>
    </w:pPr>
    <w:rPr>
      <w:rFonts w:ascii="Times New Roman" w:hAnsi="Times New Roman" w:eastAsia="宋体" w:cstheme="majorBidi"/>
      <w:sz w:val="28"/>
    </w:rPr>
  </w:style>
  <w:style w:type="paragraph" w:customStyle="1" w:styleId="2885">
    <w:name w:val="标题3-L"/>
    <w:basedOn w:val="5"/>
    <w:next w:val="1"/>
    <w:qFormat/>
    <w:uiPriority w:val="0"/>
    <w:pPr>
      <w:widowControl w:val="0"/>
      <w:numPr>
        <w:ilvl w:val="2"/>
        <w:numId w:val="10"/>
      </w:numPr>
      <w:tabs>
        <w:tab w:val="left" w:pos="360"/>
      </w:tabs>
      <w:adjustRightInd w:val="0"/>
      <w:snapToGrid w:val="0"/>
      <w:spacing w:before="0" w:after="0" w:line="440" w:lineRule="exact"/>
      <w:ind w:left="0"/>
    </w:pPr>
    <w:rPr>
      <w:rFonts w:eastAsia="宋体" w:cstheme="minorBidi"/>
      <w:sz w:val="24"/>
    </w:rPr>
  </w:style>
  <w:style w:type="paragraph" w:customStyle="1" w:styleId="2886">
    <w:name w:val="标题1编号-L"/>
    <w:basedOn w:val="3"/>
    <w:next w:val="2884"/>
    <w:qFormat/>
    <w:uiPriority w:val="0"/>
    <w:pPr>
      <w:keepNext w:val="0"/>
      <w:keepLines w:val="0"/>
      <w:pageBreakBefore/>
      <w:widowControl w:val="0"/>
      <w:numPr>
        <w:ilvl w:val="0"/>
        <w:numId w:val="10"/>
      </w:numPr>
      <w:tabs>
        <w:tab w:val="left" w:pos="360"/>
      </w:tabs>
      <w:adjustRightInd w:val="0"/>
      <w:snapToGrid w:val="0"/>
      <w:spacing w:before="100" w:beforeAutospacing="1" w:after="100" w:afterAutospacing="1" w:line="360" w:lineRule="auto"/>
      <w:jc w:val="center"/>
    </w:pPr>
    <w:rPr>
      <w:rFonts w:eastAsia="宋体" w:cstheme="minorBidi"/>
      <w:sz w:val="32"/>
    </w:rPr>
  </w:style>
  <w:style w:type="paragraph" w:customStyle="1" w:styleId="2887">
    <w:name w:val="标题4-L"/>
    <w:basedOn w:val="2885"/>
    <w:next w:val="1"/>
    <w:qFormat/>
    <w:uiPriority w:val="0"/>
    <w:pPr>
      <w:numPr>
        <w:ilvl w:val="3"/>
      </w:numPr>
      <w:outlineLvl w:val="3"/>
    </w:pPr>
    <w:rPr>
      <w:snapToGrid w:val="0"/>
      <w:lang w:bidi="en-US"/>
    </w:rPr>
  </w:style>
  <w:style w:type="character" w:customStyle="1" w:styleId="2888">
    <w:name w:val="（3.11表）表格11 字符"/>
    <w:link w:val="2889"/>
    <w:qFormat/>
    <w:uiPriority w:val="0"/>
    <w:rPr>
      <w:rFonts w:ascii="Times New Roman" w:hAnsi="Times New Roman"/>
      <w:color w:val="FF0000"/>
      <w:kern w:val="2"/>
      <w:sz w:val="22"/>
      <w:szCs w:val="22"/>
    </w:rPr>
  </w:style>
  <w:style w:type="paragraph" w:customStyle="1" w:styleId="2889">
    <w:name w:val="（3.11表）表格11"/>
    <w:basedOn w:val="1"/>
    <w:link w:val="2888"/>
    <w:qFormat/>
    <w:uiPriority w:val="0"/>
    <w:pPr>
      <w:widowControl w:val="0"/>
      <w:adjustRightInd w:val="0"/>
      <w:snapToGrid w:val="0"/>
      <w:spacing w:line="240" w:lineRule="auto"/>
      <w:jc w:val="center"/>
    </w:pPr>
    <w:rPr>
      <w:color w:val="FF000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2.xml"/><Relationship Id="rId59" Type="http://schemas.openxmlformats.org/officeDocument/2006/relationships/image" Target="media/image31.wmf"/><Relationship Id="rId58" Type="http://schemas.openxmlformats.org/officeDocument/2006/relationships/image" Target="media/image30.png"/><Relationship Id="rId57" Type="http://schemas.openxmlformats.org/officeDocument/2006/relationships/image" Target="media/image29.wmf"/><Relationship Id="rId56" Type="http://schemas.openxmlformats.org/officeDocument/2006/relationships/oleObject" Target="embeddings/oleObject6.bin"/><Relationship Id="rId55" Type="http://schemas.openxmlformats.org/officeDocument/2006/relationships/image" Target="media/image28.wmf"/><Relationship Id="rId54" Type="http://schemas.openxmlformats.org/officeDocument/2006/relationships/oleObject" Target="embeddings/oleObject5.bin"/><Relationship Id="rId53" Type="http://schemas.openxmlformats.org/officeDocument/2006/relationships/image" Target="media/image27.wmf"/><Relationship Id="rId52" Type="http://schemas.openxmlformats.org/officeDocument/2006/relationships/oleObject" Target="embeddings/oleObject4.bin"/><Relationship Id="rId51" Type="http://schemas.openxmlformats.org/officeDocument/2006/relationships/image" Target="media/image26.wmf"/><Relationship Id="rId50" Type="http://schemas.openxmlformats.org/officeDocument/2006/relationships/oleObject" Target="embeddings/oleObject3.bin"/><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chart" Target="charts/chart2.xml"/><Relationship Id="rId41" Type="http://schemas.openxmlformats.org/officeDocument/2006/relationships/chart" Target="charts/chart1.xml"/><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wmf"/><Relationship Id="rId37" Type="http://schemas.openxmlformats.org/officeDocument/2006/relationships/oleObject" Target="embeddings/oleObject2.bin"/><Relationship Id="rId36" Type="http://schemas.openxmlformats.org/officeDocument/2006/relationships/image" Target="media/image15.wmf"/><Relationship Id="rId35" Type="http://schemas.openxmlformats.org/officeDocument/2006/relationships/image" Target="media/image14.wmf"/><Relationship Id="rId34" Type="http://schemas.openxmlformats.org/officeDocument/2006/relationships/image" Target="media/image13.wmf"/><Relationship Id="rId33" Type="http://schemas.openxmlformats.org/officeDocument/2006/relationships/image" Target="media/image12.wmf"/><Relationship Id="rId32" Type="http://schemas.openxmlformats.org/officeDocument/2006/relationships/oleObject" Target="embeddings/oleObject1.bin"/><Relationship Id="rId31" Type="http://schemas.openxmlformats.org/officeDocument/2006/relationships/image" Target="media/image11.emf"/><Relationship Id="rId30" Type="http://schemas.openxmlformats.org/officeDocument/2006/relationships/package" Target="embeddings/Microsoft_Visio___6.vsdx"/><Relationship Id="rId3" Type="http://schemas.openxmlformats.org/officeDocument/2006/relationships/footnotes" Target="footnotes.xml"/><Relationship Id="rId29" Type="http://schemas.openxmlformats.org/officeDocument/2006/relationships/image" Target="media/image10.emf"/><Relationship Id="rId28" Type="http://schemas.openxmlformats.org/officeDocument/2006/relationships/package" Target="embeddings/Microsoft_Visio___5.vsdx"/><Relationship Id="rId27" Type="http://schemas.openxmlformats.org/officeDocument/2006/relationships/image" Target="media/image9.png"/><Relationship Id="rId26" Type="http://schemas.openxmlformats.org/officeDocument/2006/relationships/image" Target="media/image8.emf"/><Relationship Id="rId25" Type="http://schemas.openxmlformats.org/officeDocument/2006/relationships/package" Target="embeddings/Microsoft_Visio___4.vsdx"/><Relationship Id="rId24" Type="http://schemas.openxmlformats.org/officeDocument/2006/relationships/image" Target="media/image7.emf"/><Relationship Id="rId23" Type="http://schemas.openxmlformats.org/officeDocument/2006/relationships/package" Target="embeddings/Microsoft_Visio___3.vsdx"/><Relationship Id="rId22" Type="http://schemas.openxmlformats.org/officeDocument/2006/relationships/image" Target="media/image6.emf"/><Relationship Id="rId21" Type="http://schemas.openxmlformats.org/officeDocument/2006/relationships/package" Target="embeddings/Microsoft_Visio___2.vsdx"/><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package" Target="embeddings/Microsoft_Visio___1.vsdx"/><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023.10.19&#33322;&#37995;\&#22823;&#27668;&#39044;&#27979;\&#27668;&#35937;&#32479;&#35745;&#32467;&#2652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3.10.19&#33322;&#37995;\&#22823;&#27668;&#39044;&#27979;\&#27668;&#35937;&#32479;&#35745;&#32467;&#265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44448194758"/>
          <c:y val="0.213523131672598"/>
          <c:w val="0.800547516099295"/>
          <c:h val="0.619217081850534"/>
        </c:manualLayout>
      </c:layout>
      <c:lineChart>
        <c:grouping val="standard"/>
        <c:varyColors val="0"/>
        <c:ser>
          <c:idx val="0"/>
          <c:order val="0"/>
          <c:tx>
            <c:strRef>
              <c:f>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strRef>
              <c:f>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数据!$B$3:$M$3</c:f>
              <c:numCache>
                <c:formatCode>0.00_ </c:formatCode>
                <c:ptCount val="12"/>
                <c:pt idx="0">
                  <c:v>7.67999982833862</c:v>
                </c:pt>
                <c:pt idx="1">
                  <c:v>7.21999979019165</c:v>
                </c:pt>
                <c:pt idx="2">
                  <c:v>17.4500007629395</c:v>
                </c:pt>
                <c:pt idx="3">
                  <c:v>18.1299991607666</c:v>
                </c:pt>
                <c:pt idx="4">
                  <c:v>20.6000003814697</c:v>
                </c:pt>
                <c:pt idx="5">
                  <c:v>24.9200000762939</c:v>
                </c:pt>
                <c:pt idx="6">
                  <c:v>29.6200008392334</c:v>
                </c:pt>
                <c:pt idx="7">
                  <c:v>32.6399993896484</c:v>
                </c:pt>
                <c:pt idx="8">
                  <c:v>21.9400005340576</c:v>
                </c:pt>
                <c:pt idx="9">
                  <c:v>18.1900005340576</c:v>
                </c:pt>
                <c:pt idx="10">
                  <c:v>14.8400001525879</c:v>
                </c:pt>
                <c:pt idx="11">
                  <c:v>6.69000005722046</c:v>
                </c:pt>
              </c:numCache>
            </c:numRef>
          </c:val>
          <c:smooth val="0"/>
        </c:ser>
        <c:dLbls>
          <c:showLegendKey val="0"/>
          <c:showVal val="0"/>
          <c:showCatName val="0"/>
          <c:showSerName val="0"/>
          <c:showPercent val="0"/>
          <c:showBubbleSize val="0"/>
        </c:dLbls>
        <c:marker val="1"/>
        <c:smooth val="0"/>
        <c:axId val="2001292768"/>
        <c:axId val="1"/>
      </c:lineChart>
      <c:catAx>
        <c:axId val="2001292768"/>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tickLblSkip val="1"/>
        <c:noMultiLvlLbl val="0"/>
      </c:catAx>
      <c:valAx>
        <c:axId val="1"/>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100" b="0" i="0" u="none" strike="noStrike" kern="1200" baseline="0">
                    <a:solidFill>
                      <a:srgbClr val="000000"/>
                    </a:solidFill>
                    <a:latin typeface="等线"/>
                    <a:ea typeface="等线"/>
                    <a:cs typeface="等线"/>
                  </a:defRPr>
                </a:pPr>
                <a:r>
                  <a:rPr lang="zh-CN" altLang="en-US" sz="1200" b="0" i="0" u="none" strike="noStrike" baseline="0">
                    <a:solidFill>
                      <a:srgbClr val="000000"/>
                    </a:solidFill>
                    <a:latin typeface="宋体" panose="02010600030101010101" charset="-122"/>
                    <a:ea typeface="宋体" panose="02010600030101010101" charset="-122"/>
                  </a:rPr>
                  <a:t>温度(℃) </a:t>
                </a:r>
                <a:endParaRPr lang="zh-CN" altLang="en-US" sz="1200" b="0" i="0" u="none" strike="noStrike" baseline="0">
                  <a:solidFill>
                    <a:srgbClr val="000000"/>
                  </a:solidFill>
                  <a:latin typeface="宋体" panose="02010600030101010101" charset="-122"/>
                  <a:ea typeface="宋体" panose="02010600030101010101" charset="-122"/>
                </a:endParaRPr>
              </a:p>
            </c:rich>
          </c:tx>
          <c:layout>
            <c:manualLayout>
              <c:xMode val="edge"/>
              <c:yMode val="edge"/>
              <c:x val="0.0102133066699996"/>
              <c:y val="0.346004100908575"/>
            </c:manualLayout>
          </c:layout>
          <c:overlay val="0"/>
          <c:spPr>
            <a:noFill/>
            <a:ln w="25400">
              <a:noFill/>
            </a:ln>
          </c:spPr>
        </c:title>
        <c:numFmt formatCode="0.00_ "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00129276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397345487308"/>
          <c:y val="0.213523131672598"/>
          <c:w val="0.820548494052664"/>
          <c:h val="0.619217081850534"/>
        </c:manualLayout>
      </c:layout>
      <c:lineChart>
        <c:grouping val="standard"/>
        <c:varyColors val="0"/>
        <c:ser>
          <c:idx val="0"/>
          <c:order val="0"/>
          <c:tx>
            <c:strRef>
              <c:f>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strRef>
              <c:f>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数据!$B$7:$M$7</c:f>
              <c:numCache>
                <c:formatCode>0.00_ </c:formatCode>
                <c:ptCount val="12"/>
                <c:pt idx="0">
                  <c:v>2.25999999046326</c:v>
                </c:pt>
                <c:pt idx="1">
                  <c:v>2.53999996185303</c:v>
                </c:pt>
                <c:pt idx="2">
                  <c:v>3.00999999046326</c:v>
                </c:pt>
                <c:pt idx="3">
                  <c:v>3.01999998092651</c:v>
                </c:pt>
                <c:pt idx="4">
                  <c:v>2.63000011444092</c:v>
                </c:pt>
                <c:pt idx="5">
                  <c:v>2.05999994277954</c:v>
                </c:pt>
                <c:pt idx="6">
                  <c:v>2.79999995231628</c:v>
                </c:pt>
                <c:pt idx="7">
                  <c:v>3.10999989509583</c:v>
                </c:pt>
                <c:pt idx="8">
                  <c:v>2.46000003814697</c:v>
                </c:pt>
                <c:pt idx="9">
                  <c:v>2.3199999332428</c:v>
                </c:pt>
                <c:pt idx="10">
                  <c:v>2.51999998092651</c:v>
                </c:pt>
                <c:pt idx="11">
                  <c:v>2.10999989509583</c:v>
                </c:pt>
              </c:numCache>
            </c:numRef>
          </c:val>
          <c:smooth val="0"/>
        </c:ser>
        <c:dLbls>
          <c:showLegendKey val="0"/>
          <c:showVal val="0"/>
          <c:showCatName val="0"/>
          <c:showSerName val="0"/>
          <c:showPercent val="0"/>
          <c:showBubbleSize val="0"/>
        </c:dLbls>
        <c:marker val="1"/>
        <c:smooth val="0"/>
        <c:axId val="2001290272"/>
        <c:axId val="1"/>
      </c:lineChart>
      <c:catAx>
        <c:axId val="2001290272"/>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tickLblSkip val="1"/>
        <c:noMultiLvlLbl val="0"/>
      </c:catAx>
      <c:valAx>
        <c:axId val="1"/>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100" b="0" i="0" u="none" strike="noStrike" kern="1200" baseline="0">
                    <a:solidFill>
                      <a:srgbClr val="000000"/>
                    </a:solidFill>
                    <a:latin typeface="等线"/>
                    <a:ea typeface="等线"/>
                    <a:cs typeface="等线"/>
                  </a:defRPr>
                </a:pPr>
                <a:r>
                  <a:rPr lang="zh-CN" altLang="en-US" sz="1200" b="0" i="0" u="none" strike="noStrike" baseline="0">
                    <a:solidFill>
                      <a:srgbClr val="000000"/>
                    </a:solidFill>
                    <a:latin typeface="宋体" panose="02010600030101010101" charset="-122"/>
                    <a:ea typeface="宋体" panose="02010600030101010101" charset="-122"/>
                  </a:rPr>
                  <a:t>风速(m/s) </a:t>
                </a:r>
                <a:endParaRPr lang="zh-CN" altLang="en-US" sz="1200" b="0" i="0" u="none" strike="noStrike" baseline="0">
                  <a:solidFill>
                    <a:srgbClr val="000000"/>
                  </a:solidFill>
                  <a:latin typeface="宋体" panose="02010600030101010101" charset="-122"/>
                  <a:ea typeface="宋体" panose="02010600030101010101" charset="-122"/>
                </a:endParaRPr>
              </a:p>
            </c:rich>
          </c:tx>
          <c:layout>
            <c:manualLayout>
              <c:xMode val="edge"/>
              <c:yMode val="edge"/>
              <c:x val="0.0178082191780822"/>
              <c:y val="0.284697508896797"/>
            </c:manualLayout>
          </c:layout>
          <c:overlay val="0"/>
          <c:spPr>
            <a:noFill/>
            <a:ln w="25400">
              <a:noFill/>
            </a:ln>
          </c:spPr>
        </c:title>
        <c:numFmt formatCode="0.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00129027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cap="flat" cmpd="sng" algn="ctr">
      <a:solidFill>
        <a:srgbClr val="000000"/>
      </a:solidFill>
      <a:prstDash val="solid"/>
      <a:round/>
    </a:ln>
  </c:spPr>
  <c:txPr>
    <a:bodyPr/>
    <a:lstStyle/>
    <a:p>
      <a:pPr algn="l">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111CFD-062B-4E95-8942-3E318260F4C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199</Pages>
  <Words>27412</Words>
  <Characters>156249</Characters>
  <Lines>1302</Lines>
  <Paragraphs>366</Paragraphs>
  <TotalTime>1967</TotalTime>
  <ScaleCrop>false</ScaleCrop>
  <LinksUpToDate>false</LinksUpToDate>
  <CharactersWithSpaces>183295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2024-01-18T02:52:00Z</dcterms:created>
  <dc:creator>Administrator</dc:creator>
  <cp:lastModifiedBy>╰つ花雨黯 岚风殇 红颜殆</cp:lastModifiedBy>
  <cp:lastPrinted>2021-09-07T01:52:00Z</cp:lastPrinted>
  <dcterms:modified xsi:type="dcterms:W3CDTF">2024-02-26T07:46:25Z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7D1491AC63304CFAB6354965D4FF0F55_13</vt:lpwstr>
  </property>
</Properties>
</file>